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2B75F" w14:textId="7721208D" w:rsidR="00FB71BE" w:rsidRPr="007B2462" w:rsidRDefault="009F65EE" w:rsidP="00EA1A11">
      <w:pPr>
        <w:pBdr>
          <w:bottom w:val="single" w:sz="12" w:space="3" w:color="auto"/>
        </w:pBdr>
        <w:spacing w:before="1560"/>
        <w:jc w:val="center"/>
        <w:rPr>
          <w:rFonts w:ascii="Calibri" w:hAnsi="Calibri"/>
          <w:b/>
          <w:sz w:val="52"/>
          <w:szCs w:val="52"/>
        </w:rPr>
      </w:pPr>
      <w:r>
        <w:rPr>
          <w:rFonts w:ascii="Calibri" w:hAnsi="Calibri"/>
          <w:b/>
          <w:sz w:val="52"/>
          <w:szCs w:val="52"/>
        </w:rPr>
        <w:t>2022 Victorian Economic</w:t>
      </w:r>
    </w:p>
    <w:p w14:paraId="12B1A031" w14:textId="692AC78D" w:rsidR="00FB71BE" w:rsidRPr="00E34C95" w:rsidRDefault="009F65EE" w:rsidP="00EA1A11">
      <w:pPr>
        <w:spacing w:before="40"/>
        <w:jc w:val="center"/>
        <w:rPr>
          <w:rFonts w:ascii="Calibri" w:hAnsi="Calibri"/>
          <w:b/>
          <w:sz w:val="50"/>
          <w:szCs w:val="52"/>
        </w:rPr>
      </w:pPr>
      <w:r>
        <w:rPr>
          <w:rFonts w:ascii="Calibri" w:hAnsi="Calibri"/>
          <w:b/>
          <w:sz w:val="52"/>
          <w:szCs w:val="52"/>
        </w:rPr>
        <w:t xml:space="preserve">and </w:t>
      </w:r>
      <w:r w:rsidR="00AB6CD4">
        <w:rPr>
          <w:rFonts w:ascii="Calibri" w:hAnsi="Calibri"/>
          <w:b/>
          <w:sz w:val="52"/>
          <w:szCs w:val="52"/>
        </w:rPr>
        <w:t>Fiscal</w:t>
      </w:r>
      <w:r>
        <w:rPr>
          <w:rFonts w:ascii="Calibri" w:hAnsi="Calibri"/>
          <w:b/>
          <w:sz w:val="52"/>
          <w:szCs w:val="52"/>
        </w:rPr>
        <w:t xml:space="preserve"> Update</w:t>
      </w:r>
    </w:p>
    <w:p w14:paraId="435B21D6" w14:textId="77777777" w:rsidR="00FB71BE" w:rsidRDefault="00FB71BE" w:rsidP="00FB71BE">
      <w:pPr>
        <w:jc w:val="center"/>
        <w:rPr>
          <w:rFonts w:ascii="Calibri" w:hAnsi="Calibri"/>
          <w:sz w:val="30"/>
          <w:szCs w:val="30"/>
        </w:rPr>
      </w:pPr>
    </w:p>
    <w:p w14:paraId="1A2DE4C3" w14:textId="77777777" w:rsidR="00FB71BE" w:rsidRPr="007B2462" w:rsidRDefault="00FB71BE" w:rsidP="00FB71BE">
      <w:pPr>
        <w:jc w:val="center"/>
        <w:rPr>
          <w:rFonts w:ascii="Calibri" w:hAnsi="Calibri"/>
          <w:sz w:val="30"/>
          <w:szCs w:val="30"/>
        </w:rPr>
      </w:pPr>
    </w:p>
    <w:p w14:paraId="6DADD465" w14:textId="273A316C" w:rsidR="00FB71BE" w:rsidRPr="007B2462" w:rsidRDefault="00FB71BE" w:rsidP="00FB71BE">
      <w:pPr>
        <w:jc w:val="center"/>
      </w:pPr>
    </w:p>
    <w:p w14:paraId="40BA1270" w14:textId="77777777" w:rsidR="00FB71BE" w:rsidRPr="007B2462" w:rsidRDefault="00FB71BE" w:rsidP="00FB71BE">
      <w:pPr>
        <w:jc w:val="center"/>
        <w:rPr>
          <w:sz w:val="36"/>
          <w:szCs w:val="36"/>
        </w:rPr>
      </w:pPr>
    </w:p>
    <w:p w14:paraId="3D623452" w14:textId="77777777" w:rsidR="00FB71BE" w:rsidRPr="007B2462" w:rsidRDefault="00FB71BE" w:rsidP="00FB71BE">
      <w:pPr>
        <w:jc w:val="center"/>
        <w:rPr>
          <w:sz w:val="36"/>
          <w:szCs w:val="36"/>
        </w:rPr>
      </w:pPr>
    </w:p>
    <w:p w14:paraId="7B7DFB43" w14:textId="77777777" w:rsidR="00FB71BE" w:rsidRPr="007B2462" w:rsidRDefault="00FB71BE" w:rsidP="00FB71BE">
      <w:pPr>
        <w:jc w:val="center"/>
        <w:rPr>
          <w:sz w:val="36"/>
          <w:szCs w:val="36"/>
        </w:rPr>
      </w:pPr>
    </w:p>
    <w:p w14:paraId="2B1D3280" w14:textId="77777777" w:rsidR="00FB71BE" w:rsidRPr="007B2462" w:rsidRDefault="00FB71BE" w:rsidP="00FB71BE">
      <w:pPr>
        <w:jc w:val="center"/>
        <w:rPr>
          <w:rFonts w:ascii="Calibri" w:hAnsi="Calibri"/>
          <w:sz w:val="28"/>
          <w:szCs w:val="28"/>
        </w:rPr>
      </w:pPr>
      <w:r w:rsidRPr="007B2462">
        <w:rPr>
          <w:rFonts w:ascii="Calibri" w:hAnsi="Calibri"/>
          <w:sz w:val="28"/>
          <w:szCs w:val="28"/>
        </w:rPr>
        <w:t>Presented by</w:t>
      </w:r>
    </w:p>
    <w:p w14:paraId="1A272767" w14:textId="77777777" w:rsidR="00FB71BE" w:rsidRPr="00D26163" w:rsidRDefault="00FB71BE" w:rsidP="00FB71BE">
      <w:pPr>
        <w:jc w:val="center"/>
        <w:rPr>
          <w:rFonts w:ascii="Calibri" w:hAnsi="Calibri" w:cs="Calibri"/>
          <w:b/>
          <w:sz w:val="36"/>
          <w:szCs w:val="36"/>
        </w:rPr>
      </w:pPr>
      <w:r w:rsidRPr="00D26163">
        <w:rPr>
          <w:rFonts w:ascii="Calibri" w:hAnsi="Calibri" w:cs="Calibri"/>
          <w:b/>
          <w:sz w:val="36"/>
          <w:szCs w:val="36"/>
        </w:rPr>
        <w:t>Tim Pallas MP</w:t>
      </w:r>
    </w:p>
    <w:p w14:paraId="6B1F5828" w14:textId="6611C24F" w:rsidR="00FB71BE" w:rsidRDefault="00FB71BE" w:rsidP="00FB71BE">
      <w:pPr>
        <w:jc w:val="center"/>
        <w:rPr>
          <w:rFonts w:ascii="Calibri" w:hAnsi="Calibri" w:cs="Calibri"/>
          <w:sz w:val="28"/>
          <w:szCs w:val="28"/>
        </w:rPr>
      </w:pPr>
      <w:r w:rsidRPr="00D26163">
        <w:rPr>
          <w:rFonts w:ascii="Calibri" w:hAnsi="Calibri" w:cs="Calibri"/>
          <w:sz w:val="28"/>
          <w:szCs w:val="28"/>
        </w:rPr>
        <w:t>Treasurer of the State of Victoria</w:t>
      </w:r>
    </w:p>
    <w:p w14:paraId="2C85EA26" w14:textId="09DF6165" w:rsidR="00FB71BE" w:rsidRDefault="007C73B2" w:rsidP="00FB71BE">
      <w:pPr>
        <w:jc w:val="center"/>
        <w:rPr>
          <w:rFonts w:ascii="Calibri" w:hAnsi="Calibri"/>
          <w:sz w:val="30"/>
          <w:szCs w:val="30"/>
        </w:rPr>
      </w:pPr>
      <w:r>
        <w:rPr>
          <w:rFonts w:ascii="Calibri" w:hAnsi="Calibri"/>
          <w:sz w:val="30"/>
          <w:szCs w:val="30"/>
        </w:rPr>
        <w:t>October 2022</w:t>
      </w:r>
    </w:p>
    <w:p w14:paraId="287471C6" w14:textId="77777777" w:rsidR="00FB71BE" w:rsidRDefault="00FB71BE" w:rsidP="00FB71BE">
      <w:pPr>
        <w:jc w:val="center"/>
        <w:rPr>
          <w:rFonts w:ascii="Calibri" w:hAnsi="Calibri"/>
          <w:sz w:val="30"/>
          <w:szCs w:val="30"/>
        </w:rPr>
      </w:pPr>
    </w:p>
    <w:p w14:paraId="163D74BA" w14:textId="77777777" w:rsidR="00FB71BE" w:rsidRDefault="00FB71BE" w:rsidP="00FB71BE">
      <w:pPr>
        <w:keepLines w:val="0"/>
        <w:rPr>
          <w:rFonts w:ascii="Calibri" w:hAnsi="Calibri"/>
          <w:sz w:val="30"/>
          <w:szCs w:val="30"/>
        </w:rPr>
        <w:sectPr w:rsidR="00FB71BE" w:rsidSect="00FB71BE">
          <w:headerReference w:type="even" r:id="rId9"/>
          <w:headerReference w:type="default" r:id="rId10"/>
          <w:footerReference w:type="even" r:id="rId11"/>
          <w:footerReference w:type="default" r:id="rId12"/>
          <w:headerReference w:type="first" r:id="rId13"/>
          <w:footerReference w:type="first" r:id="rId14"/>
          <w:pgSz w:w="9979" w:h="14175" w:code="9"/>
          <w:pgMar w:top="850" w:right="1134" w:bottom="850" w:left="1134" w:header="624" w:footer="567" w:gutter="0"/>
          <w:cols w:sep="1" w:space="567"/>
          <w:docGrid w:linePitch="360"/>
        </w:sectPr>
      </w:pPr>
    </w:p>
    <w:p w14:paraId="49011CA6" w14:textId="77777777" w:rsidR="00004B0D" w:rsidRPr="00810818" w:rsidRDefault="00004B0D" w:rsidP="00004B0D">
      <w:pPr>
        <w:rPr>
          <w:rFonts w:ascii="Calibri" w:hAnsi="Calibri"/>
          <w:sz w:val="16"/>
          <w:szCs w:val="16"/>
        </w:rPr>
      </w:pPr>
      <w:r w:rsidRPr="00810818">
        <w:rPr>
          <w:rFonts w:ascii="Calibri" w:hAnsi="Calibri"/>
          <w:sz w:val="16"/>
          <w:szCs w:val="16"/>
        </w:rPr>
        <w:lastRenderedPageBreak/>
        <w:t>The Secretary</w:t>
      </w:r>
      <w:r>
        <w:rPr>
          <w:rFonts w:ascii="Calibri" w:hAnsi="Calibri"/>
          <w:sz w:val="16"/>
          <w:szCs w:val="16"/>
        </w:rPr>
        <w:br/>
      </w:r>
      <w:r w:rsidRPr="00810818">
        <w:rPr>
          <w:rFonts w:ascii="Calibri" w:hAnsi="Calibri"/>
          <w:sz w:val="16"/>
          <w:szCs w:val="16"/>
        </w:rPr>
        <w:t>Department of Treasury and Finance</w:t>
      </w:r>
      <w:r>
        <w:rPr>
          <w:rFonts w:ascii="Calibri" w:hAnsi="Calibri"/>
          <w:sz w:val="16"/>
          <w:szCs w:val="16"/>
        </w:rPr>
        <w:br/>
      </w:r>
      <w:r w:rsidRPr="00810818">
        <w:rPr>
          <w:rFonts w:ascii="Calibri" w:hAnsi="Calibri"/>
          <w:sz w:val="16"/>
          <w:szCs w:val="16"/>
        </w:rPr>
        <w:t>1 Treasury Place</w:t>
      </w:r>
      <w:r>
        <w:rPr>
          <w:rFonts w:ascii="Calibri" w:hAnsi="Calibri"/>
          <w:sz w:val="16"/>
          <w:szCs w:val="16"/>
        </w:rPr>
        <w:br/>
      </w:r>
      <w:r w:rsidRPr="00810818">
        <w:rPr>
          <w:rFonts w:ascii="Calibri" w:hAnsi="Calibri"/>
          <w:sz w:val="16"/>
          <w:szCs w:val="16"/>
        </w:rPr>
        <w:t>Melbourne, Victoria, 3002</w:t>
      </w:r>
      <w:r>
        <w:rPr>
          <w:rFonts w:ascii="Calibri" w:hAnsi="Calibri"/>
          <w:sz w:val="16"/>
          <w:szCs w:val="16"/>
        </w:rPr>
        <w:br/>
        <w:t>A</w:t>
      </w:r>
      <w:r w:rsidRPr="00810818">
        <w:rPr>
          <w:rFonts w:ascii="Calibri" w:hAnsi="Calibri"/>
          <w:sz w:val="16"/>
          <w:szCs w:val="16"/>
        </w:rPr>
        <w:t>ustralia</w:t>
      </w:r>
    </w:p>
    <w:p w14:paraId="4AB4E5FE" w14:textId="77777777" w:rsidR="00004B0D" w:rsidRPr="00810818" w:rsidRDefault="00004B0D" w:rsidP="00004B0D">
      <w:pPr>
        <w:rPr>
          <w:rFonts w:ascii="Calibri" w:hAnsi="Calibri"/>
          <w:sz w:val="16"/>
          <w:szCs w:val="16"/>
        </w:rPr>
      </w:pPr>
      <w:r w:rsidRPr="00810818">
        <w:rPr>
          <w:rFonts w:ascii="Calibri" w:hAnsi="Calibri"/>
          <w:sz w:val="16"/>
          <w:szCs w:val="16"/>
        </w:rPr>
        <w:t>Tel: (03) 9651 5111</w:t>
      </w:r>
      <w:r>
        <w:rPr>
          <w:rFonts w:ascii="Calibri" w:hAnsi="Calibri"/>
          <w:sz w:val="16"/>
          <w:szCs w:val="16"/>
        </w:rPr>
        <w:br/>
      </w:r>
      <w:r w:rsidRPr="00810818">
        <w:rPr>
          <w:rFonts w:ascii="Calibri" w:hAnsi="Calibri"/>
          <w:sz w:val="16"/>
          <w:szCs w:val="16"/>
        </w:rPr>
        <w:t>dtf.vic.gov.au</w:t>
      </w:r>
    </w:p>
    <w:p w14:paraId="18E82B60" w14:textId="77777777" w:rsidR="00004B0D" w:rsidRPr="00810818" w:rsidRDefault="00004B0D" w:rsidP="00004B0D">
      <w:pPr>
        <w:rPr>
          <w:rFonts w:ascii="Calibri" w:hAnsi="Calibri"/>
          <w:sz w:val="16"/>
          <w:szCs w:val="16"/>
        </w:rPr>
      </w:pPr>
      <w:r w:rsidRPr="00810818">
        <w:rPr>
          <w:rFonts w:ascii="Calibri" w:hAnsi="Calibri"/>
          <w:sz w:val="16"/>
          <w:szCs w:val="16"/>
        </w:rPr>
        <w:t>Authorised by the Victorian Government</w:t>
      </w:r>
      <w:r>
        <w:rPr>
          <w:rFonts w:ascii="Calibri" w:hAnsi="Calibri"/>
          <w:sz w:val="16"/>
          <w:szCs w:val="16"/>
        </w:rPr>
        <w:br/>
      </w:r>
      <w:r w:rsidRPr="00810818">
        <w:rPr>
          <w:rFonts w:ascii="Calibri" w:hAnsi="Calibri"/>
          <w:sz w:val="16"/>
          <w:szCs w:val="16"/>
        </w:rPr>
        <w:t>1 Treasury Place, Melbourne, 3002</w:t>
      </w:r>
    </w:p>
    <w:p w14:paraId="1DD4BD25" w14:textId="4B4A2604" w:rsidR="00004B0D" w:rsidRPr="00810818" w:rsidRDefault="00004B0D" w:rsidP="00004B0D">
      <w:pPr>
        <w:rPr>
          <w:rFonts w:ascii="Calibri" w:hAnsi="Calibri"/>
          <w:sz w:val="16"/>
          <w:szCs w:val="16"/>
        </w:rPr>
      </w:pPr>
      <w:r w:rsidRPr="00E909D5">
        <w:rPr>
          <w:rFonts w:ascii="Calibri" w:hAnsi="Calibri"/>
          <w:sz w:val="16"/>
          <w:szCs w:val="16"/>
        </w:rPr>
        <w:t>Printed by Doculink, Port Melbourne</w:t>
      </w:r>
    </w:p>
    <w:p w14:paraId="056901EC" w14:textId="77777777" w:rsidR="00004B0D" w:rsidRPr="00810818" w:rsidRDefault="00004B0D" w:rsidP="00004B0D">
      <w:pPr>
        <w:rPr>
          <w:rFonts w:ascii="Calibri" w:hAnsi="Calibri"/>
          <w:sz w:val="16"/>
          <w:szCs w:val="16"/>
        </w:rPr>
      </w:pPr>
      <w:r w:rsidRPr="00810818">
        <w:rPr>
          <w:rFonts w:ascii="Calibri" w:hAnsi="Calibri"/>
          <w:sz w:val="16"/>
          <w:szCs w:val="16"/>
        </w:rPr>
        <w:t>© State of Victoria 202</w:t>
      </w:r>
      <w:r>
        <w:rPr>
          <w:rFonts w:ascii="Calibri" w:hAnsi="Calibri"/>
          <w:sz w:val="16"/>
          <w:szCs w:val="16"/>
        </w:rPr>
        <w:t>2</w:t>
      </w:r>
    </w:p>
    <w:p w14:paraId="287B672B" w14:textId="77777777" w:rsidR="00004B0D" w:rsidRPr="00810818" w:rsidRDefault="00004B0D" w:rsidP="00004B0D">
      <w:pPr>
        <w:rPr>
          <w:rFonts w:ascii="Calibri" w:hAnsi="Calibri"/>
          <w:sz w:val="16"/>
          <w:szCs w:val="16"/>
        </w:rPr>
      </w:pPr>
      <w:r w:rsidRPr="00810818">
        <w:rPr>
          <w:rFonts w:ascii="Calibri" w:hAnsi="Calibri"/>
          <w:noProof/>
          <w:sz w:val="16"/>
          <w:szCs w:val="16"/>
        </w:rPr>
        <w:drawing>
          <wp:inline distT="0" distB="0" distL="0" distR="0" wp14:anchorId="05B813CC" wp14:editId="01DC1D01">
            <wp:extent cx="873760" cy="296196"/>
            <wp:effectExtent l="0" t="0" r="2540" b="8890"/>
            <wp:docPr id="3" name="Picture 5">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6" name="Picture 5">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923110" cy="312925"/>
                    </a:xfrm>
                    <a:prstGeom prst="rect">
                      <a:avLst/>
                    </a:prstGeom>
                  </pic:spPr>
                </pic:pic>
              </a:graphicData>
            </a:graphic>
          </wp:inline>
        </w:drawing>
      </w:r>
    </w:p>
    <w:p w14:paraId="2131AB73" w14:textId="77777777" w:rsidR="00004B0D" w:rsidRPr="00810818" w:rsidRDefault="00004B0D" w:rsidP="00004B0D">
      <w:pPr>
        <w:rPr>
          <w:rFonts w:ascii="Calibri" w:hAnsi="Calibri"/>
          <w:sz w:val="16"/>
          <w:szCs w:val="16"/>
        </w:rPr>
      </w:pPr>
      <w:r w:rsidRPr="00E00690">
        <w:rPr>
          <w:rFonts w:ascii="Calibri" w:hAnsi="Calibri"/>
          <w:sz w:val="16"/>
          <w:szCs w:val="16"/>
        </w:rPr>
        <w:t>You are free to re-use this work under a Creative</w:t>
      </w:r>
      <w:r>
        <w:rPr>
          <w:rFonts w:ascii="Calibri" w:hAnsi="Calibri"/>
          <w:sz w:val="16"/>
          <w:szCs w:val="16"/>
        </w:rPr>
        <w:t xml:space="preserve"> </w:t>
      </w:r>
      <w:r w:rsidRPr="00E00690">
        <w:rPr>
          <w:rFonts w:ascii="Calibri" w:hAnsi="Calibri"/>
          <w:sz w:val="16"/>
          <w:szCs w:val="16"/>
        </w:rPr>
        <w:t xml:space="preserve">Commons </w:t>
      </w:r>
      <w:r>
        <w:rPr>
          <w:rFonts w:ascii="Calibri" w:hAnsi="Calibri"/>
          <w:sz w:val="16"/>
          <w:szCs w:val="16"/>
        </w:rPr>
        <w:br/>
      </w:r>
      <w:r w:rsidRPr="00E00690">
        <w:rPr>
          <w:rFonts w:ascii="Calibri" w:hAnsi="Calibri"/>
          <w:sz w:val="16"/>
          <w:szCs w:val="16"/>
        </w:rPr>
        <w:t>Attribution 4.0 licence, provided you</w:t>
      </w:r>
      <w:r>
        <w:rPr>
          <w:rFonts w:ascii="Calibri" w:hAnsi="Calibri"/>
          <w:sz w:val="16"/>
          <w:szCs w:val="16"/>
        </w:rPr>
        <w:t xml:space="preserve"> </w:t>
      </w:r>
      <w:r w:rsidRPr="00E00690">
        <w:rPr>
          <w:rFonts w:ascii="Calibri" w:hAnsi="Calibri"/>
          <w:sz w:val="16"/>
          <w:szCs w:val="16"/>
        </w:rPr>
        <w:t xml:space="preserve">credit the State of </w:t>
      </w:r>
      <w:r>
        <w:rPr>
          <w:rFonts w:ascii="Calibri" w:hAnsi="Calibri"/>
          <w:sz w:val="16"/>
          <w:szCs w:val="16"/>
        </w:rPr>
        <w:br/>
      </w:r>
      <w:r w:rsidRPr="00E00690">
        <w:rPr>
          <w:rFonts w:ascii="Calibri" w:hAnsi="Calibri"/>
          <w:sz w:val="16"/>
          <w:szCs w:val="16"/>
        </w:rPr>
        <w:t>Victoria (Department of Treasury</w:t>
      </w:r>
      <w:r>
        <w:rPr>
          <w:rFonts w:ascii="Calibri" w:hAnsi="Calibri"/>
          <w:sz w:val="16"/>
          <w:szCs w:val="16"/>
        </w:rPr>
        <w:t xml:space="preserve"> </w:t>
      </w:r>
      <w:r w:rsidRPr="00E00690">
        <w:rPr>
          <w:rFonts w:ascii="Calibri" w:hAnsi="Calibri"/>
          <w:sz w:val="16"/>
          <w:szCs w:val="16"/>
        </w:rPr>
        <w:t xml:space="preserve">and Finance) as author, </w:t>
      </w:r>
      <w:r>
        <w:rPr>
          <w:rFonts w:ascii="Calibri" w:hAnsi="Calibri"/>
          <w:sz w:val="16"/>
          <w:szCs w:val="16"/>
        </w:rPr>
        <w:br/>
      </w:r>
      <w:r w:rsidRPr="00E00690">
        <w:rPr>
          <w:rFonts w:ascii="Calibri" w:hAnsi="Calibri"/>
          <w:sz w:val="16"/>
          <w:szCs w:val="16"/>
        </w:rPr>
        <w:t>indicate if changes were</w:t>
      </w:r>
      <w:r>
        <w:rPr>
          <w:rFonts w:ascii="Calibri" w:hAnsi="Calibri"/>
          <w:sz w:val="16"/>
          <w:szCs w:val="16"/>
        </w:rPr>
        <w:t xml:space="preserve"> </w:t>
      </w:r>
      <w:r w:rsidRPr="00E00690">
        <w:rPr>
          <w:rFonts w:ascii="Calibri" w:hAnsi="Calibri"/>
          <w:sz w:val="16"/>
          <w:szCs w:val="16"/>
        </w:rPr>
        <w:t xml:space="preserve">made and comply with the other </w:t>
      </w:r>
      <w:r>
        <w:rPr>
          <w:rFonts w:ascii="Calibri" w:hAnsi="Calibri"/>
          <w:sz w:val="16"/>
          <w:szCs w:val="16"/>
        </w:rPr>
        <w:br/>
      </w:r>
      <w:r w:rsidRPr="00E00690">
        <w:rPr>
          <w:rFonts w:ascii="Calibri" w:hAnsi="Calibri"/>
          <w:sz w:val="16"/>
          <w:szCs w:val="16"/>
        </w:rPr>
        <w:t>licence terms.</w:t>
      </w:r>
      <w:r>
        <w:rPr>
          <w:rFonts w:ascii="Calibri" w:hAnsi="Calibri"/>
          <w:sz w:val="16"/>
          <w:szCs w:val="16"/>
        </w:rPr>
        <w:t xml:space="preserve"> </w:t>
      </w:r>
      <w:r w:rsidRPr="00E00690">
        <w:rPr>
          <w:rFonts w:ascii="Calibri" w:hAnsi="Calibri"/>
          <w:sz w:val="16"/>
          <w:szCs w:val="16"/>
        </w:rPr>
        <w:t>The licence does not apply to any branding,</w:t>
      </w:r>
      <w:r>
        <w:rPr>
          <w:rFonts w:ascii="Calibri" w:hAnsi="Calibri"/>
          <w:sz w:val="16"/>
          <w:szCs w:val="16"/>
        </w:rPr>
        <w:br/>
      </w:r>
      <w:r w:rsidRPr="00E00690">
        <w:rPr>
          <w:rFonts w:ascii="Calibri" w:hAnsi="Calibri"/>
          <w:sz w:val="16"/>
          <w:szCs w:val="16"/>
        </w:rPr>
        <w:t>including Government logos.</w:t>
      </w:r>
    </w:p>
    <w:p w14:paraId="098B118E" w14:textId="77777777" w:rsidR="00004B0D" w:rsidRPr="00810818" w:rsidRDefault="00004B0D" w:rsidP="00004B0D">
      <w:pPr>
        <w:rPr>
          <w:rFonts w:ascii="Calibri" w:hAnsi="Calibri"/>
          <w:sz w:val="16"/>
          <w:szCs w:val="16"/>
        </w:rPr>
      </w:pPr>
      <w:r w:rsidRPr="00810818">
        <w:rPr>
          <w:rFonts w:ascii="Calibri" w:hAnsi="Calibri"/>
          <w:sz w:val="16"/>
          <w:szCs w:val="16"/>
        </w:rPr>
        <w:t>Copyright queries may be directed to</w:t>
      </w:r>
      <w:r>
        <w:rPr>
          <w:rFonts w:ascii="Calibri" w:hAnsi="Calibri"/>
          <w:sz w:val="16"/>
          <w:szCs w:val="16"/>
        </w:rPr>
        <w:t xml:space="preserve"> </w:t>
      </w:r>
      <w:r w:rsidRPr="00810818">
        <w:rPr>
          <w:rFonts w:ascii="Calibri" w:hAnsi="Calibri"/>
          <w:sz w:val="16"/>
          <w:szCs w:val="16"/>
        </w:rPr>
        <w:t>IPpolicy@dtf.vic.gov.au</w:t>
      </w:r>
    </w:p>
    <w:p w14:paraId="372D1F98" w14:textId="75E94F32" w:rsidR="00004B0D" w:rsidRPr="00810818" w:rsidRDefault="00E909D5" w:rsidP="00E909D5">
      <w:pPr>
        <w:rPr>
          <w:rFonts w:ascii="Calibri" w:hAnsi="Calibri"/>
          <w:sz w:val="16"/>
          <w:szCs w:val="16"/>
        </w:rPr>
      </w:pPr>
      <w:r w:rsidRPr="00E909D5">
        <w:rPr>
          <w:rFonts w:ascii="Calibri" w:hAnsi="Calibri"/>
          <w:sz w:val="16"/>
          <w:szCs w:val="16"/>
        </w:rPr>
        <w:t>ISBN 978-1-925551-80-8 (Print)</w:t>
      </w:r>
      <w:r>
        <w:rPr>
          <w:rFonts w:ascii="Calibri" w:hAnsi="Calibri"/>
          <w:sz w:val="16"/>
          <w:szCs w:val="16"/>
        </w:rPr>
        <w:br/>
      </w:r>
      <w:r w:rsidRPr="00E909D5">
        <w:rPr>
          <w:rFonts w:ascii="Calibri" w:hAnsi="Calibri"/>
          <w:sz w:val="16"/>
          <w:szCs w:val="16"/>
        </w:rPr>
        <w:t>ISBN 978-1-925551-81-5 (</w:t>
      </w:r>
      <w:r>
        <w:rPr>
          <w:rFonts w:ascii="Calibri" w:hAnsi="Calibri"/>
          <w:sz w:val="16"/>
          <w:szCs w:val="16"/>
        </w:rPr>
        <w:t>PDF</w:t>
      </w:r>
      <w:r w:rsidRPr="00E909D5">
        <w:rPr>
          <w:rFonts w:ascii="Calibri" w:hAnsi="Calibri"/>
          <w:sz w:val="16"/>
          <w:szCs w:val="16"/>
        </w:rPr>
        <w:t>/online/M</w:t>
      </w:r>
      <w:r>
        <w:rPr>
          <w:rFonts w:ascii="Calibri" w:hAnsi="Calibri"/>
          <w:sz w:val="16"/>
          <w:szCs w:val="16"/>
        </w:rPr>
        <w:t>icrosoft</w:t>
      </w:r>
      <w:r w:rsidRPr="00E909D5">
        <w:rPr>
          <w:rFonts w:ascii="Calibri" w:hAnsi="Calibri"/>
          <w:sz w:val="16"/>
          <w:szCs w:val="16"/>
        </w:rPr>
        <w:t xml:space="preserve"> </w:t>
      </w:r>
      <w:r>
        <w:rPr>
          <w:rFonts w:ascii="Calibri" w:hAnsi="Calibri"/>
          <w:sz w:val="16"/>
          <w:szCs w:val="16"/>
        </w:rPr>
        <w:t>W</w:t>
      </w:r>
      <w:r w:rsidRPr="00E909D5">
        <w:rPr>
          <w:rFonts w:ascii="Calibri" w:hAnsi="Calibri"/>
          <w:sz w:val="16"/>
          <w:szCs w:val="16"/>
        </w:rPr>
        <w:t>ord)</w:t>
      </w:r>
    </w:p>
    <w:p w14:paraId="5921EE19" w14:textId="77777777" w:rsidR="00004B0D" w:rsidRDefault="00004B0D" w:rsidP="00004B0D">
      <w:pPr>
        <w:rPr>
          <w:rFonts w:ascii="Calibri" w:hAnsi="Calibri"/>
          <w:sz w:val="30"/>
          <w:szCs w:val="30"/>
        </w:rPr>
      </w:pPr>
      <w:r w:rsidRPr="00810818">
        <w:rPr>
          <w:rFonts w:ascii="Calibri" w:hAnsi="Calibri"/>
          <w:sz w:val="16"/>
          <w:szCs w:val="16"/>
        </w:rPr>
        <w:t xml:space="preserve">Published </w:t>
      </w:r>
      <w:r>
        <w:rPr>
          <w:rFonts w:ascii="Calibri" w:hAnsi="Calibri"/>
          <w:sz w:val="16"/>
          <w:szCs w:val="16"/>
        </w:rPr>
        <w:t xml:space="preserve">October </w:t>
      </w:r>
      <w:r w:rsidRPr="00810818">
        <w:rPr>
          <w:rFonts w:ascii="Calibri" w:hAnsi="Calibri"/>
          <w:sz w:val="16"/>
          <w:szCs w:val="16"/>
        </w:rPr>
        <w:t>202</w:t>
      </w:r>
      <w:r>
        <w:rPr>
          <w:rFonts w:ascii="Calibri" w:hAnsi="Calibri"/>
          <w:sz w:val="16"/>
          <w:szCs w:val="16"/>
        </w:rPr>
        <w:t>2</w:t>
      </w:r>
    </w:p>
    <w:p w14:paraId="5F375C64" w14:textId="77777777" w:rsidR="00FB71BE" w:rsidRPr="007B2462" w:rsidRDefault="00FB71BE" w:rsidP="00FB71BE">
      <w:pPr>
        <w:jc w:val="center"/>
        <w:rPr>
          <w:rFonts w:ascii="Calibri" w:hAnsi="Calibri"/>
          <w:sz w:val="30"/>
          <w:szCs w:val="30"/>
        </w:rPr>
      </w:pPr>
    </w:p>
    <w:p w14:paraId="69E06023" w14:textId="77777777" w:rsidR="00FB71BE" w:rsidRDefault="00FB71BE" w:rsidP="00FB71BE">
      <w:pPr>
        <w:sectPr w:rsidR="00FB71BE" w:rsidSect="0031078F">
          <w:footerReference w:type="even" r:id="rId17"/>
          <w:pgSz w:w="9979" w:h="14175" w:code="9"/>
          <w:pgMar w:top="851" w:right="1134" w:bottom="851" w:left="1134" w:header="624" w:footer="567" w:gutter="0"/>
          <w:cols w:sep="1" w:space="567"/>
          <w:vAlign w:val="bottom"/>
          <w:docGrid w:linePitch="360"/>
        </w:sectPr>
      </w:pPr>
    </w:p>
    <w:p w14:paraId="5FD50990" w14:textId="77777777" w:rsidR="00FB71BE" w:rsidRPr="006F6363" w:rsidRDefault="00FB71BE" w:rsidP="001F5FE3">
      <w:pPr>
        <w:pageBreakBefore/>
        <w:pBdr>
          <w:bottom w:val="single" w:sz="6" w:space="1" w:color="auto"/>
        </w:pBdr>
        <w:spacing w:before="920" w:after="180"/>
        <w:rPr>
          <w:rFonts w:ascii="Calibri" w:hAnsi="Calibri"/>
          <w:b/>
          <w:caps/>
          <w:sz w:val="36"/>
        </w:rPr>
      </w:pPr>
      <w:bookmarkStart w:id="0" w:name="_Toc481013395"/>
      <w:r w:rsidRPr="006F6363">
        <w:rPr>
          <w:rFonts w:ascii="Calibri" w:hAnsi="Calibri"/>
          <w:b/>
          <w:caps/>
          <w:sz w:val="36"/>
        </w:rPr>
        <w:lastRenderedPageBreak/>
        <w:t>TABLE OF CONTENTS</w:t>
      </w:r>
      <w:bookmarkEnd w:id="0"/>
    </w:p>
    <w:p w14:paraId="29AA5479" w14:textId="627F794C" w:rsidR="001C29A9" w:rsidRDefault="00FB71BE">
      <w:pPr>
        <w:pStyle w:val="TOC1"/>
        <w:rPr>
          <w:rFonts w:asciiTheme="minorHAnsi" w:eastAsiaTheme="minorEastAsia" w:hAnsiTheme="minorHAnsi"/>
          <w:b w:val="0"/>
          <w:noProof/>
          <w:sz w:val="22"/>
          <w:lang w:eastAsia="en-AU"/>
        </w:rPr>
      </w:pPr>
      <w:r>
        <w:fldChar w:fldCharType="begin"/>
      </w:r>
      <w:r>
        <w:instrText xml:space="preserve"> TOC \h \z \t "Heading 1,2,Chapter Heading,1" </w:instrText>
      </w:r>
      <w:r>
        <w:fldChar w:fldCharType="separate"/>
      </w:r>
      <w:hyperlink w:anchor="_Toc117586236" w:history="1">
        <w:r w:rsidR="001C29A9" w:rsidRPr="003849B6">
          <w:rPr>
            <w:rStyle w:val="Hyperlink"/>
            <w:noProof/>
          </w:rPr>
          <w:t>Overview</w:t>
        </w:r>
        <w:r w:rsidR="001C29A9">
          <w:rPr>
            <w:noProof/>
            <w:webHidden/>
          </w:rPr>
          <w:tab/>
        </w:r>
        <w:r w:rsidR="001C29A9">
          <w:rPr>
            <w:noProof/>
            <w:webHidden/>
          </w:rPr>
          <w:fldChar w:fldCharType="begin"/>
        </w:r>
        <w:r w:rsidR="001C29A9">
          <w:rPr>
            <w:noProof/>
            <w:webHidden/>
          </w:rPr>
          <w:instrText xml:space="preserve"> PAGEREF _Toc117586236 \h </w:instrText>
        </w:r>
        <w:r w:rsidR="001C29A9">
          <w:rPr>
            <w:noProof/>
            <w:webHidden/>
          </w:rPr>
        </w:r>
        <w:r w:rsidR="001C29A9">
          <w:rPr>
            <w:noProof/>
            <w:webHidden/>
          </w:rPr>
          <w:fldChar w:fldCharType="separate"/>
        </w:r>
        <w:r w:rsidR="00087BE6">
          <w:rPr>
            <w:noProof/>
            <w:webHidden/>
          </w:rPr>
          <w:t>1</w:t>
        </w:r>
        <w:r w:rsidR="001C29A9">
          <w:rPr>
            <w:noProof/>
            <w:webHidden/>
          </w:rPr>
          <w:fldChar w:fldCharType="end"/>
        </w:r>
      </w:hyperlink>
    </w:p>
    <w:p w14:paraId="06776979" w14:textId="2E38EDCD" w:rsidR="001C29A9" w:rsidRDefault="00087BE6">
      <w:pPr>
        <w:pStyle w:val="TOC2"/>
        <w:rPr>
          <w:rFonts w:asciiTheme="minorHAnsi" w:eastAsiaTheme="minorEastAsia" w:hAnsiTheme="minorHAnsi"/>
          <w:noProof/>
          <w:sz w:val="22"/>
          <w:lang w:eastAsia="en-AU"/>
        </w:rPr>
      </w:pPr>
      <w:hyperlink w:anchor="_Toc117586237" w:history="1">
        <w:r w:rsidR="001C29A9" w:rsidRPr="003849B6">
          <w:rPr>
            <w:rStyle w:val="Hyperlink"/>
            <w:noProof/>
          </w:rPr>
          <w:t>Strong financial management</w:t>
        </w:r>
        <w:r w:rsidR="001C29A9">
          <w:rPr>
            <w:noProof/>
            <w:webHidden/>
          </w:rPr>
          <w:tab/>
        </w:r>
        <w:r w:rsidR="001C29A9">
          <w:rPr>
            <w:noProof/>
            <w:webHidden/>
          </w:rPr>
          <w:fldChar w:fldCharType="begin"/>
        </w:r>
        <w:r w:rsidR="001C29A9">
          <w:rPr>
            <w:noProof/>
            <w:webHidden/>
          </w:rPr>
          <w:instrText xml:space="preserve"> PAGEREF _Toc117586237 \h </w:instrText>
        </w:r>
        <w:r w:rsidR="001C29A9">
          <w:rPr>
            <w:noProof/>
            <w:webHidden/>
          </w:rPr>
        </w:r>
        <w:r w:rsidR="001C29A9">
          <w:rPr>
            <w:noProof/>
            <w:webHidden/>
          </w:rPr>
          <w:fldChar w:fldCharType="separate"/>
        </w:r>
        <w:r>
          <w:rPr>
            <w:noProof/>
            <w:webHidden/>
          </w:rPr>
          <w:t>2</w:t>
        </w:r>
        <w:r w:rsidR="001C29A9">
          <w:rPr>
            <w:noProof/>
            <w:webHidden/>
          </w:rPr>
          <w:fldChar w:fldCharType="end"/>
        </w:r>
      </w:hyperlink>
    </w:p>
    <w:p w14:paraId="2E15ED52" w14:textId="159D353D" w:rsidR="001C29A9" w:rsidRDefault="00087BE6">
      <w:pPr>
        <w:pStyle w:val="TOC1"/>
        <w:rPr>
          <w:rFonts w:asciiTheme="minorHAnsi" w:eastAsiaTheme="minorEastAsia" w:hAnsiTheme="minorHAnsi"/>
          <w:b w:val="0"/>
          <w:noProof/>
          <w:sz w:val="22"/>
          <w:lang w:eastAsia="en-AU"/>
        </w:rPr>
      </w:pPr>
      <w:hyperlink w:anchor="_Toc117586238" w:history="1">
        <w:r w:rsidR="001C29A9" w:rsidRPr="003849B6">
          <w:rPr>
            <w:rStyle w:val="Hyperlink"/>
            <w:noProof/>
            <w:spacing w:val="-4"/>
          </w:rPr>
          <w:t>Chapter 1 – Economic conditions and outlook</w:t>
        </w:r>
        <w:r w:rsidR="001C29A9">
          <w:rPr>
            <w:noProof/>
            <w:webHidden/>
          </w:rPr>
          <w:tab/>
        </w:r>
        <w:r w:rsidR="001C29A9">
          <w:rPr>
            <w:noProof/>
            <w:webHidden/>
          </w:rPr>
          <w:fldChar w:fldCharType="begin"/>
        </w:r>
        <w:r w:rsidR="001C29A9">
          <w:rPr>
            <w:noProof/>
            <w:webHidden/>
          </w:rPr>
          <w:instrText xml:space="preserve"> PAGEREF _Toc117586238 \h </w:instrText>
        </w:r>
        <w:r w:rsidR="001C29A9">
          <w:rPr>
            <w:noProof/>
            <w:webHidden/>
          </w:rPr>
        </w:r>
        <w:r w:rsidR="001C29A9">
          <w:rPr>
            <w:noProof/>
            <w:webHidden/>
          </w:rPr>
          <w:fldChar w:fldCharType="separate"/>
        </w:r>
        <w:r>
          <w:rPr>
            <w:noProof/>
            <w:webHidden/>
          </w:rPr>
          <w:t>5</w:t>
        </w:r>
        <w:r w:rsidR="001C29A9">
          <w:rPr>
            <w:noProof/>
            <w:webHidden/>
          </w:rPr>
          <w:fldChar w:fldCharType="end"/>
        </w:r>
      </w:hyperlink>
    </w:p>
    <w:p w14:paraId="1A3E3CA1" w14:textId="44CFE867" w:rsidR="001C29A9" w:rsidRDefault="00087BE6">
      <w:pPr>
        <w:pStyle w:val="TOC2"/>
        <w:rPr>
          <w:rFonts w:asciiTheme="minorHAnsi" w:eastAsiaTheme="minorEastAsia" w:hAnsiTheme="minorHAnsi"/>
          <w:noProof/>
          <w:sz w:val="22"/>
          <w:lang w:eastAsia="en-AU"/>
        </w:rPr>
      </w:pPr>
      <w:hyperlink w:anchor="_Toc117586239" w:history="1">
        <w:r w:rsidR="001C29A9" w:rsidRPr="003849B6">
          <w:rPr>
            <w:rStyle w:val="Hyperlink"/>
            <w:noProof/>
          </w:rPr>
          <w:t>Victorian economic conditions and outlook</w:t>
        </w:r>
        <w:r w:rsidR="001C29A9">
          <w:rPr>
            <w:noProof/>
            <w:webHidden/>
          </w:rPr>
          <w:tab/>
        </w:r>
        <w:r w:rsidR="001C29A9">
          <w:rPr>
            <w:noProof/>
            <w:webHidden/>
          </w:rPr>
          <w:fldChar w:fldCharType="begin"/>
        </w:r>
        <w:r w:rsidR="001C29A9">
          <w:rPr>
            <w:noProof/>
            <w:webHidden/>
          </w:rPr>
          <w:instrText xml:space="preserve"> PAGEREF _Toc117586239 \h </w:instrText>
        </w:r>
        <w:r w:rsidR="001C29A9">
          <w:rPr>
            <w:noProof/>
            <w:webHidden/>
          </w:rPr>
        </w:r>
        <w:r w:rsidR="001C29A9">
          <w:rPr>
            <w:noProof/>
            <w:webHidden/>
          </w:rPr>
          <w:fldChar w:fldCharType="separate"/>
        </w:r>
        <w:r>
          <w:rPr>
            <w:noProof/>
            <w:webHidden/>
          </w:rPr>
          <w:t>5</w:t>
        </w:r>
        <w:r w:rsidR="001C29A9">
          <w:rPr>
            <w:noProof/>
            <w:webHidden/>
          </w:rPr>
          <w:fldChar w:fldCharType="end"/>
        </w:r>
      </w:hyperlink>
    </w:p>
    <w:p w14:paraId="60A8BE29" w14:textId="4479257E" w:rsidR="001C29A9" w:rsidRDefault="00087BE6">
      <w:pPr>
        <w:pStyle w:val="TOC2"/>
        <w:rPr>
          <w:rFonts w:asciiTheme="minorHAnsi" w:eastAsiaTheme="minorEastAsia" w:hAnsiTheme="minorHAnsi"/>
          <w:noProof/>
          <w:sz w:val="22"/>
          <w:lang w:eastAsia="en-AU"/>
        </w:rPr>
      </w:pPr>
      <w:hyperlink w:anchor="_Toc117586240" w:history="1">
        <w:r w:rsidR="001C29A9" w:rsidRPr="003849B6">
          <w:rPr>
            <w:rStyle w:val="Hyperlink"/>
            <w:noProof/>
          </w:rPr>
          <w:t>Australian economic conditions and outlook</w:t>
        </w:r>
        <w:r w:rsidR="001C29A9">
          <w:rPr>
            <w:noProof/>
            <w:webHidden/>
          </w:rPr>
          <w:tab/>
        </w:r>
        <w:r w:rsidR="001C29A9">
          <w:rPr>
            <w:noProof/>
            <w:webHidden/>
          </w:rPr>
          <w:fldChar w:fldCharType="begin"/>
        </w:r>
        <w:r w:rsidR="001C29A9">
          <w:rPr>
            <w:noProof/>
            <w:webHidden/>
          </w:rPr>
          <w:instrText xml:space="preserve"> PAGEREF _Toc117586240 \h </w:instrText>
        </w:r>
        <w:r w:rsidR="001C29A9">
          <w:rPr>
            <w:noProof/>
            <w:webHidden/>
          </w:rPr>
        </w:r>
        <w:r w:rsidR="001C29A9">
          <w:rPr>
            <w:noProof/>
            <w:webHidden/>
          </w:rPr>
          <w:fldChar w:fldCharType="separate"/>
        </w:r>
        <w:r>
          <w:rPr>
            <w:noProof/>
            <w:webHidden/>
          </w:rPr>
          <w:t>12</w:t>
        </w:r>
        <w:r w:rsidR="001C29A9">
          <w:rPr>
            <w:noProof/>
            <w:webHidden/>
          </w:rPr>
          <w:fldChar w:fldCharType="end"/>
        </w:r>
      </w:hyperlink>
    </w:p>
    <w:p w14:paraId="44940449" w14:textId="7BE1BD6D" w:rsidR="001C29A9" w:rsidRDefault="00087BE6">
      <w:pPr>
        <w:pStyle w:val="TOC2"/>
        <w:rPr>
          <w:rFonts w:asciiTheme="minorHAnsi" w:eastAsiaTheme="minorEastAsia" w:hAnsiTheme="minorHAnsi"/>
          <w:noProof/>
          <w:sz w:val="22"/>
          <w:lang w:eastAsia="en-AU"/>
        </w:rPr>
      </w:pPr>
      <w:hyperlink w:anchor="_Toc117586241" w:history="1">
        <w:r w:rsidR="001C29A9" w:rsidRPr="003849B6">
          <w:rPr>
            <w:rStyle w:val="Hyperlink"/>
            <w:noProof/>
          </w:rPr>
          <w:t>International economic conditions and outlook</w:t>
        </w:r>
        <w:r w:rsidR="001C29A9">
          <w:rPr>
            <w:noProof/>
            <w:webHidden/>
          </w:rPr>
          <w:tab/>
        </w:r>
        <w:r w:rsidR="001C29A9">
          <w:rPr>
            <w:noProof/>
            <w:webHidden/>
          </w:rPr>
          <w:fldChar w:fldCharType="begin"/>
        </w:r>
        <w:r w:rsidR="001C29A9">
          <w:rPr>
            <w:noProof/>
            <w:webHidden/>
          </w:rPr>
          <w:instrText xml:space="preserve"> PAGEREF _Toc117586241 \h </w:instrText>
        </w:r>
        <w:r w:rsidR="001C29A9">
          <w:rPr>
            <w:noProof/>
            <w:webHidden/>
          </w:rPr>
        </w:r>
        <w:r w:rsidR="001C29A9">
          <w:rPr>
            <w:noProof/>
            <w:webHidden/>
          </w:rPr>
          <w:fldChar w:fldCharType="separate"/>
        </w:r>
        <w:r>
          <w:rPr>
            <w:noProof/>
            <w:webHidden/>
          </w:rPr>
          <w:t>12</w:t>
        </w:r>
        <w:r w:rsidR="001C29A9">
          <w:rPr>
            <w:noProof/>
            <w:webHidden/>
          </w:rPr>
          <w:fldChar w:fldCharType="end"/>
        </w:r>
      </w:hyperlink>
    </w:p>
    <w:p w14:paraId="7D7532BE" w14:textId="3D3DE6FB" w:rsidR="001C29A9" w:rsidRDefault="00087BE6">
      <w:pPr>
        <w:pStyle w:val="TOC2"/>
        <w:rPr>
          <w:rFonts w:asciiTheme="minorHAnsi" w:eastAsiaTheme="minorEastAsia" w:hAnsiTheme="minorHAnsi"/>
          <w:noProof/>
          <w:sz w:val="22"/>
          <w:lang w:eastAsia="en-AU"/>
        </w:rPr>
      </w:pPr>
      <w:hyperlink w:anchor="_Toc117586242" w:history="1">
        <w:r w:rsidR="001C29A9" w:rsidRPr="003849B6">
          <w:rPr>
            <w:rStyle w:val="Hyperlink"/>
            <w:noProof/>
          </w:rPr>
          <w:t>Risks to the outlook</w:t>
        </w:r>
        <w:r w:rsidR="001C29A9">
          <w:rPr>
            <w:noProof/>
            <w:webHidden/>
          </w:rPr>
          <w:tab/>
        </w:r>
        <w:r w:rsidR="001C29A9">
          <w:rPr>
            <w:noProof/>
            <w:webHidden/>
          </w:rPr>
          <w:fldChar w:fldCharType="begin"/>
        </w:r>
        <w:r w:rsidR="001C29A9">
          <w:rPr>
            <w:noProof/>
            <w:webHidden/>
          </w:rPr>
          <w:instrText xml:space="preserve"> PAGEREF _Toc117586242 \h </w:instrText>
        </w:r>
        <w:r w:rsidR="001C29A9">
          <w:rPr>
            <w:noProof/>
            <w:webHidden/>
          </w:rPr>
        </w:r>
        <w:r w:rsidR="001C29A9">
          <w:rPr>
            <w:noProof/>
            <w:webHidden/>
          </w:rPr>
          <w:fldChar w:fldCharType="separate"/>
        </w:r>
        <w:r>
          <w:rPr>
            <w:noProof/>
            <w:webHidden/>
          </w:rPr>
          <w:t>13</w:t>
        </w:r>
        <w:r w:rsidR="001C29A9">
          <w:rPr>
            <w:noProof/>
            <w:webHidden/>
          </w:rPr>
          <w:fldChar w:fldCharType="end"/>
        </w:r>
      </w:hyperlink>
    </w:p>
    <w:p w14:paraId="14289524" w14:textId="5CE4A3CE" w:rsidR="001C29A9" w:rsidRDefault="00087BE6">
      <w:pPr>
        <w:pStyle w:val="TOC1"/>
        <w:rPr>
          <w:rFonts w:asciiTheme="minorHAnsi" w:eastAsiaTheme="minorEastAsia" w:hAnsiTheme="minorHAnsi"/>
          <w:b w:val="0"/>
          <w:noProof/>
          <w:sz w:val="22"/>
          <w:lang w:eastAsia="en-AU"/>
        </w:rPr>
      </w:pPr>
      <w:hyperlink w:anchor="_Toc117586243" w:history="1">
        <w:r w:rsidR="001C29A9" w:rsidRPr="003849B6">
          <w:rPr>
            <w:rStyle w:val="Hyperlink"/>
            <w:noProof/>
          </w:rPr>
          <w:t>Chapter 2 – Budget position and outlook</w:t>
        </w:r>
        <w:r w:rsidR="001C29A9">
          <w:rPr>
            <w:noProof/>
            <w:webHidden/>
          </w:rPr>
          <w:tab/>
        </w:r>
        <w:r w:rsidR="001C29A9">
          <w:rPr>
            <w:noProof/>
            <w:webHidden/>
          </w:rPr>
          <w:fldChar w:fldCharType="begin"/>
        </w:r>
        <w:r w:rsidR="001C29A9">
          <w:rPr>
            <w:noProof/>
            <w:webHidden/>
          </w:rPr>
          <w:instrText xml:space="preserve"> PAGEREF _Toc117586243 \h </w:instrText>
        </w:r>
        <w:r w:rsidR="001C29A9">
          <w:rPr>
            <w:noProof/>
            <w:webHidden/>
          </w:rPr>
        </w:r>
        <w:r w:rsidR="001C29A9">
          <w:rPr>
            <w:noProof/>
            <w:webHidden/>
          </w:rPr>
          <w:fldChar w:fldCharType="separate"/>
        </w:r>
        <w:r>
          <w:rPr>
            <w:noProof/>
            <w:webHidden/>
          </w:rPr>
          <w:t>15</w:t>
        </w:r>
        <w:r w:rsidR="001C29A9">
          <w:rPr>
            <w:noProof/>
            <w:webHidden/>
          </w:rPr>
          <w:fldChar w:fldCharType="end"/>
        </w:r>
      </w:hyperlink>
    </w:p>
    <w:p w14:paraId="73EE5221" w14:textId="54CB3CA0" w:rsidR="001C29A9" w:rsidRDefault="00087BE6">
      <w:pPr>
        <w:pStyle w:val="TOC2"/>
        <w:rPr>
          <w:rFonts w:asciiTheme="minorHAnsi" w:eastAsiaTheme="minorEastAsia" w:hAnsiTheme="minorHAnsi"/>
          <w:noProof/>
          <w:sz w:val="22"/>
          <w:lang w:eastAsia="en-AU"/>
        </w:rPr>
      </w:pPr>
      <w:hyperlink w:anchor="_Toc117586244" w:history="1">
        <w:r w:rsidR="001C29A9" w:rsidRPr="003849B6">
          <w:rPr>
            <w:rStyle w:val="Hyperlink"/>
            <w:noProof/>
          </w:rPr>
          <w:t>General government sector</w:t>
        </w:r>
        <w:r w:rsidR="001C29A9">
          <w:rPr>
            <w:noProof/>
            <w:webHidden/>
          </w:rPr>
          <w:tab/>
        </w:r>
        <w:r w:rsidR="001C29A9">
          <w:rPr>
            <w:noProof/>
            <w:webHidden/>
          </w:rPr>
          <w:fldChar w:fldCharType="begin"/>
        </w:r>
        <w:r w:rsidR="001C29A9">
          <w:rPr>
            <w:noProof/>
            <w:webHidden/>
          </w:rPr>
          <w:instrText xml:space="preserve"> PAGEREF _Toc117586244 \h </w:instrText>
        </w:r>
        <w:r w:rsidR="001C29A9">
          <w:rPr>
            <w:noProof/>
            <w:webHidden/>
          </w:rPr>
        </w:r>
        <w:r w:rsidR="001C29A9">
          <w:rPr>
            <w:noProof/>
            <w:webHidden/>
          </w:rPr>
          <w:fldChar w:fldCharType="separate"/>
        </w:r>
        <w:r>
          <w:rPr>
            <w:noProof/>
            <w:webHidden/>
          </w:rPr>
          <w:t>16</w:t>
        </w:r>
        <w:r w:rsidR="001C29A9">
          <w:rPr>
            <w:noProof/>
            <w:webHidden/>
          </w:rPr>
          <w:fldChar w:fldCharType="end"/>
        </w:r>
      </w:hyperlink>
    </w:p>
    <w:p w14:paraId="18D1A3D7" w14:textId="521034E9" w:rsidR="001C29A9" w:rsidRDefault="00087BE6">
      <w:pPr>
        <w:pStyle w:val="TOC2"/>
        <w:rPr>
          <w:rFonts w:asciiTheme="minorHAnsi" w:eastAsiaTheme="minorEastAsia" w:hAnsiTheme="minorHAnsi"/>
          <w:noProof/>
          <w:sz w:val="22"/>
          <w:lang w:eastAsia="en-AU"/>
        </w:rPr>
      </w:pPr>
      <w:hyperlink w:anchor="_Toc117586245" w:history="1">
        <w:r w:rsidR="001C29A9" w:rsidRPr="003849B6">
          <w:rPr>
            <w:rStyle w:val="Hyperlink"/>
            <w:noProof/>
          </w:rPr>
          <w:t>Budget and forward estimates outlook</w:t>
        </w:r>
        <w:r w:rsidR="001C29A9">
          <w:rPr>
            <w:noProof/>
            <w:webHidden/>
          </w:rPr>
          <w:tab/>
        </w:r>
        <w:r w:rsidR="001C29A9">
          <w:rPr>
            <w:noProof/>
            <w:webHidden/>
          </w:rPr>
          <w:fldChar w:fldCharType="begin"/>
        </w:r>
        <w:r w:rsidR="001C29A9">
          <w:rPr>
            <w:noProof/>
            <w:webHidden/>
          </w:rPr>
          <w:instrText xml:space="preserve"> PAGEREF _Toc117586245 \h </w:instrText>
        </w:r>
        <w:r w:rsidR="001C29A9">
          <w:rPr>
            <w:noProof/>
            <w:webHidden/>
          </w:rPr>
        </w:r>
        <w:r w:rsidR="001C29A9">
          <w:rPr>
            <w:noProof/>
            <w:webHidden/>
          </w:rPr>
          <w:fldChar w:fldCharType="separate"/>
        </w:r>
        <w:r>
          <w:rPr>
            <w:noProof/>
            <w:webHidden/>
          </w:rPr>
          <w:t>17</w:t>
        </w:r>
        <w:r w:rsidR="001C29A9">
          <w:rPr>
            <w:noProof/>
            <w:webHidden/>
          </w:rPr>
          <w:fldChar w:fldCharType="end"/>
        </w:r>
      </w:hyperlink>
    </w:p>
    <w:p w14:paraId="3D873FA7" w14:textId="442FC8E6" w:rsidR="001C29A9" w:rsidRDefault="00087BE6">
      <w:pPr>
        <w:pStyle w:val="TOC2"/>
        <w:rPr>
          <w:rFonts w:asciiTheme="minorHAnsi" w:eastAsiaTheme="minorEastAsia" w:hAnsiTheme="minorHAnsi"/>
          <w:noProof/>
          <w:sz w:val="22"/>
          <w:lang w:eastAsia="en-AU"/>
        </w:rPr>
      </w:pPr>
      <w:hyperlink w:anchor="_Toc117586246" w:history="1">
        <w:r w:rsidR="001C29A9" w:rsidRPr="003849B6">
          <w:rPr>
            <w:rStyle w:val="Hyperlink"/>
            <w:noProof/>
          </w:rPr>
          <w:t>Fiscal risks</w:t>
        </w:r>
        <w:r w:rsidR="001C29A9">
          <w:rPr>
            <w:noProof/>
            <w:webHidden/>
          </w:rPr>
          <w:tab/>
        </w:r>
        <w:r w:rsidR="001C29A9">
          <w:rPr>
            <w:noProof/>
            <w:webHidden/>
          </w:rPr>
          <w:fldChar w:fldCharType="begin"/>
        </w:r>
        <w:r w:rsidR="001C29A9">
          <w:rPr>
            <w:noProof/>
            <w:webHidden/>
          </w:rPr>
          <w:instrText xml:space="preserve"> PAGEREF _Toc117586246 \h </w:instrText>
        </w:r>
        <w:r w:rsidR="001C29A9">
          <w:rPr>
            <w:noProof/>
            <w:webHidden/>
          </w:rPr>
        </w:r>
        <w:r w:rsidR="001C29A9">
          <w:rPr>
            <w:noProof/>
            <w:webHidden/>
          </w:rPr>
          <w:fldChar w:fldCharType="separate"/>
        </w:r>
        <w:r>
          <w:rPr>
            <w:noProof/>
            <w:webHidden/>
          </w:rPr>
          <w:t>26</w:t>
        </w:r>
        <w:r w:rsidR="001C29A9">
          <w:rPr>
            <w:noProof/>
            <w:webHidden/>
          </w:rPr>
          <w:fldChar w:fldCharType="end"/>
        </w:r>
      </w:hyperlink>
    </w:p>
    <w:p w14:paraId="08A1CDA0" w14:textId="0A617F26" w:rsidR="001C29A9" w:rsidRDefault="00087BE6">
      <w:pPr>
        <w:pStyle w:val="TOC2"/>
        <w:rPr>
          <w:rFonts w:asciiTheme="minorHAnsi" w:eastAsiaTheme="minorEastAsia" w:hAnsiTheme="minorHAnsi"/>
          <w:noProof/>
          <w:sz w:val="22"/>
          <w:lang w:eastAsia="en-AU"/>
        </w:rPr>
      </w:pPr>
      <w:hyperlink w:anchor="_Toc117586247" w:history="1">
        <w:r w:rsidR="001C29A9" w:rsidRPr="003849B6">
          <w:rPr>
            <w:rStyle w:val="Hyperlink"/>
            <w:noProof/>
          </w:rPr>
          <w:t>General fiscal risks</w:t>
        </w:r>
        <w:r w:rsidR="001C29A9">
          <w:rPr>
            <w:noProof/>
            <w:webHidden/>
          </w:rPr>
          <w:tab/>
        </w:r>
        <w:r w:rsidR="001C29A9">
          <w:rPr>
            <w:noProof/>
            <w:webHidden/>
          </w:rPr>
          <w:fldChar w:fldCharType="begin"/>
        </w:r>
        <w:r w:rsidR="001C29A9">
          <w:rPr>
            <w:noProof/>
            <w:webHidden/>
          </w:rPr>
          <w:instrText xml:space="preserve"> PAGEREF _Toc117586247 \h </w:instrText>
        </w:r>
        <w:r w:rsidR="001C29A9">
          <w:rPr>
            <w:noProof/>
            <w:webHidden/>
          </w:rPr>
        </w:r>
        <w:r w:rsidR="001C29A9">
          <w:rPr>
            <w:noProof/>
            <w:webHidden/>
          </w:rPr>
          <w:fldChar w:fldCharType="separate"/>
        </w:r>
        <w:r>
          <w:rPr>
            <w:noProof/>
            <w:webHidden/>
          </w:rPr>
          <w:t>26</w:t>
        </w:r>
        <w:r w:rsidR="001C29A9">
          <w:rPr>
            <w:noProof/>
            <w:webHidden/>
          </w:rPr>
          <w:fldChar w:fldCharType="end"/>
        </w:r>
      </w:hyperlink>
    </w:p>
    <w:p w14:paraId="425A3271" w14:textId="10F9A277" w:rsidR="001C29A9" w:rsidRDefault="00087BE6">
      <w:pPr>
        <w:pStyle w:val="TOC1"/>
        <w:rPr>
          <w:rFonts w:asciiTheme="minorHAnsi" w:eastAsiaTheme="minorEastAsia" w:hAnsiTheme="minorHAnsi"/>
          <w:b w:val="0"/>
          <w:noProof/>
          <w:sz w:val="22"/>
          <w:lang w:eastAsia="en-AU"/>
        </w:rPr>
      </w:pPr>
      <w:hyperlink w:anchor="_Toc117586248" w:history="1">
        <w:r w:rsidR="001C29A9" w:rsidRPr="003849B6">
          <w:rPr>
            <w:rStyle w:val="Hyperlink"/>
            <w:noProof/>
          </w:rPr>
          <w:t>Chapter 3 – Estimated financial statements and notes</w:t>
        </w:r>
        <w:r w:rsidR="001C29A9">
          <w:rPr>
            <w:noProof/>
            <w:webHidden/>
          </w:rPr>
          <w:tab/>
        </w:r>
        <w:r w:rsidR="001C29A9">
          <w:rPr>
            <w:noProof/>
            <w:webHidden/>
          </w:rPr>
          <w:fldChar w:fldCharType="begin"/>
        </w:r>
        <w:r w:rsidR="001C29A9">
          <w:rPr>
            <w:noProof/>
            <w:webHidden/>
          </w:rPr>
          <w:instrText xml:space="preserve"> PAGEREF _Toc117586248 \h </w:instrText>
        </w:r>
        <w:r w:rsidR="001C29A9">
          <w:rPr>
            <w:noProof/>
            <w:webHidden/>
          </w:rPr>
        </w:r>
        <w:r w:rsidR="001C29A9">
          <w:rPr>
            <w:noProof/>
            <w:webHidden/>
          </w:rPr>
          <w:fldChar w:fldCharType="separate"/>
        </w:r>
        <w:r>
          <w:rPr>
            <w:noProof/>
            <w:webHidden/>
          </w:rPr>
          <w:t>31</w:t>
        </w:r>
        <w:r w:rsidR="001C29A9">
          <w:rPr>
            <w:noProof/>
            <w:webHidden/>
          </w:rPr>
          <w:fldChar w:fldCharType="end"/>
        </w:r>
      </w:hyperlink>
    </w:p>
    <w:p w14:paraId="194DDF30" w14:textId="7D9BF951" w:rsidR="001C29A9" w:rsidRDefault="00087BE6">
      <w:pPr>
        <w:pStyle w:val="TOC2"/>
        <w:rPr>
          <w:rFonts w:asciiTheme="minorHAnsi" w:eastAsiaTheme="minorEastAsia" w:hAnsiTheme="minorHAnsi"/>
          <w:noProof/>
          <w:sz w:val="22"/>
          <w:lang w:eastAsia="en-AU"/>
        </w:rPr>
      </w:pPr>
      <w:hyperlink w:anchor="_Toc117586249" w:history="1">
        <w:r w:rsidR="001C29A9" w:rsidRPr="003849B6">
          <w:rPr>
            <w:rStyle w:val="Hyperlink"/>
            <w:noProof/>
          </w:rPr>
          <w:t>Estimated consolidated general government sector comprehensive operating statement</w:t>
        </w:r>
        <w:r w:rsidR="001C29A9">
          <w:rPr>
            <w:noProof/>
            <w:webHidden/>
          </w:rPr>
          <w:tab/>
        </w:r>
        <w:r w:rsidR="001C29A9">
          <w:rPr>
            <w:noProof/>
            <w:webHidden/>
          </w:rPr>
          <w:fldChar w:fldCharType="begin"/>
        </w:r>
        <w:r w:rsidR="001C29A9">
          <w:rPr>
            <w:noProof/>
            <w:webHidden/>
          </w:rPr>
          <w:instrText xml:space="preserve"> PAGEREF _Toc117586249 \h </w:instrText>
        </w:r>
        <w:r w:rsidR="001C29A9">
          <w:rPr>
            <w:noProof/>
            <w:webHidden/>
          </w:rPr>
        </w:r>
        <w:r w:rsidR="001C29A9">
          <w:rPr>
            <w:noProof/>
            <w:webHidden/>
          </w:rPr>
          <w:fldChar w:fldCharType="separate"/>
        </w:r>
        <w:r>
          <w:rPr>
            <w:noProof/>
            <w:webHidden/>
          </w:rPr>
          <w:t>31</w:t>
        </w:r>
        <w:r w:rsidR="001C29A9">
          <w:rPr>
            <w:noProof/>
            <w:webHidden/>
          </w:rPr>
          <w:fldChar w:fldCharType="end"/>
        </w:r>
      </w:hyperlink>
    </w:p>
    <w:p w14:paraId="5B77E883" w14:textId="3B796D99" w:rsidR="001C29A9" w:rsidRDefault="00087BE6">
      <w:pPr>
        <w:pStyle w:val="TOC2"/>
        <w:rPr>
          <w:rFonts w:asciiTheme="minorHAnsi" w:eastAsiaTheme="minorEastAsia" w:hAnsiTheme="minorHAnsi"/>
          <w:noProof/>
          <w:sz w:val="22"/>
          <w:lang w:eastAsia="en-AU"/>
        </w:rPr>
      </w:pPr>
      <w:hyperlink w:anchor="_Toc117586250" w:history="1">
        <w:r w:rsidR="001C29A9" w:rsidRPr="003849B6">
          <w:rPr>
            <w:rStyle w:val="Hyperlink"/>
            <w:noProof/>
          </w:rPr>
          <w:t>Estimated consolidated general government sector balance sheet</w:t>
        </w:r>
        <w:r w:rsidR="001C29A9">
          <w:rPr>
            <w:noProof/>
            <w:webHidden/>
          </w:rPr>
          <w:tab/>
        </w:r>
        <w:r w:rsidR="001C29A9">
          <w:rPr>
            <w:noProof/>
            <w:webHidden/>
          </w:rPr>
          <w:fldChar w:fldCharType="begin"/>
        </w:r>
        <w:r w:rsidR="001C29A9">
          <w:rPr>
            <w:noProof/>
            <w:webHidden/>
          </w:rPr>
          <w:instrText xml:space="preserve"> PAGEREF _Toc117586250 \h </w:instrText>
        </w:r>
        <w:r w:rsidR="001C29A9">
          <w:rPr>
            <w:noProof/>
            <w:webHidden/>
          </w:rPr>
        </w:r>
        <w:r w:rsidR="001C29A9">
          <w:rPr>
            <w:noProof/>
            <w:webHidden/>
          </w:rPr>
          <w:fldChar w:fldCharType="separate"/>
        </w:r>
        <w:r>
          <w:rPr>
            <w:noProof/>
            <w:webHidden/>
          </w:rPr>
          <w:t>33</w:t>
        </w:r>
        <w:r w:rsidR="001C29A9">
          <w:rPr>
            <w:noProof/>
            <w:webHidden/>
          </w:rPr>
          <w:fldChar w:fldCharType="end"/>
        </w:r>
      </w:hyperlink>
    </w:p>
    <w:p w14:paraId="221FCCA6" w14:textId="713F435C" w:rsidR="001C29A9" w:rsidRDefault="00087BE6">
      <w:pPr>
        <w:pStyle w:val="TOC2"/>
        <w:rPr>
          <w:rFonts w:asciiTheme="minorHAnsi" w:eastAsiaTheme="minorEastAsia" w:hAnsiTheme="minorHAnsi"/>
          <w:noProof/>
          <w:sz w:val="22"/>
          <w:lang w:eastAsia="en-AU"/>
        </w:rPr>
      </w:pPr>
      <w:hyperlink w:anchor="_Toc117586251" w:history="1">
        <w:r w:rsidR="001C29A9" w:rsidRPr="003849B6">
          <w:rPr>
            <w:rStyle w:val="Hyperlink"/>
            <w:noProof/>
          </w:rPr>
          <w:t>Estimated consolidated general government sector cash flow statement</w:t>
        </w:r>
        <w:r w:rsidR="001C29A9">
          <w:rPr>
            <w:noProof/>
            <w:webHidden/>
          </w:rPr>
          <w:tab/>
        </w:r>
        <w:r w:rsidR="001C29A9">
          <w:rPr>
            <w:noProof/>
            <w:webHidden/>
          </w:rPr>
          <w:fldChar w:fldCharType="begin"/>
        </w:r>
        <w:r w:rsidR="001C29A9">
          <w:rPr>
            <w:noProof/>
            <w:webHidden/>
          </w:rPr>
          <w:instrText xml:space="preserve"> PAGEREF _Toc117586251 \h </w:instrText>
        </w:r>
        <w:r w:rsidR="001C29A9">
          <w:rPr>
            <w:noProof/>
            <w:webHidden/>
          </w:rPr>
        </w:r>
        <w:r w:rsidR="001C29A9">
          <w:rPr>
            <w:noProof/>
            <w:webHidden/>
          </w:rPr>
          <w:fldChar w:fldCharType="separate"/>
        </w:r>
        <w:r>
          <w:rPr>
            <w:noProof/>
            <w:webHidden/>
          </w:rPr>
          <w:t>34</w:t>
        </w:r>
        <w:r w:rsidR="001C29A9">
          <w:rPr>
            <w:noProof/>
            <w:webHidden/>
          </w:rPr>
          <w:fldChar w:fldCharType="end"/>
        </w:r>
      </w:hyperlink>
    </w:p>
    <w:p w14:paraId="38FAB4BA" w14:textId="0A038A03" w:rsidR="001C29A9" w:rsidRDefault="00087BE6">
      <w:pPr>
        <w:pStyle w:val="TOC2"/>
        <w:rPr>
          <w:rFonts w:asciiTheme="minorHAnsi" w:eastAsiaTheme="minorEastAsia" w:hAnsiTheme="minorHAnsi"/>
          <w:noProof/>
          <w:sz w:val="22"/>
          <w:lang w:eastAsia="en-AU"/>
        </w:rPr>
      </w:pPr>
      <w:hyperlink w:anchor="_Toc117586252" w:history="1">
        <w:r w:rsidR="001C29A9" w:rsidRPr="003849B6">
          <w:rPr>
            <w:rStyle w:val="Hyperlink"/>
            <w:noProof/>
          </w:rPr>
          <w:t>Estimated consolidated general government sector statement of changes in equity</w:t>
        </w:r>
        <w:r w:rsidR="001C29A9">
          <w:rPr>
            <w:noProof/>
            <w:webHidden/>
          </w:rPr>
          <w:tab/>
        </w:r>
        <w:r w:rsidR="001C29A9">
          <w:rPr>
            <w:noProof/>
            <w:webHidden/>
          </w:rPr>
          <w:fldChar w:fldCharType="begin"/>
        </w:r>
        <w:r w:rsidR="001C29A9">
          <w:rPr>
            <w:noProof/>
            <w:webHidden/>
          </w:rPr>
          <w:instrText xml:space="preserve"> PAGEREF _Toc117586252 \h </w:instrText>
        </w:r>
        <w:r w:rsidR="001C29A9">
          <w:rPr>
            <w:noProof/>
            <w:webHidden/>
          </w:rPr>
        </w:r>
        <w:r w:rsidR="001C29A9">
          <w:rPr>
            <w:noProof/>
            <w:webHidden/>
          </w:rPr>
          <w:fldChar w:fldCharType="separate"/>
        </w:r>
        <w:r>
          <w:rPr>
            <w:noProof/>
            <w:webHidden/>
          </w:rPr>
          <w:t>36</w:t>
        </w:r>
        <w:r w:rsidR="001C29A9">
          <w:rPr>
            <w:noProof/>
            <w:webHidden/>
          </w:rPr>
          <w:fldChar w:fldCharType="end"/>
        </w:r>
      </w:hyperlink>
    </w:p>
    <w:p w14:paraId="04F414CC" w14:textId="50B8658C" w:rsidR="001C29A9" w:rsidRDefault="00087BE6">
      <w:pPr>
        <w:pStyle w:val="TOC1"/>
        <w:rPr>
          <w:rFonts w:asciiTheme="minorHAnsi" w:eastAsiaTheme="minorEastAsia" w:hAnsiTheme="minorHAnsi"/>
          <w:b w:val="0"/>
          <w:noProof/>
          <w:sz w:val="22"/>
          <w:lang w:eastAsia="en-AU"/>
        </w:rPr>
      </w:pPr>
      <w:hyperlink w:anchor="_Toc117586253" w:history="1">
        <w:r w:rsidR="001C29A9" w:rsidRPr="003849B6">
          <w:rPr>
            <w:rStyle w:val="Hyperlink"/>
            <w:noProof/>
          </w:rPr>
          <w:t>Chapter 4 – Contingent assets and contingent liabilities</w:t>
        </w:r>
        <w:r w:rsidR="001C29A9">
          <w:rPr>
            <w:noProof/>
            <w:webHidden/>
          </w:rPr>
          <w:tab/>
        </w:r>
        <w:r w:rsidR="001C29A9">
          <w:rPr>
            <w:noProof/>
            <w:webHidden/>
          </w:rPr>
          <w:fldChar w:fldCharType="begin"/>
        </w:r>
        <w:r w:rsidR="001C29A9">
          <w:rPr>
            <w:noProof/>
            <w:webHidden/>
          </w:rPr>
          <w:instrText xml:space="preserve"> PAGEREF _Toc117586253 \h </w:instrText>
        </w:r>
        <w:r w:rsidR="001C29A9">
          <w:rPr>
            <w:noProof/>
            <w:webHidden/>
          </w:rPr>
        </w:r>
        <w:r w:rsidR="001C29A9">
          <w:rPr>
            <w:noProof/>
            <w:webHidden/>
          </w:rPr>
          <w:fldChar w:fldCharType="separate"/>
        </w:r>
        <w:r>
          <w:rPr>
            <w:noProof/>
            <w:webHidden/>
          </w:rPr>
          <w:t>69</w:t>
        </w:r>
        <w:r w:rsidR="001C29A9">
          <w:rPr>
            <w:noProof/>
            <w:webHidden/>
          </w:rPr>
          <w:fldChar w:fldCharType="end"/>
        </w:r>
      </w:hyperlink>
    </w:p>
    <w:p w14:paraId="22CE85B1" w14:textId="5BD74376" w:rsidR="001C29A9" w:rsidRDefault="00087BE6">
      <w:pPr>
        <w:pStyle w:val="TOC2"/>
        <w:rPr>
          <w:rFonts w:asciiTheme="minorHAnsi" w:eastAsiaTheme="minorEastAsia" w:hAnsiTheme="minorHAnsi"/>
          <w:noProof/>
          <w:sz w:val="22"/>
          <w:lang w:eastAsia="en-AU"/>
        </w:rPr>
      </w:pPr>
      <w:hyperlink w:anchor="_Toc117586254" w:history="1">
        <w:r w:rsidR="001C29A9" w:rsidRPr="003849B6">
          <w:rPr>
            <w:rStyle w:val="Hyperlink"/>
            <w:noProof/>
          </w:rPr>
          <w:t>Contingent assets</w:t>
        </w:r>
        <w:r w:rsidR="001C29A9">
          <w:rPr>
            <w:noProof/>
            <w:webHidden/>
          </w:rPr>
          <w:tab/>
        </w:r>
        <w:r w:rsidR="001C29A9">
          <w:rPr>
            <w:noProof/>
            <w:webHidden/>
          </w:rPr>
          <w:fldChar w:fldCharType="begin"/>
        </w:r>
        <w:r w:rsidR="001C29A9">
          <w:rPr>
            <w:noProof/>
            <w:webHidden/>
          </w:rPr>
          <w:instrText xml:space="preserve"> PAGEREF _Toc117586254 \h </w:instrText>
        </w:r>
        <w:r w:rsidR="001C29A9">
          <w:rPr>
            <w:noProof/>
            <w:webHidden/>
          </w:rPr>
        </w:r>
        <w:r w:rsidR="001C29A9">
          <w:rPr>
            <w:noProof/>
            <w:webHidden/>
          </w:rPr>
          <w:fldChar w:fldCharType="separate"/>
        </w:r>
        <w:r>
          <w:rPr>
            <w:noProof/>
            <w:webHidden/>
          </w:rPr>
          <w:t>69</w:t>
        </w:r>
        <w:r w:rsidR="001C29A9">
          <w:rPr>
            <w:noProof/>
            <w:webHidden/>
          </w:rPr>
          <w:fldChar w:fldCharType="end"/>
        </w:r>
      </w:hyperlink>
    </w:p>
    <w:p w14:paraId="67EB97E3" w14:textId="07C0DCB1" w:rsidR="001C29A9" w:rsidRDefault="00087BE6">
      <w:pPr>
        <w:pStyle w:val="TOC2"/>
        <w:rPr>
          <w:rFonts w:asciiTheme="minorHAnsi" w:eastAsiaTheme="minorEastAsia" w:hAnsiTheme="minorHAnsi"/>
          <w:noProof/>
          <w:sz w:val="22"/>
          <w:lang w:eastAsia="en-AU"/>
        </w:rPr>
      </w:pPr>
      <w:hyperlink w:anchor="_Toc117586255" w:history="1">
        <w:r w:rsidR="001C29A9" w:rsidRPr="003849B6">
          <w:rPr>
            <w:rStyle w:val="Hyperlink"/>
            <w:noProof/>
          </w:rPr>
          <w:t>Contingent liabilities</w:t>
        </w:r>
        <w:r w:rsidR="001C29A9">
          <w:rPr>
            <w:noProof/>
            <w:webHidden/>
          </w:rPr>
          <w:tab/>
        </w:r>
        <w:r w:rsidR="001C29A9">
          <w:rPr>
            <w:noProof/>
            <w:webHidden/>
          </w:rPr>
          <w:fldChar w:fldCharType="begin"/>
        </w:r>
        <w:r w:rsidR="001C29A9">
          <w:rPr>
            <w:noProof/>
            <w:webHidden/>
          </w:rPr>
          <w:instrText xml:space="preserve"> PAGEREF _Toc117586255 \h </w:instrText>
        </w:r>
        <w:r w:rsidR="001C29A9">
          <w:rPr>
            <w:noProof/>
            <w:webHidden/>
          </w:rPr>
        </w:r>
        <w:r w:rsidR="001C29A9">
          <w:rPr>
            <w:noProof/>
            <w:webHidden/>
          </w:rPr>
          <w:fldChar w:fldCharType="separate"/>
        </w:r>
        <w:r>
          <w:rPr>
            <w:noProof/>
            <w:webHidden/>
          </w:rPr>
          <w:t>70</w:t>
        </w:r>
        <w:r w:rsidR="001C29A9">
          <w:rPr>
            <w:noProof/>
            <w:webHidden/>
          </w:rPr>
          <w:fldChar w:fldCharType="end"/>
        </w:r>
      </w:hyperlink>
    </w:p>
    <w:p w14:paraId="542ECF55" w14:textId="65F2E965" w:rsidR="001C29A9" w:rsidRDefault="00087BE6">
      <w:pPr>
        <w:pStyle w:val="TOC1"/>
        <w:rPr>
          <w:rFonts w:asciiTheme="minorHAnsi" w:eastAsiaTheme="minorEastAsia" w:hAnsiTheme="minorHAnsi"/>
          <w:b w:val="0"/>
          <w:noProof/>
          <w:sz w:val="22"/>
          <w:lang w:eastAsia="en-AU"/>
        </w:rPr>
      </w:pPr>
      <w:hyperlink w:anchor="_Toc117586256" w:history="1">
        <w:r w:rsidR="001C29A9" w:rsidRPr="003849B6">
          <w:rPr>
            <w:rStyle w:val="Hyperlink"/>
            <w:noProof/>
          </w:rPr>
          <w:t>Appendix A – Specific policy initiatives affecting the budget position</w:t>
        </w:r>
        <w:r w:rsidR="001C29A9">
          <w:rPr>
            <w:noProof/>
            <w:webHidden/>
          </w:rPr>
          <w:tab/>
        </w:r>
        <w:r w:rsidR="001C29A9">
          <w:rPr>
            <w:noProof/>
            <w:webHidden/>
          </w:rPr>
          <w:fldChar w:fldCharType="begin"/>
        </w:r>
        <w:r w:rsidR="001C29A9">
          <w:rPr>
            <w:noProof/>
            <w:webHidden/>
          </w:rPr>
          <w:instrText xml:space="preserve"> PAGEREF _Toc117586256 \h </w:instrText>
        </w:r>
        <w:r w:rsidR="001C29A9">
          <w:rPr>
            <w:noProof/>
            <w:webHidden/>
          </w:rPr>
        </w:r>
        <w:r w:rsidR="001C29A9">
          <w:rPr>
            <w:noProof/>
            <w:webHidden/>
          </w:rPr>
          <w:fldChar w:fldCharType="separate"/>
        </w:r>
        <w:r>
          <w:rPr>
            <w:noProof/>
            <w:webHidden/>
          </w:rPr>
          <w:t>77</w:t>
        </w:r>
        <w:r w:rsidR="001C29A9">
          <w:rPr>
            <w:noProof/>
            <w:webHidden/>
          </w:rPr>
          <w:fldChar w:fldCharType="end"/>
        </w:r>
      </w:hyperlink>
    </w:p>
    <w:p w14:paraId="22D4D0FD" w14:textId="59F7F073" w:rsidR="001C29A9" w:rsidRDefault="00087BE6">
      <w:pPr>
        <w:pStyle w:val="TOC2"/>
        <w:rPr>
          <w:rFonts w:asciiTheme="minorHAnsi" w:eastAsiaTheme="minorEastAsia" w:hAnsiTheme="minorHAnsi"/>
          <w:noProof/>
          <w:sz w:val="22"/>
          <w:lang w:eastAsia="en-AU"/>
        </w:rPr>
      </w:pPr>
      <w:hyperlink w:anchor="_Toc117586257" w:history="1">
        <w:r w:rsidR="001C29A9" w:rsidRPr="003849B6">
          <w:rPr>
            <w:rStyle w:val="Hyperlink"/>
            <w:noProof/>
          </w:rPr>
          <w:t>Whole of government – Flood recovery</w:t>
        </w:r>
        <w:r w:rsidR="001C29A9">
          <w:rPr>
            <w:noProof/>
            <w:webHidden/>
          </w:rPr>
          <w:tab/>
        </w:r>
        <w:r w:rsidR="001C29A9">
          <w:rPr>
            <w:noProof/>
            <w:webHidden/>
          </w:rPr>
          <w:fldChar w:fldCharType="begin"/>
        </w:r>
        <w:r w:rsidR="001C29A9">
          <w:rPr>
            <w:noProof/>
            <w:webHidden/>
          </w:rPr>
          <w:instrText xml:space="preserve"> PAGEREF _Toc117586257 \h </w:instrText>
        </w:r>
        <w:r w:rsidR="001C29A9">
          <w:rPr>
            <w:noProof/>
            <w:webHidden/>
          </w:rPr>
        </w:r>
        <w:r w:rsidR="001C29A9">
          <w:rPr>
            <w:noProof/>
            <w:webHidden/>
          </w:rPr>
          <w:fldChar w:fldCharType="separate"/>
        </w:r>
        <w:r>
          <w:rPr>
            <w:noProof/>
            <w:webHidden/>
          </w:rPr>
          <w:t>78</w:t>
        </w:r>
        <w:r w:rsidR="001C29A9">
          <w:rPr>
            <w:noProof/>
            <w:webHidden/>
          </w:rPr>
          <w:fldChar w:fldCharType="end"/>
        </w:r>
      </w:hyperlink>
    </w:p>
    <w:p w14:paraId="59623CF8" w14:textId="2CD4C705" w:rsidR="001C29A9" w:rsidRDefault="00087BE6">
      <w:pPr>
        <w:pStyle w:val="TOC2"/>
        <w:rPr>
          <w:rFonts w:asciiTheme="minorHAnsi" w:eastAsiaTheme="minorEastAsia" w:hAnsiTheme="minorHAnsi"/>
          <w:noProof/>
          <w:sz w:val="22"/>
          <w:lang w:eastAsia="en-AU"/>
        </w:rPr>
      </w:pPr>
      <w:hyperlink w:anchor="_Toc117586258" w:history="1">
        <w:r w:rsidR="001C29A9" w:rsidRPr="003849B6">
          <w:rPr>
            <w:rStyle w:val="Hyperlink"/>
            <w:noProof/>
          </w:rPr>
          <w:t>Department of Education and Training</w:t>
        </w:r>
        <w:r w:rsidR="001C29A9">
          <w:rPr>
            <w:noProof/>
            <w:webHidden/>
          </w:rPr>
          <w:tab/>
        </w:r>
        <w:r w:rsidR="001C29A9">
          <w:rPr>
            <w:noProof/>
            <w:webHidden/>
          </w:rPr>
          <w:fldChar w:fldCharType="begin"/>
        </w:r>
        <w:r w:rsidR="001C29A9">
          <w:rPr>
            <w:noProof/>
            <w:webHidden/>
          </w:rPr>
          <w:instrText xml:space="preserve"> PAGEREF _Toc117586258 \h </w:instrText>
        </w:r>
        <w:r w:rsidR="001C29A9">
          <w:rPr>
            <w:noProof/>
            <w:webHidden/>
          </w:rPr>
        </w:r>
        <w:r w:rsidR="001C29A9">
          <w:rPr>
            <w:noProof/>
            <w:webHidden/>
          </w:rPr>
          <w:fldChar w:fldCharType="separate"/>
        </w:r>
        <w:r>
          <w:rPr>
            <w:noProof/>
            <w:webHidden/>
          </w:rPr>
          <w:t>80</w:t>
        </w:r>
        <w:r w:rsidR="001C29A9">
          <w:rPr>
            <w:noProof/>
            <w:webHidden/>
          </w:rPr>
          <w:fldChar w:fldCharType="end"/>
        </w:r>
      </w:hyperlink>
    </w:p>
    <w:p w14:paraId="28C9E5BD" w14:textId="33B9F5E1" w:rsidR="001C29A9" w:rsidRDefault="00087BE6">
      <w:pPr>
        <w:pStyle w:val="TOC2"/>
        <w:rPr>
          <w:rFonts w:asciiTheme="minorHAnsi" w:eastAsiaTheme="minorEastAsia" w:hAnsiTheme="minorHAnsi"/>
          <w:noProof/>
          <w:sz w:val="22"/>
          <w:lang w:eastAsia="en-AU"/>
        </w:rPr>
      </w:pPr>
      <w:hyperlink w:anchor="_Toc117586259" w:history="1">
        <w:r w:rsidR="001C29A9" w:rsidRPr="003849B6">
          <w:rPr>
            <w:rStyle w:val="Hyperlink"/>
            <w:noProof/>
          </w:rPr>
          <w:t>Department of Environment, Land, Water and Planning</w:t>
        </w:r>
        <w:r w:rsidR="001C29A9">
          <w:rPr>
            <w:noProof/>
            <w:webHidden/>
          </w:rPr>
          <w:tab/>
        </w:r>
        <w:r w:rsidR="001C29A9">
          <w:rPr>
            <w:noProof/>
            <w:webHidden/>
          </w:rPr>
          <w:fldChar w:fldCharType="begin"/>
        </w:r>
        <w:r w:rsidR="001C29A9">
          <w:rPr>
            <w:noProof/>
            <w:webHidden/>
          </w:rPr>
          <w:instrText xml:space="preserve"> PAGEREF _Toc117586259 \h </w:instrText>
        </w:r>
        <w:r w:rsidR="001C29A9">
          <w:rPr>
            <w:noProof/>
            <w:webHidden/>
          </w:rPr>
        </w:r>
        <w:r w:rsidR="001C29A9">
          <w:rPr>
            <w:noProof/>
            <w:webHidden/>
          </w:rPr>
          <w:fldChar w:fldCharType="separate"/>
        </w:r>
        <w:r>
          <w:rPr>
            <w:noProof/>
            <w:webHidden/>
          </w:rPr>
          <w:t>83</w:t>
        </w:r>
        <w:r w:rsidR="001C29A9">
          <w:rPr>
            <w:noProof/>
            <w:webHidden/>
          </w:rPr>
          <w:fldChar w:fldCharType="end"/>
        </w:r>
      </w:hyperlink>
    </w:p>
    <w:p w14:paraId="647F4FDC" w14:textId="17AC7B79" w:rsidR="001C29A9" w:rsidRDefault="00087BE6">
      <w:pPr>
        <w:pStyle w:val="TOC2"/>
        <w:rPr>
          <w:rFonts w:asciiTheme="minorHAnsi" w:eastAsiaTheme="minorEastAsia" w:hAnsiTheme="minorHAnsi"/>
          <w:noProof/>
          <w:sz w:val="22"/>
          <w:lang w:eastAsia="en-AU"/>
        </w:rPr>
      </w:pPr>
      <w:hyperlink w:anchor="_Toc117586260" w:history="1">
        <w:r w:rsidR="001C29A9" w:rsidRPr="003849B6">
          <w:rPr>
            <w:rStyle w:val="Hyperlink"/>
            <w:noProof/>
          </w:rPr>
          <w:t>Department of Families, Fairness and Housing</w:t>
        </w:r>
        <w:r w:rsidR="001C29A9">
          <w:rPr>
            <w:noProof/>
            <w:webHidden/>
          </w:rPr>
          <w:tab/>
        </w:r>
        <w:r w:rsidR="001C29A9">
          <w:rPr>
            <w:noProof/>
            <w:webHidden/>
          </w:rPr>
          <w:fldChar w:fldCharType="begin"/>
        </w:r>
        <w:r w:rsidR="001C29A9">
          <w:rPr>
            <w:noProof/>
            <w:webHidden/>
          </w:rPr>
          <w:instrText xml:space="preserve"> PAGEREF _Toc117586260 \h </w:instrText>
        </w:r>
        <w:r w:rsidR="001C29A9">
          <w:rPr>
            <w:noProof/>
            <w:webHidden/>
          </w:rPr>
        </w:r>
        <w:r w:rsidR="001C29A9">
          <w:rPr>
            <w:noProof/>
            <w:webHidden/>
          </w:rPr>
          <w:fldChar w:fldCharType="separate"/>
        </w:r>
        <w:r>
          <w:rPr>
            <w:noProof/>
            <w:webHidden/>
          </w:rPr>
          <w:t>87</w:t>
        </w:r>
        <w:r w:rsidR="001C29A9">
          <w:rPr>
            <w:noProof/>
            <w:webHidden/>
          </w:rPr>
          <w:fldChar w:fldCharType="end"/>
        </w:r>
      </w:hyperlink>
    </w:p>
    <w:p w14:paraId="0327A0B7" w14:textId="3D639CC2" w:rsidR="001C29A9" w:rsidRDefault="00087BE6">
      <w:pPr>
        <w:pStyle w:val="TOC2"/>
        <w:rPr>
          <w:rFonts w:asciiTheme="minorHAnsi" w:eastAsiaTheme="minorEastAsia" w:hAnsiTheme="minorHAnsi"/>
          <w:noProof/>
          <w:sz w:val="22"/>
          <w:lang w:eastAsia="en-AU"/>
        </w:rPr>
      </w:pPr>
      <w:hyperlink w:anchor="_Toc117586261" w:history="1">
        <w:r w:rsidR="001C29A9" w:rsidRPr="003849B6">
          <w:rPr>
            <w:rStyle w:val="Hyperlink"/>
            <w:noProof/>
          </w:rPr>
          <w:t>Department of Health</w:t>
        </w:r>
        <w:r w:rsidR="001C29A9">
          <w:rPr>
            <w:noProof/>
            <w:webHidden/>
          </w:rPr>
          <w:tab/>
        </w:r>
        <w:r w:rsidR="001C29A9">
          <w:rPr>
            <w:noProof/>
            <w:webHidden/>
          </w:rPr>
          <w:fldChar w:fldCharType="begin"/>
        </w:r>
        <w:r w:rsidR="001C29A9">
          <w:rPr>
            <w:noProof/>
            <w:webHidden/>
          </w:rPr>
          <w:instrText xml:space="preserve"> PAGEREF _Toc117586261 \h </w:instrText>
        </w:r>
        <w:r w:rsidR="001C29A9">
          <w:rPr>
            <w:noProof/>
            <w:webHidden/>
          </w:rPr>
        </w:r>
        <w:r w:rsidR="001C29A9">
          <w:rPr>
            <w:noProof/>
            <w:webHidden/>
          </w:rPr>
          <w:fldChar w:fldCharType="separate"/>
        </w:r>
        <w:r>
          <w:rPr>
            <w:noProof/>
            <w:webHidden/>
          </w:rPr>
          <w:t>90</w:t>
        </w:r>
        <w:r w:rsidR="001C29A9">
          <w:rPr>
            <w:noProof/>
            <w:webHidden/>
          </w:rPr>
          <w:fldChar w:fldCharType="end"/>
        </w:r>
      </w:hyperlink>
    </w:p>
    <w:p w14:paraId="224D2E46" w14:textId="52951A6B" w:rsidR="001C29A9" w:rsidRDefault="00087BE6">
      <w:pPr>
        <w:pStyle w:val="TOC2"/>
        <w:rPr>
          <w:rFonts w:asciiTheme="minorHAnsi" w:eastAsiaTheme="minorEastAsia" w:hAnsiTheme="minorHAnsi"/>
          <w:noProof/>
          <w:sz w:val="22"/>
          <w:lang w:eastAsia="en-AU"/>
        </w:rPr>
      </w:pPr>
      <w:hyperlink w:anchor="_Toc117586262" w:history="1">
        <w:r w:rsidR="001C29A9" w:rsidRPr="003849B6">
          <w:rPr>
            <w:rStyle w:val="Hyperlink"/>
            <w:noProof/>
          </w:rPr>
          <w:t>Department of Jobs, Precincts and Regions</w:t>
        </w:r>
        <w:r w:rsidR="001C29A9">
          <w:rPr>
            <w:noProof/>
            <w:webHidden/>
          </w:rPr>
          <w:tab/>
        </w:r>
        <w:r w:rsidR="001C29A9">
          <w:rPr>
            <w:noProof/>
            <w:webHidden/>
          </w:rPr>
          <w:fldChar w:fldCharType="begin"/>
        </w:r>
        <w:r w:rsidR="001C29A9">
          <w:rPr>
            <w:noProof/>
            <w:webHidden/>
          </w:rPr>
          <w:instrText xml:space="preserve"> PAGEREF _Toc117586262 \h </w:instrText>
        </w:r>
        <w:r w:rsidR="001C29A9">
          <w:rPr>
            <w:noProof/>
            <w:webHidden/>
          </w:rPr>
        </w:r>
        <w:r w:rsidR="001C29A9">
          <w:rPr>
            <w:noProof/>
            <w:webHidden/>
          </w:rPr>
          <w:fldChar w:fldCharType="separate"/>
        </w:r>
        <w:r>
          <w:rPr>
            <w:noProof/>
            <w:webHidden/>
          </w:rPr>
          <w:t>95</w:t>
        </w:r>
        <w:r w:rsidR="001C29A9">
          <w:rPr>
            <w:noProof/>
            <w:webHidden/>
          </w:rPr>
          <w:fldChar w:fldCharType="end"/>
        </w:r>
      </w:hyperlink>
    </w:p>
    <w:p w14:paraId="05F50A34" w14:textId="0FC3384D" w:rsidR="001C29A9" w:rsidRDefault="00087BE6">
      <w:pPr>
        <w:pStyle w:val="TOC2"/>
        <w:rPr>
          <w:rFonts w:asciiTheme="minorHAnsi" w:eastAsiaTheme="minorEastAsia" w:hAnsiTheme="minorHAnsi"/>
          <w:noProof/>
          <w:sz w:val="22"/>
          <w:lang w:eastAsia="en-AU"/>
        </w:rPr>
      </w:pPr>
      <w:hyperlink w:anchor="_Toc117586263" w:history="1">
        <w:r w:rsidR="001C29A9" w:rsidRPr="003849B6">
          <w:rPr>
            <w:rStyle w:val="Hyperlink"/>
            <w:noProof/>
          </w:rPr>
          <w:t>Department of Justice and Community Safety</w:t>
        </w:r>
        <w:r w:rsidR="001C29A9">
          <w:rPr>
            <w:noProof/>
            <w:webHidden/>
          </w:rPr>
          <w:tab/>
        </w:r>
        <w:r w:rsidR="001C29A9">
          <w:rPr>
            <w:noProof/>
            <w:webHidden/>
          </w:rPr>
          <w:fldChar w:fldCharType="begin"/>
        </w:r>
        <w:r w:rsidR="001C29A9">
          <w:rPr>
            <w:noProof/>
            <w:webHidden/>
          </w:rPr>
          <w:instrText xml:space="preserve"> PAGEREF _Toc117586263 \h </w:instrText>
        </w:r>
        <w:r w:rsidR="001C29A9">
          <w:rPr>
            <w:noProof/>
            <w:webHidden/>
          </w:rPr>
        </w:r>
        <w:r w:rsidR="001C29A9">
          <w:rPr>
            <w:noProof/>
            <w:webHidden/>
          </w:rPr>
          <w:fldChar w:fldCharType="separate"/>
        </w:r>
        <w:r>
          <w:rPr>
            <w:noProof/>
            <w:webHidden/>
          </w:rPr>
          <w:t>100</w:t>
        </w:r>
        <w:r w:rsidR="001C29A9">
          <w:rPr>
            <w:noProof/>
            <w:webHidden/>
          </w:rPr>
          <w:fldChar w:fldCharType="end"/>
        </w:r>
      </w:hyperlink>
    </w:p>
    <w:p w14:paraId="24951E0C" w14:textId="551A88A1" w:rsidR="001C29A9" w:rsidRDefault="00087BE6">
      <w:pPr>
        <w:pStyle w:val="TOC2"/>
        <w:rPr>
          <w:rFonts w:asciiTheme="minorHAnsi" w:eastAsiaTheme="minorEastAsia" w:hAnsiTheme="minorHAnsi"/>
          <w:noProof/>
          <w:sz w:val="22"/>
          <w:lang w:eastAsia="en-AU"/>
        </w:rPr>
      </w:pPr>
      <w:hyperlink w:anchor="_Toc117586264" w:history="1">
        <w:r w:rsidR="001C29A9" w:rsidRPr="003849B6">
          <w:rPr>
            <w:rStyle w:val="Hyperlink"/>
            <w:noProof/>
          </w:rPr>
          <w:t>Department of Premier and Cabinet</w:t>
        </w:r>
        <w:r w:rsidR="001C29A9">
          <w:rPr>
            <w:noProof/>
            <w:webHidden/>
          </w:rPr>
          <w:tab/>
        </w:r>
        <w:r w:rsidR="001C29A9">
          <w:rPr>
            <w:noProof/>
            <w:webHidden/>
          </w:rPr>
          <w:fldChar w:fldCharType="begin"/>
        </w:r>
        <w:r w:rsidR="001C29A9">
          <w:rPr>
            <w:noProof/>
            <w:webHidden/>
          </w:rPr>
          <w:instrText xml:space="preserve"> PAGEREF _Toc117586264 \h </w:instrText>
        </w:r>
        <w:r w:rsidR="001C29A9">
          <w:rPr>
            <w:noProof/>
            <w:webHidden/>
          </w:rPr>
        </w:r>
        <w:r w:rsidR="001C29A9">
          <w:rPr>
            <w:noProof/>
            <w:webHidden/>
          </w:rPr>
          <w:fldChar w:fldCharType="separate"/>
        </w:r>
        <w:r>
          <w:rPr>
            <w:noProof/>
            <w:webHidden/>
          </w:rPr>
          <w:t>103</w:t>
        </w:r>
        <w:r w:rsidR="001C29A9">
          <w:rPr>
            <w:noProof/>
            <w:webHidden/>
          </w:rPr>
          <w:fldChar w:fldCharType="end"/>
        </w:r>
      </w:hyperlink>
    </w:p>
    <w:p w14:paraId="07AE6BD5" w14:textId="55C417F8" w:rsidR="001C29A9" w:rsidRDefault="00087BE6">
      <w:pPr>
        <w:pStyle w:val="TOC2"/>
        <w:rPr>
          <w:rFonts w:asciiTheme="minorHAnsi" w:eastAsiaTheme="minorEastAsia" w:hAnsiTheme="minorHAnsi"/>
          <w:noProof/>
          <w:sz w:val="22"/>
          <w:lang w:eastAsia="en-AU"/>
        </w:rPr>
      </w:pPr>
      <w:hyperlink w:anchor="_Toc117586265" w:history="1">
        <w:r w:rsidR="001C29A9" w:rsidRPr="003849B6">
          <w:rPr>
            <w:rStyle w:val="Hyperlink"/>
            <w:noProof/>
          </w:rPr>
          <w:t>Department of Transport</w:t>
        </w:r>
        <w:r w:rsidR="001C29A9">
          <w:rPr>
            <w:noProof/>
            <w:webHidden/>
          </w:rPr>
          <w:tab/>
        </w:r>
        <w:r w:rsidR="001C29A9">
          <w:rPr>
            <w:noProof/>
            <w:webHidden/>
          </w:rPr>
          <w:fldChar w:fldCharType="begin"/>
        </w:r>
        <w:r w:rsidR="001C29A9">
          <w:rPr>
            <w:noProof/>
            <w:webHidden/>
          </w:rPr>
          <w:instrText xml:space="preserve"> PAGEREF _Toc117586265 \h </w:instrText>
        </w:r>
        <w:r w:rsidR="001C29A9">
          <w:rPr>
            <w:noProof/>
            <w:webHidden/>
          </w:rPr>
        </w:r>
        <w:r w:rsidR="001C29A9">
          <w:rPr>
            <w:noProof/>
            <w:webHidden/>
          </w:rPr>
          <w:fldChar w:fldCharType="separate"/>
        </w:r>
        <w:r>
          <w:rPr>
            <w:noProof/>
            <w:webHidden/>
          </w:rPr>
          <w:t>105</w:t>
        </w:r>
        <w:r w:rsidR="001C29A9">
          <w:rPr>
            <w:noProof/>
            <w:webHidden/>
          </w:rPr>
          <w:fldChar w:fldCharType="end"/>
        </w:r>
      </w:hyperlink>
    </w:p>
    <w:p w14:paraId="496B8A11" w14:textId="30A46722" w:rsidR="001C29A9" w:rsidRDefault="00087BE6">
      <w:pPr>
        <w:pStyle w:val="TOC2"/>
        <w:rPr>
          <w:rFonts w:asciiTheme="minorHAnsi" w:eastAsiaTheme="minorEastAsia" w:hAnsiTheme="minorHAnsi"/>
          <w:noProof/>
          <w:sz w:val="22"/>
          <w:lang w:eastAsia="en-AU"/>
        </w:rPr>
      </w:pPr>
      <w:hyperlink w:anchor="_Toc117586266" w:history="1">
        <w:r w:rsidR="001C29A9" w:rsidRPr="003849B6">
          <w:rPr>
            <w:rStyle w:val="Hyperlink"/>
            <w:noProof/>
          </w:rPr>
          <w:t>Department of Treasury and Finance</w:t>
        </w:r>
        <w:r w:rsidR="001C29A9">
          <w:rPr>
            <w:noProof/>
            <w:webHidden/>
          </w:rPr>
          <w:tab/>
        </w:r>
        <w:r w:rsidR="001C29A9">
          <w:rPr>
            <w:noProof/>
            <w:webHidden/>
          </w:rPr>
          <w:fldChar w:fldCharType="begin"/>
        </w:r>
        <w:r w:rsidR="001C29A9">
          <w:rPr>
            <w:noProof/>
            <w:webHidden/>
          </w:rPr>
          <w:instrText xml:space="preserve"> PAGEREF _Toc117586266 \h </w:instrText>
        </w:r>
        <w:r w:rsidR="001C29A9">
          <w:rPr>
            <w:noProof/>
            <w:webHidden/>
          </w:rPr>
        </w:r>
        <w:r w:rsidR="001C29A9">
          <w:rPr>
            <w:noProof/>
            <w:webHidden/>
          </w:rPr>
          <w:fldChar w:fldCharType="separate"/>
        </w:r>
        <w:r>
          <w:rPr>
            <w:noProof/>
            <w:webHidden/>
          </w:rPr>
          <w:t>110</w:t>
        </w:r>
        <w:r w:rsidR="001C29A9">
          <w:rPr>
            <w:noProof/>
            <w:webHidden/>
          </w:rPr>
          <w:fldChar w:fldCharType="end"/>
        </w:r>
      </w:hyperlink>
    </w:p>
    <w:p w14:paraId="3D9C9727" w14:textId="0077A296" w:rsidR="001C29A9" w:rsidRDefault="00087BE6">
      <w:pPr>
        <w:pStyle w:val="TOC2"/>
        <w:rPr>
          <w:rFonts w:asciiTheme="minorHAnsi" w:eastAsiaTheme="minorEastAsia" w:hAnsiTheme="minorHAnsi"/>
          <w:noProof/>
          <w:sz w:val="22"/>
          <w:lang w:eastAsia="en-AU"/>
        </w:rPr>
      </w:pPr>
      <w:hyperlink w:anchor="_Toc117586267" w:history="1">
        <w:r w:rsidR="001C29A9" w:rsidRPr="003849B6">
          <w:rPr>
            <w:rStyle w:val="Hyperlink"/>
            <w:noProof/>
          </w:rPr>
          <w:t>Parliament</w:t>
        </w:r>
        <w:r w:rsidR="001C29A9">
          <w:rPr>
            <w:noProof/>
            <w:webHidden/>
          </w:rPr>
          <w:tab/>
        </w:r>
        <w:r w:rsidR="001C29A9">
          <w:rPr>
            <w:noProof/>
            <w:webHidden/>
          </w:rPr>
          <w:fldChar w:fldCharType="begin"/>
        </w:r>
        <w:r w:rsidR="001C29A9">
          <w:rPr>
            <w:noProof/>
            <w:webHidden/>
          </w:rPr>
          <w:instrText xml:space="preserve"> PAGEREF _Toc117586267 \h </w:instrText>
        </w:r>
        <w:r w:rsidR="001C29A9">
          <w:rPr>
            <w:noProof/>
            <w:webHidden/>
          </w:rPr>
        </w:r>
        <w:r w:rsidR="001C29A9">
          <w:rPr>
            <w:noProof/>
            <w:webHidden/>
          </w:rPr>
          <w:fldChar w:fldCharType="separate"/>
        </w:r>
        <w:r>
          <w:rPr>
            <w:noProof/>
            <w:webHidden/>
          </w:rPr>
          <w:t>113</w:t>
        </w:r>
        <w:r w:rsidR="001C29A9">
          <w:rPr>
            <w:noProof/>
            <w:webHidden/>
          </w:rPr>
          <w:fldChar w:fldCharType="end"/>
        </w:r>
      </w:hyperlink>
    </w:p>
    <w:p w14:paraId="3B5F7900" w14:textId="3DE4CA21" w:rsidR="001C29A9" w:rsidRDefault="00087BE6">
      <w:pPr>
        <w:pStyle w:val="TOC1"/>
        <w:rPr>
          <w:rFonts w:asciiTheme="minorHAnsi" w:eastAsiaTheme="minorEastAsia" w:hAnsiTheme="minorHAnsi"/>
          <w:b w:val="0"/>
          <w:noProof/>
          <w:sz w:val="22"/>
          <w:lang w:eastAsia="en-AU"/>
        </w:rPr>
      </w:pPr>
      <w:hyperlink w:anchor="_Toc117586268" w:history="1">
        <w:r w:rsidR="001C29A9" w:rsidRPr="003849B6">
          <w:rPr>
            <w:rStyle w:val="Hyperlink"/>
            <w:noProof/>
          </w:rPr>
          <w:t>Appendix B – Sensitivity analysis</w:t>
        </w:r>
        <w:r w:rsidR="001C29A9">
          <w:rPr>
            <w:noProof/>
            <w:webHidden/>
          </w:rPr>
          <w:tab/>
        </w:r>
        <w:r w:rsidR="001C29A9">
          <w:rPr>
            <w:noProof/>
            <w:webHidden/>
          </w:rPr>
          <w:fldChar w:fldCharType="begin"/>
        </w:r>
        <w:r w:rsidR="001C29A9">
          <w:rPr>
            <w:noProof/>
            <w:webHidden/>
          </w:rPr>
          <w:instrText xml:space="preserve"> PAGEREF _Toc117586268 \h </w:instrText>
        </w:r>
        <w:r w:rsidR="001C29A9">
          <w:rPr>
            <w:noProof/>
            <w:webHidden/>
          </w:rPr>
        </w:r>
        <w:r w:rsidR="001C29A9">
          <w:rPr>
            <w:noProof/>
            <w:webHidden/>
          </w:rPr>
          <w:fldChar w:fldCharType="separate"/>
        </w:r>
        <w:r>
          <w:rPr>
            <w:noProof/>
            <w:webHidden/>
          </w:rPr>
          <w:t>115</w:t>
        </w:r>
        <w:r w:rsidR="001C29A9">
          <w:rPr>
            <w:noProof/>
            <w:webHidden/>
          </w:rPr>
          <w:fldChar w:fldCharType="end"/>
        </w:r>
      </w:hyperlink>
    </w:p>
    <w:p w14:paraId="58B1D9ED" w14:textId="4D013A5C" w:rsidR="001C29A9" w:rsidRDefault="00087BE6">
      <w:pPr>
        <w:pStyle w:val="TOC2"/>
        <w:rPr>
          <w:rFonts w:asciiTheme="minorHAnsi" w:eastAsiaTheme="minorEastAsia" w:hAnsiTheme="minorHAnsi"/>
          <w:noProof/>
          <w:sz w:val="22"/>
          <w:lang w:eastAsia="en-AU"/>
        </w:rPr>
      </w:pPr>
      <w:hyperlink w:anchor="_Toc117586269" w:history="1">
        <w:r w:rsidR="001C29A9" w:rsidRPr="003849B6">
          <w:rPr>
            <w:rStyle w:val="Hyperlink"/>
            <w:noProof/>
          </w:rPr>
          <w:t>Fiscal impacts of variations to the economic outlook</w:t>
        </w:r>
        <w:r w:rsidR="001C29A9">
          <w:rPr>
            <w:noProof/>
            <w:webHidden/>
          </w:rPr>
          <w:tab/>
        </w:r>
        <w:r w:rsidR="001C29A9">
          <w:rPr>
            <w:noProof/>
            <w:webHidden/>
          </w:rPr>
          <w:fldChar w:fldCharType="begin"/>
        </w:r>
        <w:r w:rsidR="001C29A9">
          <w:rPr>
            <w:noProof/>
            <w:webHidden/>
          </w:rPr>
          <w:instrText xml:space="preserve"> PAGEREF _Toc117586269 \h </w:instrText>
        </w:r>
        <w:r w:rsidR="001C29A9">
          <w:rPr>
            <w:noProof/>
            <w:webHidden/>
          </w:rPr>
        </w:r>
        <w:r w:rsidR="001C29A9">
          <w:rPr>
            <w:noProof/>
            <w:webHidden/>
          </w:rPr>
          <w:fldChar w:fldCharType="separate"/>
        </w:r>
        <w:r>
          <w:rPr>
            <w:noProof/>
            <w:webHidden/>
          </w:rPr>
          <w:t>116</w:t>
        </w:r>
        <w:r w:rsidR="001C29A9">
          <w:rPr>
            <w:noProof/>
            <w:webHidden/>
          </w:rPr>
          <w:fldChar w:fldCharType="end"/>
        </w:r>
      </w:hyperlink>
    </w:p>
    <w:p w14:paraId="3A024CA3" w14:textId="0990F61B" w:rsidR="001C29A9" w:rsidRDefault="00087BE6">
      <w:pPr>
        <w:pStyle w:val="TOC2"/>
        <w:rPr>
          <w:rFonts w:asciiTheme="minorHAnsi" w:eastAsiaTheme="minorEastAsia" w:hAnsiTheme="minorHAnsi"/>
          <w:noProof/>
          <w:sz w:val="22"/>
          <w:lang w:eastAsia="en-AU"/>
        </w:rPr>
      </w:pPr>
      <w:hyperlink w:anchor="_Toc117586270" w:history="1">
        <w:r w:rsidR="001C29A9" w:rsidRPr="003849B6">
          <w:rPr>
            <w:rStyle w:val="Hyperlink"/>
            <w:noProof/>
          </w:rPr>
          <w:t>Sensitivity to independent variations in major economic parameters</w:t>
        </w:r>
        <w:r w:rsidR="001C29A9">
          <w:rPr>
            <w:noProof/>
            <w:webHidden/>
          </w:rPr>
          <w:tab/>
        </w:r>
        <w:r w:rsidR="001C29A9">
          <w:rPr>
            <w:noProof/>
            <w:webHidden/>
          </w:rPr>
          <w:fldChar w:fldCharType="begin"/>
        </w:r>
        <w:r w:rsidR="001C29A9">
          <w:rPr>
            <w:noProof/>
            <w:webHidden/>
          </w:rPr>
          <w:instrText xml:space="preserve"> PAGEREF _Toc117586270 \h </w:instrText>
        </w:r>
        <w:r w:rsidR="001C29A9">
          <w:rPr>
            <w:noProof/>
            <w:webHidden/>
          </w:rPr>
        </w:r>
        <w:r w:rsidR="001C29A9">
          <w:rPr>
            <w:noProof/>
            <w:webHidden/>
          </w:rPr>
          <w:fldChar w:fldCharType="separate"/>
        </w:r>
        <w:r>
          <w:rPr>
            <w:noProof/>
            <w:webHidden/>
          </w:rPr>
          <w:t>121</w:t>
        </w:r>
        <w:r w:rsidR="001C29A9">
          <w:rPr>
            <w:noProof/>
            <w:webHidden/>
          </w:rPr>
          <w:fldChar w:fldCharType="end"/>
        </w:r>
      </w:hyperlink>
    </w:p>
    <w:p w14:paraId="0542E681" w14:textId="7DF95692" w:rsidR="001C29A9" w:rsidRDefault="00087BE6">
      <w:pPr>
        <w:pStyle w:val="TOC1"/>
        <w:rPr>
          <w:rFonts w:asciiTheme="minorHAnsi" w:eastAsiaTheme="minorEastAsia" w:hAnsiTheme="minorHAnsi"/>
          <w:b w:val="0"/>
          <w:noProof/>
          <w:sz w:val="22"/>
          <w:lang w:eastAsia="en-AU"/>
        </w:rPr>
      </w:pPr>
      <w:hyperlink w:anchor="_Toc117586271" w:history="1">
        <w:r w:rsidR="001C29A9" w:rsidRPr="003849B6">
          <w:rPr>
            <w:rStyle w:val="Hyperlink"/>
            <w:noProof/>
          </w:rPr>
          <w:t>Style conventions</w:t>
        </w:r>
        <w:r w:rsidR="001C29A9">
          <w:rPr>
            <w:noProof/>
            <w:webHidden/>
          </w:rPr>
          <w:tab/>
        </w:r>
        <w:r w:rsidR="001C29A9">
          <w:rPr>
            <w:noProof/>
            <w:webHidden/>
          </w:rPr>
          <w:fldChar w:fldCharType="begin"/>
        </w:r>
        <w:r w:rsidR="001C29A9">
          <w:rPr>
            <w:noProof/>
            <w:webHidden/>
          </w:rPr>
          <w:instrText xml:space="preserve"> PAGEREF _Toc117586271 \h </w:instrText>
        </w:r>
        <w:r w:rsidR="001C29A9">
          <w:rPr>
            <w:noProof/>
            <w:webHidden/>
          </w:rPr>
        </w:r>
        <w:r w:rsidR="001C29A9">
          <w:rPr>
            <w:noProof/>
            <w:webHidden/>
          </w:rPr>
          <w:fldChar w:fldCharType="separate"/>
        </w:r>
        <w:r>
          <w:rPr>
            <w:noProof/>
            <w:webHidden/>
          </w:rPr>
          <w:t>123</w:t>
        </w:r>
        <w:r w:rsidR="001C29A9">
          <w:rPr>
            <w:noProof/>
            <w:webHidden/>
          </w:rPr>
          <w:fldChar w:fldCharType="end"/>
        </w:r>
      </w:hyperlink>
    </w:p>
    <w:p w14:paraId="284D0514" w14:textId="72919BCE" w:rsidR="00D57611" w:rsidRDefault="00FB71BE" w:rsidP="00D57611">
      <w:pPr>
        <w:pStyle w:val="TOC1"/>
        <w:keepLines w:val="0"/>
      </w:pPr>
      <w:r>
        <w:fldChar w:fldCharType="end"/>
      </w:r>
    </w:p>
    <w:p w14:paraId="249E16CE" w14:textId="77777777" w:rsidR="008D6F13" w:rsidRDefault="008D6F13" w:rsidP="00D57611">
      <w:pPr>
        <w:keepLines w:val="0"/>
        <w:sectPr w:rsidR="008D6F13" w:rsidSect="001F5FE3">
          <w:headerReference w:type="default" r:id="rId18"/>
          <w:footerReference w:type="even" r:id="rId19"/>
          <w:footerReference w:type="default" r:id="rId20"/>
          <w:headerReference w:type="first" r:id="rId21"/>
          <w:footerReference w:type="first" r:id="rId22"/>
          <w:pgSz w:w="9979" w:h="14175" w:code="9"/>
          <w:pgMar w:top="1134" w:right="1134" w:bottom="567" w:left="1134" w:header="624" w:footer="567" w:gutter="0"/>
          <w:pgNumType w:start="1"/>
          <w:cols w:space="708"/>
          <w:docGrid w:linePitch="360"/>
        </w:sectPr>
      </w:pPr>
    </w:p>
    <w:p w14:paraId="5639D913" w14:textId="77777777" w:rsidR="00C424E5" w:rsidRDefault="00C424E5" w:rsidP="006448B4">
      <w:pPr>
        <w:pStyle w:val="ChapterHeading"/>
      </w:pPr>
      <w:bookmarkStart w:id="1" w:name="_Toc117586236"/>
      <w:r>
        <w:lastRenderedPageBreak/>
        <w:t>O</w:t>
      </w:r>
      <w:r w:rsidRPr="00BA2C2C">
        <w:t>verview</w:t>
      </w:r>
      <w:bookmarkEnd w:id="1"/>
    </w:p>
    <w:p w14:paraId="04498366" w14:textId="77777777" w:rsidR="00C424E5" w:rsidRPr="00336419" w:rsidRDefault="00C424E5" w:rsidP="00B70498">
      <w:bookmarkStart w:id="2" w:name="_Hlk525034751"/>
      <w:r w:rsidRPr="00336419">
        <w:t>Against the backdrop of the unprecedented COVID-19 pandemic and uncertain global conditions, the Government</w:t>
      </w:r>
      <w:r>
        <w:t xml:space="preserve"> has</w:t>
      </w:r>
      <w:r w:rsidRPr="00336419">
        <w:t xml:space="preserve"> continued to deliver for all Victorians: record investment in hospitals, healthcare and healthcare workers; building a world-class education system; building new trains, trams, tunnels and roads; and creating more jobs for Victorians through the</w:t>
      </w:r>
      <w:r>
        <w:t xml:space="preserve"> Government’s</w:t>
      </w:r>
      <w:r w:rsidRPr="00336419">
        <w:t xml:space="preserve"> </w:t>
      </w:r>
      <w:r w:rsidRPr="00336419">
        <w:rPr>
          <w:i/>
          <w:iCs/>
        </w:rPr>
        <w:t>Jobs Plan</w:t>
      </w:r>
      <w:r w:rsidRPr="00336419">
        <w:t xml:space="preserve">. </w:t>
      </w:r>
    </w:p>
    <w:p w14:paraId="13429D33" w14:textId="77777777" w:rsidR="00C424E5" w:rsidRPr="000A6EA9" w:rsidRDefault="00C424E5" w:rsidP="00B70498">
      <w:r>
        <w:t>Following recent f</w:t>
      </w:r>
      <w:r w:rsidRPr="000A6EA9">
        <w:t>lood events across the State</w:t>
      </w:r>
      <w:r>
        <w:t>,</w:t>
      </w:r>
      <w:r w:rsidRPr="000A6EA9">
        <w:t xml:space="preserve"> Victorians, </w:t>
      </w:r>
      <w:r>
        <w:t>g</w:t>
      </w:r>
      <w:r w:rsidRPr="000A6EA9">
        <w:t xml:space="preserve">overnment agencies, and emergency services </w:t>
      </w:r>
      <w:r>
        <w:t>have worked</w:t>
      </w:r>
      <w:r w:rsidRPr="000A6EA9">
        <w:t xml:space="preserve"> together to keep families safe.</w:t>
      </w:r>
    </w:p>
    <w:p w14:paraId="7D956964" w14:textId="77777777" w:rsidR="00C424E5" w:rsidRPr="000A6EA9" w:rsidRDefault="00C424E5" w:rsidP="00B70498">
      <w:r w:rsidRPr="000A6EA9">
        <w:t>The Government has acted quickly to ensure flood affected Victorians can access crisis accommodation and financial support to help them through this challenging time</w:t>
      </w:r>
      <w:r>
        <w:t>, along with immediate funding to repair damaged roads and for clean-up efforts.</w:t>
      </w:r>
    </w:p>
    <w:p w14:paraId="67F9268C" w14:textId="77777777" w:rsidR="00C424E5" w:rsidRDefault="00C424E5" w:rsidP="00B70498">
      <w:pPr>
        <w:ind w:right="-100"/>
      </w:pPr>
      <w:r w:rsidRPr="000A6EA9">
        <w:t>Victoria’s economy has recovered strongly from the COVID-19 pandemic, aided by the Government’s strong economic responses. Real gross state product (GSP) is estimated to have grown by 5.00 per cent in 2021-22 and is forecast to grow by 3.00 per cent in 2022</w:t>
      </w:r>
      <w:r>
        <w:noBreakHyphen/>
      </w:r>
      <w:r w:rsidRPr="000A6EA9">
        <w:t xml:space="preserve">23. Elevated business investment intentions, strong demand for workers and a high level of household savings are expected to support growth. Growth will be tempered, though, by rising interest rates as the </w:t>
      </w:r>
      <w:r w:rsidRPr="000A6EA9">
        <w:rPr>
          <w:rFonts w:ascii="Garamond" w:hAnsi="Garamond"/>
        </w:rPr>
        <w:t xml:space="preserve">Reserve Bank of Australia </w:t>
      </w:r>
      <w:r w:rsidRPr="000A6EA9">
        <w:t>seeks to contain a sharp rise in inflation in Australia, and by a weak</w:t>
      </w:r>
      <w:r>
        <w:t>er</w:t>
      </w:r>
      <w:r w:rsidRPr="000A6EA9">
        <w:t xml:space="preserve"> global economic outlook</w:t>
      </w:r>
      <w:r>
        <w:t>.</w:t>
      </w:r>
    </w:p>
    <w:bookmarkEnd w:id="2"/>
    <w:p w14:paraId="5C48C790" w14:textId="77777777" w:rsidR="00C424E5" w:rsidRDefault="00C424E5" w:rsidP="00B70498">
      <w:r w:rsidRPr="0027286E">
        <w:t xml:space="preserve">Victoria’s labour market is strong. </w:t>
      </w:r>
      <w:r w:rsidRPr="00D06284">
        <w:t xml:space="preserve">Employment grew by 3.9 per cent in 2021-22, with the increase driven by full-time employment, and the unemployment rate </w:t>
      </w:r>
      <w:r>
        <w:t>is around</w:t>
      </w:r>
      <w:r w:rsidRPr="00D06284">
        <w:t xml:space="preserve"> its lowest levels since the 1970s. Since its trough in September 2020, employment has risen by </w:t>
      </w:r>
      <w:r w:rsidRPr="0095606C">
        <w:t>313 000</w:t>
      </w:r>
      <w:r w:rsidRPr="00D06284">
        <w:t xml:space="preserve"> persons</w:t>
      </w:r>
      <w:r>
        <w:t>, far exceeding the Government’s interim jobs target of 200 000 jobs created by 2022, and the economy is well on track to meet the overall target of 400 000 jobs by 2025.</w:t>
      </w:r>
      <w:r w:rsidDel="00FB2C09">
        <w:t xml:space="preserve"> </w:t>
      </w:r>
    </w:p>
    <w:p w14:paraId="6F1CBF11" w14:textId="77777777" w:rsidR="00C424E5" w:rsidRDefault="00C424E5" w:rsidP="00B70498">
      <w:r w:rsidRPr="0027286E">
        <w:t xml:space="preserve">While the outlook for Victoria is positive, risks remain greater than normal. </w:t>
      </w:r>
      <w:r w:rsidRPr="00563ED2">
        <w:t xml:space="preserve">The risks to Victoria’s outlook include uncertainty around the outlook for domestic and global inflation, interest rates, geopolitical conditions, </w:t>
      </w:r>
      <w:r>
        <w:t xml:space="preserve">recent flood events, </w:t>
      </w:r>
      <w:r w:rsidRPr="00563ED2">
        <w:t>and ongoing impacts of the COVID-19 pandemic.</w:t>
      </w:r>
    </w:p>
    <w:p w14:paraId="3CDAF4A0" w14:textId="77777777" w:rsidR="00C424E5" w:rsidRDefault="00C424E5" w:rsidP="00B70498">
      <w:pPr>
        <w:pStyle w:val="Heading10"/>
        <w:pageBreakBefore/>
      </w:pPr>
      <w:bookmarkStart w:id="3" w:name="_Toc71913882"/>
      <w:bookmarkStart w:id="4" w:name="_Toc89423574"/>
      <w:bookmarkStart w:id="5" w:name="_Toc101972142"/>
      <w:bookmarkStart w:id="6" w:name="_Toc117586237"/>
      <w:r>
        <w:lastRenderedPageBreak/>
        <w:t>Strong financial management</w:t>
      </w:r>
      <w:bookmarkEnd w:id="3"/>
      <w:bookmarkEnd w:id="4"/>
      <w:bookmarkEnd w:id="5"/>
      <w:bookmarkEnd w:id="6"/>
    </w:p>
    <w:p w14:paraId="36E764EF" w14:textId="77777777" w:rsidR="00C424E5" w:rsidRDefault="00C424E5" w:rsidP="00B70498">
      <w:r w:rsidRPr="00B610E7">
        <w:rPr>
          <w:color w:val="000000" w:themeColor="text1"/>
        </w:rPr>
        <w:t xml:space="preserve">As </w:t>
      </w:r>
      <w:r>
        <w:rPr>
          <w:color w:val="000000" w:themeColor="text1"/>
        </w:rPr>
        <w:t xml:space="preserve">first </w:t>
      </w:r>
      <w:r w:rsidRPr="00B610E7">
        <w:rPr>
          <w:color w:val="000000" w:themeColor="text1"/>
        </w:rPr>
        <w:t xml:space="preserve">outlined in the </w:t>
      </w:r>
      <w:r w:rsidRPr="00B610E7">
        <w:rPr>
          <w:i/>
          <w:iCs/>
          <w:color w:val="000000" w:themeColor="text1"/>
        </w:rPr>
        <w:t>202</w:t>
      </w:r>
      <w:r>
        <w:rPr>
          <w:i/>
          <w:iCs/>
          <w:color w:val="000000" w:themeColor="text1"/>
        </w:rPr>
        <w:t>0-21</w:t>
      </w:r>
      <w:r w:rsidRPr="00B610E7">
        <w:rPr>
          <w:i/>
          <w:iCs/>
          <w:color w:val="000000" w:themeColor="text1"/>
        </w:rPr>
        <w:t xml:space="preserve"> Budget</w:t>
      </w:r>
      <w:r>
        <w:t>, the Government developed a fiscal strategy to manage the extreme circumstances the State was facing and to provide the foundations for recovery. It involves a four-step plan to support Victorians through the COVID-19 pandemic and to restore the budget position over the medium term. The four-step plan provided a clear framework:</w:t>
      </w:r>
    </w:p>
    <w:p w14:paraId="6617F140" w14:textId="77777777" w:rsidR="00C424E5" w:rsidRDefault="00C424E5" w:rsidP="00B70498">
      <w:pPr>
        <w:pStyle w:val="ListBullet"/>
        <w:numPr>
          <w:ilvl w:val="0"/>
          <w:numId w:val="0"/>
        </w:numPr>
      </w:pPr>
      <w:r w:rsidRPr="001E77B6">
        <w:rPr>
          <w:b/>
          <w:bCs/>
        </w:rPr>
        <w:t>Step 1</w:t>
      </w:r>
      <w:r>
        <w:t>: creating jobs, reducing unemployment and restoring economic growth</w:t>
      </w:r>
    </w:p>
    <w:p w14:paraId="3F8F0894" w14:textId="77777777" w:rsidR="00C424E5" w:rsidRDefault="00C424E5" w:rsidP="00B70498">
      <w:pPr>
        <w:pStyle w:val="ListBullet"/>
        <w:numPr>
          <w:ilvl w:val="0"/>
          <w:numId w:val="0"/>
        </w:numPr>
      </w:pPr>
      <w:r w:rsidRPr="001E77B6">
        <w:rPr>
          <w:b/>
          <w:bCs/>
        </w:rPr>
        <w:t>Step 2</w:t>
      </w:r>
      <w:r>
        <w:t>: returning to an operating cash surplus</w:t>
      </w:r>
    </w:p>
    <w:p w14:paraId="6D48F7EB" w14:textId="77777777" w:rsidR="00C424E5" w:rsidRDefault="00C424E5" w:rsidP="00B70498">
      <w:pPr>
        <w:pStyle w:val="ListBullet"/>
        <w:numPr>
          <w:ilvl w:val="0"/>
          <w:numId w:val="0"/>
        </w:numPr>
      </w:pPr>
      <w:r w:rsidRPr="001E77B6">
        <w:rPr>
          <w:b/>
          <w:bCs/>
        </w:rPr>
        <w:t>Step 3</w:t>
      </w:r>
      <w:r>
        <w:t>: returning to operating surpluses</w:t>
      </w:r>
    </w:p>
    <w:p w14:paraId="235BF0A1" w14:textId="77777777" w:rsidR="00C424E5" w:rsidRDefault="00C424E5" w:rsidP="00B70498">
      <w:pPr>
        <w:pStyle w:val="ListBullet"/>
        <w:numPr>
          <w:ilvl w:val="0"/>
          <w:numId w:val="0"/>
        </w:numPr>
      </w:pPr>
      <w:r w:rsidRPr="001E77B6">
        <w:rPr>
          <w:b/>
          <w:bCs/>
        </w:rPr>
        <w:t>Step 4</w:t>
      </w:r>
      <w:r>
        <w:t>: stabilising debt levels.</w:t>
      </w:r>
    </w:p>
    <w:p w14:paraId="192B0684" w14:textId="77777777" w:rsidR="00C424E5" w:rsidRPr="006217AA" w:rsidRDefault="00C424E5" w:rsidP="00B70498">
      <w:pPr>
        <w:pStyle w:val="Heading20"/>
      </w:pPr>
      <w:r w:rsidRPr="006217AA">
        <w:t xml:space="preserve">Progress towards </w:t>
      </w:r>
      <w:r>
        <w:t>achieving</w:t>
      </w:r>
      <w:r w:rsidRPr="006217AA">
        <w:t xml:space="preserve"> the Government</w:t>
      </w:r>
      <w:r>
        <w:t>’</w:t>
      </w:r>
      <w:r w:rsidRPr="006217AA">
        <w:t>s fiscal strategy</w:t>
      </w:r>
    </w:p>
    <w:p w14:paraId="22A5A802" w14:textId="77777777" w:rsidR="00C424E5" w:rsidRDefault="00C424E5" w:rsidP="00B70498">
      <w:r>
        <w:t xml:space="preserve">Recent economic indicators have shown that this strategy is working, with the economy rebounding strongly. The </w:t>
      </w:r>
      <w:r w:rsidRPr="00271AB4">
        <w:rPr>
          <w:i/>
          <w:iCs/>
        </w:rPr>
        <w:t>2022-23 Budget</w:t>
      </w:r>
      <w:r>
        <w:t xml:space="preserve"> forecast significant improvement in the State’s key fiscal aggregates. </w:t>
      </w:r>
    </w:p>
    <w:p w14:paraId="482B1517" w14:textId="77777777" w:rsidR="00C424E5" w:rsidRDefault="00C424E5" w:rsidP="00B70498">
      <w:r>
        <w:t>The first step – creating jobs, reducing unemployment and restoring economic growth – has progressed well, with strong employment growth and the unemployment rate near a 50-year low.</w:t>
      </w:r>
    </w:p>
    <w:p w14:paraId="37D4EE52" w14:textId="77777777" w:rsidR="00C424E5" w:rsidRDefault="00C424E5" w:rsidP="00B70498">
      <w:r>
        <w:t>The second step in the Government’s fiscal strategy, returning to an operating cash surplus, means the State is generating sufficient cash inflows to exceed its cash outflows on operating activities, a key pillar of fiscal sustainability. The Government continues to forecast an operating cash surplus from 2022-23 onwards,</w:t>
      </w:r>
      <w:r w:rsidRPr="00FE5711">
        <w:t xml:space="preserve"> </w:t>
      </w:r>
      <w:r>
        <w:t xml:space="preserve">in line with the </w:t>
      </w:r>
      <w:r w:rsidRPr="00AA2446">
        <w:rPr>
          <w:i/>
          <w:iCs/>
        </w:rPr>
        <w:t>202</w:t>
      </w:r>
      <w:r>
        <w:rPr>
          <w:i/>
          <w:iCs/>
        </w:rPr>
        <w:t>2</w:t>
      </w:r>
      <w:r>
        <w:rPr>
          <w:i/>
          <w:iCs/>
        </w:rPr>
        <w:noBreakHyphen/>
      </w:r>
      <w:r w:rsidRPr="00AA2446">
        <w:rPr>
          <w:i/>
          <w:iCs/>
        </w:rPr>
        <w:t>2</w:t>
      </w:r>
      <w:r>
        <w:rPr>
          <w:i/>
          <w:iCs/>
        </w:rPr>
        <w:t>3 </w:t>
      </w:r>
      <w:r w:rsidRPr="00AA2446">
        <w:rPr>
          <w:i/>
          <w:iCs/>
        </w:rPr>
        <w:t>Budget</w:t>
      </w:r>
      <w:r>
        <w:t>.</w:t>
      </w:r>
    </w:p>
    <w:p w14:paraId="7EC786E4" w14:textId="46695EC2" w:rsidR="00C424E5" w:rsidRDefault="00C424E5" w:rsidP="00B70498">
      <w:r>
        <w:t xml:space="preserve">The third step, returning to an operating surplus, is important as this is where the Government generates sufficient revenues to not just cover its cash expenditure, but also support the ongoing replacement of existing assets. The Government is forecasting an operating surplus of </w:t>
      </w:r>
      <w:r>
        <w:rPr>
          <w:color w:val="000000" w:themeColor="text1"/>
        </w:rPr>
        <w:t xml:space="preserve">$0.9 billion in </w:t>
      </w:r>
      <w:r w:rsidRPr="0084084C">
        <w:rPr>
          <w:color w:val="000000" w:themeColor="text1"/>
        </w:rPr>
        <w:t>202</w:t>
      </w:r>
      <w:r>
        <w:rPr>
          <w:color w:val="000000" w:themeColor="text1"/>
        </w:rPr>
        <w:t>5-26</w:t>
      </w:r>
      <w:r>
        <w:t>,</w:t>
      </w:r>
      <w:r w:rsidRPr="00FE5711">
        <w:t xml:space="preserve"> </w:t>
      </w:r>
      <w:r w:rsidR="00E537BA">
        <w:t>a slight improvement from</w:t>
      </w:r>
      <w:r>
        <w:t xml:space="preserve"> the </w:t>
      </w:r>
      <w:r w:rsidRPr="00AA2446">
        <w:rPr>
          <w:i/>
          <w:iCs/>
        </w:rPr>
        <w:t>202</w:t>
      </w:r>
      <w:r>
        <w:rPr>
          <w:i/>
          <w:iCs/>
        </w:rPr>
        <w:t>2</w:t>
      </w:r>
      <w:r>
        <w:rPr>
          <w:i/>
          <w:iCs/>
        </w:rPr>
        <w:noBreakHyphen/>
      </w:r>
      <w:r w:rsidRPr="00AA2446">
        <w:rPr>
          <w:i/>
          <w:iCs/>
        </w:rPr>
        <w:t>2</w:t>
      </w:r>
      <w:r>
        <w:rPr>
          <w:i/>
          <w:iCs/>
        </w:rPr>
        <w:t>3 </w:t>
      </w:r>
      <w:r w:rsidRPr="00AA2446">
        <w:rPr>
          <w:i/>
          <w:iCs/>
        </w:rPr>
        <w:t>Budget</w:t>
      </w:r>
      <w:r>
        <w:t>.</w:t>
      </w:r>
    </w:p>
    <w:p w14:paraId="478EE77E" w14:textId="77777777" w:rsidR="00C424E5" w:rsidRDefault="00C424E5" w:rsidP="00B70498">
      <w:r>
        <w:t>The fourth and final step in the Government’s fiscal strategy, stabilising net debt</w:t>
      </w:r>
      <w:r w:rsidRPr="000C7359">
        <w:t xml:space="preserve"> as a percentage of GSP</w:t>
      </w:r>
      <w:r>
        <w:t>, remains an important medium-term objective</w:t>
      </w:r>
      <w:r w:rsidRPr="000C7359">
        <w:t>.</w:t>
      </w:r>
    </w:p>
    <w:p w14:paraId="5053A09E" w14:textId="43CC5B00" w:rsidR="00C424E5" w:rsidRDefault="00C424E5" w:rsidP="006448B4">
      <w:pPr>
        <w:ind w:right="-86"/>
      </w:pPr>
      <w:r>
        <w:t xml:space="preserve">Net debt is expected to be </w:t>
      </w:r>
      <w:r w:rsidRPr="001604CB">
        <w:t>$11</w:t>
      </w:r>
      <w:r>
        <w:t>5.6</w:t>
      </w:r>
      <w:r w:rsidRPr="001604CB">
        <w:t xml:space="preserve"> billion</w:t>
      </w:r>
      <w:r>
        <w:t xml:space="preserve"> at June 2023 and </w:t>
      </w:r>
      <w:r w:rsidRPr="001604CB">
        <w:t>$16</w:t>
      </w:r>
      <w:r>
        <w:t>5</w:t>
      </w:r>
      <w:r w:rsidRPr="001604CB">
        <w:t>.</w:t>
      </w:r>
      <w:r>
        <w:t>4</w:t>
      </w:r>
      <w:r w:rsidRPr="001604CB">
        <w:t xml:space="preserve"> billion</w:t>
      </w:r>
      <w:r>
        <w:t xml:space="preserve"> by June 2026,</w:t>
      </w:r>
      <w:r w:rsidRPr="00F651D5">
        <w:t xml:space="preserve"> lower in each year of the forward estimates than was forecast in the </w:t>
      </w:r>
      <w:r w:rsidRPr="00F651D5">
        <w:rPr>
          <w:i/>
          <w:iCs/>
        </w:rPr>
        <w:t>2022-23 Budget</w:t>
      </w:r>
      <w:r w:rsidRPr="00F651D5">
        <w:t>.</w:t>
      </w:r>
      <w:r>
        <w:t xml:space="preserve"> As a proportion of GSP, net debt is projected to be </w:t>
      </w:r>
      <w:r w:rsidRPr="001604CB">
        <w:t>2</w:t>
      </w:r>
      <w:r>
        <w:t>0</w:t>
      </w:r>
      <w:r w:rsidRPr="001604CB">
        <w:t>.</w:t>
      </w:r>
      <w:r>
        <w:t>4</w:t>
      </w:r>
      <w:r w:rsidRPr="001604CB">
        <w:t xml:space="preserve"> per cent at June 2023 and 2</w:t>
      </w:r>
      <w:r>
        <w:t>4</w:t>
      </w:r>
      <w:r w:rsidRPr="001604CB">
        <w:t>.</w:t>
      </w:r>
      <w:r>
        <w:t>8 </w:t>
      </w:r>
      <w:r w:rsidRPr="001604CB">
        <w:t>per</w:t>
      </w:r>
      <w:r>
        <w:t> </w:t>
      </w:r>
      <w:r w:rsidRPr="001604CB">
        <w:t>cent by</w:t>
      </w:r>
      <w:r>
        <w:t xml:space="preserve"> June 2026, </w:t>
      </w:r>
      <w:bookmarkStart w:id="7" w:name="_Hlk116975359"/>
      <w:r w:rsidRPr="00293560">
        <w:t>1.</w:t>
      </w:r>
      <w:r>
        <w:t>7</w:t>
      </w:r>
      <w:r w:rsidRPr="00172756">
        <w:t xml:space="preserve"> percentage points lower than forecast in the </w:t>
      </w:r>
      <w:r w:rsidRPr="00293560">
        <w:rPr>
          <w:i/>
          <w:iCs/>
        </w:rPr>
        <w:t>2022</w:t>
      </w:r>
      <w:r w:rsidRPr="00293560">
        <w:rPr>
          <w:i/>
          <w:iCs/>
        </w:rPr>
        <w:noBreakHyphen/>
        <w:t>23 Budget</w:t>
      </w:r>
      <w:r w:rsidRPr="00172756">
        <w:t>.</w:t>
      </w:r>
      <w:bookmarkEnd w:id="7"/>
    </w:p>
    <w:p w14:paraId="3345B10E" w14:textId="77777777" w:rsidR="00C424E5" w:rsidRDefault="00C424E5" w:rsidP="006448B4">
      <w:pPr>
        <w:ind w:right="-86"/>
      </w:pPr>
      <w:r>
        <w:br w:type="page"/>
      </w:r>
    </w:p>
    <w:p w14:paraId="13A62FE5" w14:textId="660F6F85" w:rsidR="00C424E5" w:rsidRDefault="00C424E5" w:rsidP="00436CA8">
      <w:pPr>
        <w:pStyle w:val="TableHeading"/>
      </w:pPr>
      <w:r w:rsidRPr="00F8150E">
        <w:lastRenderedPageBreak/>
        <w:t xml:space="preserve">Table 1: </w:t>
      </w:r>
      <w:r w:rsidRPr="00F8150E">
        <w:tab/>
        <w:t>General government fiscal aggregates</w:t>
      </w:r>
    </w:p>
    <w:tbl>
      <w:tblPr>
        <w:tblStyle w:val="DTFTableNumeric"/>
        <w:tblW w:w="7710" w:type="dxa"/>
        <w:tblLayout w:type="fixed"/>
        <w:tblLook w:val="06A0" w:firstRow="1" w:lastRow="0" w:firstColumn="1" w:lastColumn="0" w:noHBand="1" w:noVBand="1"/>
      </w:tblPr>
      <w:tblGrid>
        <w:gridCol w:w="3686"/>
        <w:gridCol w:w="848"/>
        <w:gridCol w:w="794"/>
        <w:gridCol w:w="794"/>
        <w:gridCol w:w="794"/>
        <w:gridCol w:w="794"/>
      </w:tblGrid>
      <w:tr w:rsidR="00C424E5" w14:paraId="70B3014D" w14:textId="77777777" w:rsidTr="00436CA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6" w:type="dxa"/>
          </w:tcPr>
          <w:p w14:paraId="69881471" w14:textId="337144E4" w:rsidR="00C424E5" w:rsidRDefault="00C424E5"/>
        </w:tc>
        <w:tc>
          <w:tcPr>
            <w:tcW w:w="848" w:type="dxa"/>
          </w:tcPr>
          <w:p w14:paraId="2485325B" w14:textId="77777777" w:rsidR="00C424E5" w:rsidRDefault="00C424E5" w:rsidP="00436CA8">
            <w:pPr>
              <w:jc w:val="center"/>
              <w:cnfStyle w:val="100000000000" w:firstRow="1" w:lastRow="0" w:firstColumn="0" w:lastColumn="0" w:oddVBand="0" w:evenVBand="0" w:oddHBand="0" w:evenHBand="0" w:firstRowFirstColumn="0" w:firstRowLastColumn="0" w:lastRowFirstColumn="0" w:lastRowLastColumn="0"/>
            </w:pPr>
            <w:r>
              <w:t>Unit of</w:t>
            </w:r>
            <w:r>
              <w:rPr>
                <w:i w:val="0"/>
              </w:rPr>
              <w:br/>
            </w:r>
            <w:r>
              <w:t>measure</w:t>
            </w:r>
          </w:p>
        </w:tc>
        <w:tc>
          <w:tcPr>
            <w:tcW w:w="794" w:type="dxa"/>
          </w:tcPr>
          <w:p w14:paraId="24E997D7" w14:textId="77777777" w:rsidR="00C424E5" w:rsidRDefault="00C424E5" w:rsidP="00EF670B">
            <w:pPr>
              <w:cnfStyle w:val="100000000000" w:firstRow="1" w:lastRow="0" w:firstColumn="0" w:lastColumn="0" w:oddVBand="0" w:evenVBand="0" w:oddHBand="0" w:evenHBand="0" w:firstRowFirstColumn="0" w:firstRowLastColumn="0" w:lastRowFirstColumn="0" w:lastRowLastColumn="0"/>
            </w:pPr>
            <w:r>
              <w:t>2022</w:t>
            </w:r>
            <w:r>
              <w:noBreakHyphen/>
              <w:t>23</w:t>
            </w:r>
            <w:r>
              <w:rPr>
                <w:i w:val="0"/>
              </w:rPr>
              <w:br/>
            </w:r>
            <w:r>
              <w:t>revised</w:t>
            </w:r>
          </w:p>
        </w:tc>
        <w:tc>
          <w:tcPr>
            <w:tcW w:w="794" w:type="dxa"/>
          </w:tcPr>
          <w:p w14:paraId="3072D139" w14:textId="77777777" w:rsidR="00C424E5" w:rsidRDefault="00C424E5" w:rsidP="00A83454">
            <w:pPr>
              <w:cnfStyle w:val="100000000000" w:firstRow="1" w:lastRow="0" w:firstColumn="0" w:lastColumn="0" w:oddVBand="0" w:evenVBand="0" w:oddHBand="0" w:evenHBand="0" w:firstRowFirstColumn="0" w:firstRowLastColumn="0" w:lastRowFirstColumn="0" w:lastRowLastColumn="0"/>
            </w:pPr>
            <w:r>
              <w:t>2023</w:t>
            </w:r>
            <w:r>
              <w:noBreakHyphen/>
              <w:t>24</w:t>
            </w:r>
            <w:r>
              <w:rPr>
                <w:i w:val="0"/>
              </w:rPr>
              <w:br/>
            </w:r>
            <w:r>
              <w:t>estimate</w:t>
            </w:r>
          </w:p>
        </w:tc>
        <w:tc>
          <w:tcPr>
            <w:tcW w:w="794" w:type="dxa"/>
          </w:tcPr>
          <w:p w14:paraId="3FD14170" w14:textId="77777777" w:rsidR="00C424E5" w:rsidRDefault="00C424E5" w:rsidP="00B03898">
            <w:pPr>
              <w:cnfStyle w:val="100000000000" w:firstRow="1" w:lastRow="0" w:firstColumn="0" w:lastColumn="0" w:oddVBand="0" w:evenVBand="0" w:oddHBand="0" w:evenHBand="0" w:firstRowFirstColumn="0" w:firstRowLastColumn="0" w:lastRowFirstColumn="0" w:lastRowLastColumn="0"/>
            </w:pPr>
            <w:r>
              <w:t>2024</w:t>
            </w:r>
            <w:r>
              <w:noBreakHyphen/>
              <w:t>25</w:t>
            </w:r>
            <w:r>
              <w:rPr>
                <w:i w:val="0"/>
              </w:rPr>
              <w:br/>
            </w:r>
            <w:r>
              <w:t>estimate</w:t>
            </w:r>
          </w:p>
        </w:tc>
        <w:tc>
          <w:tcPr>
            <w:tcW w:w="794" w:type="dxa"/>
          </w:tcPr>
          <w:p w14:paraId="59C83556" w14:textId="77777777" w:rsidR="00C424E5" w:rsidRDefault="00C424E5" w:rsidP="00A91106">
            <w:pPr>
              <w:cnfStyle w:val="100000000000" w:firstRow="1" w:lastRow="0" w:firstColumn="0" w:lastColumn="0" w:oddVBand="0" w:evenVBand="0" w:oddHBand="0" w:evenHBand="0" w:firstRowFirstColumn="0" w:firstRowLastColumn="0" w:lastRowFirstColumn="0" w:lastRowLastColumn="0"/>
            </w:pPr>
            <w:r>
              <w:t>2025</w:t>
            </w:r>
            <w:r>
              <w:noBreakHyphen/>
              <w:t>26</w:t>
            </w:r>
            <w:r>
              <w:rPr>
                <w:i w:val="0"/>
              </w:rPr>
              <w:br/>
            </w:r>
            <w:r>
              <w:t>estimate</w:t>
            </w:r>
          </w:p>
        </w:tc>
      </w:tr>
      <w:tr w:rsidR="00C424E5" w14:paraId="20958E79" w14:textId="77777777" w:rsidTr="00436CA8">
        <w:tc>
          <w:tcPr>
            <w:cnfStyle w:val="001000000000" w:firstRow="0" w:lastRow="0" w:firstColumn="1" w:lastColumn="0" w:oddVBand="0" w:evenVBand="0" w:oddHBand="0" w:evenHBand="0" w:firstRowFirstColumn="0" w:firstRowLastColumn="0" w:lastRowFirstColumn="0" w:lastRowLastColumn="0"/>
            <w:tcW w:w="3686" w:type="dxa"/>
          </w:tcPr>
          <w:p w14:paraId="1E45D7BE" w14:textId="77777777" w:rsidR="00C424E5" w:rsidRDefault="00C424E5">
            <w:r>
              <w:t>Net result from transactions</w:t>
            </w:r>
          </w:p>
        </w:tc>
        <w:tc>
          <w:tcPr>
            <w:tcW w:w="848" w:type="dxa"/>
          </w:tcPr>
          <w:p w14:paraId="787255BC" w14:textId="77777777" w:rsidR="00C424E5" w:rsidRDefault="00C424E5" w:rsidP="00436CA8">
            <w:pPr>
              <w:jc w:val="center"/>
              <w:cnfStyle w:val="000000000000" w:firstRow="0" w:lastRow="0" w:firstColumn="0" w:lastColumn="0" w:oddVBand="0" w:evenVBand="0" w:oddHBand="0" w:evenHBand="0" w:firstRowFirstColumn="0" w:firstRowLastColumn="0" w:lastRowFirstColumn="0" w:lastRowLastColumn="0"/>
            </w:pPr>
            <w:r>
              <w:t>$ billion</w:t>
            </w:r>
          </w:p>
        </w:tc>
        <w:tc>
          <w:tcPr>
            <w:tcW w:w="794" w:type="dxa"/>
          </w:tcPr>
          <w:p w14:paraId="554FF299" w14:textId="77777777" w:rsidR="00C424E5" w:rsidRDefault="00C424E5">
            <w:pPr>
              <w:cnfStyle w:val="000000000000" w:firstRow="0" w:lastRow="0" w:firstColumn="0" w:lastColumn="0" w:oddVBand="0" w:evenVBand="0" w:oddHBand="0" w:evenHBand="0" w:firstRowFirstColumn="0" w:firstRowLastColumn="0" w:lastRowFirstColumn="0" w:lastRowLastColumn="0"/>
            </w:pPr>
            <w:r>
              <w:t>(9.7)</w:t>
            </w:r>
          </w:p>
        </w:tc>
        <w:tc>
          <w:tcPr>
            <w:tcW w:w="794" w:type="dxa"/>
          </w:tcPr>
          <w:p w14:paraId="771AC799" w14:textId="77777777" w:rsidR="00C424E5" w:rsidRDefault="00C424E5">
            <w:pPr>
              <w:cnfStyle w:val="000000000000" w:firstRow="0" w:lastRow="0" w:firstColumn="0" w:lastColumn="0" w:oddVBand="0" w:evenVBand="0" w:oddHBand="0" w:evenHBand="0" w:firstRowFirstColumn="0" w:firstRowLastColumn="0" w:lastRowFirstColumn="0" w:lastRowLastColumn="0"/>
            </w:pPr>
            <w:r>
              <w:t>(3.6)</w:t>
            </w:r>
          </w:p>
        </w:tc>
        <w:tc>
          <w:tcPr>
            <w:tcW w:w="794" w:type="dxa"/>
          </w:tcPr>
          <w:p w14:paraId="596827A0" w14:textId="77777777" w:rsidR="00C424E5" w:rsidRDefault="00C424E5">
            <w:pPr>
              <w:cnfStyle w:val="000000000000" w:firstRow="0" w:lastRow="0" w:firstColumn="0" w:lastColumn="0" w:oddVBand="0" w:evenVBand="0" w:oddHBand="0" w:evenHBand="0" w:firstRowFirstColumn="0" w:firstRowLastColumn="0" w:lastRowFirstColumn="0" w:lastRowLastColumn="0"/>
            </w:pPr>
            <w:r>
              <w:t>(0.7)</w:t>
            </w:r>
          </w:p>
        </w:tc>
        <w:tc>
          <w:tcPr>
            <w:tcW w:w="794" w:type="dxa"/>
          </w:tcPr>
          <w:p w14:paraId="0BC50676" w14:textId="77777777" w:rsidR="00C424E5" w:rsidRDefault="00C424E5">
            <w:pPr>
              <w:cnfStyle w:val="000000000000" w:firstRow="0" w:lastRow="0" w:firstColumn="0" w:lastColumn="0" w:oddVBand="0" w:evenVBand="0" w:oddHBand="0" w:evenHBand="0" w:firstRowFirstColumn="0" w:firstRowLastColumn="0" w:lastRowFirstColumn="0" w:lastRowLastColumn="0"/>
            </w:pPr>
            <w:r>
              <w:t>0.9</w:t>
            </w:r>
          </w:p>
        </w:tc>
      </w:tr>
      <w:tr w:rsidR="00C424E5" w14:paraId="208499C1" w14:textId="77777777" w:rsidTr="00436CA8">
        <w:tc>
          <w:tcPr>
            <w:cnfStyle w:val="001000000000" w:firstRow="0" w:lastRow="0" w:firstColumn="1" w:lastColumn="0" w:oddVBand="0" w:evenVBand="0" w:oddHBand="0" w:evenHBand="0" w:firstRowFirstColumn="0" w:firstRowLastColumn="0" w:lastRowFirstColumn="0" w:lastRowLastColumn="0"/>
            <w:tcW w:w="3686" w:type="dxa"/>
          </w:tcPr>
          <w:p w14:paraId="248774E0" w14:textId="77777777" w:rsidR="00C424E5" w:rsidRDefault="00C424E5">
            <w:r>
              <w:t>Net cash flows from operating activities</w:t>
            </w:r>
          </w:p>
        </w:tc>
        <w:tc>
          <w:tcPr>
            <w:tcW w:w="848" w:type="dxa"/>
          </w:tcPr>
          <w:p w14:paraId="7B9B82B3" w14:textId="77777777" w:rsidR="00C424E5" w:rsidRDefault="00C424E5" w:rsidP="00436CA8">
            <w:pPr>
              <w:jc w:val="center"/>
              <w:cnfStyle w:val="000000000000" w:firstRow="0" w:lastRow="0" w:firstColumn="0" w:lastColumn="0" w:oddVBand="0" w:evenVBand="0" w:oddHBand="0" w:evenHBand="0" w:firstRowFirstColumn="0" w:firstRowLastColumn="0" w:lastRowFirstColumn="0" w:lastRowLastColumn="0"/>
            </w:pPr>
            <w:r>
              <w:t>$ billion</w:t>
            </w:r>
          </w:p>
        </w:tc>
        <w:tc>
          <w:tcPr>
            <w:tcW w:w="794" w:type="dxa"/>
          </w:tcPr>
          <w:p w14:paraId="17F1F841" w14:textId="77777777" w:rsidR="00C424E5" w:rsidRDefault="00C424E5">
            <w:pPr>
              <w:cnfStyle w:val="000000000000" w:firstRow="0" w:lastRow="0" w:firstColumn="0" w:lastColumn="0" w:oddVBand="0" w:evenVBand="0" w:oddHBand="0" w:evenHBand="0" w:firstRowFirstColumn="0" w:firstRowLastColumn="0" w:lastRowFirstColumn="0" w:lastRowLastColumn="0"/>
            </w:pPr>
            <w:r>
              <w:t>2.4</w:t>
            </w:r>
          </w:p>
        </w:tc>
        <w:tc>
          <w:tcPr>
            <w:tcW w:w="794" w:type="dxa"/>
          </w:tcPr>
          <w:p w14:paraId="38CD8664" w14:textId="77777777" w:rsidR="00C424E5" w:rsidRDefault="00C424E5">
            <w:pPr>
              <w:cnfStyle w:val="000000000000" w:firstRow="0" w:lastRow="0" w:firstColumn="0" w:lastColumn="0" w:oddVBand="0" w:evenVBand="0" w:oddHBand="0" w:evenHBand="0" w:firstRowFirstColumn="0" w:firstRowLastColumn="0" w:lastRowFirstColumn="0" w:lastRowLastColumn="0"/>
            </w:pPr>
            <w:r>
              <w:t>0.8</w:t>
            </w:r>
          </w:p>
        </w:tc>
        <w:tc>
          <w:tcPr>
            <w:tcW w:w="794" w:type="dxa"/>
          </w:tcPr>
          <w:p w14:paraId="3FA98DAF" w14:textId="77777777" w:rsidR="00C424E5" w:rsidRDefault="00C424E5">
            <w:pPr>
              <w:cnfStyle w:val="000000000000" w:firstRow="0" w:lastRow="0" w:firstColumn="0" w:lastColumn="0" w:oddVBand="0" w:evenVBand="0" w:oddHBand="0" w:evenHBand="0" w:firstRowFirstColumn="0" w:firstRowLastColumn="0" w:lastRowFirstColumn="0" w:lastRowLastColumn="0"/>
            </w:pPr>
            <w:r>
              <w:t>3.9</w:t>
            </w:r>
          </w:p>
        </w:tc>
        <w:tc>
          <w:tcPr>
            <w:tcW w:w="794" w:type="dxa"/>
          </w:tcPr>
          <w:p w14:paraId="66AD46DE" w14:textId="77777777" w:rsidR="00C424E5" w:rsidRDefault="00C424E5">
            <w:pPr>
              <w:cnfStyle w:val="000000000000" w:firstRow="0" w:lastRow="0" w:firstColumn="0" w:lastColumn="0" w:oddVBand="0" w:evenVBand="0" w:oddHBand="0" w:evenHBand="0" w:firstRowFirstColumn="0" w:firstRowLastColumn="0" w:lastRowFirstColumn="0" w:lastRowLastColumn="0"/>
            </w:pPr>
            <w:r>
              <w:t>5.3</w:t>
            </w:r>
          </w:p>
        </w:tc>
      </w:tr>
      <w:tr w:rsidR="00C424E5" w14:paraId="1580D60D" w14:textId="77777777" w:rsidTr="00436CA8">
        <w:tc>
          <w:tcPr>
            <w:cnfStyle w:val="001000000000" w:firstRow="0" w:lastRow="0" w:firstColumn="1" w:lastColumn="0" w:oddVBand="0" w:evenVBand="0" w:oddHBand="0" w:evenHBand="0" w:firstRowFirstColumn="0" w:firstRowLastColumn="0" w:lastRowFirstColumn="0" w:lastRowLastColumn="0"/>
            <w:tcW w:w="3686" w:type="dxa"/>
          </w:tcPr>
          <w:p w14:paraId="1A0B3232" w14:textId="77777777" w:rsidR="00C424E5" w:rsidRDefault="00C424E5">
            <w:r>
              <w:t xml:space="preserve">Government infrastructure investment </w:t>
            </w:r>
            <w:r>
              <w:rPr>
                <w:vertAlign w:val="superscript"/>
              </w:rPr>
              <w:t>(a)(b)</w:t>
            </w:r>
          </w:p>
        </w:tc>
        <w:tc>
          <w:tcPr>
            <w:tcW w:w="848" w:type="dxa"/>
          </w:tcPr>
          <w:p w14:paraId="3A915AAB" w14:textId="77777777" w:rsidR="00C424E5" w:rsidRDefault="00C424E5" w:rsidP="00436CA8">
            <w:pPr>
              <w:jc w:val="center"/>
              <w:cnfStyle w:val="000000000000" w:firstRow="0" w:lastRow="0" w:firstColumn="0" w:lastColumn="0" w:oddVBand="0" w:evenVBand="0" w:oddHBand="0" w:evenHBand="0" w:firstRowFirstColumn="0" w:firstRowLastColumn="0" w:lastRowFirstColumn="0" w:lastRowLastColumn="0"/>
            </w:pPr>
            <w:r>
              <w:t>$ billion</w:t>
            </w:r>
          </w:p>
        </w:tc>
        <w:tc>
          <w:tcPr>
            <w:tcW w:w="794" w:type="dxa"/>
          </w:tcPr>
          <w:p w14:paraId="755015EE" w14:textId="77777777" w:rsidR="00C424E5" w:rsidRDefault="00C424E5">
            <w:pPr>
              <w:cnfStyle w:val="000000000000" w:firstRow="0" w:lastRow="0" w:firstColumn="0" w:lastColumn="0" w:oddVBand="0" w:evenVBand="0" w:oddHBand="0" w:evenHBand="0" w:firstRowFirstColumn="0" w:firstRowLastColumn="0" w:lastRowFirstColumn="0" w:lastRowLastColumn="0"/>
            </w:pPr>
            <w:r>
              <w:t>21.2</w:t>
            </w:r>
          </w:p>
        </w:tc>
        <w:tc>
          <w:tcPr>
            <w:tcW w:w="794" w:type="dxa"/>
          </w:tcPr>
          <w:p w14:paraId="1C663410" w14:textId="77777777" w:rsidR="00C424E5" w:rsidRDefault="00C424E5">
            <w:pPr>
              <w:cnfStyle w:val="000000000000" w:firstRow="0" w:lastRow="0" w:firstColumn="0" w:lastColumn="0" w:oddVBand="0" w:evenVBand="0" w:oddHBand="0" w:evenHBand="0" w:firstRowFirstColumn="0" w:firstRowLastColumn="0" w:lastRowFirstColumn="0" w:lastRowLastColumn="0"/>
            </w:pPr>
            <w:r>
              <w:t>22.3</w:t>
            </w:r>
          </w:p>
        </w:tc>
        <w:tc>
          <w:tcPr>
            <w:tcW w:w="794" w:type="dxa"/>
          </w:tcPr>
          <w:p w14:paraId="17E8132C" w14:textId="77777777" w:rsidR="00C424E5" w:rsidRDefault="00C424E5">
            <w:pPr>
              <w:cnfStyle w:val="000000000000" w:firstRow="0" w:lastRow="0" w:firstColumn="0" w:lastColumn="0" w:oddVBand="0" w:evenVBand="0" w:oddHBand="0" w:evenHBand="0" w:firstRowFirstColumn="0" w:firstRowLastColumn="0" w:lastRowFirstColumn="0" w:lastRowLastColumn="0"/>
            </w:pPr>
            <w:r>
              <w:t>22.1</w:t>
            </w:r>
          </w:p>
        </w:tc>
        <w:tc>
          <w:tcPr>
            <w:tcW w:w="794" w:type="dxa"/>
          </w:tcPr>
          <w:p w14:paraId="3D342BCB" w14:textId="77777777" w:rsidR="00C424E5" w:rsidRDefault="00C424E5">
            <w:pPr>
              <w:cnfStyle w:val="000000000000" w:firstRow="0" w:lastRow="0" w:firstColumn="0" w:lastColumn="0" w:oddVBand="0" w:evenVBand="0" w:oddHBand="0" w:evenHBand="0" w:firstRowFirstColumn="0" w:firstRowLastColumn="0" w:lastRowFirstColumn="0" w:lastRowLastColumn="0"/>
            </w:pPr>
            <w:r>
              <w:t>20.6</w:t>
            </w:r>
          </w:p>
        </w:tc>
      </w:tr>
      <w:tr w:rsidR="00C424E5" w14:paraId="532C2CA1" w14:textId="77777777" w:rsidTr="00436CA8">
        <w:tc>
          <w:tcPr>
            <w:cnfStyle w:val="001000000000" w:firstRow="0" w:lastRow="0" w:firstColumn="1" w:lastColumn="0" w:oddVBand="0" w:evenVBand="0" w:oddHBand="0" w:evenHBand="0" w:firstRowFirstColumn="0" w:firstRowLastColumn="0" w:lastRowFirstColumn="0" w:lastRowLastColumn="0"/>
            <w:tcW w:w="3686" w:type="dxa"/>
          </w:tcPr>
          <w:p w14:paraId="0AA07942" w14:textId="77777777" w:rsidR="00C424E5" w:rsidRDefault="00C424E5">
            <w:r>
              <w:t>Net debt</w:t>
            </w:r>
          </w:p>
        </w:tc>
        <w:tc>
          <w:tcPr>
            <w:tcW w:w="848" w:type="dxa"/>
          </w:tcPr>
          <w:p w14:paraId="495885DC" w14:textId="77777777" w:rsidR="00C424E5" w:rsidRDefault="00C424E5" w:rsidP="00436CA8">
            <w:pPr>
              <w:jc w:val="center"/>
              <w:cnfStyle w:val="000000000000" w:firstRow="0" w:lastRow="0" w:firstColumn="0" w:lastColumn="0" w:oddVBand="0" w:evenVBand="0" w:oddHBand="0" w:evenHBand="0" w:firstRowFirstColumn="0" w:firstRowLastColumn="0" w:lastRowFirstColumn="0" w:lastRowLastColumn="0"/>
            </w:pPr>
            <w:r>
              <w:t>$ billion</w:t>
            </w:r>
          </w:p>
        </w:tc>
        <w:tc>
          <w:tcPr>
            <w:tcW w:w="794" w:type="dxa"/>
          </w:tcPr>
          <w:p w14:paraId="64141B31" w14:textId="77777777" w:rsidR="00C424E5" w:rsidRDefault="00C424E5">
            <w:pPr>
              <w:cnfStyle w:val="000000000000" w:firstRow="0" w:lastRow="0" w:firstColumn="0" w:lastColumn="0" w:oddVBand="0" w:evenVBand="0" w:oddHBand="0" w:evenHBand="0" w:firstRowFirstColumn="0" w:firstRowLastColumn="0" w:lastRowFirstColumn="0" w:lastRowLastColumn="0"/>
            </w:pPr>
            <w:r>
              <w:t>115.6</w:t>
            </w:r>
          </w:p>
        </w:tc>
        <w:tc>
          <w:tcPr>
            <w:tcW w:w="794" w:type="dxa"/>
          </w:tcPr>
          <w:p w14:paraId="72641192" w14:textId="77777777" w:rsidR="00C424E5" w:rsidRDefault="00C424E5">
            <w:pPr>
              <w:cnfStyle w:val="000000000000" w:firstRow="0" w:lastRow="0" w:firstColumn="0" w:lastColumn="0" w:oddVBand="0" w:evenVBand="0" w:oddHBand="0" w:evenHBand="0" w:firstRowFirstColumn="0" w:firstRowLastColumn="0" w:lastRowFirstColumn="0" w:lastRowLastColumn="0"/>
            </w:pPr>
            <w:r>
              <w:t>134.0</w:t>
            </w:r>
          </w:p>
        </w:tc>
        <w:tc>
          <w:tcPr>
            <w:tcW w:w="794" w:type="dxa"/>
          </w:tcPr>
          <w:p w14:paraId="04030807" w14:textId="77777777" w:rsidR="00C424E5" w:rsidRDefault="00C424E5">
            <w:pPr>
              <w:cnfStyle w:val="000000000000" w:firstRow="0" w:lastRow="0" w:firstColumn="0" w:lastColumn="0" w:oddVBand="0" w:evenVBand="0" w:oddHBand="0" w:evenHBand="0" w:firstRowFirstColumn="0" w:firstRowLastColumn="0" w:lastRowFirstColumn="0" w:lastRowLastColumn="0"/>
            </w:pPr>
            <w:r>
              <w:t>151.4</w:t>
            </w:r>
          </w:p>
        </w:tc>
        <w:tc>
          <w:tcPr>
            <w:tcW w:w="794" w:type="dxa"/>
          </w:tcPr>
          <w:p w14:paraId="03579CEF" w14:textId="77777777" w:rsidR="00C424E5" w:rsidRDefault="00C424E5">
            <w:pPr>
              <w:cnfStyle w:val="000000000000" w:firstRow="0" w:lastRow="0" w:firstColumn="0" w:lastColumn="0" w:oddVBand="0" w:evenVBand="0" w:oddHBand="0" w:evenHBand="0" w:firstRowFirstColumn="0" w:firstRowLastColumn="0" w:lastRowFirstColumn="0" w:lastRowLastColumn="0"/>
            </w:pPr>
            <w:r>
              <w:t>165.4</w:t>
            </w:r>
          </w:p>
        </w:tc>
      </w:tr>
      <w:tr w:rsidR="00C424E5" w14:paraId="6CFAAD5C" w14:textId="77777777" w:rsidTr="00436CA8">
        <w:tc>
          <w:tcPr>
            <w:cnfStyle w:val="001000000000" w:firstRow="0" w:lastRow="0" w:firstColumn="1" w:lastColumn="0" w:oddVBand="0" w:evenVBand="0" w:oddHBand="0" w:evenHBand="0" w:firstRowFirstColumn="0" w:firstRowLastColumn="0" w:lastRowFirstColumn="0" w:lastRowLastColumn="0"/>
            <w:tcW w:w="3686" w:type="dxa"/>
            <w:tcBorders>
              <w:bottom w:val="single" w:sz="12" w:space="0" w:color="auto"/>
            </w:tcBorders>
          </w:tcPr>
          <w:p w14:paraId="60B8F1FB" w14:textId="77777777" w:rsidR="00C424E5" w:rsidRDefault="00C424E5">
            <w:r>
              <w:t xml:space="preserve">Net debt to GSP </w:t>
            </w:r>
            <w:r>
              <w:rPr>
                <w:vertAlign w:val="superscript"/>
              </w:rPr>
              <w:t>(c)</w:t>
            </w:r>
          </w:p>
        </w:tc>
        <w:tc>
          <w:tcPr>
            <w:tcW w:w="848" w:type="dxa"/>
            <w:tcBorders>
              <w:bottom w:val="single" w:sz="12" w:space="0" w:color="auto"/>
            </w:tcBorders>
          </w:tcPr>
          <w:p w14:paraId="32280DB1" w14:textId="77777777" w:rsidR="00C424E5" w:rsidRDefault="00C424E5" w:rsidP="00436CA8">
            <w:pPr>
              <w:jc w:val="center"/>
              <w:cnfStyle w:val="000000000000" w:firstRow="0" w:lastRow="0" w:firstColumn="0" w:lastColumn="0" w:oddVBand="0" w:evenVBand="0" w:oddHBand="0" w:evenHBand="0" w:firstRowFirstColumn="0" w:firstRowLastColumn="0" w:lastRowFirstColumn="0" w:lastRowLastColumn="0"/>
            </w:pPr>
            <w:r>
              <w:t>per cent</w:t>
            </w:r>
          </w:p>
        </w:tc>
        <w:tc>
          <w:tcPr>
            <w:tcW w:w="794" w:type="dxa"/>
            <w:tcBorders>
              <w:bottom w:val="single" w:sz="12" w:space="0" w:color="auto"/>
            </w:tcBorders>
          </w:tcPr>
          <w:p w14:paraId="45A1FB2B" w14:textId="77777777" w:rsidR="00C424E5" w:rsidRDefault="00C424E5">
            <w:pPr>
              <w:cnfStyle w:val="000000000000" w:firstRow="0" w:lastRow="0" w:firstColumn="0" w:lastColumn="0" w:oddVBand="0" w:evenVBand="0" w:oddHBand="0" w:evenHBand="0" w:firstRowFirstColumn="0" w:firstRowLastColumn="0" w:lastRowFirstColumn="0" w:lastRowLastColumn="0"/>
            </w:pPr>
            <w:r>
              <w:t>20.4</w:t>
            </w:r>
          </w:p>
        </w:tc>
        <w:tc>
          <w:tcPr>
            <w:tcW w:w="794" w:type="dxa"/>
            <w:tcBorders>
              <w:bottom w:val="single" w:sz="12" w:space="0" w:color="auto"/>
            </w:tcBorders>
          </w:tcPr>
          <w:p w14:paraId="722D7F7A" w14:textId="77777777" w:rsidR="00C424E5" w:rsidRDefault="00C424E5">
            <w:pPr>
              <w:cnfStyle w:val="000000000000" w:firstRow="0" w:lastRow="0" w:firstColumn="0" w:lastColumn="0" w:oddVBand="0" w:evenVBand="0" w:oddHBand="0" w:evenHBand="0" w:firstRowFirstColumn="0" w:firstRowLastColumn="0" w:lastRowFirstColumn="0" w:lastRowLastColumn="0"/>
            </w:pPr>
            <w:r>
              <w:t>22.4</w:t>
            </w:r>
          </w:p>
        </w:tc>
        <w:tc>
          <w:tcPr>
            <w:tcW w:w="794" w:type="dxa"/>
            <w:tcBorders>
              <w:bottom w:val="single" w:sz="12" w:space="0" w:color="auto"/>
            </w:tcBorders>
          </w:tcPr>
          <w:p w14:paraId="568069E0" w14:textId="77777777" w:rsidR="00C424E5" w:rsidRDefault="00C424E5">
            <w:pPr>
              <w:cnfStyle w:val="000000000000" w:firstRow="0" w:lastRow="0" w:firstColumn="0" w:lastColumn="0" w:oddVBand="0" w:evenVBand="0" w:oddHBand="0" w:evenHBand="0" w:firstRowFirstColumn="0" w:firstRowLastColumn="0" w:lastRowFirstColumn="0" w:lastRowLastColumn="0"/>
            </w:pPr>
            <w:r>
              <w:t>23.9</w:t>
            </w:r>
          </w:p>
        </w:tc>
        <w:tc>
          <w:tcPr>
            <w:tcW w:w="794" w:type="dxa"/>
            <w:tcBorders>
              <w:bottom w:val="single" w:sz="12" w:space="0" w:color="auto"/>
            </w:tcBorders>
          </w:tcPr>
          <w:p w14:paraId="176A8846" w14:textId="7EE50803" w:rsidR="00C424E5" w:rsidRDefault="00C424E5">
            <w:pPr>
              <w:cnfStyle w:val="000000000000" w:firstRow="0" w:lastRow="0" w:firstColumn="0" w:lastColumn="0" w:oddVBand="0" w:evenVBand="0" w:oddHBand="0" w:evenHBand="0" w:firstRowFirstColumn="0" w:firstRowLastColumn="0" w:lastRowFirstColumn="0" w:lastRowLastColumn="0"/>
            </w:pPr>
            <w:r>
              <w:t>24.8</w:t>
            </w:r>
          </w:p>
        </w:tc>
      </w:tr>
    </w:tbl>
    <w:p w14:paraId="67D98AA5" w14:textId="77777777" w:rsidR="00C424E5" w:rsidRPr="00F8150E" w:rsidRDefault="00C424E5" w:rsidP="00B70498">
      <w:pPr>
        <w:pStyle w:val="Note"/>
      </w:pPr>
      <w:r w:rsidRPr="00F8150E">
        <w:t>Notes:</w:t>
      </w:r>
    </w:p>
    <w:p w14:paraId="1FA8CF42" w14:textId="77777777" w:rsidR="00C424E5" w:rsidRPr="00F8150E" w:rsidRDefault="00C424E5" w:rsidP="00B70498">
      <w:pPr>
        <w:pStyle w:val="Note"/>
      </w:pPr>
      <w:r w:rsidRPr="00F8150E">
        <w:t>(a)</w:t>
      </w:r>
      <w:r w:rsidRPr="00F8150E">
        <w:tab/>
        <w:t>Includes general government net infrastructure investment and the estimated construction costs of public private partnership projects.</w:t>
      </w:r>
    </w:p>
    <w:p w14:paraId="2A23DF5C" w14:textId="77777777" w:rsidR="00C424E5" w:rsidRPr="00F8150E" w:rsidRDefault="00C424E5" w:rsidP="00B70498">
      <w:pPr>
        <w:pStyle w:val="Note"/>
      </w:pPr>
      <w:r w:rsidRPr="00F8150E">
        <w:t>(b)</w:t>
      </w:r>
      <w:r w:rsidRPr="00F8150E">
        <w:tab/>
      </w:r>
      <w:bookmarkStart w:id="8" w:name="_Hlk71220097"/>
      <w:r w:rsidRPr="00F8150E">
        <w:t>Includes the estimated private sector construction related expenditure associated with the North East Link held in the public non</w:t>
      </w:r>
      <w:r w:rsidRPr="00F8150E">
        <w:noBreakHyphen/>
        <w:t>financial corporations (PNFC) sector.</w:t>
      </w:r>
      <w:bookmarkEnd w:id="8"/>
    </w:p>
    <w:p w14:paraId="3D3C91BB" w14:textId="77777777" w:rsidR="00C424E5" w:rsidRPr="00F8150E" w:rsidRDefault="00C424E5" w:rsidP="00B70498">
      <w:pPr>
        <w:pStyle w:val="Note"/>
      </w:pPr>
      <w:r w:rsidRPr="00F8150E">
        <w:t>(c)</w:t>
      </w:r>
      <w:r w:rsidRPr="00F8150E">
        <w:tab/>
        <w:t>The ratios to gross state product (GSP) may vary from publications year to year due to revisions to the Australian Bureau of Statistics GSP data.</w:t>
      </w:r>
    </w:p>
    <w:p w14:paraId="57AF8D72" w14:textId="77777777" w:rsidR="00C424E5" w:rsidRDefault="00C424E5" w:rsidP="00B70498"/>
    <w:p w14:paraId="04D23871" w14:textId="77777777" w:rsidR="00C424E5" w:rsidRPr="00F651D5" w:rsidRDefault="00C424E5" w:rsidP="00B70498">
      <w:r w:rsidRPr="00F651D5">
        <w:t>Government infrastructure investment (GII) is expected to average $21.6 billion a year</w:t>
      </w:r>
      <w:r>
        <w:t xml:space="preserve"> </w:t>
      </w:r>
      <w:r w:rsidRPr="00F651D5">
        <w:t>over</w:t>
      </w:r>
      <w:r>
        <w:t xml:space="preserve"> </w:t>
      </w:r>
      <w:r w:rsidRPr="00F651D5">
        <w:t xml:space="preserve">the budget and forward estimates, reflecting </w:t>
      </w:r>
      <w:r>
        <w:rPr>
          <w:color w:val="000000" w:themeColor="text1"/>
        </w:rPr>
        <w:t>new infrastructure investment and</w:t>
      </w:r>
      <w:r w:rsidRPr="00F651D5">
        <w:t xml:space="preserve"> the continuation of Victoria’s Big Build.</w:t>
      </w:r>
    </w:p>
    <w:p w14:paraId="0FCBFB5B" w14:textId="50523AAE" w:rsidR="00C424E5" w:rsidRPr="00F651D5" w:rsidRDefault="00C424E5" w:rsidP="00B70498">
      <w:r w:rsidRPr="00EB6497">
        <w:t xml:space="preserve">Interest expense as a share of total revenue is expected to average 6.4 per cent a year over the budget and forward estimates. </w:t>
      </w:r>
      <w:bookmarkStart w:id="9" w:name="_Hlk116975252"/>
      <w:r w:rsidRPr="00EB6497">
        <w:t xml:space="preserve">The Government's debt management strategy aims to reduce the State’s exposure to interest rate movements by ensuring that a large proportion of existing debt is raised in long term fixed rate bonds. </w:t>
      </w:r>
    </w:p>
    <w:bookmarkEnd w:id="9"/>
    <w:p w14:paraId="1F767D4B" w14:textId="77777777" w:rsidR="00C424E5" w:rsidRDefault="00C424E5" w:rsidP="001977A7">
      <w:pPr>
        <w:pStyle w:val="Heading20"/>
      </w:pPr>
      <w:r>
        <w:t>Long-term objectives and targets</w:t>
      </w:r>
    </w:p>
    <w:p w14:paraId="1FB178AB" w14:textId="77777777" w:rsidR="00C424E5" w:rsidRDefault="00C424E5" w:rsidP="00B70498">
      <w:pPr>
        <w:keepNext/>
        <w:ind w:right="-227"/>
      </w:pPr>
      <w:r>
        <w:t xml:space="preserve">The long-term financial management objectives remain unchanged from the </w:t>
      </w:r>
      <w:r w:rsidRPr="00807A0D">
        <w:rPr>
          <w:i/>
          <w:iCs/>
        </w:rPr>
        <w:t>202</w:t>
      </w:r>
      <w:r>
        <w:rPr>
          <w:i/>
          <w:iCs/>
        </w:rPr>
        <w:t>2</w:t>
      </w:r>
      <w:r>
        <w:rPr>
          <w:i/>
          <w:iCs/>
        </w:rPr>
        <w:noBreakHyphen/>
      </w:r>
      <w:r w:rsidRPr="00807A0D">
        <w:rPr>
          <w:i/>
          <w:iCs/>
        </w:rPr>
        <w:t>2</w:t>
      </w:r>
      <w:r>
        <w:rPr>
          <w:i/>
          <w:iCs/>
        </w:rPr>
        <w:t>3 </w:t>
      </w:r>
      <w:r w:rsidRPr="00807A0D">
        <w:rPr>
          <w:i/>
          <w:iCs/>
        </w:rPr>
        <w:t>Budget</w:t>
      </w:r>
      <w:r>
        <w:t>.</w:t>
      </w:r>
    </w:p>
    <w:p w14:paraId="766F0A77" w14:textId="49E73405" w:rsidR="00C424E5" w:rsidRPr="00033297" w:rsidRDefault="00C424E5" w:rsidP="00B70498">
      <w:pPr>
        <w:pStyle w:val="TableHeading"/>
        <w:rPr>
          <w:sz w:val="22"/>
        </w:rPr>
      </w:pPr>
      <w:r w:rsidRPr="00033297">
        <w:rPr>
          <w:sz w:val="22"/>
        </w:rPr>
        <w:t xml:space="preserve">Table </w:t>
      </w:r>
      <w:r>
        <w:rPr>
          <w:sz w:val="22"/>
        </w:rPr>
        <w:t>2</w:t>
      </w:r>
      <w:r w:rsidRPr="00033297">
        <w:rPr>
          <w:sz w:val="22"/>
        </w:rPr>
        <w:t xml:space="preserve">: </w:t>
      </w:r>
      <w:r w:rsidRPr="00033297">
        <w:rPr>
          <w:sz w:val="22"/>
        </w:rPr>
        <w:tab/>
        <w:t>Long-term financial management objectives</w:t>
      </w:r>
    </w:p>
    <w:tbl>
      <w:tblPr>
        <w:tblStyle w:val="DTFTableText"/>
        <w:tblW w:w="7711" w:type="dxa"/>
        <w:tblLook w:val="06A0" w:firstRow="1" w:lastRow="0" w:firstColumn="1" w:lastColumn="0" w:noHBand="1" w:noVBand="1"/>
      </w:tblPr>
      <w:tblGrid>
        <w:gridCol w:w="2391"/>
        <w:gridCol w:w="5320"/>
      </w:tblGrid>
      <w:tr w:rsidR="00C424E5" w14:paraId="785930DE" w14:textId="77777777" w:rsidTr="00D0055F">
        <w:trPr>
          <w:cnfStyle w:val="100000000000" w:firstRow="1" w:lastRow="0" w:firstColumn="0" w:lastColumn="0" w:oddVBand="0" w:evenVBand="0" w:oddHBand="0" w:evenHBand="0" w:firstRowFirstColumn="0" w:firstRowLastColumn="0" w:lastRowFirstColumn="0" w:lastRowLastColumn="0"/>
        </w:trPr>
        <w:tc>
          <w:tcPr>
            <w:tcW w:w="2382" w:type="dxa"/>
          </w:tcPr>
          <w:p w14:paraId="1CF168F9" w14:textId="77777777" w:rsidR="00C424E5" w:rsidRPr="008B12C7" w:rsidRDefault="00C424E5" w:rsidP="00D0055F">
            <w:pPr>
              <w:rPr>
                <w:rFonts w:cstheme="majorHAnsi"/>
                <w:szCs w:val="20"/>
              </w:rPr>
            </w:pPr>
            <w:r w:rsidRPr="008B12C7">
              <w:rPr>
                <w:rFonts w:cstheme="majorHAnsi"/>
                <w:szCs w:val="20"/>
              </w:rPr>
              <w:t>Priority</w:t>
            </w:r>
          </w:p>
        </w:tc>
        <w:tc>
          <w:tcPr>
            <w:tcW w:w="5301" w:type="dxa"/>
          </w:tcPr>
          <w:p w14:paraId="7454E81A" w14:textId="77777777" w:rsidR="00C424E5" w:rsidRPr="008B12C7" w:rsidRDefault="00C424E5" w:rsidP="00D0055F">
            <w:pPr>
              <w:rPr>
                <w:rFonts w:cstheme="majorHAnsi"/>
                <w:b/>
                <w:bCs/>
                <w:szCs w:val="20"/>
              </w:rPr>
            </w:pPr>
            <w:r w:rsidRPr="008B12C7">
              <w:rPr>
                <w:rFonts w:cstheme="majorHAnsi"/>
                <w:szCs w:val="20"/>
              </w:rPr>
              <w:t>Objective</w:t>
            </w:r>
          </w:p>
        </w:tc>
      </w:tr>
      <w:tr w:rsidR="00C424E5" w14:paraId="2DC7FC37" w14:textId="77777777" w:rsidTr="00D0055F">
        <w:tc>
          <w:tcPr>
            <w:tcW w:w="2382" w:type="dxa"/>
          </w:tcPr>
          <w:p w14:paraId="10B4A592" w14:textId="77777777" w:rsidR="00C424E5" w:rsidRPr="001E003E" w:rsidRDefault="00C424E5" w:rsidP="00D0055F">
            <w:pPr>
              <w:rPr>
                <w:rFonts w:cstheme="majorHAnsi"/>
                <w:szCs w:val="20"/>
              </w:rPr>
            </w:pPr>
            <w:r w:rsidRPr="001E003E">
              <w:rPr>
                <w:rFonts w:cstheme="majorHAnsi"/>
                <w:szCs w:val="20"/>
              </w:rPr>
              <w:t>Sound financial management</w:t>
            </w:r>
          </w:p>
        </w:tc>
        <w:tc>
          <w:tcPr>
            <w:tcW w:w="5301" w:type="dxa"/>
          </w:tcPr>
          <w:p w14:paraId="7D407B52" w14:textId="77777777" w:rsidR="00C424E5" w:rsidRPr="001E003E" w:rsidRDefault="00C424E5" w:rsidP="00D0055F">
            <w:pPr>
              <w:rPr>
                <w:rFonts w:cstheme="majorHAnsi"/>
                <w:szCs w:val="20"/>
              </w:rPr>
            </w:pPr>
            <w:r>
              <w:rPr>
                <w:rFonts w:cstheme="majorHAnsi"/>
                <w:szCs w:val="20"/>
              </w:rPr>
              <w:t>Victoria’s finances will be managed in a responsible manner to provide capacity to fund services and infrastructure and support households and businesses in the economic recovery at levels consistent with sound financial management.</w:t>
            </w:r>
          </w:p>
        </w:tc>
      </w:tr>
      <w:tr w:rsidR="00C424E5" w14:paraId="0153D537" w14:textId="77777777" w:rsidTr="00D0055F">
        <w:tc>
          <w:tcPr>
            <w:tcW w:w="2382" w:type="dxa"/>
          </w:tcPr>
          <w:p w14:paraId="6C239488" w14:textId="77777777" w:rsidR="00C424E5" w:rsidRPr="001E003E" w:rsidRDefault="00C424E5" w:rsidP="00D0055F">
            <w:pPr>
              <w:rPr>
                <w:rFonts w:cstheme="majorHAnsi"/>
                <w:szCs w:val="20"/>
              </w:rPr>
            </w:pPr>
            <w:r>
              <w:rPr>
                <w:rFonts w:cstheme="majorHAnsi"/>
                <w:szCs w:val="20"/>
              </w:rPr>
              <w:t>Improved services</w:t>
            </w:r>
          </w:p>
        </w:tc>
        <w:tc>
          <w:tcPr>
            <w:tcW w:w="5301" w:type="dxa"/>
          </w:tcPr>
          <w:p w14:paraId="2C061B58" w14:textId="77777777" w:rsidR="00C424E5" w:rsidRPr="001E003E" w:rsidRDefault="00C424E5" w:rsidP="00D0055F">
            <w:pPr>
              <w:rPr>
                <w:rFonts w:cstheme="majorHAnsi"/>
                <w:szCs w:val="20"/>
              </w:rPr>
            </w:pPr>
            <w:r>
              <w:rPr>
                <w:rFonts w:cstheme="majorHAnsi"/>
                <w:szCs w:val="20"/>
              </w:rPr>
              <w:t>Public services will improve over time.</w:t>
            </w:r>
          </w:p>
        </w:tc>
      </w:tr>
      <w:tr w:rsidR="00C424E5" w14:paraId="2680316A" w14:textId="77777777" w:rsidTr="00D0055F">
        <w:tc>
          <w:tcPr>
            <w:tcW w:w="2382" w:type="dxa"/>
          </w:tcPr>
          <w:p w14:paraId="08275515" w14:textId="77777777" w:rsidR="00C424E5" w:rsidRPr="001E003E" w:rsidRDefault="00C424E5" w:rsidP="00D0055F">
            <w:pPr>
              <w:rPr>
                <w:rFonts w:cstheme="majorHAnsi"/>
                <w:szCs w:val="20"/>
              </w:rPr>
            </w:pPr>
            <w:r>
              <w:rPr>
                <w:rFonts w:cstheme="majorHAnsi"/>
                <w:szCs w:val="20"/>
              </w:rPr>
              <w:t>Building infrastructure</w:t>
            </w:r>
          </w:p>
        </w:tc>
        <w:tc>
          <w:tcPr>
            <w:tcW w:w="5301" w:type="dxa"/>
          </w:tcPr>
          <w:p w14:paraId="67F7BFA6" w14:textId="77777777" w:rsidR="00C424E5" w:rsidRPr="001E003E" w:rsidRDefault="00C424E5" w:rsidP="00D0055F">
            <w:pPr>
              <w:rPr>
                <w:rFonts w:cstheme="majorHAnsi"/>
                <w:szCs w:val="20"/>
              </w:rPr>
            </w:pPr>
            <w:r w:rsidRPr="001E003E">
              <w:rPr>
                <w:rFonts w:cstheme="majorHAnsi"/>
                <w:szCs w:val="20"/>
              </w:rPr>
              <w:t>Public infrastructure will grow steadily over time to meet the needs of a</w:t>
            </w:r>
            <w:r>
              <w:rPr>
                <w:rFonts w:cstheme="majorHAnsi"/>
                <w:szCs w:val="20"/>
              </w:rPr>
              <w:t xml:space="preserve"> </w:t>
            </w:r>
            <w:r w:rsidRPr="001E003E">
              <w:rPr>
                <w:rFonts w:cstheme="majorHAnsi"/>
                <w:szCs w:val="20"/>
              </w:rPr>
              <w:t>growing population.</w:t>
            </w:r>
          </w:p>
        </w:tc>
      </w:tr>
      <w:tr w:rsidR="00C424E5" w14:paraId="73F13F39" w14:textId="77777777" w:rsidTr="00D0055F">
        <w:tc>
          <w:tcPr>
            <w:tcW w:w="2382" w:type="dxa"/>
            <w:tcBorders>
              <w:bottom w:val="nil"/>
            </w:tcBorders>
          </w:tcPr>
          <w:p w14:paraId="1EF47318" w14:textId="77777777" w:rsidR="00C424E5" w:rsidRPr="001E003E" w:rsidRDefault="00C424E5" w:rsidP="00D0055F">
            <w:pPr>
              <w:rPr>
                <w:rFonts w:cstheme="majorHAnsi"/>
                <w:szCs w:val="20"/>
              </w:rPr>
            </w:pPr>
            <w:r>
              <w:rPr>
                <w:rFonts w:cstheme="majorHAnsi"/>
                <w:szCs w:val="20"/>
              </w:rPr>
              <w:t>Efficient use of public resources</w:t>
            </w:r>
          </w:p>
        </w:tc>
        <w:tc>
          <w:tcPr>
            <w:tcW w:w="5301" w:type="dxa"/>
            <w:tcBorders>
              <w:bottom w:val="nil"/>
            </w:tcBorders>
          </w:tcPr>
          <w:p w14:paraId="22F0336A" w14:textId="77777777" w:rsidR="00C424E5" w:rsidRPr="001E003E" w:rsidRDefault="00C424E5" w:rsidP="00D0055F">
            <w:pPr>
              <w:rPr>
                <w:rFonts w:cstheme="majorHAnsi"/>
                <w:szCs w:val="20"/>
              </w:rPr>
            </w:pPr>
            <w:r>
              <w:rPr>
                <w:rFonts w:cstheme="majorHAnsi"/>
                <w:szCs w:val="20"/>
              </w:rPr>
              <w:t>Public sector resources will be invested in services and infrastructure to maximise the economic, social and environmental benefits.</w:t>
            </w:r>
          </w:p>
        </w:tc>
      </w:tr>
      <w:tr w:rsidR="00C424E5" w14:paraId="0F79B90F" w14:textId="77777777" w:rsidTr="00D0055F">
        <w:tc>
          <w:tcPr>
            <w:tcW w:w="2382" w:type="dxa"/>
            <w:tcBorders>
              <w:bottom w:val="single" w:sz="12" w:space="0" w:color="auto"/>
            </w:tcBorders>
          </w:tcPr>
          <w:p w14:paraId="0913661F" w14:textId="77777777" w:rsidR="00C424E5" w:rsidRPr="001E003E" w:rsidRDefault="00C424E5" w:rsidP="00D0055F">
            <w:pPr>
              <w:rPr>
                <w:rFonts w:cstheme="majorHAnsi"/>
                <w:szCs w:val="20"/>
              </w:rPr>
            </w:pPr>
            <w:r>
              <w:rPr>
                <w:rFonts w:cstheme="majorHAnsi"/>
                <w:szCs w:val="20"/>
              </w:rPr>
              <w:t>A resilient economy</w:t>
            </w:r>
          </w:p>
        </w:tc>
        <w:tc>
          <w:tcPr>
            <w:tcW w:w="5301" w:type="dxa"/>
            <w:tcBorders>
              <w:bottom w:val="single" w:sz="12" w:space="0" w:color="auto"/>
            </w:tcBorders>
          </w:tcPr>
          <w:p w14:paraId="484162D7" w14:textId="77777777" w:rsidR="00C424E5" w:rsidRPr="001E003E" w:rsidRDefault="00C424E5" w:rsidP="00D0055F">
            <w:pPr>
              <w:rPr>
                <w:rFonts w:cstheme="majorHAnsi"/>
                <w:szCs w:val="20"/>
              </w:rPr>
            </w:pPr>
            <w:r>
              <w:rPr>
                <w:rFonts w:cstheme="majorHAnsi"/>
                <w:szCs w:val="20"/>
              </w:rPr>
              <w:t>Increase economic resilience by supporting an innovative and diversified economy that will unlock employment growth, long-term economic growth and productivity in Victoria.</w:t>
            </w:r>
          </w:p>
        </w:tc>
      </w:tr>
    </w:tbl>
    <w:p w14:paraId="02813A2F" w14:textId="77777777" w:rsidR="00ED45F9" w:rsidRDefault="00ED45F9" w:rsidP="00B70498">
      <w:pPr>
        <w:keepNext/>
        <w:ind w:right="58"/>
      </w:pPr>
    </w:p>
    <w:p w14:paraId="4BBD3DF4" w14:textId="45C37869" w:rsidR="00C424E5" w:rsidRDefault="00C424E5" w:rsidP="00B70498">
      <w:pPr>
        <w:keepNext/>
        <w:ind w:right="58"/>
      </w:pPr>
      <w:r>
        <w:t xml:space="preserve">Progress towards these financial management objectives is supported by the measures and targets in Table 3. These measures and targets are also unchanged from the </w:t>
      </w:r>
      <w:r>
        <w:rPr>
          <w:i/>
          <w:iCs/>
        </w:rPr>
        <w:t>2022</w:t>
      </w:r>
      <w:r>
        <w:rPr>
          <w:i/>
          <w:iCs/>
        </w:rPr>
        <w:noBreakHyphen/>
        <w:t>23 Budget</w:t>
      </w:r>
      <w:r>
        <w:t>.</w:t>
      </w:r>
    </w:p>
    <w:p w14:paraId="35FE9AC0" w14:textId="512E496F" w:rsidR="00C424E5" w:rsidRPr="00033297" w:rsidRDefault="00C424E5" w:rsidP="00B70498">
      <w:pPr>
        <w:pStyle w:val="TableHeading"/>
        <w:rPr>
          <w:i/>
          <w:iCs/>
          <w:sz w:val="22"/>
        </w:rPr>
      </w:pPr>
      <w:r w:rsidRPr="00033297">
        <w:rPr>
          <w:sz w:val="22"/>
        </w:rPr>
        <w:t xml:space="preserve">Table </w:t>
      </w:r>
      <w:r>
        <w:rPr>
          <w:sz w:val="22"/>
        </w:rPr>
        <w:t>3</w:t>
      </w:r>
      <w:r w:rsidRPr="00033297">
        <w:rPr>
          <w:sz w:val="22"/>
        </w:rPr>
        <w:t xml:space="preserve">: </w:t>
      </w:r>
      <w:r w:rsidRPr="00033297">
        <w:rPr>
          <w:sz w:val="22"/>
        </w:rPr>
        <w:tab/>
        <w:t>Financial measures and targets</w:t>
      </w:r>
    </w:p>
    <w:tbl>
      <w:tblPr>
        <w:tblStyle w:val="DTFTableText"/>
        <w:tblW w:w="0" w:type="auto"/>
        <w:tblLook w:val="06A0" w:firstRow="1" w:lastRow="0" w:firstColumn="1" w:lastColumn="0" w:noHBand="1" w:noVBand="1"/>
      </w:tblPr>
      <w:tblGrid>
        <w:gridCol w:w="2382"/>
        <w:gridCol w:w="5301"/>
      </w:tblGrid>
      <w:tr w:rsidR="00C424E5" w14:paraId="59A998AB" w14:textId="77777777" w:rsidTr="00D0055F">
        <w:trPr>
          <w:cnfStyle w:val="100000000000" w:firstRow="1" w:lastRow="0" w:firstColumn="0" w:lastColumn="0" w:oddVBand="0" w:evenVBand="0" w:oddHBand="0" w:evenHBand="0" w:firstRowFirstColumn="0" w:firstRowLastColumn="0" w:lastRowFirstColumn="0" w:lastRowLastColumn="0"/>
        </w:trPr>
        <w:tc>
          <w:tcPr>
            <w:tcW w:w="2382" w:type="dxa"/>
          </w:tcPr>
          <w:p w14:paraId="03837AD1" w14:textId="77777777" w:rsidR="00C424E5" w:rsidRPr="008B12C7" w:rsidRDefault="00C424E5" w:rsidP="00D0055F">
            <w:pPr>
              <w:rPr>
                <w:rFonts w:cstheme="majorHAnsi"/>
                <w:szCs w:val="20"/>
              </w:rPr>
            </w:pPr>
            <w:r>
              <w:rPr>
                <w:rFonts w:cstheme="majorHAnsi"/>
                <w:szCs w:val="20"/>
              </w:rPr>
              <w:t>Financial measures</w:t>
            </w:r>
          </w:p>
        </w:tc>
        <w:tc>
          <w:tcPr>
            <w:tcW w:w="5301" w:type="dxa"/>
          </w:tcPr>
          <w:p w14:paraId="660B46D7" w14:textId="77777777" w:rsidR="00C424E5" w:rsidRPr="008B12C7" w:rsidRDefault="00C424E5" w:rsidP="00D0055F">
            <w:pPr>
              <w:rPr>
                <w:rFonts w:cstheme="majorHAnsi"/>
                <w:b/>
                <w:bCs/>
                <w:szCs w:val="20"/>
              </w:rPr>
            </w:pPr>
            <w:r>
              <w:rPr>
                <w:rFonts w:cstheme="majorHAnsi"/>
                <w:szCs w:val="20"/>
              </w:rPr>
              <w:t>Target</w:t>
            </w:r>
          </w:p>
        </w:tc>
      </w:tr>
      <w:tr w:rsidR="00C424E5" w14:paraId="0F472E3E" w14:textId="77777777" w:rsidTr="00D0055F">
        <w:tc>
          <w:tcPr>
            <w:tcW w:w="2382" w:type="dxa"/>
          </w:tcPr>
          <w:p w14:paraId="5A52CDE8" w14:textId="77777777" w:rsidR="00C424E5" w:rsidRPr="001E003E" w:rsidRDefault="00C424E5" w:rsidP="00D0055F">
            <w:r>
              <w:t>Net debt to GSP</w:t>
            </w:r>
          </w:p>
        </w:tc>
        <w:tc>
          <w:tcPr>
            <w:tcW w:w="5301" w:type="dxa"/>
          </w:tcPr>
          <w:p w14:paraId="35B22BCD" w14:textId="77777777" w:rsidR="00C424E5" w:rsidRPr="001E003E" w:rsidRDefault="00C424E5" w:rsidP="00D0055F">
            <w:r>
              <w:t>General government net debt as a percentage of GSP to stabilise in the medium term.</w:t>
            </w:r>
          </w:p>
        </w:tc>
      </w:tr>
      <w:tr w:rsidR="00C424E5" w14:paraId="1ECED9DA" w14:textId="77777777" w:rsidTr="00D0055F">
        <w:tc>
          <w:tcPr>
            <w:tcW w:w="2382" w:type="dxa"/>
          </w:tcPr>
          <w:p w14:paraId="38C5C10A" w14:textId="77777777" w:rsidR="00C424E5" w:rsidRPr="001E003E" w:rsidRDefault="00C424E5" w:rsidP="00D0055F">
            <w:pPr>
              <w:rPr>
                <w:rFonts w:cstheme="majorHAnsi"/>
                <w:szCs w:val="20"/>
              </w:rPr>
            </w:pPr>
            <w:r>
              <w:rPr>
                <w:rFonts w:cstheme="majorHAnsi"/>
                <w:szCs w:val="20"/>
              </w:rPr>
              <w:t>Interest expense to revenue</w:t>
            </w:r>
          </w:p>
        </w:tc>
        <w:tc>
          <w:tcPr>
            <w:tcW w:w="5301" w:type="dxa"/>
          </w:tcPr>
          <w:p w14:paraId="158B5F2C" w14:textId="77777777" w:rsidR="00C424E5" w:rsidRPr="001E003E" w:rsidRDefault="00C424E5" w:rsidP="00D0055F">
            <w:pPr>
              <w:rPr>
                <w:rFonts w:cstheme="majorHAnsi"/>
                <w:szCs w:val="20"/>
              </w:rPr>
            </w:pPr>
            <w:r>
              <w:rPr>
                <w:rFonts w:cstheme="majorHAnsi"/>
                <w:szCs w:val="20"/>
              </w:rPr>
              <w:t>General government interest expense as a percentage of revenue to stabilise in the medium term.</w:t>
            </w:r>
          </w:p>
        </w:tc>
      </w:tr>
      <w:tr w:rsidR="00C424E5" w14:paraId="2A1512BA" w14:textId="77777777" w:rsidTr="00D0055F">
        <w:tc>
          <w:tcPr>
            <w:tcW w:w="2382" w:type="dxa"/>
            <w:tcBorders>
              <w:bottom w:val="nil"/>
            </w:tcBorders>
          </w:tcPr>
          <w:p w14:paraId="008842E3" w14:textId="77777777" w:rsidR="00C424E5" w:rsidRPr="001E003E" w:rsidRDefault="00C424E5" w:rsidP="00D0055F">
            <w:pPr>
              <w:rPr>
                <w:rFonts w:cstheme="majorHAnsi"/>
                <w:szCs w:val="20"/>
              </w:rPr>
            </w:pPr>
            <w:r>
              <w:rPr>
                <w:rFonts w:cstheme="majorHAnsi"/>
                <w:szCs w:val="20"/>
              </w:rPr>
              <w:t>Superannuation liabilities</w:t>
            </w:r>
          </w:p>
        </w:tc>
        <w:tc>
          <w:tcPr>
            <w:tcW w:w="5301" w:type="dxa"/>
            <w:tcBorders>
              <w:bottom w:val="nil"/>
            </w:tcBorders>
          </w:tcPr>
          <w:p w14:paraId="067AA4E8" w14:textId="77777777" w:rsidR="00C424E5" w:rsidRPr="001E003E" w:rsidRDefault="00C424E5" w:rsidP="00D0055F">
            <w:pPr>
              <w:rPr>
                <w:rFonts w:cstheme="majorHAnsi"/>
                <w:szCs w:val="20"/>
              </w:rPr>
            </w:pPr>
            <w:r>
              <w:rPr>
                <w:rFonts w:cstheme="majorHAnsi"/>
                <w:szCs w:val="20"/>
              </w:rPr>
              <w:t>Fully fund the unfunded superannuation liability by 2035.</w:t>
            </w:r>
          </w:p>
        </w:tc>
      </w:tr>
      <w:tr w:rsidR="00C424E5" w14:paraId="2DB8B6DF" w14:textId="77777777" w:rsidTr="00D0055F">
        <w:tc>
          <w:tcPr>
            <w:tcW w:w="2382" w:type="dxa"/>
            <w:tcBorders>
              <w:bottom w:val="single" w:sz="12" w:space="0" w:color="auto"/>
            </w:tcBorders>
          </w:tcPr>
          <w:p w14:paraId="057C429F" w14:textId="77777777" w:rsidR="00C424E5" w:rsidRPr="001E003E" w:rsidRDefault="00C424E5" w:rsidP="00D0055F">
            <w:pPr>
              <w:rPr>
                <w:rFonts w:cstheme="majorHAnsi"/>
                <w:szCs w:val="20"/>
              </w:rPr>
            </w:pPr>
            <w:r>
              <w:rPr>
                <w:rFonts w:cstheme="majorHAnsi"/>
                <w:szCs w:val="20"/>
              </w:rPr>
              <w:t>Operating cash surplus</w:t>
            </w:r>
          </w:p>
        </w:tc>
        <w:tc>
          <w:tcPr>
            <w:tcW w:w="5301" w:type="dxa"/>
            <w:tcBorders>
              <w:bottom w:val="single" w:sz="12" w:space="0" w:color="auto"/>
            </w:tcBorders>
          </w:tcPr>
          <w:p w14:paraId="0B14882C" w14:textId="77777777" w:rsidR="00C424E5" w:rsidRPr="001E003E" w:rsidRDefault="00C424E5" w:rsidP="00D0055F">
            <w:pPr>
              <w:rPr>
                <w:rFonts w:cstheme="majorHAnsi"/>
                <w:szCs w:val="20"/>
              </w:rPr>
            </w:pPr>
            <w:r>
              <w:rPr>
                <w:rFonts w:cstheme="majorHAnsi"/>
                <w:szCs w:val="20"/>
              </w:rPr>
              <w:t>A net operating cash surplus consistent with maintaining general government net debt at a sustainable level after the economy has recovered from the COVID</w:t>
            </w:r>
            <w:r>
              <w:rPr>
                <w:rFonts w:cstheme="majorHAnsi"/>
                <w:szCs w:val="20"/>
              </w:rPr>
              <w:noBreakHyphen/>
              <w:t>19 pandemic.</w:t>
            </w:r>
          </w:p>
        </w:tc>
      </w:tr>
    </w:tbl>
    <w:p w14:paraId="224C51A8" w14:textId="77777777" w:rsidR="00C424E5" w:rsidRDefault="00C424E5" w:rsidP="006448B4"/>
    <w:p w14:paraId="64E5648C" w14:textId="77777777" w:rsidR="00C424E5" w:rsidRDefault="00C424E5" w:rsidP="00B70498">
      <w:pPr>
        <w:pStyle w:val="Heading20"/>
      </w:pPr>
      <w:r w:rsidRPr="003B479B">
        <w:t>Key new initiative</w:t>
      </w:r>
      <w:r>
        <w:t>s</w:t>
      </w:r>
      <w:r w:rsidRPr="003B479B">
        <w:t xml:space="preserve"> since the </w:t>
      </w:r>
      <w:r w:rsidRPr="005E2CD2">
        <w:rPr>
          <w:i/>
        </w:rPr>
        <w:t>20</w:t>
      </w:r>
      <w:r>
        <w:rPr>
          <w:i/>
        </w:rPr>
        <w:t>22</w:t>
      </w:r>
      <w:r w:rsidRPr="005E2CD2">
        <w:rPr>
          <w:i/>
        </w:rPr>
        <w:t>-</w:t>
      </w:r>
      <w:r>
        <w:rPr>
          <w:i/>
        </w:rPr>
        <w:t>23</w:t>
      </w:r>
      <w:r w:rsidRPr="005E2CD2">
        <w:rPr>
          <w:i/>
        </w:rPr>
        <w:t xml:space="preserve"> Budget</w:t>
      </w:r>
    </w:p>
    <w:p w14:paraId="4F4F2E21" w14:textId="77777777" w:rsidR="00C424E5" w:rsidRDefault="00C424E5" w:rsidP="00B70498">
      <w:pPr>
        <w:rPr>
          <w:b/>
        </w:rPr>
      </w:pPr>
      <w:r>
        <w:t xml:space="preserve">Appendix A </w:t>
      </w:r>
      <w:r w:rsidRPr="006341FF">
        <w:rPr>
          <w:i/>
        </w:rPr>
        <w:t>Specific policy initiatives affecting</w:t>
      </w:r>
      <w:r>
        <w:rPr>
          <w:i/>
        </w:rPr>
        <w:t xml:space="preserve"> the</w:t>
      </w:r>
      <w:r w:rsidRPr="006341FF">
        <w:rPr>
          <w:i/>
        </w:rPr>
        <w:t xml:space="preserve"> budget position</w:t>
      </w:r>
      <w:r>
        <w:t xml:space="preserve"> details specific initiatives announced since </w:t>
      </w:r>
      <w:r w:rsidRPr="00AF4230">
        <w:t xml:space="preserve">the </w:t>
      </w:r>
      <w:r w:rsidRPr="00AF4230">
        <w:rPr>
          <w:i/>
        </w:rPr>
        <w:t>2022-23 Budget</w:t>
      </w:r>
      <w:r w:rsidRPr="00AF4230">
        <w:t xml:space="preserve"> with</w:t>
      </w:r>
      <w:r>
        <w:t xml:space="preserve"> </w:t>
      </w:r>
      <w:r w:rsidRPr="0095606C">
        <w:t xml:space="preserve">$5.0 billion </w:t>
      </w:r>
      <w:r w:rsidRPr="002149D8">
        <w:t xml:space="preserve">in new output </w:t>
      </w:r>
      <w:r w:rsidRPr="00312850">
        <w:rPr>
          <w:color w:val="000000" w:themeColor="text1"/>
        </w:rPr>
        <w:t>initiatives</w:t>
      </w:r>
      <w:r>
        <w:rPr>
          <w:color w:val="000000" w:themeColor="text1"/>
        </w:rPr>
        <w:t xml:space="preserve"> over four years</w:t>
      </w:r>
      <w:r w:rsidRPr="002149D8">
        <w:t xml:space="preserve"> </w:t>
      </w:r>
      <w:r w:rsidRPr="00277466">
        <w:t xml:space="preserve">and </w:t>
      </w:r>
      <w:r w:rsidRPr="0095606C">
        <w:t>$12.</w:t>
      </w:r>
      <w:r>
        <w:t>2</w:t>
      </w:r>
      <w:r w:rsidRPr="0095606C">
        <w:t xml:space="preserve"> billion </w:t>
      </w:r>
      <w:r w:rsidRPr="00312850">
        <w:rPr>
          <w:color w:val="000000" w:themeColor="text1"/>
        </w:rPr>
        <w:t>total estimated investment (TEI) in new asset initiatives.</w:t>
      </w:r>
    </w:p>
    <w:p w14:paraId="42D6FF1C" w14:textId="77777777" w:rsidR="00B70498" w:rsidRDefault="00B70498" w:rsidP="00B70498"/>
    <w:p w14:paraId="4D05A7D2" w14:textId="77777777" w:rsidR="00B70498" w:rsidRDefault="00B70498" w:rsidP="00B70498"/>
    <w:p w14:paraId="6D03F290" w14:textId="77777777" w:rsidR="00B70498" w:rsidRDefault="00B70498" w:rsidP="00B70498">
      <w:pPr>
        <w:sectPr w:rsidR="00B70498" w:rsidSect="00E32AB3">
          <w:footerReference w:type="even" r:id="rId23"/>
          <w:footerReference w:type="default" r:id="rId24"/>
          <w:footerReference w:type="first" r:id="rId25"/>
          <w:pgSz w:w="9979" w:h="14175" w:code="9"/>
          <w:pgMar w:top="1134" w:right="1134" w:bottom="1134" w:left="1134" w:header="624" w:footer="567" w:gutter="0"/>
          <w:pgNumType w:start="1"/>
          <w:cols w:space="708"/>
          <w:docGrid w:linePitch="360"/>
        </w:sectPr>
      </w:pPr>
    </w:p>
    <w:p w14:paraId="540DC381" w14:textId="52AB1E83" w:rsidR="008D6F13" w:rsidRPr="00BE69F8" w:rsidRDefault="008D6F13" w:rsidP="00BE69F8">
      <w:pPr>
        <w:pStyle w:val="ChapterHeading"/>
        <w:ind w:right="-156"/>
        <w:rPr>
          <w:spacing w:val="-4"/>
        </w:rPr>
      </w:pPr>
      <w:bookmarkStart w:id="10" w:name="_Toc117586238"/>
      <w:r w:rsidRPr="00BE69F8">
        <w:rPr>
          <w:spacing w:val="-4"/>
        </w:rPr>
        <w:lastRenderedPageBreak/>
        <w:t xml:space="preserve">Chapter 1 – Economic </w:t>
      </w:r>
      <w:r w:rsidR="0045208C" w:rsidRPr="00BE69F8">
        <w:rPr>
          <w:spacing w:val="-4"/>
        </w:rPr>
        <w:t>conditions and outlook</w:t>
      </w:r>
      <w:bookmarkEnd w:id="10"/>
    </w:p>
    <w:p w14:paraId="4B8831A3" w14:textId="77777777" w:rsidR="006448B4" w:rsidRDefault="006448B4" w:rsidP="006448B4">
      <w:pPr>
        <w:pStyle w:val="HighlightBoxBullet"/>
        <w:numPr>
          <w:ilvl w:val="0"/>
          <w:numId w:val="10"/>
        </w:numPr>
        <w:rPr>
          <w:rFonts w:ascii="Garamond" w:hAnsi="Garamond"/>
        </w:rPr>
      </w:pPr>
      <w:r>
        <w:rPr>
          <w:rFonts w:ascii="Garamond" w:hAnsi="Garamond"/>
        </w:rPr>
        <w:t>Victoria’s economy has recovered strongly from the COVID-19 pandemic. State final demand is well above pre-pandemic levels, with recent economic growth outpacing the national average.</w:t>
      </w:r>
    </w:p>
    <w:p w14:paraId="42E517A7" w14:textId="77777777" w:rsidR="006448B4" w:rsidRDefault="006448B4" w:rsidP="006448B4">
      <w:pPr>
        <w:pStyle w:val="HighlightBoxBullet"/>
        <w:numPr>
          <w:ilvl w:val="0"/>
          <w:numId w:val="10"/>
        </w:numPr>
        <w:rPr>
          <w:rFonts w:ascii="Garamond" w:hAnsi="Garamond"/>
        </w:rPr>
      </w:pPr>
      <w:r>
        <w:rPr>
          <w:rFonts w:ascii="Garamond" w:hAnsi="Garamond"/>
        </w:rPr>
        <w:t>The Government’s strong economic responses, along with those from the Commonwealth Government and Reserve Bank of Australia (RBA), supported the economy’s rapid recovery.</w:t>
      </w:r>
      <w:r w:rsidRPr="00630C42">
        <w:rPr>
          <w:rFonts w:ascii="Garamond" w:hAnsi="Garamond"/>
          <w:i/>
          <w:iCs/>
          <w:color w:val="FF0000"/>
        </w:rPr>
        <w:t xml:space="preserve"> </w:t>
      </w:r>
      <w:r>
        <w:rPr>
          <w:rFonts w:ascii="Garamond" w:hAnsi="Garamond"/>
        </w:rPr>
        <w:t xml:space="preserve">So too did the resilience and flexibility of Victorian households and businesses. </w:t>
      </w:r>
    </w:p>
    <w:p w14:paraId="69C9288C" w14:textId="77777777" w:rsidR="006448B4" w:rsidRPr="0080369E" w:rsidRDefault="006448B4" w:rsidP="006448B4">
      <w:pPr>
        <w:pStyle w:val="HighlightBoxBullet"/>
        <w:numPr>
          <w:ilvl w:val="0"/>
          <w:numId w:val="10"/>
        </w:numPr>
        <w:rPr>
          <w:rFonts w:ascii="Garamond" w:hAnsi="Garamond"/>
        </w:rPr>
      </w:pPr>
      <w:r>
        <w:rPr>
          <w:rFonts w:ascii="Garamond" w:hAnsi="Garamond"/>
        </w:rPr>
        <w:t xml:space="preserve">The labour market is strong, with employment well above the </w:t>
      </w:r>
      <w:r w:rsidRPr="00BF2914">
        <w:rPr>
          <w:rFonts w:ascii="Garamond" w:hAnsi="Garamond"/>
          <w:i/>
          <w:iCs/>
        </w:rPr>
        <w:t>Jobs Plan</w:t>
      </w:r>
      <w:r>
        <w:rPr>
          <w:rFonts w:ascii="Garamond" w:hAnsi="Garamond"/>
        </w:rPr>
        <w:t xml:space="preserve"> interim target of creating 200 000 jobs by 2022 and well advanced in meeting the overall target of 400 000 jobs by 2025. </w:t>
      </w:r>
      <w:bookmarkStart w:id="11" w:name="_Hlk117168548"/>
      <w:r>
        <w:rPr>
          <w:rFonts w:ascii="Garamond" w:hAnsi="Garamond"/>
        </w:rPr>
        <w:t xml:space="preserve">The unemployment rate is </w:t>
      </w:r>
      <w:r w:rsidRPr="0095606C">
        <w:rPr>
          <w:rFonts w:ascii="Garamond" w:hAnsi="Garamond"/>
        </w:rPr>
        <w:t>around</w:t>
      </w:r>
      <w:r>
        <w:rPr>
          <w:rFonts w:ascii="Garamond" w:hAnsi="Garamond"/>
        </w:rPr>
        <w:t xml:space="preserve"> its lowest level since the mid</w:t>
      </w:r>
      <w:r>
        <w:rPr>
          <w:rFonts w:ascii="Garamond" w:hAnsi="Garamond"/>
        </w:rPr>
        <w:noBreakHyphen/>
        <w:t xml:space="preserve">1970s. </w:t>
      </w:r>
      <w:bookmarkEnd w:id="11"/>
      <w:r w:rsidRPr="000757F1">
        <w:rPr>
          <w:rFonts w:ascii="Garamond" w:hAnsi="Garamond"/>
        </w:rPr>
        <w:t xml:space="preserve">Labour market conditions are </w:t>
      </w:r>
      <w:r>
        <w:rPr>
          <w:rFonts w:ascii="Garamond" w:hAnsi="Garamond"/>
        </w:rPr>
        <w:t>expected to remain strong in 2022-23</w:t>
      </w:r>
      <w:r w:rsidRPr="000757F1">
        <w:rPr>
          <w:rFonts w:ascii="Garamond" w:hAnsi="Garamond"/>
        </w:rPr>
        <w:t xml:space="preserve">, with further solid </w:t>
      </w:r>
      <w:r>
        <w:rPr>
          <w:rFonts w:ascii="Garamond" w:hAnsi="Garamond"/>
        </w:rPr>
        <w:t xml:space="preserve">growth </w:t>
      </w:r>
      <w:r w:rsidRPr="000757F1">
        <w:rPr>
          <w:rFonts w:ascii="Garamond" w:hAnsi="Garamond"/>
        </w:rPr>
        <w:t xml:space="preserve">in employment </w:t>
      </w:r>
      <w:r>
        <w:rPr>
          <w:rFonts w:ascii="Garamond" w:hAnsi="Garamond"/>
        </w:rPr>
        <w:t>and the unemployment rate remaining very low in the near term, before gradually rising from 2023-24</w:t>
      </w:r>
      <w:r w:rsidRPr="000757F1">
        <w:rPr>
          <w:rFonts w:ascii="Garamond" w:hAnsi="Garamond"/>
        </w:rPr>
        <w:t>.</w:t>
      </w:r>
      <w:r>
        <w:rPr>
          <w:rFonts w:ascii="Garamond" w:hAnsi="Garamond"/>
        </w:rPr>
        <w:t xml:space="preserve"> </w:t>
      </w:r>
    </w:p>
    <w:p w14:paraId="65257C9E" w14:textId="4064E9E3" w:rsidR="006448B4" w:rsidRDefault="006448B4" w:rsidP="006448B4">
      <w:pPr>
        <w:pStyle w:val="HighlightBoxBullet"/>
        <w:numPr>
          <w:ilvl w:val="0"/>
          <w:numId w:val="10"/>
        </w:numPr>
        <w:rPr>
          <w:rFonts w:ascii="Garamond" w:hAnsi="Garamond"/>
        </w:rPr>
      </w:pPr>
      <w:bookmarkStart w:id="12" w:name="_Hlk116550026"/>
      <w:r w:rsidRPr="00A71CE7">
        <w:rPr>
          <w:rFonts w:ascii="Garamond" w:hAnsi="Garamond"/>
        </w:rPr>
        <w:t xml:space="preserve">The outlook remains positive, with </w:t>
      </w:r>
      <w:r>
        <w:rPr>
          <w:rFonts w:ascii="Garamond" w:hAnsi="Garamond"/>
        </w:rPr>
        <w:t xml:space="preserve">real </w:t>
      </w:r>
      <w:r w:rsidRPr="00A71CE7">
        <w:rPr>
          <w:rFonts w:ascii="Garamond" w:hAnsi="Garamond"/>
        </w:rPr>
        <w:t xml:space="preserve">economic growth forecast to be </w:t>
      </w:r>
      <w:r w:rsidRPr="009C4BC7">
        <w:rPr>
          <w:rFonts w:ascii="Garamond" w:hAnsi="Garamond"/>
        </w:rPr>
        <w:t>3.00 p</w:t>
      </w:r>
      <w:r w:rsidRPr="00A71CE7">
        <w:rPr>
          <w:rFonts w:ascii="Garamond" w:hAnsi="Garamond"/>
        </w:rPr>
        <w:t xml:space="preserve">er cent in 2022-23. </w:t>
      </w:r>
      <w:bookmarkStart w:id="13" w:name="_Hlk116987420"/>
      <w:r w:rsidRPr="00A71CE7">
        <w:rPr>
          <w:rFonts w:ascii="Garamond" w:hAnsi="Garamond"/>
        </w:rPr>
        <w:t>Growth will be tempered, though, by rising interest rates as the RBA seeks to contain a sharp rise in inflation</w:t>
      </w:r>
      <w:r>
        <w:rPr>
          <w:rFonts w:ascii="Garamond" w:hAnsi="Garamond"/>
        </w:rPr>
        <w:t>, and by a weak</w:t>
      </w:r>
      <w:r w:rsidR="00E672A6">
        <w:rPr>
          <w:rFonts w:ascii="Garamond" w:hAnsi="Garamond"/>
        </w:rPr>
        <w:t>er</w:t>
      </w:r>
      <w:r>
        <w:rPr>
          <w:rFonts w:ascii="Garamond" w:hAnsi="Garamond"/>
        </w:rPr>
        <w:t xml:space="preserve"> global economic outlook</w:t>
      </w:r>
      <w:r w:rsidRPr="00A71CE7">
        <w:rPr>
          <w:rFonts w:ascii="Garamond" w:hAnsi="Garamond"/>
        </w:rPr>
        <w:t xml:space="preserve">. </w:t>
      </w:r>
      <w:bookmarkEnd w:id="13"/>
      <w:r>
        <w:rPr>
          <w:rFonts w:ascii="Garamond" w:hAnsi="Garamond"/>
        </w:rPr>
        <w:t xml:space="preserve">Inflation has risen domestically and globally, driven by ongoing pandemic-related supply-chain disruptions, Russia’s invasion of Ukraine, and strong consumer demand. It is expected to </w:t>
      </w:r>
      <w:r w:rsidRPr="000D4974">
        <w:rPr>
          <w:rFonts w:ascii="Garamond" w:hAnsi="Garamond"/>
        </w:rPr>
        <w:t>peak in late 2022</w:t>
      </w:r>
      <w:r>
        <w:rPr>
          <w:rFonts w:ascii="Garamond" w:hAnsi="Garamond"/>
        </w:rPr>
        <w:t xml:space="preserve"> and then decline progressively.</w:t>
      </w:r>
    </w:p>
    <w:bookmarkEnd w:id="12"/>
    <w:p w14:paraId="6A2A999B" w14:textId="2E46426B" w:rsidR="006448B4" w:rsidRDefault="006448B4" w:rsidP="006448B4">
      <w:pPr>
        <w:pStyle w:val="HighlightBoxBullet"/>
        <w:numPr>
          <w:ilvl w:val="0"/>
          <w:numId w:val="10"/>
        </w:numPr>
        <w:rPr>
          <w:rFonts w:ascii="Garamond" w:hAnsi="Garamond"/>
        </w:rPr>
      </w:pPr>
      <w:r>
        <w:rPr>
          <w:rFonts w:ascii="Garamond" w:hAnsi="Garamond"/>
        </w:rPr>
        <w:t xml:space="preserve">The risks to Victoria’s outlook are elevated and include uncertainty around the outlook for domestic and global inflation, interest rates, geopolitical conditions, </w:t>
      </w:r>
      <w:r w:rsidR="007C73B2">
        <w:rPr>
          <w:rFonts w:ascii="Garamond" w:hAnsi="Garamond"/>
        </w:rPr>
        <w:t xml:space="preserve">recent flood events, </w:t>
      </w:r>
      <w:r>
        <w:rPr>
          <w:rFonts w:ascii="Garamond" w:hAnsi="Garamond"/>
        </w:rPr>
        <w:t xml:space="preserve">and ongoing impacts of the COVID-19 pandemic.  </w:t>
      </w:r>
    </w:p>
    <w:p w14:paraId="7F53B1D6" w14:textId="2C71C3CB" w:rsidR="006448B4" w:rsidRDefault="006448B4" w:rsidP="006448B4">
      <w:pPr>
        <w:pStyle w:val="Heading10"/>
      </w:pPr>
      <w:bookmarkStart w:id="14" w:name="_Toc117586239"/>
      <w:r>
        <w:t>Victorian economic conditions and outlook</w:t>
      </w:r>
      <w:bookmarkEnd w:id="14"/>
    </w:p>
    <w:p w14:paraId="48DA5979" w14:textId="1E534251" w:rsidR="006448B4" w:rsidRDefault="006448B4" w:rsidP="006448B4">
      <w:r>
        <w:t>Victoria’s economy rebounded strongly in 2021-22</w:t>
      </w:r>
      <w:r w:rsidR="007C73B2">
        <w:t xml:space="preserve"> and is</w:t>
      </w:r>
      <w:r>
        <w:t xml:space="preserve"> estimated to have grown by </w:t>
      </w:r>
      <w:r w:rsidRPr="009C4BC7">
        <w:t>5.00 per</w:t>
      </w:r>
      <w:r>
        <w:t xml:space="preserve"> cent in real terms as it recovered from the effects of the COVID-19 pandemic that began in early 2020. The strength of economic growth over the past year has meant that aggregate demand is high, business conditions are </w:t>
      </w:r>
      <w:r w:rsidR="0095606C">
        <w:t>positive</w:t>
      </w:r>
      <w:r>
        <w:t xml:space="preserve"> and capacity utilisation is around a record high. Labour market conditions have been particularly robust, with the share of working-age Victorians in </w:t>
      </w:r>
      <w:r w:rsidRPr="00AA4F99">
        <w:t>employment near a</w:t>
      </w:r>
      <w:r>
        <w:t xml:space="preserve"> record high and the unemployment rate recently falling to a near 50-year low. </w:t>
      </w:r>
    </w:p>
    <w:p w14:paraId="7BA7652C" w14:textId="174883AD" w:rsidR="006448B4" w:rsidRDefault="006448B4" w:rsidP="006448B4">
      <w:bookmarkStart w:id="15" w:name="_Hlk116987443"/>
      <w:r>
        <w:lastRenderedPageBreak/>
        <w:t>The economic outlook for 2022-23 remains positive, although growth will be tempered by the effect of rising interest rates and a weak</w:t>
      </w:r>
      <w:r w:rsidR="00E672A6">
        <w:t>er</w:t>
      </w:r>
      <w:r>
        <w:t xml:space="preserve"> global economic outlook. </w:t>
      </w:r>
      <w:bookmarkEnd w:id="15"/>
      <w:r>
        <w:t xml:space="preserve">The RBA began raising interest rates in May 2022 to contain a sharp rise in inflation. Inflation has risen domestically and globally, driven by ongoing pandemic-related supply chain disruptions, Russia’s invasion of Ukraine and strong consumer demand. </w:t>
      </w:r>
    </w:p>
    <w:p w14:paraId="5FE1509A" w14:textId="77777777" w:rsidR="006448B4" w:rsidRDefault="006448B4" w:rsidP="006448B4">
      <w:r>
        <w:t xml:space="preserve">Overall, Victoria’s economy is expected to record solid real growth </w:t>
      </w:r>
      <w:r w:rsidRPr="009C4BC7">
        <w:t>of 3.00 pe</w:t>
      </w:r>
      <w:r>
        <w:t>r cent in 2022</w:t>
      </w:r>
      <w:r>
        <w:noBreakHyphen/>
        <w:t>23. Business investment intentions are positive and forward indicators of labour demand, such as job advertisements and job vacancies, are strong. Activity will also be supported by a very high level of household savings, which is expected to help consumers remain resilient during a period of higher inflation and interest rates.</w:t>
      </w:r>
      <w:r w:rsidRPr="00BB3AD8">
        <w:t xml:space="preserve"> </w:t>
      </w:r>
    </w:p>
    <w:p w14:paraId="61DE1B74" w14:textId="7085C83B" w:rsidR="006448B4" w:rsidRDefault="006448B4" w:rsidP="006448B4">
      <w:pPr>
        <w:ind w:right="56"/>
      </w:pPr>
      <w:r w:rsidRPr="008A4F29">
        <w:t xml:space="preserve">The October 2022 floods are significantly affecting communities in some regions of Victoria. It is too early to determine the likely impact on the state’s overall economy, </w:t>
      </w:r>
      <w:r>
        <w:t xml:space="preserve">but </w:t>
      </w:r>
      <w:r w:rsidRPr="008A4F29">
        <w:t>once this is assessed there may be some downward pressure on growth in the near-term</w:t>
      </w:r>
      <w:r>
        <w:t xml:space="preserve"> (see Box 1.1)</w:t>
      </w:r>
      <w:r w:rsidRPr="008A4F29">
        <w:t>. Over the medium term, recovery and reconstruction activity may offset these negative impacts on growth. Floods may also temporarily add to inflation pressures, particularly for fresh food.</w:t>
      </w:r>
    </w:p>
    <w:p w14:paraId="20D0267B" w14:textId="77777777" w:rsidR="006448B4" w:rsidRDefault="006448B4" w:rsidP="006448B4">
      <w:pPr>
        <w:pStyle w:val="Heading20"/>
      </w:pPr>
      <w:r>
        <w:t>Gross state product</w:t>
      </w:r>
    </w:p>
    <w:p w14:paraId="6C610164" w14:textId="77777777" w:rsidR="006448B4" w:rsidRDefault="006448B4" w:rsidP="006448B4">
      <w:r>
        <w:t>Table 1.1</w:t>
      </w:r>
      <w:r w:rsidRPr="00033BEB">
        <w:t xml:space="preserve"> </w:t>
      </w:r>
      <w:r>
        <w:t xml:space="preserve">sets out the economic forecasts, with the </w:t>
      </w:r>
      <w:r>
        <w:rPr>
          <w:i/>
        </w:rPr>
        <w:t>2022-23</w:t>
      </w:r>
      <w:r w:rsidRPr="003D6D07">
        <w:rPr>
          <w:i/>
        </w:rPr>
        <w:t xml:space="preserve"> Budget</w:t>
      </w:r>
      <w:r>
        <w:t xml:space="preserve"> forecasts in italics where different.</w:t>
      </w:r>
    </w:p>
    <w:p w14:paraId="607F48D2" w14:textId="05A202B0" w:rsidR="006448B4" w:rsidRPr="00EE2764" w:rsidRDefault="006448B4" w:rsidP="00EE2764">
      <w:pPr>
        <w:pStyle w:val="TableHeading"/>
      </w:pPr>
      <w:r w:rsidRPr="00EE2764">
        <w:t>Table 1.1:</w:t>
      </w:r>
      <w:r w:rsidRPr="00EE2764">
        <w:tab/>
        <w:t xml:space="preserve">Victorian economic forecasts </w:t>
      </w:r>
      <w:r w:rsidRPr="00EE2764">
        <w:rPr>
          <w:vertAlign w:val="superscript"/>
        </w:rPr>
        <w:t>(a)</w:t>
      </w:r>
      <w:r w:rsidRPr="00EE2764">
        <w:tab/>
        <w:t>(per cent)</w:t>
      </w:r>
    </w:p>
    <w:tbl>
      <w:tblPr>
        <w:tblStyle w:val="DTFTable"/>
        <w:tblW w:w="7711" w:type="dxa"/>
        <w:tblLayout w:type="fixed"/>
        <w:tblLook w:val="06A0" w:firstRow="1" w:lastRow="0" w:firstColumn="1" w:lastColumn="0" w:noHBand="1" w:noVBand="1"/>
      </w:tblPr>
      <w:tblGrid>
        <w:gridCol w:w="2560"/>
        <w:gridCol w:w="1024"/>
        <w:gridCol w:w="1036"/>
        <w:gridCol w:w="1030"/>
        <w:gridCol w:w="1031"/>
        <w:gridCol w:w="1030"/>
      </w:tblGrid>
      <w:tr w:rsidR="006448B4" w:rsidRPr="00B955D8" w14:paraId="3D0E0A3A" w14:textId="77777777" w:rsidTr="00EE27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E1984EC" w14:textId="77777777" w:rsidR="006448B4" w:rsidRPr="00B955D8" w:rsidRDefault="006448B4" w:rsidP="00D0055F">
            <w:pPr>
              <w:rPr>
                <w:i w:val="0"/>
                <w:lang w:eastAsia="en-AU"/>
              </w:rPr>
            </w:pPr>
            <w:r w:rsidRPr="00B955D8">
              <w:rPr>
                <w:lang w:eastAsia="en-AU"/>
              </w:rPr>
              <w:t xml:space="preserve"> </w:t>
            </w:r>
          </w:p>
        </w:tc>
        <w:tc>
          <w:tcPr>
            <w:tcW w:w="1021" w:type="dxa"/>
          </w:tcPr>
          <w:p w14:paraId="023A5E0B" w14:textId="4279CA03" w:rsidR="006448B4" w:rsidRPr="000E2794" w:rsidRDefault="006448B4" w:rsidP="00B77FAD">
            <w:pPr>
              <w:ind w:right="113"/>
              <w:cnfStyle w:val="100000000000" w:firstRow="1" w:lastRow="0" w:firstColumn="0" w:lastColumn="0" w:oddVBand="0" w:evenVBand="0" w:oddHBand="0" w:evenHBand="0" w:firstRowFirstColumn="0" w:firstRowLastColumn="0" w:lastRowFirstColumn="0" w:lastRowLastColumn="0"/>
              <w:rPr>
                <w:rFonts w:cs="Calibri"/>
                <w:color w:val="FFFFFF"/>
                <w:szCs w:val="20"/>
                <w:lang w:eastAsia="en-AU"/>
              </w:rPr>
            </w:pPr>
            <w:r w:rsidRPr="00256977">
              <w:rPr>
                <w:rFonts w:eastAsiaTheme="minorEastAsia" w:cstheme="majorHAnsi"/>
                <w:iCs/>
                <w:color w:val="FFFFFF"/>
                <w:szCs w:val="17"/>
                <w:lang w:eastAsia="en-AU"/>
              </w:rPr>
              <w:t>2021</w:t>
            </w:r>
            <w:r w:rsidRPr="00256977">
              <w:rPr>
                <w:rFonts w:eastAsiaTheme="minorEastAsia" w:cstheme="majorHAnsi"/>
                <w:iCs/>
                <w:color w:val="FFFFFF"/>
                <w:szCs w:val="17"/>
                <w:lang w:eastAsia="en-AU"/>
              </w:rPr>
              <w:noBreakHyphen/>
              <w:t>22</w:t>
            </w:r>
            <w:r w:rsidR="00B77FAD">
              <w:rPr>
                <w:rFonts w:eastAsiaTheme="minorEastAsia" w:cstheme="majorHAnsi"/>
                <w:iCs/>
                <w:color w:val="FFFFFF"/>
                <w:szCs w:val="17"/>
                <w:lang w:eastAsia="en-AU"/>
              </w:rPr>
              <w:br/>
            </w:r>
            <w:r>
              <w:rPr>
                <w:rFonts w:eastAsiaTheme="minorEastAsia" w:cstheme="majorHAnsi"/>
                <w:iCs/>
                <w:color w:val="FFFFFF"/>
                <w:szCs w:val="17"/>
                <w:lang w:eastAsia="en-AU"/>
              </w:rPr>
              <w:t>actual</w:t>
            </w:r>
          </w:p>
        </w:tc>
        <w:tc>
          <w:tcPr>
            <w:tcW w:w="1032" w:type="dxa"/>
          </w:tcPr>
          <w:p w14:paraId="0A5D6FC8" w14:textId="38EC5F32" w:rsidR="006448B4" w:rsidRPr="000E2794" w:rsidRDefault="006448B4" w:rsidP="00D0055F">
            <w:pPr>
              <w:cnfStyle w:val="100000000000" w:firstRow="1" w:lastRow="0" w:firstColumn="0" w:lastColumn="0" w:oddVBand="0" w:evenVBand="0" w:oddHBand="0" w:evenHBand="0" w:firstRowFirstColumn="0" w:firstRowLastColumn="0" w:lastRowFirstColumn="0" w:lastRowLastColumn="0"/>
              <w:rPr>
                <w:rFonts w:cs="Calibri"/>
                <w:color w:val="FFFFFF"/>
                <w:szCs w:val="20"/>
                <w:lang w:eastAsia="en-AU"/>
              </w:rPr>
            </w:pPr>
            <w:r w:rsidRPr="00256977">
              <w:rPr>
                <w:rFonts w:eastAsiaTheme="minorEastAsia" w:cstheme="majorHAnsi"/>
                <w:iCs/>
                <w:color w:val="FFFFFF"/>
                <w:szCs w:val="17"/>
                <w:lang w:eastAsia="en-AU"/>
              </w:rPr>
              <w:t>2022</w:t>
            </w:r>
            <w:r w:rsidRPr="00256977">
              <w:rPr>
                <w:rFonts w:eastAsiaTheme="minorEastAsia" w:cstheme="majorHAnsi"/>
                <w:iCs/>
                <w:color w:val="FFFFFF"/>
                <w:szCs w:val="17"/>
                <w:lang w:eastAsia="en-AU"/>
              </w:rPr>
              <w:noBreakHyphen/>
              <w:t>23</w:t>
            </w:r>
            <w:r w:rsidR="00B77FAD">
              <w:rPr>
                <w:rFonts w:eastAsiaTheme="minorEastAsia" w:cstheme="majorHAnsi"/>
                <w:iCs/>
                <w:color w:val="FFFFFF"/>
                <w:szCs w:val="17"/>
                <w:lang w:eastAsia="en-AU"/>
              </w:rPr>
              <w:br/>
            </w:r>
            <w:r w:rsidRPr="00256977">
              <w:rPr>
                <w:rFonts w:eastAsiaTheme="minorEastAsia" w:cstheme="majorHAnsi"/>
                <w:iCs/>
                <w:color w:val="FFFFFF"/>
                <w:szCs w:val="17"/>
                <w:lang w:eastAsia="en-AU"/>
              </w:rPr>
              <w:t>forecast</w:t>
            </w:r>
          </w:p>
        </w:tc>
        <w:tc>
          <w:tcPr>
            <w:tcW w:w="1026" w:type="dxa"/>
          </w:tcPr>
          <w:p w14:paraId="3DCE5402" w14:textId="0A4BF1C6" w:rsidR="006448B4" w:rsidRPr="000E2794" w:rsidRDefault="006448B4" w:rsidP="00D0055F">
            <w:pPr>
              <w:cnfStyle w:val="100000000000" w:firstRow="1" w:lastRow="0" w:firstColumn="0" w:lastColumn="0" w:oddVBand="0" w:evenVBand="0" w:oddHBand="0" w:evenHBand="0" w:firstRowFirstColumn="0" w:firstRowLastColumn="0" w:lastRowFirstColumn="0" w:lastRowLastColumn="0"/>
              <w:rPr>
                <w:rFonts w:cs="Calibri"/>
                <w:color w:val="FFFFFF"/>
                <w:szCs w:val="20"/>
                <w:lang w:eastAsia="en-AU"/>
              </w:rPr>
            </w:pPr>
            <w:r w:rsidRPr="00256977">
              <w:rPr>
                <w:rFonts w:eastAsiaTheme="minorEastAsia" w:cstheme="majorHAnsi"/>
                <w:iCs/>
                <w:color w:val="FFFFFF" w:themeColor="background1"/>
                <w:szCs w:val="17"/>
                <w:lang w:eastAsia="en-AU"/>
              </w:rPr>
              <w:t>2023</w:t>
            </w:r>
            <w:r w:rsidRPr="00256977">
              <w:rPr>
                <w:rFonts w:eastAsiaTheme="minorEastAsia" w:cstheme="majorHAnsi"/>
                <w:iCs/>
                <w:color w:val="FFFFFF" w:themeColor="background1"/>
                <w:szCs w:val="17"/>
                <w:lang w:eastAsia="en-AU"/>
              </w:rPr>
              <w:noBreakHyphen/>
              <w:t>24</w:t>
            </w:r>
            <w:r w:rsidR="00B77FAD">
              <w:rPr>
                <w:rFonts w:eastAsiaTheme="minorEastAsia" w:cstheme="majorHAnsi"/>
                <w:iCs/>
                <w:color w:val="FFFFFF" w:themeColor="background1"/>
                <w:szCs w:val="17"/>
                <w:lang w:eastAsia="en-AU"/>
              </w:rPr>
              <w:br/>
            </w:r>
            <w:r w:rsidRPr="00256977">
              <w:rPr>
                <w:rFonts w:eastAsiaTheme="minorEastAsia" w:cstheme="majorHAnsi"/>
                <w:iCs/>
                <w:color w:val="FFFFFF"/>
                <w:szCs w:val="17"/>
                <w:lang w:eastAsia="en-AU"/>
              </w:rPr>
              <w:t>forecast</w:t>
            </w:r>
          </w:p>
        </w:tc>
        <w:tc>
          <w:tcPr>
            <w:tcW w:w="1027" w:type="dxa"/>
          </w:tcPr>
          <w:p w14:paraId="685ADC50" w14:textId="389B49CA" w:rsidR="006448B4" w:rsidRPr="000E2794" w:rsidRDefault="006448B4" w:rsidP="00D0055F">
            <w:pPr>
              <w:cnfStyle w:val="100000000000" w:firstRow="1" w:lastRow="0" w:firstColumn="0" w:lastColumn="0" w:oddVBand="0" w:evenVBand="0" w:oddHBand="0" w:evenHBand="0" w:firstRowFirstColumn="0" w:firstRowLastColumn="0" w:lastRowFirstColumn="0" w:lastRowLastColumn="0"/>
              <w:rPr>
                <w:rFonts w:cs="Calibri"/>
                <w:color w:val="FFFFFF"/>
                <w:szCs w:val="20"/>
                <w:lang w:eastAsia="en-AU"/>
              </w:rPr>
            </w:pPr>
            <w:r w:rsidRPr="00256977">
              <w:rPr>
                <w:rFonts w:eastAsiaTheme="minorEastAsia" w:cstheme="majorHAnsi"/>
                <w:iCs/>
                <w:color w:val="FFFFFF" w:themeColor="background1"/>
                <w:szCs w:val="17"/>
                <w:lang w:eastAsia="en-AU"/>
              </w:rPr>
              <w:t>2024</w:t>
            </w:r>
            <w:r w:rsidRPr="00256977">
              <w:rPr>
                <w:rFonts w:eastAsiaTheme="minorEastAsia" w:cstheme="majorHAnsi"/>
                <w:iCs/>
                <w:color w:val="FFFFFF" w:themeColor="background1"/>
                <w:szCs w:val="17"/>
                <w:lang w:eastAsia="en-AU"/>
              </w:rPr>
              <w:noBreakHyphen/>
              <w:t>25</w:t>
            </w:r>
            <w:r w:rsidR="00B77FAD">
              <w:rPr>
                <w:rFonts w:eastAsiaTheme="minorEastAsia" w:cstheme="majorHAnsi"/>
                <w:iCs/>
                <w:color w:val="FFFFFF" w:themeColor="background1"/>
                <w:szCs w:val="17"/>
                <w:lang w:eastAsia="en-AU"/>
              </w:rPr>
              <w:br/>
            </w:r>
            <w:r w:rsidRPr="00256977">
              <w:rPr>
                <w:rFonts w:eastAsiaTheme="minorEastAsia" w:cstheme="majorHAnsi"/>
                <w:iCs/>
                <w:color w:val="FFFFFF" w:themeColor="background1"/>
                <w:szCs w:val="17"/>
                <w:lang w:eastAsia="en-AU"/>
              </w:rPr>
              <w:t>projection</w:t>
            </w:r>
          </w:p>
        </w:tc>
        <w:tc>
          <w:tcPr>
            <w:tcW w:w="1026" w:type="dxa"/>
          </w:tcPr>
          <w:p w14:paraId="4E200288" w14:textId="6F9DBFB1" w:rsidR="006448B4" w:rsidRPr="000E2794" w:rsidRDefault="006448B4" w:rsidP="00D0055F">
            <w:pPr>
              <w:cnfStyle w:val="100000000000" w:firstRow="1" w:lastRow="0" w:firstColumn="0" w:lastColumn="0" w:oddVBand="0" w:evenVBand="0" w:oddHBand="0" w:evenHBand="0" w:firstRowFirstColumn="0" w:firstRowLastColumn="0" w:lastRowFirstColumn="0" w:lastRowLastColumn="0"/>
              <w:rPr>
                <w:rFonts w:cs="Calibri"/>
                <w:color w:val="FFFFFF"/>
                <w:szCs w:val="20"/>
                <w:lang w:eastAsia="en-AU"/>
              </w:rPr>
            </w:pPr>
            <w:r w:rsidRPr="00256977">
              <w:rPr>
                <w:rFonts w:eastAsiaTheme="minorEastAsia" w:cstheme="majorHAnsi"/>
                <w:iCs/>
                <w:color w:val="FFFFFF" w:themeColor="background1"/>
                <w:szCs w:val="17"/>
                <w:lang w:eastAsia="en-AU"/>
              </w:rPr>
              <w:t>2025</w:t>
            </w:r>
            <w:r w:rsidRPr="00256977">
              <w:rPr>
                <w:rFonts w:eastAsiaTheme="minorEastAsia" w:cstheme="majorHAnsi"/>
                <w:iCs/>
                <w:color w:val="FFFFFF" w:themeColor="background1"/>
                <w:szCs w:val="17"/>
                <w:lang w:eastAsia="en-AU"/>
              </w:rPr>
              <w:noBreakHyphen/>
              <w:t>26</w:t>
            </w:r>
            <w:r w:rsidR="00B77FAD">
              <w:rPr>
                <w:rFonts w:eastAsiaTheme="minorEastAsia" w:cstheme="majorHAnsi"/>
                <w:iCs/>
                <w:color w:val="FFFFFF" w:themeColor="background1"/>
                <w:szCs w:val="17"/>
                <w:lang w:eastAsia="en-AU"/>
              </w:rPr>
              <w:br/>
            </w:r>
            <w:r w:rsidRPr="00256977">
              <w:rPr>
                <w:rFonts w:eastAsiaTheme="minorEastAsia" w:cstheme="majorHAnsi"/>
                <w:iCs/>
                <w:color w:val="FFFFFF" w:themeColor="background1"/>
                <w:szCs w:val="17"/>
                <w:lang w:eastAsia="en-AU"/>
              </w:rPr>
              <w:t>projection</w:t>
            </w:r>
          </w:p>
        </w:tc>
      </w:tr>
      <w:tr w:rsidR="006448B4" w:rsidRPr="00B955D8" w14:paraId="09D296A0" w14:textId="77777777" w:rsidTr="00EE2764">
        <w:trPr>
          <w:cantSplit w:val="0"/>
        </w:trPr>
        <w:tc>
          <w:tcPr>
            <w:cnfStyle w:val="001000000000" w:firstRow="0" w:lastRow="0" w:firstColumn="1" w:lastColumn="0" w:oddVBand="0" w:evenVBand="0" w:oddHBand="0" w:evenHBand="0" w:firstRowFirstColumn="0" w:firstRowLastColumn="0" w:lastRowFirstColumn="0" w:lastRowLastColumn="0"/>
            <w:tcW w:w="2552" w:type="dxa"/>
          </w:tcPr>
          <w:p w14:paraId="5EAB2ACF" w14:textId="77777777" w:rsidR="006448B4" w:rsidRPr="00E25B24" w:rsidRDefault="006448B4" w:rsidP="00D0055F">
            <w:pPr>
              <w:rPr>
                <w:rFonts w:cs="Calibri"/>
                <w:szCs w:val="20"/>
                <w:lang w:eastAsia="en-AU"/>
              </w:rPr>
            </w:pPr>
            <w:r w:rsidRPr="00E25B24">
              <w:rPr>
                <w:rFonts w:cs="Calibri"/>
                <w:szCs w:val="20"/>
                <w:lang w:eastAsia="en-AU"/>
              </w:rPr>
              <w:t>Real gross state product</w:t>
            </w:r>
          </w:p>
        </w:tc>
        <w:tc>
          <w:tcPr>
            <w:tcW w:w="1021" w:type="dxa"/>
          </w:tcPr>
          <w:p w14:paraId="67963BEF" w14:textId="6FE27796" w:rsidR="006448B4" w:rsidRPr="00E25B24" w:rsidRDefault="006448B4" w:rsidP="00D0055F">
            <w:pPr>
              <w:ind w:right="-54"/>
              <w:cnfStyle w:val="000000000000" w:firstRow="0" w:lastRow="0" w:firstColumn="0" w:lastColumn="0" w:oddVBand="0" w:evenVBand="0" w:oddHBand="0" w:evenHBand="0" w:firstRowFirstColumn="0" w:firstRowLastColumn="0" w:lastRowFirstColumn="0" w:lastRowLastColumn="0"/>
              <w:rPr>
                <w:rFonts w:cs="Calibri"/>
                <w:szCs w:val="20"/>
                <w:lang w:eastAsia="en-AU"/>
              </w:rPr>
            </w:pPr>
            <w:r>
              <w:rPr>
                <w:rFonts w:cs="Calibri"/>
                <w:szCs w:val="20"/>
                <w:lang w:eastAsia="en-AU"/>
              </w:rPr>
              <w:t xml:space="preserve">5.00 </w:t>
            </w:r>
            <w:r w:rsidRPr="00E25B24">
              <w:rPr>
                <w:rFonts w:cs="Calibri"/>
                <w:szCs w:val="20"/>
                <w:vertAlign w:val="superscript"/>
                <w:lang w:eastAsia="en-AU"/>
              </w:rPr>
              <w:t>(b)</w:t>
            </w:r>
          </w:p>
        </w:tc>
        <w:tc>
          <w:tcPr>
            <w:tcW w:w="1032" w:type="dxa"/>
          </w:tcPr>
          <w:p w14:paraId="09863FE1" w14:textId="77777777" w:rsidR="006448B4" w:rsidRPr="009C4BC7" w:rsidRDefault="006448B4" w:rsidP="00D0055F">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9C4BC7">
              <w:rPr>
                <w:rFonts w:cs="Calibri"/>
                <w:szCs w:val="20"/>
                <w:lang w:eastAsia="en-AU"/>
              </w:rPr>
              <w:t>3.00</w:t>
            </w:r>
          </w:p>
        </w:tc>
        <w:tc>
          <w:tcPr>
            <w:tcW w:w="1026" w:type="dxa"/>
          </w:tcPr>
          <w:p w14:paraId="7E4D5E78" w14:textId="77777777" w:rsidR="006448B4" w:rsidRPr="009C4BC7" w:rsidRDefault="006448B4" w:rsidP="00D0055F">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9C4BC7">
              <w:rPr>
                <w:rFonts w:cs="Calibri"/>
                <w:szCs w:val="20"/>
                <w:lang w:eastAsia="en-AU"/>
              </w:rPr>
              <w:t>1.75</w:t>
            </w:r>
          </w:p>
        </w:tc>
        <w:tc>
          <w:tcPr>
            <w:tcW w:w="1027" w:type="dxa"/>
          </w:tcPr>
          <w:p w14:paraId="792E2996" w14:textId="77777777" w:rsidR="006448B4" w:rsidRPr="00E25B24" w:rsidRDefault="006448B4" w:rsidP="00D0055F">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E25B24">
              <w:rPr>
                <w:rFonts w:cs="Calibri"/>
                <w:szCs w:val="20"/>
                <w:lang w:eastAsia="en-AU"/>
              </w:rPr>
              <w:t>2.75</w:t>
            </w:r>
          </w:p>
        </w:tc>
        <w:tc>
          <w:tcPr>
            <w:tcW w:w="1026" w:type="dxa"/>
          </w:tcPr>
          <w:p w14:paraId="7AFE5367" w14:textId="77777777" w:rsidR="006448B4" w:rsidRPr="00E25B24" w:rsidRDefault="006448B4" w:rsidP="00D0055F">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E25B24">
              <w:rPr>
                <w:rFonts w:cs="Calibri"/>
                <w:szCs w:val="20"/>
                <w:lang w:eastAsia="en-AU"/>
              </w:rPr>
              <w:t>2.75</w:t>
            </w:r>
          </w:p>
        </w:tc>
      </w:tr>
      <w:tr w:rsidR="006448B4" w:rsidRPr="00A1348E" w14:paraId="12C4D65E" w14:textId="77777777" w:rsidTr="00EE2764">
        <w:trPr>
          <w:cantSplit w:val="0"/>
        </w:trPr>
        <w:tc>
          <w:tcPr>
            <w:cnfStyle w:val="001000000000" w:firstRow="0" w:lastRow="0" w:firstColumn="1" w:lastColumn="0" w:oddVBand="0" w:evenVBand="0" w:oddHBand="0" w:evenHBand="0" w:firstRowFirstColumn="0" w:firstRowLastColumn="0" w:lastRowFirstColumn="0" w:lastRowLastColumn="0"/>
            <w:tcW w:w="2552" w:type="dxa"/>
          </w:tcPr>
          <w:p w14:paraId="6EE92382" w14:textId="77777777" w:rsidR="006448B4" w:rsidRPr="00E25B24" w:rsidRDefault="006448B4" w:rsidP="00D0055F">
            <w:pPr>
              <w:rPr>
                <w:rFonts w:cs="Calibri"/>
                <w:i/>
                <w:szCs w:val="20"/>
                <w:lang w:eastAsia="en-AU"/>
              </w:rPr>
            </w:pPr>
          </w:p>
        </w:tc>
        <w:tc>
          <w:tcPr>
            <w:tcW w:w="1021" w:type="dxa"/>
          </w:tcPr>
          <w:p w14:paraId="01041297" w14:textId="77777777" w:rsidR="006448B4" w:rsidRPr="00E25B24" w:rsidRDefault="006448B4" w:rsidP="00B77FAD">
            <w:pPr>
              <w:ind w:right="113"/>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E25B24">
              <w:rPr>
                <w:rFonts w:cs="Calibri"/>
                <w:i/>
                <w:szCs w:val="20"/>
                <w:lang w:eastAsia="en-AU"/>
              </w:rPr>
              <w:t>5.50</w:t>
            </w:r>
          </w:p>
        </w:tc>
        <w:tc>
          <w:tcPr>
            <w:tcW w:w="1032" w:type="dxa"/>
          </w:tcPr>
          <w:p w14:paraId="1449CEC0" w14:textId="77777777" w:rsidR="006448B4" w:rsidRPr="00E25B24" w:rsidRDefault="006448B4" w:rsidP="00D0055F">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E25B24">
              <w:rPr>
                <w:rFonts w:cs="Calibri"/>
                <w:i/>
                <w:szCs w:val="20"/>
                <w:lang w:eastAsia="en-AU"/>
              </w:rPr>
              <w:t>3.25</w:t>
            </w:r>
          </w:p>
        </w:tc>
        <w:tc>
          <w:tcPr>
            <w:tcW w:w="1026" w:type="dxa"/>
          </w:tcPr>
          <w:p w14:paraId="6E8D4F73" w14:textId="77777777" w:rsidR="006448B4" w:rsidRPr="00E25B24" w:rsidRDefault="006448B4" w:rsidP="00D0055F">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E25B24">
              <w:rPr>
                <w:rFonts w:cs="Calibri"/>
                <w:i/>
                <w:szCs w:val="20"/>
                <w:lang w:eastAsia="en-AU"/>
              </w:rPr>
              <w:t>2.25</w:t>
            </w:r>
          </w:p>
        </w:tc>
        <w:tc>
          <w:tcPr>
            <w:tcW w:w="1027" w:type="dxa"/>
          </w:tcPr>
          <w:p w14:paraId="3E2DE0DB" w14:textId="77777777" w:rsidR="006448B4" w:rsidRPr="00E25B24" w:rsidRDefault="006448B4" w:rsidP="00D0055F">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p>
        </w:tc>
        <w:tc>
          <w:tcPr>
            <w:tcW w:w="1026" w:type="dxa"/>
          </w:tcPr>
          <w:p w14:paraId="01180D5A" w14:textId="77777777" w:rsidR="006448B4" w:rsidRPr="00E25B24" w:rsidRDefault="006448B4" w:rsidP="00D0055F">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p>
        </w:tc>
      </w:tr>
      <w:tr w:rsidR="006448B4" w:rsidRPr="00B955D8" w14:paraId="1AFE746C" w14:textId="77777777" w:rsidTr="00EE2764">
        <w:trPr>
          <w:cantSplit w:val="0"/>
        </w:trPr>
        <w:tc>
          <w:tcPr>
            <w:cnfStyle w:val="001000000000" w:firstRow="0" w:lastRow="0" w:firstColumn="1" w:lastColumn="0" w:oddVBand="0" w:evenVBand="0" w:oddHBand="0" w:evenHBand="0" w:firstRowFirstColumn="0" w:firstRowLastColumn="0" w:lastRowFirstColumn="0" w:lastRowLastColumn="0"/>
            <w:tcW w:w="2552" w:type="dxa"/>
          </w:tcPr>
          <w:p w14:paraId="24608F1F" w14:textId="77777777" w:rsidR="006448B4" w:rsidRPr="00E25B24" w:rsidRDefault="006448B4" w:rsidP="00D0055F">
            <w:pPr>
              <w:rPr>
                <w:rFonts w:cs="Calibri"/>
                <w:szCs w:val="20"/>
                <w:lang w:eastAsia="en-AU"/>
              </w:rPr>
            </w:pPr>
            <w:r w:rsidRPr="00E25B24">
              <w:rPr>
                <w:rFonts w:cs="Calibri"/>
                <w:szCs w:val="20"/>
                <w:lang w:eastAsia="en-AU"/>
              </w:rPr>
              <w:t>Employment</w:t>
            </w:r>
          </w:p>
        </w:tc>
        <w:tc>
          <w:tcPr>
            <w:tcW w:w="1021" w:type="dxa"/>
          </w:tcPr>
          <w:p w14:paraId="275F555E" w14:textId="77777777" w:rsidR="006448B4" w:rsidRPr="00E25B24" w:rsidRDefault="006448B4" w:rsidP="00B77FAD">
            <w:pPr>
              <w:ind w:right="113"/>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E25B24">
              <w:rPr>
                <w:rFonts w:cs="Calibri"/>
                <w:szCs w:val="20"/>
                <w:lang w:eastAsia="en-AU"/>
              </w:rPr>
              <w:t>3.9</w:t>
            </w:r>
            <w:r>
              <w:rPr>
                <w:rFonts w:cs="Calibri"/>
                <w:szCs w:val="20"/>
                <w:lang w:eastAsia="en-AU"/>
              </w:rPr>
              <w:t>0</w:t>
            </w:r>
          </w:p>
        </w:tc>
        <w:tc>
          <w:tcPr>
            <w:tcW w:w="1032" w:type="dxa"/>
          </w:tcPr>
          <w:p w14:paraId="0F5AC2B8" w14:textId="77777777" w:rsidR="006448B4" w:rsidRPr="00E25B24" w:rsidRDefault="006448B4" w:rsidP="00D0055F">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E25B24">
              <w:rPr>
                <w:rFonts w:cs="Calibri"/>
                <w:szCs w:val="20"/>
                <w:lang w:eastAsia="en-AU"/>
              </w:rPr>
              <w:t>1.75</w:t>
            </w:r>
          </w:p>
        </w:tc>
        <w:tc>
          <w:tcPr>
            <w:tcW w:w="1026" w:type="dxa"/>
          </w:tcPr>
          <w:p w14:paraId="27ECB438" w14:textId="77777777" w:rsidR="006448B4" w:rsidRPr="00E25B24" w:rsidRDefault="006448B4" w:rsidP="00D0055F">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E25B24">
              <w:rPr>
                <w:rFonts w:cs="Calibri"/>
                <w:szCs w:val="20"/>
                <w:lang w:eastAsia="en-AU"/>
              </w:rPr>
              <w:t>1.00</w:t>
            </w:r>
          </w:p>
        </w:tc>
        <w:tc>
          <w:tcPr>
            <w:tcW w:w="1027" w:type="dxa"/>
          </w:tcPr>
          <w:p w14:paraId="3ECAA059" w14:textId="77777777" w:rsidR="006448B4" w:rsidRPr="00E25B24" w:rsidRDefault="006448B4" w:rsidP="00D0055F">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E25B24">
              <w:rPr>
                <w:rFonts w:cs="Calibri"/>
                <w:szCs w:val="20"/>
                <w:lang w:eastAsia="en-AU"/>
              </w:rPr>
              <w:t>1.25</w:t>
            </w:r>
          </w:p>
        </w:tc>
        <w:tc>
          <w:tcPr>
            <w:tcW w:w="1026" w:type="dxa"/>
          </w:tcPr>
          <w:p w14:paraId="7E7649E9" w14:textId="77777777" w:rsidR="006448B4" w:rsidRPr="00E25B24" w:rsidRDefault="006448B4" w:rsidP="00D0055F">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E25B24">
              <w:rPr>
                <w:rFonts w:cs="Calibri"/>
                <w:szCs w:val="20"/>
                <w:lang w:eastAsia="en-AU"/>
              </w:rPr>
              <w:t>1.75</w:t>
            </w:r>
          </w:p>
        </w:tc>
      </w:tr>
      <w:tr w:rsidR="006448B4" w:rsidRPr="00A1348E" w14:paraId="258F8585" w14:textId="77777777" w:rsidTr="00EE2764">
        <w:trPr>
          <w:cantSplit w:val="0"/>
        </w:trPr>
        <w:tc>
          <w:tcPr>
            <w:cnfStyle w:val="001000000000" w:firstRow="0" w:lastRow="0" w:firstColumn="1" w:lastColumn="0" w:oddVBand="0" w:evenVBand="0" w:oddHBand="0" w:evenHBand="0" w:firstRowFirstColumn="0" w:firstRowLastColumn="0" w:lastRowFirstColumn="0" w:lastRowLastColumn="0"/>
            <w:tcW w:w="2552" w:type="dxa"/>
          </w:tcPr>
          <w:p w14:paraId="2EC5019E" w14:textId="77777777" w:rsidR="006448B4" w:rsidRPr="00E25B24" w:rsidRDefault="006448B4" w:rsidP="00D0055F">
            <w:pPr>
              <w:rPr>
                <w:rFonts w:cs="Calibri"/>
                <w:i/>
                <w:szCs w:val="20"/>
                <w:lang w:eastAsia="en-AU"/>
              </w:rPr>
            </w:pPr>
          </w:p>
        </w:tc>
        <w:tc>
          <w:tcPr>
            <w:tcW w:w="1021" w:type="dxa"/>
          </w:tcPr>
          <w:p w14:paraId="56DBCE95" w14:textId="77777777" w:rsidR="006448B4" w:rsidRPr="00E25B24" w:rsidRDefault="006448B4" w:rsidP="00B77FAD">
            <w:pPr>
              <w:ind w:right="113"/>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E25B24">
              <w:rPr>
                <w:rFonts w:cs="Calibri"/>
                <w:i/>
                <w:szCs w:val="20"/>
                <w:lang w:eastAsia="en-AU"/>
              </w:rPr>
              <w:t>3.00</w:t>
            </w:r>
          </w:p>
        </w:tc>
        <w:tc>
          <w:tcPr>
            <w:tcW w:w="1032" w:type="dxa"/>
          </w:tcPr>
          <w:p w14:paraId="49910F35" w14:textId="77777777" w:rsidR="006448B4" w:rsidRPr="00E25B24" w:rsidRDefault="006448B4" w:rsidP="00D0055F">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p>
        </w:tc>
        <w:tc>
          <w:tcPr>
            <w:tcW w:w="1026" w:type="dxa"/>
          </w:tcPr>
          <w:p w14:paraId="5D013F5E" w14:textId="77777777" w:rsidR="006448B4" w:rsidRPr="00E25B24" w:rsidRDefault="006448B4" w:rsidP="00D0055F">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p>
        </w:tc>
        <w:tc>
          <w:tcPr>
            <w:tcW w:w="1027" w:type="dxa"/>
          </w:tcPr>
          <w:p w14:paraId="13E8CE32" w14:textId="77777777" w:rsidR="006448B4" w:rsidRPr="00E25B24" w:rsidRDefault="006448B4" w:rsidP="00D0055F">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p>
        </w:tc>
        <w:tc>
          <w:tcPr>
            <w:tcW w:w="1026" w:type="dxa"/>
          </w:tcPr>
          <w:p w14:paraId="653B0DDB" w14:textId="77777777" w:rsidR="006448B4" w:rsidRPr="00E25B24" w:rsidRDefault="006448B4" w:rsidP="00D0055F">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p>
        </w:tc>
      </w:tr>
      <w:tr w:rsidR="006448B4" w:rsidRPr="00B955D8" w14:paraId="57581430" w14:textId="77777777" w:rsidTr="00EE2764">
        <w:trPr>
          <w:cantSplit w:val="0"/>
        </w:trPr>
        <w:tc>
          <w:tcPr>
            <w:cnfStyle w:val="001000000000" w:firstRow="0" w:lastRow="0" w:firstColumn="1" w:lastColumn="0" w:oddVBand="0" w:evenVBand="0" w:oddHBand="0" w:evenHBand="0" w:firstRowFirstColumn="0" w:firstRowLastColumn="0" w:lastRowFirstColumn="0" w:lastRowLastColumn="0"/>
            <w:tcW w:w="2552" w:type="dxa"/>
          </w:tcPr>
          <w:p w14:paraId="0E01F591" w14:textId="77777777" w:rsidR="006448B4" w:rsidRPr="00E25B24" w:rsidRDefault="006448B4" w:rsidP="00D0055F">
            <w:pPr>
              <w:rPr>
                <w:rFonts w:cs="Calibri"/>
                <w:szCs w:val="20"/>
                <w:lang w:eastAsia="en-AU"/>
              </w:rPr>
            </w:pPr>
            <w:r w:rsidRPr="00E25B24">
              <w:rPr>
                <w:rFonts w:cs="Calibri"/>
                <w:szCs w:val="20"/>
                <w:lang w:eastAsia="en-AU"/>
              </w:rPr>
              <w:t xml:space="preserve">Unemployment rate </w:t>
            </w:r>
            <w:r w:rsidRPr="00E25B24">
              <w:rPr>
                <w:rFonts w:cs="Calibri"/>
                <w:szCs w:val="20"/>
                <w:vertAlign w:val="superscript"/>
                <w:lang w:eastAsia="en-AU"/>
              </w:rPr>
              <w:t>(c)</w:t>
            </w:r>
          </w:p>
        </w:tc>
        <w:tc>
          <w:tcPr>
            <w:tcW w:w="1021" w:type="dxa"/>
          </w:tcPr>
          <w:p w14:paraId="7C3682A1" w14:textId="77777777" w:rsidR="006448B4" w:rsidRPr="00E25B24" w:rsidRDefault="006448B4" w:rsidP="00B77FAD">
            <w:pPr>
              <w:ind w:right="113"/>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E25B24">
              <w:rPr>
                <w:rFonts w:cs="Calibri"/>
                <w:szCs w:val="20"/>
                <w:lang w:eastAsia="en-AU"/>
              </w:rPr>
              <w:t>4.</w:t>
            </w:r>
            <w:r>
              <w:rPr>
                <w:rFonts w:cs="Calibri"/>
                <w:szCs w:val="20"/>
                <w:lang w:eastAsia="en-AU"/>
              </w:rPr>
              <w:t>30</w:t>
            </w:r>
          </w:p>
        </w:tc>
        <w:tc>
          <w:tcPr>
            <w:tcW w:w="1032" w:type="dxa"/>
          </w:tcPr>
          <w:p w14:paraId="523E5B37" w14:textId="334DC925" w:rsidR="006448B4" w:rsidRPr="0095606C" w:rsidRDefault="00B017D0" w:rsidP="00D0055F">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95606C">
              <w:rPr>
                <w:rFonts w:cs="Calibri"/>
                <w:szCs w:val="20"/>
                <w:lang w:eastAsia="en-AU"/>
              </w:rPr>
              <w:t>3.75</w:t>
            </w:r>
          </w:p>
        </w:tc>
        <w:tc>
          <w:tcPr>
            <w:tcW w:w="1026" w:type="dxa"/>
          </w:tcPr>
          <w:p w14:paraId="3D3E2938" w14:textId="4A2A548D" w:rsidR="006448B4" w:rsidRPr="0095606C" w:rsidRDefault="00B017D0" w:rsidP="00D0055F">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95606C">
              <w:rPr>
                <w:rFonts w:cs="Calibri"/>
                <w:szCs w:val="20"/>
                <w:lang w:eastAsia="en-AU"/>
              </w:rPr>
              <w:t>4.00</w:t>
            </w:r>
          </w:p>
        </w:tc>
        <w:tc>
          <w:tcPr>
            <w:tcW w:w="1027" w:type="dxa"/>
          </w:tcPr>
          <w:p w14:paraId="14C013D3" w14:textId="54FA8355" w:rsidR="006448B4" w:rsidRPr="0095606C" w:rsidRDefault="00B017D0" w:rsidP="00D0055F">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95606C">
              <w:rPr>
                <w:rFonts w:cs="Calibri"/>
                <w:szCs w:val="20"/>
                <w:lang w:eastAsia="en-AU"/>
              </w:rPr>
              <w:t>4.25</w:t>
            </w:r>
          </w:p>
        </w:tc>
        <w:tc>
          <w:tcPr>
            <w:tcW w:w="1026" w:type="dxa"/>
          </w:tcPr>
          <w:p w14:paraId="27C54E42" w14:textId="298D331D" w:rsidR="006448B4" w:rsidRPr="0095606C" w:rsidRDefault="00B017D0" w:rsidP="00D0055F">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95606C">
              <w:rPr>
                <w:rFonts w:cs="Calibri"/>
                <w:szCs w:val="20"/>
                <w:lang w:eastAsia="en-AU"/>
              </w:rPr>
              <w:t>4.50</w:t>
            </w:r>
          </w:p>
        </w:tc>
      </w:tr>
      <w:tr w:rsidR="006448B4" w:rsidRPr="00A1348E" w14:paraId="0E61FD5F" w14:textId="77777777" w:rsidTr="00EE2764">
        <w:trPr>
          <w:cantSplit w:val="0"/>
        </w:trPr>
        <w:tc>
          <w:tcPr>
            <w:cnfStyle w:val="001000000000" w:firstRow="0" w:lastRow="0" w:firstColumn="1" w:lastColumn="0" w:oddVBand="0" w:evenVBand="0" w:oddHBand="0" w:evenHBand="0" w:firstRowFirstColumn="0" w:firstRowLastColumn="0" w:lastRowFirstColumn="0" w:lastRowLastColumn="0"/>
            <w:tcW w:w="2552" w:type="dxa"/>
          </w:tcPr>
          <w:p w14:paraId="690B69F3" w14:textId="77777777" w:rsidR="006448B4" w:rsidRPr="00E25B24" w:rsidRDefault="006448B4" w:rsidP="00D0055F">
            <w:pPr>
              <w:rPr>
                <w:rFonts w:cs="Calibri"/>
                <w:i/>
                <w:szCs w:val="20"/>
                <w:lang w:eastAsia="en-AU"/>
              </w:rPr>
            </w:pPr>
          </w:p>
        </w:tc>
        <w:tc>
          <w:tcPr>
            <w:tcW w:w="1021" w:type="dxa"/>
          </w:tcPr>
          <w:p w14:paraId="75EC7A6C" w14:textId="77777777" w:rsidR="006448B4" w:rsidRPr="00E25B24" w:rsidRDefault="006448B4" w:rsidP="00B77FAD">
            <w:pPr>
              <w:ind w:right="113"/>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Pr>
                <w:rFonts w:cs="Calibri"/>
                <w:i/>
                <w:szCs w:val="20"/>
                <w:lang w:eastAsia="en-AU"/>
              </w:rPr>
              <w:t>4.25</w:t>
            </w:r>
          </w:p>
        </w:tc>
        <w:tc>
          <w:tcPr>
            <w:tcW w:w="1032" w:type="dxa"/>
          </w:tcPr>
          <w:p w14:paraId="0C2177B3" w14:textId="77777777" w:rsidR="006448B4" w:rsidRPr="00E25B24" w:rsidRDefault="006448B4" w:rsidP="00D0055F">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E25B24">
              <w:rPr>
                <w:rFonts w:cs="Calibri"/>
                <w:i/>
                <w:szCs w:val="20"/>
                <w:lang w:eastAsia="en-AU"/>
              </w:rPr>
              <w:t>4.00</w:t>
            </w:r>
          </w:p>
        </w:tc>
        <w:tc>
          <w:tcPr>
            <w:tcW w:w="1026" w:type="dxa"/>
          </w:tcPr>
          <w:p w14:paraId="7AF9C83E" w14:textId="77777777" w:rsidR="006448B4" w:rsidRPr="00E25B24" w:rsidRDefault="006448B4" w:rsidP="00D0055F">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E25B24">
              <w:rPr>
                <w:rFonts w:cs="Calibri"/>
                <w:i/>
                <w:szCs w:val="20"/>
                <w:lang w:eastAsia="en-AU"/>
              </w:rPr>
              <w:t>4.25</w:t>
            </w:r>
          </w:p>
        </w:tc>
        <w:tc>
          <w:tcPr>
            <w:tcW w:w="1027" w:type="dxa"/>
          </w:tcPr>
          <w:p w14:paraId="5B83F7E5" w14:textId="77777777" w:rsidR="006448B4" w:rsidRPr="00E25B24" w:rsidRDefault="006448B4" w:rsidP="00D0055F">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E25B24">
              <w:rPr>
                <w:rFonts w:cs="Calibri"/>
                <w:i/>
                <w:szCs w:val="20"/>
                <w:lang w:eastAsia="en-AU"/>
              </w:rPr>
              <w:t>4.50</w:t>
            </w:r>
          </w:p>
        </w:tc>
        <w:tc>
          <w:tcPr>
            <w:tcW w:w="1026" w:type="dxa"/>
          </w:tcPr>
          <w:p w14:paraId="70C9F251" w14:textId="77777777" w:rsidR="006448B4" w:rsidRPr="00E25B24" w:rsidRDefault="006448B4" w:rsidP="00D0055F">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E25B24">
              <w:rPr>
                <w:rFonts w:cs="Calibri"/>
                <w:i/>
                <w:szCs w:val="20"/>
                <w:lang w:eastAsia="en-AU"/>
              </w:rPr>
              <w:t>4.75</w:t>
            </w:r>
          </w:p>
        </w:tc>
      </w:tr>
      <w:tr w:rsidR="006448B4" w:rsidRPr="00B955D8" w14:paraId="398FE69D" w14:textId="77777777" w:rsidTr="00EE2764">
        <w:trPr>
          <w:cantSplit w:val="0"/>
        </w:trPr>
        <w:tc>
          <w:tcPr>
            <w:cnfStyle w:val="001000000000" w:firstRow="0" w:lastRow="0" w:firstColumn="1" w:lastColumn="0" w:oddVBand="0" w:evenVBand="0" w:oddHBand="0" w:evenHBand="0" w:firstRowFirstColumn="0" w:firstRowLastColumn="0" w:lastRowFirstColumn="0" w:lastRowLastColumn="0"/>
            <w:tcW w:w="2552" w:type="dxa"/>
          </w:tcPr>
          <w:p w14:paraId="6041E75F" w14:textId="77777777" w:rsidR="006448B4" w:rsidRPr="00FA7C16" w:rsidRDefault="006448B4" w:rsidP="00D0055F">
            <w:pPr>
              <w:rPr>
                <w:rFonts w:cs="Calibri"/>
                <w:szCs w:val="20"/>
                <w:lang w:eastAsia="en-AU"/>
              </w:rPr>
            </w:pPr>
            <w:r w:rsidRPr="00FA7C16">
              <w:rPr>
                <w:rFonts w:cs="Calibri"/>
                <w:szCs w:val="20"/>
                <w:lang w:eastAsia="en-AU"/>
              </w:rPr>
              <w:t xml:space="preserve">Consumer price index </w:t>
            </w:r>
            <w:r w:rsidRPr="00FA7C16">
              <w:rPr>
                <w:rFonts w:cs="Calibri"/>
                <w:szCs w:val="20"/>
                <w:vertAlign w:val="superscript"/>
                <w:lang w:eastAsia="en-AU"/>
              </w:rPr>
              <w:t>(d)</w:t>
            </w:r>
          </w:p>
        </w:tc>
        <w:tc>
          <w:tcPr>
            <w:tcW w:w="1021" w:type="dxa"/>
          </w:tcPr>
          <w:p w14:paraId="5B561AC0" w14:textId="77777777" w:rsidR="006448B4" w:rsidRPr="00FA7C16" w:rsidRDefault="006448B4" w:rsidP="00B77FAD">
            <w:pPr>
              <w:ind w:right="113"/>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FA7C16">
              <w:rPr>
                <w:rFonts w:cs="Calibri"/>
                <w:szCs w:val="20"/>
                <w:lang w:eastAsia="en-AU"/>
              </w:rPr>
              <w:t>4.00</w:t>
            </w:r>
          </w:p>
        </w:tc>
        <w:tc>
          <w:tcPr>
            <w:tcW w:w="1032" w:type="dxa"/>
          </w:tcPr>
          <w:p w14:paraId="114D1F87" w14:textId="77777777" w:rsidR="006448B4" w:rsidRPr="00FA7C16" w:rsidRDefault="006448B4" w:rsidP="00D0055F">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FA7C16">
              <w:rPr>
                <w:rFonts w:cs="Calibri"/>
                <w:szCs w:val="20"/>
                <w:lang w:eastAsia="en-AU"/>
              </w:rPr>
              <w:t>6.50</w:t>
            </w:r>
          </w:p>
        </w:tc>
        <w:tc>
          <w:tcPr>
            <w:tcW w:w="1026" w:type="dxa"/>
          </w:tcPr>
          <w:p w14:paraId="56BF4779" w14:textId="77777777" w:rsidR="006448B4" w:rsidRPr="00FA7C16" w:rsidRDefault="006448B4" w:rsidP="00D0055F">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FA7C16">
              <w:rPr>
                <w:rFonts w:cs="Calibri"/>
                <w:szCs w:val="20"/>
                <w:lang w:eastAsia="en-AU"/>
              </w:rPr>
              <w:t>3.50</w:t>
            </w:r>
          </w:p>
        </w:tc>
        <w:tc>
          <w:tcPr>
            <w:tcW w:w="1027" w:type="dxa"/>
          </w:tcPr>
          <w:p w14:paraId="0325C71A" w14:textId="77777777" w:rsidR="006448B4" w:rsidRPr="00E25B24" w:rsidRDefault="006448B4" w:rsidP="00D0055F">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E25B24">
              <w:rPr>
                <w:rFonts w:cs="Calibri"/>
                <w:szCs w:val="20"/>
                <w:lang w:eastAsia="en-AU"/>
              </w:rPr>
              <w:t>2.75</w:t>
            </w:r>
          </w:p>
        </w:tc>
        <w:tc>
          <w:tcPr>
            <w:tcW w:w="1026" w:type="dxa"/>
          </w:tcPr>
          <w:p w14:paraId="5B53D143" w14:textId="77777777" w:rsidR="006448B4" w:rsidRPr="00E25B24" w:rsidRDefault="006448B4" w:rsidP="00D0055F">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E25B24">
              <w:rPr>
                <w:rFonts w:cs="Calibri"/>
                <w:szCs w:val="20"/>
                <w:lang w:eastAsia="en-AU"/>
              </w:rPr>
              <w:t>2.50</w:t>
            </w:r>
          </w:p>
        </w:tc>
      </w:tr>
      <w:tr w:rsidR="006448B4" w:rsidRPr="00A1348E" w14:paraId="5EAF27C1" w14:textId="77777777" w:rsidTr="00EE2764">
        <w:trPr>
          <w:cantSplit w:val="0"/>
        </w:trPr>
        <w:tc>
          <w:tcPr>
            <w:cnfStyle w:val="001000000000" w:firstRow="0" w:lastRow="0" w:firstColumn="1" w:lastColumn="0" w:oddVBand="0" w:evenVBand="0" w:oddHBand="0" w:evenHBand="0" w:firstRowFirstColumn="0" w:firstRowLastColumn="0" w:lastRowFirstColumn="0" w:lastRowLastColumn="0"/>
            <w:tcW w:w="2552" w:type="dxa"/>
          </w:tcPr>
          <w:p w14:paraId="608ED566" w14:textId="77777777" w:rsidR="006448B4" w:rsidRPr="00E25B24" w:rsidRDefault="006448B4" w:rsidP="00D0055F">
            <w:pPr>
              <w:rPr>
                <w:rFonts w:cs="Calibri"/>
                <w:i/>
                <w:szCs w:val="20"/>
                <w:lang w:eastAsia="en-AU"/>
              </w:rPr>
            </w:pPr>
          </w:p>
        </w:tc>
        <w:tc>
          <w:tcPr>
            <w:tcW w:w="1021" w:type="dxa"/>
          </w:tcPr>
          <w:p w14:paraId="629D8504" w14:textId="77777777" w:rsidR="006448B4" w:rsidRPr="00E25B24" w:rsidRDefault="006448B4" w:rsidP="00B77FAD">
            <w:pPr>
              <w:ind w:right="113"/>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E25B24">
              <w:rPr>
                <w:rFonts w:cs="Calibri"/>
                <w:i/>
                <w:szCs w:val="20"/>
                <w:lang w:eastAsia="en-AU"/>
              </w:rPr>
              <w:t>3.00</w:t>
            </w:r>
          </w:p>
        </w:tc>
        <w:tc>
          <w:tcPr>
            <w:tcW w:w="1032" w:type="dxa"/>
          </w:tcPr>
          <w:p w14:paraId="5004D7EC" w14:textId="77777777" w:rsidR="006448B4" w:rsidRPr="00E25B24" w:rsidRDefault="006448B4" w:rsidP="00D0055F">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E25B24">
              <w:rPr>
                <w:rFonts w:cs="Calibri"/>
                <w:i/>
                <w:szCs w:val="20"/>
                <w:lang w:eastAsia="en-AU"/>
              </w:rPr>
              <w:t>2.50</w:t>
            </w:r>
          </w:p>
        </w:tc>
        <w:tc>
          <w:tcPr>
            <w:tcW w:w="1026" w:type="dxa"/>
          </w:tcPr>
          <w:p w14:paraId="64DC6108" w14:textId="77777777" w:rsidR="006448B4" w:rsidRPr="00E25B24" w:rsidRDefault="006448B4" w:rsidP="00D0055F">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E25B24">
              <w:rPr>
                <w:rFonts w:cs="Calibri"/>
                <w:i/>
                <w:szCs w:val="20"/>
                <w:lang w:eastAsia="en-AU"/>
              </w:rPr>
              <w:t>2.25</w:t>
            </w:r>
          </w:p>
        </w:tc>
        <w:tc>
          <w:tcPr>
            <w:tcW w:w="1027" w:type="dxa"/>
          </w:tcPr>
          <w:p w14:paraId="75836A1D" w14:textId="77777777" w:rsidR="006448B4" w:rsidRPr="00E25B24" w:rsidRDefault="006448B4" w:rsidP="00D0055F">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E25B24">
              <w:rPr>
                <w:rFonts w:cs="Calibri"/>
                <w:i/>
                <w:szCs w:val="20"/>
                <w:lang w:eastAsia="en-AU"/>
              </w:rPr>
              <w:t>2.50</w:t>
            </w:r>
          </w:p>
        </w:tc>
        <w:tc>
          <w:tcPr>
            <w:tcW w:w="1026" w:type="dxa"/>
          </w:tcPr>
          <w:p w14:paraId="4D8ABE30" w14:textId="77777777" w:rsidR="006448B4" w:rsidRPr="00E25B24" w:rsidRDefault="006448B4" w:rsidP="00D0055F">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p>
        </w:tc>
      </w:tr>
      <w:tr w:rsidR="006448B4" w:rsidRPr="00B955D8" w14:paraId="19686564" w14:textId="77777777" w:rsidTr="00EE2764">
        <w:trPr>
          <w:cantSplit w:val="0"/>
        </w:trPr>
        <w:tc>
          <w:tcPr>
            <w:cnfStyle w:val="001000000000" w:firstRow="0" w:lastRow="0" w:firstColumn="1" w:lastColumn="0" w:oddVBand="0" w:evenVBand="0" w:oddHBand="0" w:evenHBand="0" w:firstRowFirstColumn="0" w:firstRowLastColumn="0" w:lastRowFirstColumn="0" w:lastRowLastColumn="0"/>
            <w:tcW w:w="2552" w:type="dxa"/>
          </w:tcPr>
          <w:p w14:paraId="0094FBAC" w14:textId="77777777" w:rsidR="006448B4" w:rsidRPr="00E25B24" w:rsidRDefault="006448B4" w:rsidP="00D0055F">
            <w:pPr>
              <w:rPr>
                <w:rFonts w:cs="Calibri"/>
                <w:szCs w:val="20"/>
                <w:lang w:eastAsia="en-AU"/>
              </w:rPr>
            </w:pPr>
            <w:r w:rsidRPr="00E25B24">
              <w:rPr>
                <w:rFonts w:cs="Calibri"/>
                <w:szCs w:val="20"/>
                <w:lang w:eastAsia="en-AU"/>
              </w:rPr>
              <w:t xml:space="preserve">Wage price index </w:t>
            </w:r>
            <w:r w:rsidRPr="00E25B24">
              <w:rPr>
                <w:rFonts w:cs="Calibri"/>
                <w:szCs w:val="20"/>
                <w:vertAlign w:val="superscript"/>
                <w:lang w:eastAsia="en-AU"/>
              </w:rPr>
              <w:t>(e)</w:t>
            </w:r>
          </w:p>
        </w:tc>
        <w:tc>
          <w:tcPr>
            <w:tcW w:w="1021" w:type="dxa"/>
          </w:tcPr>
          <w:p w14:paraId="6E879FD1" w14:textId="77777777" w:rsidR="006448B4" w:rsidRPr="00E25B24" w:rsidRDefault="006448B4" w:rsidP="00B77FAD">
            <w:pPr>
              <w:ind w:right="113"/>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E25B24">
              <w:rPr>
                <w:rFonts w:cs="Calibri"/>
                <w:szCs w:val="20"/>
                <w:lang w:eastAsia="en-AU"/>
              </w:rPr>
              <w:t>2.40</w:t>
            </w:r>
          </w:p>
        </w:tc>
        <w:tc>
          <w:tcPr>
            <w:tcW w:w="1032" w:type="dxa"/>
          </w:tcPr>
          <w:p w14:paraId="640B06D1" w14:textId="77777777" w:rsidR="006448B4" w:rsidRPr="00E25B24" w:rsidRDefault="006448B4" w:rsidP="00D0055F">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E25B24">
              <w:rPr>
                <w:rFonts w:cs="Calibri"/>
                <w:szCs w:val="20"/>
                <w:lang w:eastAsia="en-AU"/>
              </w:rPr>
              <w:t>3.25</w:t>
            </w:r>
          </w:p>
        </w:tc>
        <w:tc>
          <w:tcPr>
            <w:tcW w:w="1026" w:type="dxa"/>
          </w:tcPr>
          <w:p w14:paraId="161168E7" w14:textId="77777777" w:rsidR="006448B4" w:rsidRPr="00E25B24" w:rsidRDefault="006448B4" w:rsidP="00D0055F">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E25B24">
              <w:rPr>
                <w:rFonts w:cs="Calibri"/>
                <w:szCs w:val="20"/>
                <w:lang w:eastAsia="en-AU"/>
              </w:rPr>
              <w:t>3.50</w:t>
            </w:r>
          </w:p>
        </w:tc>
        <w:tc>
          <w:tcPr>
            <w:tcW w:w="1027" w:type="dxa"/>
          </w:tcPr>
          <w:p w14:paraId="34F22BC1" w14:textId="77777777" w:rsidR="006448B4" w:rsidRPr="00E25B24" w:rsidRDefault="006448B4" w:rsidP="00D0055F">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E25B24">
              <w:rPr>
                <w:rFonts w:cs="Calibri"/>
                <w:szCs w:val="20"/>
                <w:lang w:eastAsia="en-AU"/>
              </w:rPr>
              <w:t>3.25</w:t>
            </w:r>
          </w:p>
        </w:tc>
        <w:tc>
          <w:tcPr>
            <w:tcW w:w="1026" w:type="dxa"/>
          </w:tcPr>
          <w:p w14:paraId="498549AE" w14:textId="77777777" w:rsidR="006448B4" w:rsidRPr="00E25B24" w:rsidRDefault="006448B4" w:rsidP="00D0055F">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E25B24">
              <w:rPr>
                <w:rFonts w:cs="Calibri"/>
                <w:szCs w:val="20"/>
                <w:lang w:eastAsia="en-AU"/>
              </w:rPr>
              <w:t>3.25</w:t>
            </w:r>
          </w:p>
        </w:tc>
      </w:tr>
      <w:tr w:rsidR="006448B4" w:rsidRPr="00A1348E" w14:paraId="3C26B3AC" w14:textId="77777777" w:rsidTr="00EE2764">
        <w:trPr>
          <w:cantSplit w:val="0"/>
        </w:trPr>
        <w:tc>
          <w:tcPr>
            <w:cnfStyle w:val="001000000000" w:firstRow="0" w:lastRow="0" w:firstColumn="1" w:lastColumn="0" w:oddVBand="0" w:evenVBand="0" w:oddHBand="0" w:evenHBand="0" w:firstRowFirstColumn="0" w:firstRowLastColumn="0" w:lastRowFirstColumn="0" w:lastRowLastColumn="0"/>
            <w:tcW w:w="2552" w:type="dxa"/>
          </w:tcPr>
          <w:p w14:paraId="55066440" w14:textId="77777777" w:rsidR="006448B4" w:rsidRPr="00E25B24" w:rsidRDefault="006448B4" w:rsidP="00D0055F">
            <w:pPr>
              <w:rPr>
                <w:rFonts w:cs="Calibri"/>
                <w:i/>
                <w:szCs w:val="20"/>
                <w:lang w:eastAsia="en-AU"/>
              </w:rPr>
            </w:pPr>
          </w:p>
        </w:tc>
        <w:tc>
          <w:tcPr>
            <w:tcW w:w="1021" w:type="dxa"/>
          </w:tcPr>
          <w:p w14:paraId="7140CA8E" w14:textId="77777777" w:rsidR="006448B4" w:rsidRPr="00E25B24" w:rsidRDefault="006448B4" w:rsidP="00B77FAD">
            <w:pPr>
              <w:ind w:right="113"/>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Pr>
                <w:rFonts w:cs="Calibri"/>
                <w:i/>
                <w:szCs w:val="20"/>
                <w:lang w:eastAsia="en-AU"/>
              </w:rPr>
              <w:t>2.50</w:t>
            </w:r>
          </w:p>
        </w:tc>
        <w:tc>
          <w:tcPr>
            <w:tcW w:w="1032" w:type="dxa"/>
          </w:tcPr>
          <w:p w14:paraId="5DA7AB96" w14:textId="77777777" w:rsidR="006448B4" w:rsidRPr="00E25B24" w:rsidRDefault="006448B4" w:rsidP="00D0055F">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E25B24">
              <w:rPr>
                <w:rFonts w:cs="Calibri"/>
                <w:i/>
                <w:szCs w:val="20"/>
                <w:lang w:eastAsia="en-AU"/>
              </w:rPr>
              <w:t>2.75</w:t>
            </w:r>
          </w:p>
        </w:tc>
        <w:tc>
          <w:tcPr>
            <w:tcW w:w="1026" w:type="dxa"/>
          </w:tcPr>
          <w:p w14:paraId="046E7908" w14:textId="77777777" w:rsidR="006448B4" w:rsidRPr="00E25B24" w:rsidRDefault="006448B4" w:rsidP="00D0055F">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E25B24">
              <w:rPr>
                <w:rFonts w:cs="Calibri"/>
                <w:i/>
                <w:szCs w:val="20"/>
                <w:lang w:eastAsia="en-AU"/>
              </w:rPr>
              <w:t>3.00</w:t>
            </w:r>
          </w:p>
        </w:tc>
        <w:tc>
          <w:tcPr>
            <w:tcW w:w="1027" w:type="dxa"/>
          </w:tcPr>
          <w:p w14:paraId="1D25CBB9" w14:textId="77777777" w:rsidR="006448B4" w:rsidRPr="00E25B24" w:rsidRDefault="006448B4" w:rsidP="00D0055F">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E25B24">
              <w:rPr>
                <w:rFonts w:cs="Calibri"/>
                <w:i/>
                <w:szCs w:val="20"/>
                <w:lang w:eastAsia="en-AU"/>
              </w:rPr>
              <w:t>3.00</w:t>
            </w:r>
          </w:p>
        </w:tc>
        <w:tc>
          <w:tcPr>
            <w:tcW w:w="1026" w:type="dxa"/>
          </w:tcPr>
          <w:p w14:paraId="4E054B4D" w14:textId="77777777" w:rsidR="006448B4" w:rsidRPr="00E25B24" w:rsidRDefault="006448B4" w:rsidP="00D0055F">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E25B24">
              <w:rPr>
                <w:rFonts w:cs="Calibri"/>
                <w:i/>
                <w:szCs w:val="20"/>
                <w:lang w:eastAsia="en-AU"/>
              </w:rPr>
              <w:t>3.00</w:t>
            </w:r>
          </w:p>
        </w:tc>
      </w:tr>
      <w:tr w:rsidR="006448B4" w:rsidRPr="003D1B65" w14:paraId="6620B42A" w14:textId="77777777" w:rsidTr="00EE2764">
        <w:trPr>
          <w:cantSplit w:val="0"/>
        </w:trPr>
        <w:tc>
          <w:tcPr>
            <w:cnfStyle w:val="001000000000" w:firstRow="0" w:lastRow="0" w:firstColumn="1" w:lastColumn="0" w:oddVBand="0" w:evenVBand="0" w:oddHBand="0" w:evenHBand="0" w:firstRowFirstColumn="0" w:firstRowLastColumn="0" w:lastRowFirstColumn="0" w:lastRowLastColumn="0"/>
            <w:tcW w:w="2552" w:type="dxa"/>
          </w:tcPr>
          <w:p w14:paraId="33C79A23" w14:textId="77777777" w:rsidR="006448B4" w:rsidRPr="00E25B24" w:rsidRDefault="006448B4" w:rsidP="00D0055F">
            <w:pPr>
              <w:rPr>
                <w:rFonts w:cs="Calibri"/>
                <w:szCs w:val="20"/>
                <w:lang w:eastAsia="en-AU"/>
              </w:rPr>
            </w:pPr>
            <w:r w:rsidRPr="00E25B24">
              <w:rPr>
                <w:rFonts w:cs="Calibri"/>
                <w:szCs w:val="20"/>
                <w:lang w:eastAsia="en-AU"/>
              </w:rPr>
              <w:t xml:space="preserve">Population </w:t>
            </w:r>
            <w:r w:rsidRPr="00E25B24">
              <w:rPr>
                <w:rFonts w:cs="Calibri"/>
                <w:szCs w:val="20"/>
                <w:vertAlign w:val="superscript"/>
                <w:lang w:eastAsia="en-AU"/>
              </w:rPr>
              <w:t>(f)</w:t>
            </w:r>
          </w:p>
        </w:tc>
        <w:tc>
          <w:tcPr>
            <w:tcW w:w="1021" w:type="dxa"/>
          </w:tcPr>
          <w:p w14:paraId="0B710397" w14:textId="5E129A58" w:rsidR="006448B4" w:rsidRPr="00E25B24" w:rsidRDefault="006448B4" w:rsidP="00D0055F">
            <w:pPr>
              <w:ind w:right="-54"/>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E25B24">
              <w:rPr>
                <w:rFonts w:cs="Calibri"/>
                <w:szCs w:val="20"/>
                <w:lang w:eastAsia="en-AU"/>
              </w:rPr>
              <w:t>0.90</w:t>
            </w:r>
            <w:r>
              <w:rPr>
                <w:rFonts w:cs="Calibri"/>
                <w:szCs w:val="20"/>
                <w:lang w:eastAsia="en-AU"/>
              </w:rPr>
              <w:t xml:space="preserve"> </w:t>
            </w:r>
            <w:r w:rsidRPr="00E25B24">
              <w:rPr>
                <w:rFonts w:cs="Calibri"/>
                <w:szCs w:val="20"/>
                <w:vertAlign w:val="superscript"/>
                <w:lang w:eastAsia="en-AU"/>
              </w:rPr>
              <w:t>(b)</w:t>
            </w:r>
          </w:p>
        </w:tc>
        <w:tc>
          <w:tcPr>
            <w:tcW w:w="1032" w:type="dxa"/>
          </w:tcPr>
          <w:p w14:paraId="09A3674A" w14:textId="77777777" w:rsidR="006448B4" w:rsidRPr="00E25B24" w:rsidRDefault="006448B4" w:rsidP="00D0055F">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E25B24">
              <w:rPr>
                <w:rFonts w:cs="Calibri"/>
                <w:szCs w:val="20"/>
                <w:lang w:eastAsia="en-AU"/>
              </w:rPr>
              <w:t>1.40</w:t>
            </w:r>
          </w:p>
        </w:tc>
        <w:tc>
          <w:tcPr>
            <w:tcW w:w="1026" w:type="dxa"/>
          </w:tcPr>
          <w:p w14:paraId="5CBE3488" w14:textId="77777777" w:rsidR="006448B4" w:rsidRPr="00E25B24" w:rsidRDefault="006448B4" w:rsidP="00D0055F">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E25B24">
              <w:rPr>
                <w:rFonts w:cs="Calibri"/>
                <w:szCs w:val="20"/>
                <w:lang w:eastAsia="en-AU"/>
              </w:rPr>
              <w:t>1.70</w:t>
            </w:r>
          </w:p>
        </w:tc>
        <w:tc>
          <w:tcPr>
            <w:tcW w:w="1027" w:type="dxa"/>
          </w:tcPr>
          <w:p w14:paraId="07F23D85" w14:textId="77777777" w:rsidR="006448B4" w:rsidRPr="00E25B24" w:rsidRDefault="006448B4" w:rsidP="00D0055F">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E25B24">
              <w:rPr>
                <w:rFonts w:cs="Calibri"/>
                <w:szCs w:val="20"/>
                <w:lang w:eastAsia="en-AU"/>
              </w:rPr>
              <w:t>1.70</w:t>
            </w:r>
          </w:p>
        </w:tc>
        <w:tc>
          <w:tcPr>
            <w:tcW w:w="1026" w:type="dxa"/>
          </w:tcPr>
          <w:p w14:paraId="732ED14F" w14:textId="77777777" w:rsidR="006448B4" w:rsidRPr="00E25B24" w:rsidRDefault="006448B4" w:rsidP="00D0055F">
            <w:pPr>
              <w:cnfStyle w:val="000000000000" w:firstRow="0" w:lastRow="0" w:firstColumn="0" w:lastColumn="0" w:oddVBand="0" w:evenVBand="0" w:oddHBand="0" w:evenHBand="0" w:firstRowFirstColumn="0" w:firstRowLastColumn="0" w:lastRowFirstColumn="0" w:lastRowLastColumn="0"/>
              <w:rPr>
                <w:rFonts w:cs="Calibri"/>
                <w:szCs w:val="20"/>
                <w:lang w:eastAsia="en-AU"/>
              </w:rPr>
            </w:pPr>
            <w:r w:rsidRPr="00E25B24">
              <w:rPr>
                <w:rFonts w:cs="Calibri"/>
                <w:szCs w:val="20"/>
                <w:lang w:eastAsia="en-AU"/>
              </w:rPr>
              <w:t>1.70</w:t>
            </w:r>
          </w:p>
        </w:tc>
      </w:tr>
      <w:tr w:rsidR="006448B4" w:rsidRPr="00A1348E" w14:paraId="236028C1" w14:textId="77777777" w:rsidTr="00EE2764">
        <w:trPr>
          <w:cantSplit w:val="0"/>
        </w:trPr>
        <w:tc>
          <w:tcPr>
            <w:cnfStyle w:val="001000000000" w:firstRow="0" w:lastRow="0" w:firstColumn="1" w:lastColumn="0" w:oddVBand="0" w:evenVBand="0" w:oddHBand="0" w:evenHBand="0" w:firstRowFirstColumn="0" w:firstRowLastColumn="0" w:lastRowFirstColumn="0" w:lastRowLastColumn="0"/>
            <w:tcW w:w="2552" w:type="dxa"/>
          </w:tcPr>
          <w:p w14:paraId="0FACA1D4" w14:textId="77777777" w:rsidR="006448B4" w:rsidRPr="00E25B24" w:rsidRDefault="006448B4" w:rsidP="00D0055F">
            <w:pPr>
              <w:rPr>
                <w:b/>
                <w:i/>
                <w:lang w:eastAsia="en-AU"/>
              </w:rPr>
            </w:pPr>
          </w:p>
        </w:tc>
        <w:tc>
          <w:tcPr>
            <w:tcW w:w="1021" w:type="dxa"/>
          </w:tcPr>
          <w:p w14:paraId="6CC8EB13" w14:textId="77777777" w:rsidR="006448B4" w:rsidRPr="00E25B24" w:rsidRDefault="006448B4" w:rsidP="00B77FAD">
            <w:pPr>
              <w:ind w:right="113"/>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E25B24">
              <w:rPr>
                <w:rFonts w:cs="Calibri"/>
                <w:i/>
                <w:szCs w:val="20"/>
                <w:lang w:eastAsia="en-AU"/>
              </w:rPr>
              <w:t>0.10</w:t>
            </w:r>
          </w:p>
        </w:tc>
        <w:tc>
          <w:tcPr>
            <w:tcW w:w="1032" w:type="dxa"/>
          </w:tcPr>
          <w:p w14:paraId="72EF266B" w14:textId="77777777" w:rsidR="006448B4" w:rsidRPr="00E25B24" w:rsidRDefault="006448B4" w:rsidP="00D0055F">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r w:rsidRPr="00E25B24">
              <w:rPr>
                <w:rFonts w:cs="Calibri"/>
                <w:i/>
                <w:szCs w:val="20"/>
                <w:lang w:eastAsia="en-AU"/>
              </w:rPr>
              <w:t>1.20</w:t>
            </w:r>
          </w:p>
        </w:tc>
        <w:tc>
          <w:tcPr>
            <w:tcW w:w="1026" w:type="dxa"/>
          </w:tcPr>
          <w:p w14:paraId="5BA1D413" w14:textId="77777777" w:rsidR="006448B4" w:rsidRPr="00E25B24" w:rsidRDefault="006448B4" w:rsidP="00D0055F">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p>
        </w:tc>
        <w:tc>
          <w:tcPr>
            <w:tcW w:w="1027" w:type="dxa"/>
          </w:tcPr>
          <w:p w14:paraId="6A51CAD2" w14:textId="77777777" w:rsidR="006448B4" w:rsidRPr="00E25B24" w:rsidRDefault="006448B4" w:rsidP="00D0055F">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p>
        </w:tc>
        <w:tc>
          <w:tcPr>
            <w:tcW w:w="1026" w:type="dxa"/>
          </w:tcPr>
          <w:p w14:paraId="5EDEC609" w14:textId="77777777" w:rsidR="006448B4" w:rsidRPr="00E25B24" w:rsidRDefault="006448B4" w:rsidP="00D0055F">
            <w:pPr>
              <w:cnfStyle w:val="000000000000" w:firstRow="0" w:lastRow="0" w:firstColumn="0" w:lastColumn="0" w:oddVBand="0" w:evenVBand="0" w:oddHBand="0" w:evenHBand="0" w:firstRowFirstColumn="0" w:firstRowLastColumn="0" w:lastRowFirstColumn="0" w:lastRowLastColumn="0"/>
              <w:rPr>
                <w:rFonts w:cs="Calibri"/>
                <w:i/>
                <w:szCs w:val="20"/>
                <w:lang w:eastAsia="en-AU"/>
              </w:rPr>
            </w:pPr>
          </w:p>
        </w:tc>
      </w:tr>
    </w:tbl>
    <w:p w14:paraId="3B0833A7" w14:textId="77777777" w:rsidR="006448B4" w:rsidRPr="00256977" w:rsidRDefault="006448B4" w:rsidP="006448B4">
      <w:pPr>
        <w:pStyle w:val="Source"/>
        <w:keepNext/>
      </w:pPr>
      <w:r w:rsidRPr="00256977">
        <w:t>Sources: Australian Bureau of Statistics; Department of Treasury and Finance</w:t>
      </w:r>
    </w:p>
    <w:p w14:paraId="44B268B5" w14:textId="77777777" w:rsidR="006448B4" w:rsidRPr="00256977" w:rsidRDefault="006448B4" w:rsidP="006448B4">
      <w:pPr>
        <w:pStyle w:val="Note"/>
        <w:keepNext/>
      </w:pPr>
      <w:r w:rsidRPr="00256977">
        <w:t xml:space="preserve">Notes: </w:t>
      </w:r>
    </w:p>
    <w:p w14:paraId="0B67B5D5" w14:textId="77777777" w:rsidR="006448B4" w:rsidRPr="00256977" w:rsidRDefault="006448B4" w:rsidP="006448B4">
      <w:pPr>
        <w:pStyle w:val="Note"/>
      </w:pPr>
      <w:r w:rsidRPr="00256977">
        <w:t>(a)</w:t>
      </w:r>
      <w:r w:rsidRPr="00256977">
        <w:tab/>
        <w:t xml:space="preserve">Percentage change in year average terms compared with the previous year, except for the unemployment rate (see note </w:t>
      </w:r>
      <w:r>
        <w:t>(c)</w:t>
      </w:r>
      <w:r w:rsidRPr="00256977">
        <w:t xml:space="preserve">) and population (see note </w:t>
      </w:r>
      <w:r>
        <w:t>(f)</w:t>
      </w:r>
      <w:r w:rsidRPr="00256977">
        <w:t xml:space="preserve">). Forecasts are rounded to the nearest 0.25 percentage points, except for population (see note </w:t>
      </w:r>
      <w:r>
        <w:t>(f)</w:t>
      </w:r>
      <w:r w:rsidRPr="00256977">
        <w:t>).</w:t>
      </w:r>
    </w:p>
    <w:p w14:paraId="24B76A32" w14:textId="77777777" w:rsidR="006448B4" w:rsidRDefault="006448B4" w:rsidP="006448B4">
      <w:pPr>
        <w:pStyle w:val="Note"/>
      </w:pPr>
      <w:r w:rsidRPr="00256977">
        <w:tab/>
        <w:t>The key assumptions underlying the economic forecasts include interest rates that broadly follow market economists</w:t>
      </w:r>
      <w:r>
        <w:t>’</w:t>
      </w:r>
      <w:r w:rsidRPr="00256977">
        <w:t xml:space="preserve"> expectations; an Australian dollar trade</w:t>
      </w:r>
      <w:r w:rsidRPr="00256977">
        <w:noBreakHyphen/>
        <w:t xml:space="preserve">weighted index of </w:t>
      </w:r>
      <w:r>
        <w:t>62.6</w:t>
      </w:r>
      <w:r w:rsidRPr="00256977">
        <w:t>; and oil prices that follow the path suggested by oil futures.</w:t>
      </w:r>
    </w:p>
    <w:p w14:paraId="2B71D463" w14:textId="77777777" w:rsidR="006448B4" w:rsidRPr="00256977" w:rsidRDefault="006448B4" w:rsidP="006448B4">
      <w:pPr>
        <w:pStyle w:val="Note"/>
      </w:pPr>
      <w:r>
        <w:t>(b)</w:t>
      </w:r>
      <w:r>
        <w:tab/>
        <w:t>Estimate, actual not yet available.</w:t>
      </w:r>
    </w:p>
    <w:p w14:paraId="48ED93BC" w14:textId="77777777" w:rsidR="006448B4" w:rsidRPr="00256977" w:rsidRDefault="006448B4" w:rsidP="006448B4">
      <w:pPr>
        <w:pStyle w:val="Note"/>
      </w:pPr>
      <w:bookmarkStart w:id="16" w:name="_Hlk54694635"/>
      <w:r w:rsidRPr="00256977">
        <w:t>(</w:t>
      </w:r>
      <w:r>
        <w:t>c</w:t>
      </w:r>
      <w:r w:rsidRPr="00256977">
        <w:t>)</w:t>
      </w:r>
      <w:r w:rsidRPr="00256977">
        <w:tab/>
        <w:t xml:space="preserve">Year average. </w:t>
      </w:r>
    </w:p>
    <w:p w14:paraId="5D496EDC" w14:textId="77777777" w:rsidR="006448B4" w:rsidRPr="00256977" w:rsidRDefault="006448B4" w:rsidP="006448B4">
      <w:pPr>
        <w:pStyle w:val="Note"/>
      </w:pPr>
      <w:r w:rsidRPr="00256977">
        <w:t>(</w:t>
      </w:r>
      <w:r>
        <w:t>d</w:t>
      </w:r>
      <w:r w:rsidRPr="00256977">
        <w:t>)</w:t>
      </w:r>
      <w:r w:rsidRPr="00256977">
        <w:tab/>
      </w:r>
      <w:bookmarkEnd w:id="16"/>
      <w:r w:rsidRPr="00256977">
        <w:t>Melbourne consumer price index</w:t>
      </w:r>
      <w:r w:rsidRPr="00FA7C16">
        <w:t>. Forecasts predate data for the September quarter which were released on 26 October, after these forecasts were finalised.</w:t>
      </w:r>
      <w:r>
        <w:t xml:space="preserve"> </w:t>
      </w:r>
    </w:p>
    <w:p w14:paraId="652EC669" w14:textId="77777777" w:rsidR="006448B4" w:rsidRPr="00256977" w:rsidRDefault="006448B4" w:rsidP="006448B4">
      <w:pPr>
        <w:pStyle w:val="Note"/>
      </w:pPr>
      <w:r w:rsidRPr="00256977">
        <w:t>(</w:t>
      </w:r>
      <w:r>
        <w:t>e</w:t>
      </w:r>
      <w:r w:rsidRPr="00256977">
        <w:t>)</w:t>
      </w:r>
      <w:r w:rsidRPr="00256977">
        <w:tab/>
        <w:t>Wage price index, Victoria (based on total hourly rates of pay, excluding bonuses).</w:t>
      </w:r>
    </w:p>
    <w:p w14:paraId="4E7E97D7" w14:textId="77777777" w:rsidR="006448B4" w:rsidRDefault="006448B4" w:rsidP="006448B4">
      <w:pPr>
        <w:pStyle w:val="Note"/>
      </w:pPr>
      <w:r w:rsidRPr="00256977">
        <w:t>(</w:t>
      </w:r>
      <w:r>
        <w:t>f</w:t>
      </w:r>
      <w:r w:rsidRPr="00256977">
        <w:t>)</w:t>
      </w:r>
      <w:r w:rsidRPr="00256977">
        <w:tab/>
        <w:t>Percentage change over the year to 30 June. Forecasts are rounded to the nearest 0.1 percentage point.</w:t>
      </w:r>
    </w:p>
    <w:p w14:paraId="6993E9F2" w14:textId="77777777" w:rsidR="006448B4" w:rsidRDefault="006448B4" w:rsidP="006448B4"/>
    <w:p w14:paraId="6A82D6C2" w14:textId="6BCBB9C0" w:rsidR="006448B4" w:rsidRDefault="006448B4" w:rsidP="006448B4">
      <w:r>
        <w:lastRenderedPageBreak/>
        <w:t xml:space="preserve">In 2021-22, Victorian state final demand grew </w:t>
      </w:r>
      <w:r w:rsidRPr="00540956">
        <w:t>by 7.4 per</w:t>
      </w:r>
      <w:r>
        <w:t xml:space="preserve"> cent, above the national increase of 5.1 per cent. The strength was broad-based, with growth in all major components of demand, with consumer spending particularly strong. Public spending associated with the Government’s ongoing COVID</w:t>
      </w:r>
      <w:r>
        <w:noBreakHyphen/>
        <w:t xml:space="preserve">19 response, as well as continued investment in infrastructure projects, also contributed to growth. Economic output, as measured by </w:t>
      </w:r>
      <w:r w:rsidR="00724945">
        <w:t xml:space="preserve">real </w:t>
      </w:r>
      <w:r>
        <w:t xml:space="preserve">gross state product (GSP), is estimated to have grown </w:t>
      </w:r>
      <w:r w:rsidRPr="009C4BC7">
        <w:t>by 5.00</w:t>
      </w:r>
      <w:r w:rsidRPr="00540956">
        <w:t xml:space="preserve"> per cent in 2021-22 and is forecast to grow </w:t>
      </w:r>
      <w:r w:rsidRPr="009C4BC7">
        <w:t>by 3.00 per</w:t>
      </w:r>
      <w:r w:rsidRPr="00540956">
        <w:t xml:space="preserve"> cent in 2022-23</w:t>
      </w:r>
      <w:r>
        <w:t xml:space="preserve"> (see Chart 1.1)</w:t>
      </w:r>
      <w:r w:rsidRPr="00540956">
        <w:t>.</w:t>
      </w:r>
      <w:r>
        <w:t xml:space="preserve"> </w:t>
      </w:r>
    </w:p>
    <w:p w14:paraId="3875B542" w14:textId="77777777" w:rsidR="006448B4" w:rsidRDefault="006448B4" w:rsidP="006448B4">
      <w:pPr>
        <w:pStyle w:val="TableHeading"/>
      </w:pPr>
      <w:r>
        <w:t xml:space="preserve">Chart 1.1: </w:t>
      </w:r>
      <w:r>
        <w:tab/>
        <w:t xml:space="preserve">Victorian GSP annual real growth rates, actual and forecast </w:t>
      </w:r>
      <w:r w:rsidRPr="007A4697">
        <w:rPr>
          <w:vertAlign w:val="superscript"/>
        </w:rPr>
        <w:t>(a)</w:t>
      </w:r>
    </w:p>
    <w:p w14:paraId="16B76438" w14:textId="1229CBBC" w:rsidR="006448B4" w:rsidRPr="00F36CFB" w:rsidRDefault="006448B4" w:rsidP="006448B4">
      <w:r>
        <w:rPr>
          <w:noProof/>
        </w:rPr>
        <mc:AlternateContent>
          <mc:Choice Requires="wpg">
            <w:drawing>
              <wp:anchor distT="0" distB="0" distL="114300" distR="114300" simplePos="0" relativeHeight="251659264" behindDoc="0" locked="0" layoutInCell="1" allowOverlap="1" wp14:anchorId="7EC5FD35" wp14:editId="59B42660">
                <wp:simplePos x="0" y="0"/>
                <wp:positionH relativeFrom="column">
                  <wp:posOffset>3318069</wp:posOffset>
                </wp:positionH>
                <wp:positionV relativeFrom="paragraph">
                  <wp:posOffset>208328</wp:posOffset>
                </wp:positionV>
                <wp:extent cx="1022986" cy="1951990"/>
                <wp:effectExtent l="0" t="0" r="0" b="29210"/>
                <wp:wrapNone/>
                <wp:docPr id="2" name="Group 2"/>
                <wp:cNvGraphicFramePr/>
                <a:graphic xmlns:a="http://schemas.openxmlformats.org/drawingml/2006/main">
                  <a:graphicData uri="http://schemas.microsoft.com/office/word/2010/wordprocessingGroup">
                    <wpg:wgp>
                      <wpg:cNvGrpSpPr/>
                      <wpg:grpSpPr>
                        <a:xfrm>
                          <a:off x="0" y="0"/>
                          <a:ext cx="1022986" cy="1951990"/>
                          <a:chOff x="-5288" y="0"/>
                          <a:chExt cx="1022986" cy="1951990"/>
                        </a:xfrm>
                      </wpg:grpSpPr>
                      <wps:wsp>
                        <wps:cNvPr id="4" name="TextBox 4"/>
                        <wps:cNvSpPr txBox="1"/>
                        <wps:spPr>
                          <a:xfrm>
                            <a:off x="44878" y="0"/>
                            <a:ext cx="972820" cy="3365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9826264" w14:textId="77777777" w:rsidR="006448B4" w:rsidRPr="00BF0755" w:rsidRDefault="006448B4" w:rsidP="006448B4">
                              <w:pPr>
                                <w:rPr>
                                  <w:rFonts w:ascii="Calibri" w:hAnsi="Calibri" w:cs="Calibri"/>
                                  <w:i/>
                                  <w:iCs/>
                                  <w:color w:val="000000" w:themeColor="text1"/>
                                  <w:sz w:val="20"/>
                                  <w:szCs w:val="20"/>
                                </w:rPr>
                              </w:pPr>
                              <w:r w:rsidRPr="00BF0755">
                                <w:rPr>
                                  <w:rFonts w:ascii="Calibri" w:hAnsi="Calibri" w:cs="Calibri"/>
                                  <w:i/>
                                  <w:iCs/>
                                  <w:color w:val="000000" w:themeColor="text1"/>
                                  <w:sz w:val="20"/>
                                  <w:szCs w:val="20"/>
                                </w:rPr>
                                <w:t>forecasts</w:t>
                              </w:r>
                            </w:p>
                          </w:txbxContent>
                        </wps:txbx>
                        <wps:bodyPr vertOverflow="clip" horzOverflow="clip" wrap="square" rtlCol="0" anchor="t">
                          <a:noAutofit/>
                        </wps:bodyPr>
                      </wps:wsp>
                      <wps:wsp>
                        <wps:cNvPr id="6" name="Straight Connector 6"/>
                        <wps:cNvCnPr/>
                        <wps:spPr>
                          <a:xfrm>
                            <a:off x="-5288" y="22439"/>
                            <a:ext cx="0" cy="192955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Straight Arrow Connector 3"/>
                        <wps:cNvCnPr/>
                        <wps:spPr>
                          <a:xfrm>
                            <a:off x="145855" y="76200"/>
                            <a:ext cx="46799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EC5FD35" id="Group 2" o:spid="_x0000_s1026" style="position:absolute;margin-left:261.25pt;margin-top:16.4pt;width:80.55pt;height:153.7pt;z-index:251659264;mso-width-relative:margin;mso-height-relative:margin" coordorigin="-52" coordsize="10229,19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">
                <v:shapetype id="_x0000_t202" coordsize="21600,21600" o:spt="202" path="m,l,21600r21600,l21600,xe">
                  <v:stroke joinstyle="miter"/>
                  <v:path gradientshapeok="t" o:connecttype="rect"/>
                </v:shapetype>
                <v:shape id="TextBox 4" o:spid="_x0000_s1027" type="#_x0000_t202" style="position:absolute;left:448;width:9728;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9826264" w14:textId="77777777" w:rsidR="006448B4" w:rsidRPr="00BF0755" w:rsidRDefault="006448B4" w:rsidP="006448B4">
                        <w:pPr>
                          <w:rPr>
                            <w:rFonts w:ascii="Calibri" w:hAnsi="Calibri" w:cs="Calibri"/>
                            <w:i/>
                            <w:iCs/>
                            <w:color w:val="000000" w:themeColor="text1"/>
                            <w:sz w:val="20"/>
                            <w:szCs w:val="20"/>
                          </w:rPr>
                        </w:pPr>
                        <w:r w:rsidRPr="00BF0755">
                          <w:rPr>
                            <w:rFonts w:ascii="Calibri" w:hAnsi="Calibri" w:cs="Calibri"/>
                            <w:i/>
                            <w:iCs/>
                            <w:color w:val="000000" w:themeColor="text1"/>
                            <w:sz w:val="20"/>
                            <w:szCs w:val="20"/>
                          </w:rPr>
                          <w:t>forecasts</w:t>
                        </w:r>
                      </w:p>
                    </w:txbxContent>
                  </v:textbox>
                </v:shape>
                <v:line id="Straight Connector 6" o:spid="_x0000_s1028" style="position:absolute;visibility:visible;mso-wrap-style:square" from="-52,224" to="-52,19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" strokecolor="black [3213]" strokeweight="1pt">
                  <v:stroke joinstyle="miter"/>
                </v:line>
                <v:shapetype id="_x0000_t32" coordsize="21600,21600" o:spt="32" o:oned="t" path="m,l21600,21600e" filled="f">
                  <v:path arrowok="t" fillok="f" o:connecttype="none"/>
                  <o:lock v:ext="edit" shapetype="t"/>
                </v:shapetype>
                <v:shape id="Straight Arrow Connector 3" o:spid="_x0000_s1029" type="#_x0000_t32" style="position:absolute;left:1458;top:762;width:4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" strokecolor="black [3213]" strokeweight="1pt">
                  <v:stroke endarrow="block" joinstyle="miter"/>
                </v:shape>
              </v:group>
            </w:pict>
          </mc:Fallback>
        </mc:AlternateContent>
      </w:r>
      <w:r w:rsidR="00087BE6">
        <w:pict w14:anchorId="225AD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55pt;height:245pt">
            <v:imagedata r:id="rId26" o:title=""/>
          </v:shape>
        </w:pict>
      </w:r>
    </w:p>
    <w:p w14:paraId="148C7783" w14:textId="77777777" w:rsidR="006448B4" w:rsidRDefault="006448B4" w:rsidP="006448B4">
      <w:pPr>
        <w:pStyle w:val="Source"/>
        <w:keepNext/>
      </w:pPr>
      <w:r w:rsidRPr="00256977">
        <w:t>Sources: Australian Bureau of Statistics; Department of Treasury and Finance</w:t>
      </w:r>
    </w:p>
    <w:p w14:paraId="6BD194C9" w14:textId="77777777" w:rsidR="006448B4" w:rsidRPr="00256977" w:rsidRDefault="006448B4" w:rsidP="006448B4">
      <w:pPr>
        <w:pStyle w:val="Note"/>
        <w:keepNext/>
      </w:pPr>
      <w:r w:rsidRPr="00256977">
        <w:t xml:space="preserve">Note: </w:t>
      </w:r>
    </w:p>
    <w:p w14:paraId="6245C5B3" w14:textId="77777777" w:rsidR="006448B4" w:rsidRPr="00851CE3" w:rsidRDefault="006448B4" w:rsidP="006448B4">
      <w:pPr>
        <w:pStyle w:val="Note"/>
      </w:pPr>
      <w:r w:rsidRPr="00256977">
        <w:t>(a)</w:t>
      </w:r>
      <w:r w:rsidRPr="00256977">
        <w:tab/>
      </w:r>
      <w:r>
        <w:t>GSP growth for 2021-22 is an estimate</w:t>
      </w:r>
      <w:r w:rsidRPr="00256977">
        <w:t>.</w:t>
      </w:r>
    </w:p>
    <w:p w14:paraId="2E7D8299" w14:textId="77777777" w:rsidR="00AE31D1" w:rsidRDefault="00AE31D1" w:rsidP="006448B4"/>
    <w:p w14:paraId="29BE4669" w14:textId="000A842E" w:rsidR="006448B4" w:rsidRDefault="006448B4" w:rsidP="006448B4">
      <w:r>
        <w:t xml:space="preserve">Consumer spending was the major contributor to economic growth in 2021-22, supported by an easing of necessary COVID-19 public health restrictions, a strong labour market and high levels of household savings. The rebound in household spending is expected to continue into 2022-23, as spending – notably on consumer services – continues to recover from pandemic-related disruptions. The labour market remains strong and will support household incomes. Elevated levels of household savings, which have been accumulated during the pandemic, are also expected to support ongoing household consumption. </w:t>
      </w:r>
    </w:p>
    <w:p w14:paraId="039FF095" w14:textId="77777777" w:rsidR="006448B4" w:rsidRDefault="006448B4" w:rsidP="006448B4">
      <w:r>
        <w:t xml:space="preserve">Nevertheless, growth in consumer spending is expected to be moderated by several headwinds, which have led to consumer confidence falling to low levels in recent months. High inflation is weighing on real incomes, while rising interest rates are also putting downward pressure on disposable incomes. Declining asset prices may also cause consumers to become more risk-averse and reduce discretionary spending. </w:t>
      </w:r>
    </w:p>
    <w:p w14:paraId="29DD2DB7" w14:textId="77777777" w:rsidR="006448B4" w:rsidRDefault="006448B4" w:rsidP="006448B4">
      <w:bookmarkStart w:id="17" w:name="_Hlk112411256"/>
      <w:r>
        <w:lastRenderedPageBreak/>
        <w:t xml:space="preserve">Dwelling investment made a solid contribution to economic growth in 2021-22, as low interest rates and government incentives drove demand. Activity became somewhat constrained over the year due to labour shortages and as pandemic-induced supply chain disruptions led to materials shortages. These also led to rising input costs for the construction sector. In 2022-23, dwelling investment is expected to grow modestly. Capacity constraints are expected to gradually ease, which, alongside a large pipeline of construction work, should continue to support activity in the near term. However, rising interest rates are expected to dampen demand for new housing and construction activity, particularly from the </w:t>
      </w:r>
      <w:r w:rsidRPr="00C550DF">
        <w:t>second half</w:t>
      </w:r>
      <w:r>
        <w:t xml:space="preserve"> of 2022-23.</w:t>
      </w:r>
    </w:p>
    <w:bookmarkEnd w:id="17"/>
    <w:p w14:paraId="252F980E" w14:textId="77777777" w:rsidR="006448B4" w:rsidRDefault="006448B4" w:rsidP="006448B4">
      <w:r>
        <w:t xml:space="preserve">Business investment grew </w:t>
      </w:r>
      <w:r w:rsidRPr="00886B9C">
        <w:t>strongly</w:t>
      </w:r>
      <w:r>
        <w:t xml:space="preserve"> in 2021-22 and is forecast to continue growing at a high rate in 2022</w:t>
      </w:r>
      <w:r>
        <w:noBreakHyphen/>
        <w:t xml:space="preserve">23. A large pipeline of engineering and non-residential building construction projects support the positive outlook, as do elevated investment intentions as reported by surveyed businesses. </w:t>
      </w:r>
    </w:p>
    <w:p w14:paraId="2DE90B02" w14:textId="77777777" w:rsidR="006448B4" w:rsidRDefault="006448B4" w:rsidP="006448B4">
      <w:r>
        <w:t xml:space="preserve">Public demand has been a key driver of Victoria’s GSP growth since the onset of the pandemic, making another strong contribution in 2021-22. It is forecast to be broadly unchanged in 2022-23, with overall spending levels constrained as temporary COVID-19 support measures unwind. The Government’s pipeline of transport and social infrastructure projects will continue to underpin high levels of public investment. </w:t>
      </w:r>
    </w:p>
    <w:p w14:paraId="60580EDC" w14:textId="77777777" w:rsidR="006448B4" w:rsidRDefault="006448B4" w:rsidP="006448B4">
      <w:r>
        <w:t xml:space="preserve">Exports of goods and services </w:t>
      </w:r>
      <w:r w:rsidRPr="00886B9C">
        <w:t>rose modestly</w:t>
      </w:r>
      <w:r>
        <w:t xml:space="preserve"> in 2021-22, with continued strength in goods exports and a rise in services exports from March 2022 after border restrictions eased. Imports of goods and services, by contrast, rose strongly in 2021-22. Imports of goods were particularly strong, driven by the pickup in consumer spending and business investment. Services imports began to rise after Australia’s national border restrictions began to ease in late 2021.</w:t>
      </w:r>
    </w:p>
    <w:p w14:paraId="2D3F0489" w14:textId="68841278" w:rsidR="006448B4" w:rsidRDefault="006448B4" w:rsidP="006448B4">
      <w:r>
        <w:t>Looking ahead, the net trade in services is forecast to detract moderately from growth in 2022</w:t>
      </w:r>
      <w:r>
        <w:noBreakHyphen/>
        <w:t>23. International travel flows are expected to gradually increase following the COVID</w:t>
      </w:r>
      <w:r>
        <w:noBreakHyphen/>
        <w:t>19</w:t>
      </w:r>
      <w:r>
        <w:noBreakHyphen/>
        <w:t>related restrictions on national borders, including a sustained recovery in international student arrivals to Victoria. Meanwhile, the net trade in goods is forecast to make a positive contribution to GSP growth. Demand for goods imports is expected to ease in 2022-23</w:t>
      </w:r>
      <w:r w:rsidRPr="001A40C5">
        <w:t>, with businesses having significantly replenished inventories in 2021</w:t>
      </w:r>
      <w:r>
        <w:noBreakHyphen/>
      </w:r>
      <w:r w:rsidRPr="001A40C5">
        <w:t>22</w:t>
      </w:r>
      <w:r>
        <w:t xml:space="preserve"> and exports of goods are forecast to grow strongly</w:t>
      </w:r>
      <w:r w:rsidR="008E0D25">
        <w:t>.</w:t>
      </w:r>
      <w:r>
        <w:t xml:space="preserve"> </w:t>
      </w:r>
    </w:p>
    <w:p w14:paraId="659DC3D9" w14:textId="77777777" w:rsidR="006448B4" w:rsidRDefault="006448B4" w:rsidP="006448B4"/>
    <w:p w14:paraId="3E430F74" w14:textId="77777777" w:rsidR="006448B4" w:rsidRDefault="006448B4" w:rsidP="006448B4">
      <w:pPr>
        <w:pStyle w:val="HighlightBoxHeading"/>
      </w:pPr>
      <w:r>
        <w:lastRenderedPageBreak/>
        <w:t>Box 1.1: The economic impacts of the October 2022 floods</w:t>
      </w:r>
    </w:p>
    <w:p w14:paraId="2DB4986D" w14:textId="66DA42B6" w:rsidR="006448B4" w:rsidRDefault="006448B4" w:rsidP="006448B4">
      <w:pPr>
        <w:pStyle w:val="HighlightBoxText"/>
      </w:pPr>
      <w:r>
        <w:t xml:space="preserve">In October 2022, high-intensity rainfall caused widespread flooding across the state. Many households have </w:t>
      </w:r>
      <w:r w:rsidRPr="00253800">
        <w:t xml:space="preserve">been displaced, businesses disrupted, and properties, community assets and infrastructure damaged. The Government has acted quickly to ensure flood affected Victorians can access crisis accommodation and financial support to help them through this challenging time, along with immediate funding to repair damaged roads and for clean-up efforts. Appendix A </w:t>
      </w:r>
      <w:r w:rsidRPr="00253800">
        <w:rPr>
          <w:i/>
          <w:iCs/>
        </w:rPr>
        <w:t>Specific Policy Initiatives Affecting the Budget Position</w:t>
      </w:r>
      <w:r w:rsidRPr="00253800">
        <w:t xml:space="preserve"> details</w:t>
      </w:r>
      <w:r>
        <w:t xml:space="preserve"> </w:t>
      </w:r>
      <w:r w:rsidR="0095606C">
        <w:t xml:space="preserve">initial </w:t>
      </w:r>
      <w:r>
        <w:t>funding provided</w:t>
      </w:r>
      <w:r w:rsidRPr="00253800">
        <w:t xml:space="preserve"> to help flood-affected communities begin their recovery.</w:t>
      </w:r>
    </w:p>
    <w:p w14:paraId="04486BC9" w14:textId="77777777" w:rsidR="006448B4" w:rsidRDefault="006448B4" w:rsidP="006448B4">
      <w:pPr>
        <w:pStyle w:val="HighlightBoxText"/>
      </w:pPr>
      <w:r>
        <w:t>The full extent of the damage to physical assets, or the impact on the state’s overall economy, is not yet known. As the extent of damage becomes clearer, there may be some downward pressure on forecast economic growth in the December quarter, and then some upward pressure in the March quarter during the recovery phase. At this stage, it is too early to determine the impacts on the year-average economic growth forecasts.</w:t>
      </w:r>
      <w:r w:rsidRPr="00D1392B">
        <w:t xml:space="preserve"> </w:t>
      </w:r>
    </w:p>
    <w:p w14:paraId="695BBDDB" w14:textId="2C557B94" w:rsidR="006448B4" w:rsidRPr="00427CD4" w:rsidRDefault="006448B4" w:rsidP="006448B4">
      <w:pPr>
        <w:pStyle w:val="HighlightBoxText"/>
      </w:pPr>
      <w:r>
        <w:t xml:space="preserve">Primary producers are particularly affected by the floods. The impacted regions produce a significant share of Victoria’s dairy, meat, and horticulture output. Road closures due to flooding may affect the ability of produce to be transported from </w:t>
      </w:r>
      <w:r w:rsidRPr="00427CD4">
        <w:t xml:space="preserve">farms, while electricity supply disruptions could also affect milk collection. </w:t>
      </w:r>
      <w:r>
        <w:t>C</w:t>
      </w:r>
      <w:r w:rsidRPr="00427CD4">
        <w:t xml:space="preserve">rop yields may </w:t>
      </w:r>
      <w:r>
        <w:t xml:space="preserve">also </w:t>
      </w:r>
      <w:r w:rsidRPr="00427CD4">
        <w:t xml:space="preserve">be affected. </w:t>
      </w:r>
      <w:r>
        <w:t>In</w:t>
      </w:r>
      <w:r w:rsidR="00EE2764">
        <w:t> </w:t>
      </w:r>
      <w:r>
        <w:t>addition, t</w:t>
      </w:r>
      <w:r w:rsidRPr="00427CD4">
        <w:t>he construction sector may be temporarily disrupted by poor weather. The extent of losses to economic output will depend on the extent and the persistence of the flooding, which cannot yet be determined.</w:t>
      </w:r>
    </w:p>
    <w:p w14:paraId="3D00EC8C" w14:textId="77777777" w:rsidR="006448B4" w:rsidRDefault="006448B4" w:rsidP="006448B4">
      <w:pPr>
        <w:pStyle w:val="HighlightBoxText"/>
      </w:pPr>
      <w:r w:rsidRPr="00427CD4">
        <w:t xml:space="preserve">Flooding may also add to consumer price pressures in the near term. Retail prices for affected fresh food products may increase where supply is limited by crop losses and disruptions to production and distribution. The October floods will add to existing pressures on fresh food </w:t>
      </w:r>
      <w:r>
        <w:t>prices</w:t>
      </w:r>
      <w:r w:rsidRPr="00427CD4">
        <w:t xml:space="preserve">, which have </w:t>
      </w:r>
      <w:r>
        <w:t>risen</w:t>
      </w:r>
      <w:r w:rsidRPr="00427CD4">
        <w:t xml:space="preserve"> over the past year </w:t>
      </w:r>
      <w:r>
        <w:t>due to</w:t>
      </w:r>
      <w:r w:rsidRPr="00427CD4">
        <w:t xml:space="preserve"> previous flooding on the east coast of Australia,</w:t>
      </w:r>
      <w:r w:rsidRPr="00840D14">
        <w:t xml:space="preserve"> supply</w:t>
      </w:r>
      <w:r>
        <w:t xml:space="preserve"> </w:t>
      </w:r>
      <w:r w:rsidRPr="00840D14">
        <w:t>chain disruptions and higher input costs for transport and fertiliser.</w:t>
      </w:r>
    </w:p>
    <w:p w14:paraId="677F9CAF" w14:textId="77777777" w:rsidR="006448B4" w:rsidRDefault="006448B4" w:rsidP="006448B4">
      <w:pPr>
        <w:pStyle w:val="Heading20"/>
      </w:pPr>
      <w:r>
        <w:t>Labour market</w:t>
      </w:r>
    </w:p>
    <w:p w14:paraId="25AAE002" w14:textId="77777777" w:rsidR="006448B4" w:rsidRPr="00AA4F99" w:rsidRDefault="006448B4" w:rsidP="006448B4">
      <w:r w:rsidRPr="00AA4F99">
        <w:t>Victoria’s labour market has recovered well from the earlier effects of the COVID-19 pandemic and necessary public health restrictions. Employment grew by a very strong 3.9 per cent in 2021-22, with the increase driven by full-time employment. Since its trough in September 2020, employment has risen by 313 000 persons, and the share of working</w:t>
      </w:r>
      <w:r w:rsidRPr="00AA4F99">
        <w:noBreakHyphen/>
        <w:t xml:space="preserve">age Victorians in employment is near a record high. </w:t>
      </w:r>
    </w:p>
    <w:p w14:paraId="27607EED" w14:textId="0A383C7D" w:rsidR="006448B4" w:rsidRDefault="006448B4" w:rsidP="006448B4">
      <w:r w:rsidRPr="00AA4F99">
        <w:t>The labour market recovery has been inclusive. While women, young people and single parents were disproportionately affected during 2020 and 2021 amid the pandemic, the proportions of these cohorts of workers in employment have recovered to be above pre</w:t>
      </w:r>
      <w:r w:rsidRPr="00AA4F99">
        <w:noBreakHyphen/>
        <w:t>pandemic levels</w:t>
      </w:r>
      <w:bookmarkStart w:id="18" w:name="_Hlk117168576"/>
      <w:r w:rsidRPr="00AA4F99">
        <w:t>. The unemployment rate has declined sharply over the past year. It</w:t>
      </w:r>
      <w:r w:rsidR="00D57611">
        <w:t> </w:t>
      </w:r>
      <w:r w:rsidRPr="00AA4F99">
        <w:t>averaged 4.3 per cent in 2021</w:t>
      </w:r>
      <w:r w:rsidRPr="00AA4F99">
        <w:noBreakHyphen/>
        <w:t>22</w:t>
      </w:r>
      <w:r w:rsidRPr="0018013F">
        <w:t xml:space="preserve">, </w:t>
      </w:r>
      <w:r w:rsidRPr="0095606C">
        <w:t xml:space="preserve">and </w:t>
      </w:r>
      <w:r w:rsidR="00D06284" w:rsidRPr="0095606C">
        <w:t xml:space="preserve">at 3.5 per cent is now </w:t>
      </w:r>
      <w:r w:rsidRPr="0095606C">
        <w:t>near</w:t>
      </w:r>
      <w:r w:rsidR="00D06284" w:rsidRPr="0095606C">
        <w:t xml:space="preserve"> a</w:t>
      </w:r>
      <w:r w:rsidRPr="0095606C">
        <w:t xml:space="preserve"> 50-year low.</w:t>
      </w:r>
      <w:r>
        <w:t xml:space="preserve"> </w:t>
      </w:r>
    </w:p>
    <w:bookmarkEnd w:id="18"/>
    <w:p w14:paraId="3BF2078A" w14:textId="532F9355" w:rsidR="006448B4" w:rsidRPr="00F70B1C" w:rsidRDefault="006448B4" w:rsidP="006448B4">
      <w:r>
        <w:lastRenderedPageBreak/>
        <w:t xml:space="preserve">Labour market conditions are expected to remain strong in 2022-23, consistent with leading indicators of labour demand, such as job advertisements and job vacancies, which remain very high. Softening economic conditions are expected to weigh on employment growth somewhat in the medium term. Employment is </w:t>
      </w:r>
      <w:r w:rsidRPr="00D06284">
        <w:t>forecast to grow by 1.75 per cent in 2022-23, and by a further 1.0 per cent in 2023-24.</w:t>
      </w:r>
      <w:r>
        <w:t xml:space="preserve"> The unemployment rate is forecast to </w:t>
      </w:r>
      <w:r w:rsidR="0018013F">
        <w:t>average</w:t>
      </w:r>
      <w:r>
        <w:t xml:space="preserve"> </w:t>
      </w:r>
      <w:r w:rsidR="00B017D0" w:rsidRPr="0018013F">
        <w:t>3.75</w:t>
      </w:r>
      <w:r>
        <w:t xml:space="preserve"> per cent in 2022-23, before gradually rising in line with slower economic growth and approaching the rate consistent with stable inflation within the RBA’s target band (see Chart 1.2</w:t>
      </w:r>
      <w:r w:rsidRPr="00F70B1C">
        <w:t xml:space="preserve">). </w:t>
      </w:r>
    </w:p>
    <w:p w14:paraId="4F1810E0" w14:textId="51250A3D" w:rsidR="006448B4" w:rsidRDefault="006448B4" w:rsidP="006448B4">
      <w:pPr>
        <w:pStyle w:val="TableHeading"/>
      </w:pPr>
      <w:r>
        <w:t xml:space="preserve">Chart 1.2: </w:t>
      </w:r>
      <w:r>
        <w:tab/>
        <w:t>Victorian unemployment rate</w:t>
      </w:r>
      <w:r w:rsidRPr="000E2794">
        <w:rPr>
          <w:vertAlign w:val="superscript"/>
        </w:rPr>
        <w:t>(a)</w:t>
      </w:r>
      <w:r>
        <w:t xml:space="preserve">, actual and forecast </w:t>
      </w:r>
    </w:p>
    <w:p w14:paraId="694C2FBF" w14:textId="6FF2DCCF" w:rsidR="006448B4" w:rsidRPr="008047E8" w:rsidRDefault="00B566A4" w:rsidP="00476239">
      <w:r>
        <w:rPr>
          <w:noProof/>
        </w:rPr>
        <mc:AlternateContent>
          <mc:Choice Requires="wpg">
            <w:drawing>
              <wp:anchor distT="0" distB="0" distL="114300" distR="114300" simplePos="0" relativeHeight="251660288" behindDoc="0" locked="0" layoutInCell="1" allowOverlap="1" wp14:anchorId="07B395B3" wp14:editId="4293AE2E">
                <wp:simplePos x="0" y="0"/>
                <wp:positionH relativeFrom="column">
                  <wp:posOffset>3339444</wp:posOffset>
                </wp:positionH>
                <wp:positionV relativeFrom="paragraph">
                  <wp:posOffset>159748</wp:posOffset>
                </wp:positionV>
                <wp:extent cx="1018870" cy="2159779"/>
                <wp:effectExtent l="0" t="0" r="0" b="31115"/>
                <wp:wrapNone/>
                <wp:docPr id="8" name="Group 8"/>
                <wp:cNvGraphicFramePr/>
                <a:graphic xmlns:a="http://schemas.openxmlformats.org/drawingml/2006/main">
                  <a:graphicData uri="http://schemas.microsoft.com/office/word/2010/wordprocessingGroup">
                    <wpg:wgp>
                      <wpg:cNvGrpSpPr/>
                      <wpg:grpSpPr>
                        <a:xfrm>
                          <a:off x="0" y="0"/>
                          <a:ext cx="1018870" cy="2159779"/>
                          <a:chOff x="4438" y="-218783"/>
                          <a:chExt cx="1018870" cy="2159779"/>
                        </a:xfrm>
                      </wpg:grpSpPr>
                      <wps:wsp>
                        <wps:cNvPr id="9" name="TextBox 4"/>
                        <wps:cNvSpPr txBox="1"/>
                        <wps:spPr>
                          <a:xfrm>
                            <a:off x="50488" y="-218783"/>
                            <a:ext cx="972820" cy="3365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58BD0EC" w14:textId="77777777" w:rsidR="006448B4" w:rsidRPr="00BF0755" w:rsidRDefault="006448B4" w:rsidP="006448B4">
                              <w:pPr>
                                <w:rPr>
                                  <w:rFonts w:ascii="Calibri" w:hAnsi="Calibri" w:cs="Calibri"/>
                                  <w:i/>
                                  <w:iCs/>
                                  <w:color w:val="000000" w:themeColor="text1"/>
                                  <w:sz w:val="20"/>
                                  <w:szCs w:val="20"/>
                                </w:rPr>
                              </w:pPr>
                              <w:r w:rsidRPr="00BF0755">
                                <w:rPr>
                                  <w:rFonts w:ascii="Calibri" w:hAnsi="Calibri" w:cs="Calibri"/>
                                  <w:i/>
                                  <w:iCs/>
                                  <w:color w:val="000000" w:themeColor="text1"/>
                                  <w:sz w:val="20"/>
                                  <w:szCs w:val="20"/>
                                </w:rPr>
                                <w:t>forecasts</w:t>
                              </w:r>
                            </w:p>
                          </w:txbxContent>
                        </wps:txbx>
                        <wps:bodyPr vertOverflow="clip" horzOverflow="clip" wrap="square" rtlCol="0" anchor="t">
                          <a:noAutofit/>
                        </wps:bodyPr>
                      </wps:wsp>
                      <wps:wsp>
                        <wps:cNvPr id="10" name="Straight Connector 10"/>
                        <wps:cNvCnPr/>
                        <wps:spPr>
                          <a:xfrm>
                            <a:off x="4438" y="-196354"/>
                            <a:ext cx="0" cy="21373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Arrow Connector 3"/>
                        <wps:cNvCnPr/>
                        <wps:spPr>
                          <a:xfrm>
                            <a:off x="151465" y="-142583"/>
                            <a:ext cx="46799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7B395B3" id="Group 8" o:spid="_x0000_s1030" style="position:absolute;margin-left:262.95pt;margin-top:12.6pt;width:80.25pt;height:170.05pt;z-index:251660288;mso-width-relative:margin;mso-height-relative:margin" coordorigin="44,-2187" coordsize="10188,21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">
                <v:shape id="TextBox 4" o:spid="_x0000_s1031" type="#_x0000_t202" style="position:absolute;left:504;top:-2187;width:9729;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58BD0EC" w14:textId="77777777" w:rsidR="006448B4" w:rsidRPr="00BF0755" w:rsidRDefault="006448B4" w:rsidP="006448B4">
                        <w:pPr>
                          <w:rPr>
                            <w:rFonts w:ascii="Calibri" w:hAnsi="Calibri" w:cs="Calibri"/>
                            <w:i/>
                            <w:iCs/>
                            <w:color w:val="000000" w:themeColor="text1"/>
                            <w:sz w:val="20"/>
                            <w:szCs w:val="20"/>
                          </w:rPr>
                        </w:pPr>
                        <w:r w:rsidRPr="00BF0755">
                          <w:rPr>
                            <w:rFonts w:ascii="Calibri" w:hAnsi="Calibri" w:cs="Calibri"/>
                            <w:i/>
                            <w:iCs/>
                            <w:color w:val="000000" w:themeColor="text1"/>
                            <w:sz w:val="20"/>
                            <w:szCs w:val="20"/>
                          </w:rPr>
                          <w:t>forecasts</w:t>
                        </w:r>
                      </w:p>
                    </w:txbxContent>
                  </v:textbox>
                </v:shape>
                <v:line id="Straight Connector 10" o:spid="_x0000_s1032" style="position:absolute;visibility:visible;mso-wrap-style:square" from="44,-1963" to="44,19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" strokecolor="black [3213]" strokeweight="1pt">
                  <v:stroke joinstyle="miter"/>
                </v:line>
                <v:shape id="Straight Arrow Connector 3" o:spid="_x0000_s1033" type="#_x0000_t32" style="position:absolute;left:1514;top:-1425;width:4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" strokecolor="black [3213]" strokeweight="1pt">
                  <v:stroke endarrow="block" joinstyle="miter"/>
                </v:shape>
              </v:group>
            </w:pict>
          </mc:Fallback>
        </mc:AlternateContent>
      </w:r>
      <w:r w:rsidR="00132B28" w:rsidRPr="00132B28">
        <w:rPr>
          <w:noProof/>
        </w:rPr>
        <w:drawing>
          <wp:inline distT="0" distB="0" distL="0" distR="0" wp14:anchorId="63263AA1" wp14:editId="32A737FC">
            <wp:extent cx="4886960" cy="2867660"/>
            <wp:effectExtent l="0" t="0" r="889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886960" cy="2867660"/>
                    </a:xfrm>
                    <a:prstGeom prst="rect">
                      <a:avLst/>
                    </a:prstGeom>
                    <a:noFill/>
                    <a:ln>
                      <a:noFill/>
                    </a:ln>
                  </pic:spPr>
                </pic:pic>
              </a:graphicData>
            </a:graphic>
          </wp:inline>
        </w:drawing>
      </w:r>
    </w:p>
    <w:p w14:paraId="2AD0B271" w14:textId="77777777" w:rsidR="006448B4" w:rsidRDefault="006448B4" w:rsidP="006448B4">
      <w:pPr>
        <w:pStyle w:val="Source"/>
        <w:keepNext/>
      </w:pPr>
      <w:r w:rsidRPr="00256977">
        <w:t>Sources: Australian Bureau of Statistics; Department of Treasury and Finance</w:t>
      </w:r>
    </w:p>
    <w:p w14:paraId="235A5CCA" w14:textId="77777777" w:rsidR="006448B4" w:rsidRPr="00256977" w:rsidRDefault="006448B4" w:rsidP="006448B4">
      <w:pPr>
        <w:pStyle w:val="Note"/>
        <w:keepNext/>
      </w:pPr>
      <w:r w:rsidRPr="00256977">
        <w:t xml:space="preserve">Note: </w:t>
      </w:r>
    </w:p>
    <w:p w14:paraId="5CA66CA6" w14:textId="62A73530" w:rsidR="006448B4" w:rsidRDefault="006448B4" w:rsidP="006448B4">
      <w:pPr>
        <w:pStyle w:val="Note"/>
      </w:pPr>
      <w:r w:rsidRPr="00256977">
        <w:t>(a)</w:t>
      </w:r>
      <w:r w:rsidRPr="00256977">
        <w:tab/>
      </w:r>
      <w:r>
        <w:t>Year average</w:t>
      </w:r>
      <w:r w:rsidR="00132B28">
        <w:t>.</w:t>
      </w:r>
    </w:p>
    <w:p w14:paraId="748CB7A2" w14:textId="77777777" w:rsidR="006448B4" w:rsidRDefault="006448B4" w:rsidP="006448B4"/>
    <w:p w14:paraId="77A31024" w14:textId="3CDFE624" w:rsidR="006448B4" w:rsidRDefault="006448B4" w:rsidP="006448B4">
      <w:pPr>
        <w:pStyle w:val="Heading20"/>
      </w:pPr>
      <w:r>
        <w:t>Prices</w:t>
      </w:r>
    </w:p>
    <w:p w14:paraId="45AF2E3D" w14:textId="77777777" w:rsidR="006448B4" w:rsidRDefault="006448B4" w:rsidP="00D57611">
      <w:r>
        <w:t>Inflation, which was very low in 2020-21, has risen to an elevated level in Victoria – as it has nationally and globally. The Melbourne consumer price index rose by 4.0 per cent in year</w:t>
      </w:r>
      <w:r>
        <w:noBreakHyphen/>
        <w:t xml:space="preserve">average terms in 2021-22 and is forecast to </w:t>
      </w:r>
      <w:r w:rsidRPr="00540956">
        <w:t xml:space="preserve">rise </w:t>
      </w:r>
      <w:r w:rsidRPr="00FA7C16">
        <w:t>to 6.5 per cent in year-average terms in 2022-23. (In year-ended terms, inflation is forecast to peak at 7.75 per</w:t>
      </w:r>
      <w:r>
        <w:t xml:space="preserve"> cent in December 2022, before easing in 2023.) </w:t>
      </w:r>
    </w:p>
    <w:p w14:paraId="6C8DA90F" w14:textId="77777777" w:rsidR="006448B4" w:rsidRDefault="006448B4" w:rsidP="006448B4">
      <w:pPr>
        <w:ind w:right="56"/>
      </w:pPr>
      <w:r>
        <w:lastRenderedPageBreak/>
        <w:t>Global inflation has been driven higher by g</w:t>
      </w:r>
      <w:r w:rsidRPr="008373F1">
        <w:t>lobal supply-chain disruptions and strong demand for goods – both</w:t>
      </w:r>
      <w:r>
        <w:t xml:space="preserve"> of which were caused by</w:t>
      </w:r>
      <w:r w:rsidRPr="008373F1">
        <w:t xml:space="preserve"> the pandemic</w:t>
      </w:r>
      <w:r>
        <w:t>.</w:t>
      </w:r>
      <w:r w:rsidRPr="008373F1">
        <w:t xml:space="preserve"> Russia’s invasion of Ukraine in February 2022</w:t>
      </w:r>
      <w:r>
        <w:t xml:space="preserve"> led to a sharp rise in global energy prices and the price of some commodities</w:t>
      </w:r>
      <w:r w:rsidRPr="008373F1">
        <w:t xml:space="preserve">, </w:t>
      </w:r>
      <w:r>
        <w:t xml:space="preserve">which added to these </w:t>
      </w:r>
      <w:r w:rsidRPr="008373F1">
        <w:t>inflation</w:t>
      </w:r>
      <w:r>
        <w:t>ary pressures</w:t>
      </w:r>
      <w:r w:rsidRPr="008373F1">
        <w:t xml:space="preserve">. </w:t>
      </w:r>
      <w:r>
        <w:t xml:space="preserve">In Victoria and Australia, these global factors </w:t>
      </w:r>
      <w:r w:rsidRPr="008373F1">
        <w:t>have driven the prices of imported consumer goods higher, especially automotive fuel</w:t>
      </w:r>
      <w:r>
        <w:t>. They have</w:t>
      </w:r>
      <w:r w:rsidRPr="008373F1">
        <w:t xml:space="preserve"> also contributed to higher input costs for a range of </w:t>
      </w:r>
      <w:r>
        <w:t xml:space="preserve">domestic </w:t>
      </w:r>
      <w:r w:rsidRPr="008373F1">
        <w:t>goods and services</w:t>
      </w:r>
      <w:r>
        <w:t>,</w:t>
      </w:r>
      <w:r w:rsidRPr="008373F1">
        <w:t xml:space="preserve"> leading to broad-based inflation. Higher prices for new dwellings have made a large contribution to overall consumer inflation, amid shortages of construction-related materials and labour coupled with strong demand for new housing</w:t>
      </w:r>
      <w:r>
        <w:t>.</w:t>
      </w:r>
    </w:p>
    <w:p w14:paraId="119B888E" w14:textId="77777777" w:rsidR="006448B4" w:rsidRDefault="006448B4" w:rsidP="006448B4">
      <w:r>
        <w:t>The RBA</w:t>
      </w:r>
      <w:r w:rsidRPr="00BB1C57">
        <w:t xml:space="preserve"> </w:t>
      </w:r>
      <w:r>
        <w:t xml:space="preserve">began raising interest rates in May 2022 to contain growing price pressures across the Australian economy. </w:t>
      </w:r>
      <w:bookmarkStart w:id="19" w:name="_Hlk116987941"/>
      <w:r>
        <w:t>Recent and expected rate rises, along with a stabilisation or decline in oil and other global commodity prices, are expected to progressively lower inflation over the forecast period.</w:t>
      </w:r>
      <w:bookmarkEnd w:id="19"/>
    </w:p>
    <w:p w14:paraId="16D27CD7" w14:textId="77777777" w:rsidR="006448B4" w:rsidRDefault="006448B4" w:rsidP="006448B4">
      <w:pPr>
        <w:pStyle w:val="Heading20"/>
      </w:pPr>
      <w:r>
        <w:t>Wages</w:t>
      </w:r>
    </w:p>
    <w:p w14:paraId="240C0200" w14:textId="77777777" w:rsidR="006448B4" w:rsidRDefault="006448B4" w:rsidP="006448B4">
      <w:pPr>
        <w:ind w:right="418"/>
      </w:pPr>
      <w:r>
        <w:t>Wages growth increased to 2.4 per cent in 2021-22 as the labour market recovered, up from 1.4 per cent in 2020-21. Wage growth had slowed in 2020 as many firms introduced wage freezes or temporary wage cuts due to the COVID-19 pandemic. Some weakness persisted into 2021 amid the resumption of public health restrictions due to the Delta outbreak.</w:t>
      </w:r>
    </w:p>
    <w:p w14:paraId="7BB56ED2" w14:textId="77777777" w:rsidR="006448B4" w:rsidRDefault="006448B4" w:rsidP="006448B4">
      <w:r>
        <w:t xml:space="preserve">More recently, the strength in the labour market has contributed to higher wages growth. Business surveys indicate that </w:t>
      </w:r>
      <w:r w:rsidRPr="000C1FB7">
        <w:t xml:space="preserve">wage </w:t>
      </w:r>
      <w:r>
        <w:t xml:space="preserve">costs have increased in 2022, notably in industries where there have also been reports of labour shortages, such as professional services and construction. The RBA’s business liaison program also suggests that labour costs have picked up, with firms expecting wages growth to continue rising in the year ahead. Furthermore, the Fair Work Commission lifted the national minimum wage by 5.2 per cent and award minimum wages by 4.6 per cent, effective from 1 July 2022. </w:t>
      </w:r>
    </w:p>
    <w:p w14:paraId="7A6970A9" w14:textId="77777777" w:rsidR="006448B4" w:rsidRDefault="006448B4" w:rsidP="006448B4">
      <w:r>
        <w:t xml:space="preserve">With unemployment expected to remain at very low levels, </w:t>
      </w:r>
      <w:r w:rsidRPr="00C123F3">
        <w:t>wages growth is forecast to rise to 3.25 per cent on average in 2022-23, and rise further to 3.50 per</w:t>
      </w:r>
      <w:r>
        <w:t xml:space="preserve"> cent in the following year.</w:t>
      </w:r>
    </w:p>
    <w:p w14:paraId="3A1405B2" w14:textId="77777777" w:rsidR="006448B4" w:rsidRPr="00633A7B" w:rsidRDefault="006448B4" w:rsidP="006448B4">
      <w:pPr>
        <w:keepNext/>
        <w:numPr>
          <w:ilvl w:val="1"/>
          <w:numId w:val="0"/>
        </w:numPr>
        <w:tabs>
          <w:tab w:val="right" w:pos="9582"/>
        </w:tabs>
        <w:spacing w:before="240"/>
        <w:outlineLvl w:val="1"/>
        <w:rPr>
          <w:rFonts w:asciiTheme="majorHAnsi" w:eastAsiaTheme="majorEastAsia" w:hAnsiTheme="majorHAnsi" w:cstheme="majorBidi"/>
          <w:b/>
          <w:spacing w:val="-2"/>
          <w:sz w:val="26"/>
          <w:szCs w:val="26"/>
        </w:rPr>
      </w:pPr>
      <w:r w:rsidRPr="00633A7B">
        <w:rPr>
          <w:rFonts w:asciiTheme="majorHAnsi" w:eastAsiaTheme="majorEastAsia" w:hAnsiTheme="majorHAnsi" w:cstheme="majorBidi"/>
          <w:b/>
          <w:spacing w:val="-2"/>
          <w:sz w:val="26"/>
          <w:szCs w:val="26"/>
        </w:rPr>
        <w:t>Population</w:t>
      </w:r>
    </w:p>
    <w:p w14:paraId="2D2B52B6" w14:textId="77777777" w:rsidR="006448B4" w:rsidRDefault="006448B4" w:rsidP="006448B4">
      <w:r>
        <w:t>Victoria’s population growth had been strong leading up to the COVID-19 pandemic. Annual population growth had been higher than in any other state since 2013. However, the COVID-19 pandemic has had a significant negative impact on population growth, with Victoria’s population declining in 2020-21 as both net overseas and net interstate migration detracted from growth.</w:t>
      </w:r>
    </w:p>
    <w:p w14:paraId="7210C9CF" w14:textId="77777777" w:rsidR="006448B4" w:rsidRPr="00633A7B" w:rsidRDefault="006448B4" w:rsidP="006448B4">
      <w:r>
        <w:t>Victoria’s population is estimated to have grown by 0.9 per cent in 2021-22, with population growth forecast to rise to 1.4 per cent in 2022-23 as net overseas and net interstate migration recover further. Population growth is expected to return to the long</w:t>
      </w:r>
      <w:r>
        <w:noBreakHyphen/>
        <w:t>term trend of 1.7 per cent later in the forecast period.</w:t>
      </w:r>
    </w:p>
    <w:p w14:paraId="091B0529" w14:textId="311B4047" w:rsidR="006448B4" w:rsidRDefault="006448B4" w:rsidP="006448B4">
      <w:pPr>
        <w:pStyle w:val="Heading10"/>
      </w:pPr>
      <w:bookmarkStart w:id="20" w:name="_Toc117586240"/>
      <w:r>
        <w:lastRenderedPageBreak/>
        <w:t>Australian economic conditions and outlook</w:t>
      </w:r>
      <w:bookmarkEnd w:id="20"/>
    </w:p>
    <w:p w14:paraId="6CA1AC37" w14:textId="77777777" w:rsidR="006448B4" w:rsidRDefault="006448B4" w:rsidP="0054170B">
      <w:pPr>
        <w:ind w:right="-100"/>
      </w:pPr>
      <w:r w:rsidRPr="00781E68">
        <w:t xml:space="preserve">The Australian economy has performed strongly over the past year, growing by </w:t>
      </w:r>
      <w:r>
        <w:t>3.9 </w:t>
      </w:r>
      <w:r w:rsidRPr="00781E68">
        <w:t>per</w:t>
      </w:r>
      <w:r>
        <w:t> </w:t>
      </w:r>
      <w:r w:rsidRPr="00781E68">
        <w:t>cent in 2021</w:t>
      </w:r>
      <w:r>
        <w:noBreakHyphen/>
      </w:r>
      <w:r w:rsidRPr="00781E68">
        <w:t>22</w:t>
      </w:r>
      <w:r>
        <w:t>, with the economy 5.5 per cent larger by the end of the year than it was prior to the COVID</w:t>
      </w:r>
      <w:r>
        <w:noBreakHyphen/>
        <w:t>19 pandemic</w:t>
      </w:r>
      <w:r w:rsidRPr="00781E68">
        <w:t xml:space="preserve">. Employment growth has been strong, and the unemployment rate has fallen to </w:t>
      </w:r>
      <w:r>
        <w:t xml:space="preserve">a </w:t>
      </w:r>
      <w:r w:rsidRPr="00781E68">
        <w:t xml:space="preserve">very </w:t>
      </w:r>
      <w:r w:rsidRPr="00801C4E">
        <w:t>lo</w:t>
      </w:r>
      <w:r w:rsidRPr="00AA4F99">
        <w:t>w 3.5 per</w:t>
      </w:r>
      <w:r>
        <w:t xml:space="preserve"> cent</w:t>
      </w:r>
      <w:r w:rsidRPr="00781E68">
        <w:t>.</w:t>
      </w:r>
    </w:p>
    <w:p w14:paraId="1158AE46" w14:textId="77777777" w:rsidR="006448B4" w:rsidRDefault="006448B4" w:rsidP="006448B4">
      <w:r>
        <w:t xml:space="preserve">Global supply-chain disruptions, Russia’s invasion of Ukraine and domestic capacity constraints have driven Australian inflation to its highest level since </w:t>
      </w:r>
      <w:r w:rsidRPr="00C104A5">
        <w:t>1990</w:t>
      </w:r>
      <w:r>
        <w:t xml:space="preserve">. In response, the RBA </w:t>
      </w:r>
      <w:r w:rsidRPr="00781E68">
        <w:t xml:space="preserve">has increased </w:t>
      </w:r>
      <w:r>
        <w:t xml:space="preserve">official interest rates by 2.50 percentage points </w:t>
      </w:r>
      <w:r w:rsidRPr="00781E68">
        <w:t>since May</w:t>
      </w:r>
      <w:r>
        <w:t xml:space="preserve"> 2022</w:t>
      </w:r>
      <w:r w:rsidRPr="00781E68">
        <w:t xml:space="preserve"> to slow </w:t>
      </w:r>
      <w:r>
        <w:t>aggregate spending</w:t>
      </w:r>
      <w:r w:rsidRPr="00781E68">
        <w:t xml:space="preserve"> and contain </w:t>
      </w:r>
      <w:r>
        <w:t xml:space="preserve">these </w:t>
      </w:r>
      <w:r w:rsidRPr="00781E68">
        <w:t>rising inflation pressures.</w:t>
      </w:r>
      <w:r>
        <w:t xml:space="preserve"> Private-sector economists and financial market participants expect the RBA to raise interest rates further over </w:t>
      </w:r>
      <w:r w:rsidRPr="00C104A5">
        <w:t>coming months</w:t>
      </w:r>
      <w:r w:rsidRPr="00BA46FE">
        <w:t>.</w:t>
      </w:r>
    </w:p>
    <w:p w14:paraId="5BA47CCD" w14:textId="55C3089D" w:rsidR="00600B9E" w:rsidRPr="00275DAF" w:rsidRDefault="00600B9E" w:rsidP="00600B9E">
      <w:bookmarkStart w:id="21" w:name="_Hlk117614538"/>
      <w:r>
        <w:t xml:space="preserve">As outlined in the latest Commonwealth Budget released on 25 October 2022, the </w:t>
      </w:r>
      <w:r w:rsidRPr="006E5E80">
        <w:t>Commonwealth Treasury expect</w:t>
      </w:r>
      <w:r>
        <w:t>s</w:t>
      </w:r>
      <w:r w:rsidRPr="006E5E80">
        <w:t xml:space="preserve"> the Australian economy to grow by </w:t>
      </w:r>
      <w:r w:rsidRPr="0095606C">
        <w:t>3.</w:t>
      </w:r>
      <w:r w:rsidR="00996E06">
        <w:t>25</w:t>
      </w:r>
      <w:r w:rsidRPr="006E5E80">
        <w:t xml:space="preserve"> per cent in 2022-23 and </w:t>
      </w:r>
      <w:r w:rsidRPr="0095606C">
        <w:t xml:space="preserve">by </w:t>
      </w:r>
      <w:r w:rsidR="00996E06">
        <w:t>1</w:t>
      </w:r>
      <w:r w:rsidRPr="0095606C">
        <w:t>.</w:t>
      </w:r>
      <w:r w:rsidR="00996E06">
        <w:t>5</w:t>
      </w:r>
      <w:r w:rsidRPr="006E5E80">
        <w:t xml:space="preserve"> per cent in 2023-24. </w:t>
      </w:r>
      <w:r>
        <w:t>The forecast for 2022-23 represents a downward revision of 25 basis points since the Commonwealth’s March 2022 budget, while the forecast for 2023-24 is 100 basis points lower.</w:t>
      </w:r>
      <w:r w:rsidRPr="006E5E80">
        <w:t xml:space="preserve"> </w:t>
      </w:r>
      <w:r>
        <w:t xml:space="preserve">These downgrades are </w:t>
      </w:r>
      <w:r w:rsidRPr="006E5E80">
        <w:t>driven by</w:t>
      </w:r>
      <w:r>
        <w:t xml:space="preserve"> a weaker global economic outlook, persistent</w:t>
      </w:r>
      <w:r w:rsidRPr="006E5E80">
        <w:t xml:space="preserve"> inflation and rising interest rates. Employment growth </w:t>
      </w:r>
      <w:r>
        <w:t>is</w:t>
      </w:r>
      <w:r w:rsidRPr="006E5E80">
        <w:t xml:space="preserve"> forecast to moderate to </w:t>
      </w:r>
      <w:r w:rsidRPr="0095606C">
        <w:t>1.</w:t>
      </w:r>
      <w:r>
        <w:t>75</w:t>
      </w:r>
      <w:r w:rsidRPr="006E5E80">
        <w:t xml:space="preserve"> per cent in 2022-23,</w:t>
      </w:r>
      <w:r>
        <w:t xml:space="preserve"> slowing to 0.75 per cent in the following year.</w:t>
      </w:r>
      <w:r w:rsidRPr="006E5E80">
        <w:t xml:space="preserve"> </w:t>
      </w:r>
      <w:r>
        <w:t xml:space="preserve">The </w:t>
      </w:r>
      <w:r w:rsidRPr="006E5E80">
        <w:t xml:space="preserve">unemployment rate </w:t>
      </w:r>
      <w:r>
        <w:t>is</w:t>
      </w:r>
      <w:r w:rsidRPr="006E5E80">
        <w:t xml:space="preserve"> expected to remain low at </w:t>
      </w:r>
      <w:r w:rsidRPr="0095606C">
        <w:t>3.75</w:t>
      </w:r>
      <w:r w:rsidRPr="006E5E80">
        <w:t xml:space="preserve"> per cent</w:t>
      </w:r>
      <w:r>
        <w:t xml:space="preserve"> in 2022-23 before rising to 4.50 per cent in 2023-24</w:t>
      </w:r>
      <w:r w:rsidRPr="006E5E80">
        <w:t xml:space="preserve">. The Commonwealth’s forecast for wages growth in </w:t>
      </w:r>
      <w:r w:rsidRPr="0095606C">
        <w:t>2022-23</w:t>
      </w:r>
      <w:r w:rsidRPr="006E5E80">
        <w:t xml:space="preserve"> </w:t>
      </w:r>
      <w:r>
        <w:t>has been</w:t>
      </w:r>
      <w:r w:rsidRPr="006E5E80">
        <w:t xml:space="preserve"> revised higher, from 3.25 per cent in its</w:t>
      </w:r>
      <w:r>
        <w:t xml:space="preserve"> March</w:t>
      </w:r>
      <w:r w:rsidRPr="006E5E80">
        <w:t xml:space="preserve"> budget to </w:t>
      </w:r>
      <w:r w:rsidRPr="0095606C">
        <w:t>3.75</w:t>
      </w:r>
      <w:r w:rsidRPr="006E5E80">
        <w:t xml:space="preserve"> per cent. Meanwhile, inflation </w:t>
      </w:r>
      <w:r>
        <w:t>is</w:t>
      </w:r>
      <w:r w:rsidRPr="006E5E80">
        <w:t xml:space="preserve"> expected to </w:t>
      </w:r>
      <w:r>
        <w:t>end 2022-23 at 5.75 per cent</w:t>
      </w:r>
      <w:r w:rsidRPr="006E5E80">
        <w:t xml:space="preserve">, a significant upward revision from 3.0 per cent in </w:t>
      </w:r>
      <w:r>
        <w:t>its March 2022 budget</w:t>
      </w:r>
      <w:r w:rsidRPr="006E5E80">
        <w:t xml:space="preserve">, before </w:t>
      </w:r>
      <w:r w:rsidRPr="0095606C">
        <w:t>declining gradually</w:t>
      </w:r>
      <w:r w:rsidRPr="006E5E80">
        <w:t xml:space="preserve"> over the following two years.</w:t>
      </w:r>
      <w:r>
        <w:t xml:space="preserve"> </w:t>
      </w:r>
    </w:p>
    <w:p w14:paraId="4C48AA29" w14:textId="577ECE85" w:rsidR="006448B4" w:rsidRPr="00422927" w:rsidRDefault="006448B4" w:rsidP="006448B4">
      <w:pPr>
        <w:pStyle w:val="Heading10"/>
      </w:pPr>
      <w:bookmarkStart w:id="22" w:name="_Toc117586241"/>
      <w:bookmarkEnd w:id="21"/>
      <w:r w:rsidRPr="00B350E3">
        <w:rPr>
          <w:caps w:val="0"/>
        </w:rPr>
        <w:t>International</w:t>
      </w:r>
      <w:r w:rsidRPr="00422927">
        <w:rPr>
          <w:caps w:val="0"/>
        </w:rPr>
        <w:t xml:space="preserve"> economic conditions and outlook</w:t>
      </w:r>
      <w:bookmarkEnd w:id="22"/>
    </w:p>
    <w:p w14:paraId="1AB4C648" w14:textId="3600D656" w:rsidR="006448B4" w:rsidRDefault="006448B4" w:rsidP="006448B4">
      <w:pPr>
        <w:ind w:right="340"/>
      </w:pPr>
      <w:r w:rsidRPr="00F014C9">
        <w:t xml:space="preserve">The global economy rebounded strongly in 2021, </w:t>
      </w:r>
      <w:r>
        <w:t>with</w:t>
      </w:r>
      <w:r w:rsidRPr="00F014C9">
        <w:t xml:space="preserve"> the International Monetary Fund (IMF) </w:t>
      </w:r>
      <w:r>
        <w:t>estimating</w:t>
      </w:r>
      <w:r w:rsidRPr="00F014C9">
        <w:t xml:space="preserve"> output </w:t>
      </w:r>
      <w:r w:rsidR="0095606C">
        <w:t>growing</w:t>
      </w:r>
      <w:r w:rsidRPr="00F014C9">
        <w:t xml:space="preserve"> by </w:t>
      </w:r>
      <w:r>
        <w:t>6.0 </w:t>
      </w:r>
      <w:r w:rsidRPr="00F014C9">
        <w:t xml:space="preserve">per cent. However, </w:t>
      </w:r>
      <w:r>
        <w:t xml:space="preserve">the global economy is estimated to have contracted modestly in the second quarter of 2022 and </w:t>
      </w:r>
      <w:r w:rsidRPr="00F014C9">
        <w:t>the outlook has deteriorated</w:t>
      </w:r>
      <w:r>
        <w:t>, with t</w:t>
      </w:r>
      <w:r w:rsidRPr="00F014C9">
        <w:t>he IMF downgrad</w:t>
      </w:r>
      <w:r>
        <w:t>ing</w:t>
      </w:r>
      <w:r w:rsidRPr="00F014C9">
        <w:t xml:space="preserve"> its global growth forecasts for 2022 and 2023</w:t>
      </w:r>
      <w:r w:rsidRPr="00B81C0A">
        <w:t xml:space="preserve"> </w:t>
      </w:r>
      <w:r w:rsidRPr="00F014C9">
        <w:t xml:space="preserve">since the </w:t>
      </w:r>
      <w:r w:rsidRPr="00F014C9">
        <w:rPr>
          <w:i/>
          <w:iCs/>
        </w:rPr>
        <w:t>2022</w:t>
      </w:r>
      <w:r>
        <w:rPr>
          <w:i/>
          <w:iCs/>
        </w:rPr>
        <w:noBreakHyphen/>
      </w:r>
      <w:r w:rsidRPr="00F014C9">
        <w:rPr>
          <w:i/>
          <w:iCs/>
        </w:rPr>
        <w:t>23</w:t>
      </w:r>
      <w:r>
        <w:rPr>
          <w:i/>
          <w:iCs/>
        </w:rPr>
        <w:t> </w:t>
      </w:r>
      <w:r w:rsidRPr="00F014C9">
        <w:rPr>
          <w:i/>
          <w:iCs/>
        </w:rPr>
        <w:t>Budget</w:t>
      </w:r>
      <w:r w:rsidRPr="00F014C9">
        <w:t xml:space="preserve">. The IMF cited </w:t>
      </w:r>
      <w:r>
        <w:t xml:space="preserve">several factors behind its forecast downgrades, </w:t>
      </w:r>
      <w:r w:rsidRPr="00F014C9">
        <w:t>including high inflation and tighter monetary policy in the United States and many European economies, spill</w:t>
      </w:r>
      <w:r>
        <w:t>-</w:t>
      </w:r>
      <w:r w:rsidRPr="00F014C9">
        <w:t xml:space="preserve">over effects from </w:t>
      </w:r>
      <w:r>
        <w:t>Russia’s invasion of Ukraine</w:t>
      </w:r>
      <w:r w:rsidRPr="00F014C9">
        <w:t xml:space="preserve">, ongoing </w:t>
      </w:r>
      <w:r>
        <w:t xml:space="preserve">COVID-19 </w:t>
      </w:r>
      <w:r w:rsidRPr="00F014C9">
        <w:t>health restrictions</w:t>
      </w:r>
      <w:r>
        <w:t>,</w:t>
      </w:r>
      <w:r w:rsidRPr="00F014C9">
        <w:t xml:space="preserve"> and the deepening real estate downturn in China.</w:t>
      </w:r>
    </w:p>
    <w:p w14:paraId="24277467" w14:textId="77777777" w:rsidR="006448B4" w:rsidRDefault="006448B4" w:rsidP="006448B4">
      <w:r>
        <w:t>The IMF revised up its forecast for g</w:t>
      </w:r>
      <w:r w:rsidRPr="00F014C9">
        <w:t>lobal inflation</w:t>
      </w:r>
      <w:r>
        <w:t>,</w:t>
      </w:r>
      <w:r w:rsidRPr="00F014C9">
        <w:t xml:space="preserve"> </w:t>
      </w:r>
      <w:r>
        <w:t xml:space="preserve">which </w:t>
      </w:r>
      <w:r w:rsidRPr="00F014C9">
        <w:t xml:space="preserve">is now </w:t>
      </w:r>
      <w:r>
        <w:t xml:space="preserve">expected </w:t>
      </w:r>
      <w:r w:rsidRPr="00F014C9">
        <w:t xml:space="preserve">to reach </w:t>
      </w:r>
      <w:r>
        <w:t>7.2 </w:t>
      </w:r>
      <w:r w:rsidRPr="00F014C9">
        <w:t>per cent in advanced economies in 2022, driven by higher food and energy prices and ongoing supply</w:t>
      </w:r>
      <w:r>
        <w:t>-</w:t>
      </w:r>
      <w:r w:rsidRPr="00F014C9">
        <w:t>demand imbalances. The IMF expects some easing in price pressures over 2023, due in part to the disinflationary effect of higher interest rates</w:t>
      </w:r>
      <w:r>
        <w:t xml:space="preserve">, but does not </w:t>
      </w:r>
      <w:r w:rsidRPr="00F014C9">
        <w:t>expect</w:t>
      </w:r>
      <w:r>
        <w:t xml:space="preserve"> global inflation</w:t>
      </w:r>
      <w:r w:rsidRPr="00F014C9">
        <w:t xml:space="preserve"> to return to near pre-pandemic levels </w:t>
      </w:r>
      <w:r>
        <w:t>until 2025</w:t>
      </w:r>
      <w:r w:rsidRPr="00F014C9">
        <w:t>.</w:t>
      </w:r>
    </w:p>
    <w:p w14:paraId="18A94865" w14:textId="5961BA5B" w:rsidR="006448B4" w:rsidRPr="00422927" w:rsidRDefault="006448B4" w:rsidP="006448B4">
      <w:pPr>
        <w:pStyle w:val="Heading10"/>
      </w:pPr>
      <w:bookmarkStart w:id="23" w:name="_Toc117586242"/>
      <w:bookmarkStart w:id="24" w:name="_Hlk528583589"/>
      <w:r>
        <w:lastRenderedPageBreak/>
        <w:t>Risks to the o</w:t>
      </w:r>
      <w:r w:rsidRPr="00422927">
        <w:t>utlook</w:t>
      </w:r>
      <w:bookmarkEnd w:id="23"/>
    </w:p>
    <w:bookmarkEnd w:id="24"/>
    <w:p w14:paraId="314B0E47" w14:textId="3DD6102F" w:rsidR="006448B4" w:rsidRDefault="006448B4" w:rsidP="006448B4">
      <w:r>
        <w:t>The risks to Victoria’s economic outlook remain greater than normal. Domestically, there is significant uncertainty about the inflation outlook and hence the outlook for interest rates. Global supply chain pressures and high energy prices could persist for longer than expected. Current elevated inflation could raise expectations of future inflation, which may become self-sustaining as workers and firms build higher expectations into price</w:t>
      </w:r>
      <w:r w:rsidR="00EE2764">
        <w:noBreakHyphen/>
      </w:r>
      <w:r>
        <w:t>setting and wage-bargaining behaviour. Such scenarios could lead the RBA to increase interest rates by more than expected, weighing on economic activity and employment growth. A related uncertainty is how quickly and to what extent wage</w:t>
      </w:r>
      <w:r>
        <w:noBreakHyphen/>
        <w:t xml:space="preserve">setting behaviour responds to the current tight labour market. </w:t>
      </w:r>
    </w:p>
    <w:p w14:paraId="276F8D7D" w14:textId="77777777" w:rsidR="006448B4" w:rsidRDefault="006448B4" w:rsidP="006448B4">
      <w:pPr>
        <w:keepLines w:val="0"/>
      </w:pPr>
      <w:r w:rsidRPr="00394D8F">
        <w:t xml:space="preserve">Another key domestic risk is the outlook for consumer spending. The labour market is expected to remain tight; robust employment growth and a stronger than expected increase in wages </w:t>
      </w:r>
      <w:r>
        <w:t xml:space="preserve">growth </w:t>
      </w:r>
      <w:r w:rsidRPr="00394D8F">
        <w:t>would further boost household income. Combined with high levels of household savings</w:t>
      </w:r>
      <w:r>
        <w:t xml:space="preserve"> and pent-up demand</w:t>
      </w:r>
      <w:r w:rsidRPr="00394D8F">
        <w:t>, this could lead to stronger growth in consumer spending</w:t>
      </w:r>
      <w:r>
        <w:t xml:space="preserve"> than currently forecast</w:t>
      </w:r>
      <w:r w:rsidRPr="00394D8F">
        <w:t xml:space="preserve">. </w:t>
      </w:r>
      <w:r>
        <w:t>Yet</w:t>
      </w:r>
      <w:r w:rsidRPr="00394D8F">
        <w:t xml:space="preserve"> consumers are also facing </w:t>
      </w:r>
      <w:r>
        <w:t>significant</w:t>
      </w:r>
      <w:r w:rsidRPr="00394D8F">
        <w:t xml:space="preserve"> headwinds. </w:t>
      </w:r>
      <w:r>
        <w:t>The material rises in i</w:t>
      </w:r>
      <w:r w:rsidRPr="00394D8F">
        <w:t xml:space="preserve">nterest rates </w:t>
      </w:r>
      <w:r>
        <w:t xml:space="preserve">and high </w:t>
      </w:r>
      <w:r w:rsidRPr="00394D8F">
        <w:t>inflation</w:t>
      </w:r>
      <w:r>
        <w:t xml:space="preserve"> could weigh on consumer spending more than expected. Meanwhile, with</w:t>
      </w:r>
      <w:r w:rsidRPr="00394D8F">
        <w:t xml:space="preserve"> </w:t>
      </w:r>
      <w:r>
        <w:t>asset</w:t>
      </w:r>
      <w:r w:rsidRPr="00394D8F">
        <w:t xml:space="preserve"> prices declin</w:t>
      </w:r>
      <w:r>
        <w:t xml:space="preserve">ing, </w:t>
      </w:r>
      <w:r w:rsidRPr="00394D8F">
        <w:t xml:space="preserve">consumers </w:t>
      </w:r>
      <w:r>
        <w:t>could</w:t>
      </w:r>
      <w:r w:rsidRPr="00394D8F">
        <w:t xml:space="preserve"> become more risk-averse and reduce discretionary expenditure. How these opposing dynamics play out is key to the outlook for consumption and is subject to a high degree of uncertainty. </w:t>
      </w:r>
    </w:p>
    <w:p w14:paraId="7D93CA20" w14:textId="46853222" w:rsidR="006448B4" w:rsidRDefault="006448B4" w:rsidP="006448B4">
      <w:pPr>
        <w:keepLines w:val="0"/>
      </w:pPr>
      <w:r>
        <w:t xml:space="preserve">The IMF considers that global risks are considerably tilted to the downside. High inflation and rising interest rates in the United States and Europe, Russia’s invasion of Ukraine, as well as some ongoing COVID-19 restrictions and the property sector downturn in China will impede global growth in 2023. There is considerable uncertainty, however, around the scale and duration of these impacts. Weaker global growth would slow demand for Victoria’s exports of goods and services. </w:t>
      </w:r>
    </w:p>
    <w:p w14:paraId="7EE10A5B" w14:textId="0E912925" w:rsidR="008E0D25" w:rsidRDefault="008E0D25" w:rsidP="006448B4">
      <w:pPr>
        <w:keepLines w:val="0"/>
      </w:pPr>
      <w:r>
        <w:t>The October 2022 floods significantly affecting communities in some regions of Victoria represent an additional risk to the outlook for both growth and inflation.</w:t>
      </w:r>
    </w:p>
    <w:p w14:paraId="29BE2609" w14:textId="77777777" w:rsidR="006448B4" w:rsidRDefault="006448B4" w:rsidP="006448B4">
      <w:pPr>
        <w:keepLines w:val="0"/>
      </w:pPr>
      <w:r>
        <w:t xml:space="preserve">COVID-19 also remains a significant source of uncertainty for the Victorian economy, particularly the risk of new variants emerging that are resistant to current vaccines. Appendix B </w:t>
      </w:r>
      <w:r>
        <w:rPr>
          <w:i/>
          <w:iCs/>
        </w:rPr>
        <w:t>Sensitivity Analysis</w:t>
      </w:r>
      <w:r>
        <w:t xml:space="preserve"> considers this possibility. In this scenario, new COVID-19 variants lead to renewed public health measures in major economies outside Australia as well as the reimposition of Australia’s national border restrictions, disrupting both the global and domestic economic recovery. Heightened uncertainty would weigh heavily on Victorian consumer sentiment, reducing consumer spending and slowing economic growth. </w:t>
      </w:r>
    </w:p>
    <w:p w14:paraId="477ED676" w14:textId="2BA3837B" w:rsidR="00AE31D1" w:rsidRDefault="00AE31D1">
      <w:pPr>
        <w:keepLines w:val="0"/>
      </w:pPr>
      <w:r>
        <w:br w:type="page"/>
      </w:r>
    </w:p>
    <w:p w14:paraId="3AF7D808" w14:textId="77777777" w:rsidR="008D6F13" w:rsidRDefault="008D6F13" w:rsidP="000C2241"/>
    <w:p w14:paraId="3AB18AD2" w14:textId="77777777" w:rsidR="008D6F13" w:rsidRDefault="008D6F13" w:rsidP="003610AD"/>
    <w:p w14:paraId="7C88CE84" w14:textId="25153C28" w:rsidR="00F51471" w:rsidRDefault="00F51471" w:rsidP="003610AD">
      <w:pPr>
        <w:sectPr w:rsidR="00F51471" w:rsidSect="004A4CE3">
          <w:footerReference w:type="even" r:id="rId28"/>
          <w:footerReference w:type="default" r:id="rId29"/>
          <w:footerReference w:type="first" r:id="rId30"/>
          <w:pgSz w:w="9979" w:h="14175" w:code="34"/>
          <w:pgMar w:top="1134" w:right="1134" w:bottom="1134" w:left="1134" w:header="624" w:footer="567" w:gutter="0"/>
          <w:cols w:space="708"/>
          <w:docGrid w:linePitch="360"/>
        </w:sectPr>
      </w:pPr>
    </w:p>
    <w:p w14:paraId="163A7F08" w14:textId="77777777" w:rsidR="00C424E5" w:rsidRDefault="00C424E5" w:rsidP="006448B4">
      <w:pPr>
        <w:pStyle w:val="ChapterHeading"/>
      </w:pPr>
      <w:bookmarkStart w:id="25" w:name="_Toc117586243"/>
      <w:r>
        <w:lastRenderedPageBreak/>
        <w:t xml:space="preserve">Chapter 2 – </w:t>
      </w:r>
      <w:r w:rsidRPr="006448B4">
        <w:t>Budget position and outlook</w:t>
      </w:r>
      <w:bookmarkEnd w:id="25"/>
    </w:p>
    <w:p w14:paraId="5D28215C" w14:textId="77777777" w:rsidR="00C424E5" w:rsidRDefault="00C424E5" w:rsidP="006448B4">
      <w:pPr>
        <w:pStyle w:val="HighlightBoxBullet"/>
        <w:keepNext/>
      </w:pPr>
      <w:r w:rsidRPr="00B610E7">
        <w:rPr>
          <w:color w:val="000000" w:themeColor="text1"/>
        </w:rPr>
        <w:t xml:space="preserve">As </w:t>
      </w:r>
      <w:r>
        <w:rPr>
          <w:color w:val="000000" w:themeColor="text1"/>
        </w:rPr>
        <w:t xml:space="preserve">first outlined in the </w:t>
      </w:r>
      <w:r w:rsidRPr="005A3081">
        <w:rPr>
          <w:i/>
          <w:iCs/>
          <w:color w:val="000000" w:themeColor="text1"/>
        </w:rPr>
        <w:t>2020-21 Budget</w:t>
      </w:r>
      <w:r w:rsidRPr="00B610E7">
        <w:rPr>
          <w:i/>
          <w:iCs/>
          <w:color w:val="000000" w:themeColor="text1"/>
        </w:rPr>
        <w:t>,</w:t>
      </w:r>
      <w:r w:rsidRPr="00B610E7">
        <w:rPr>
          <w:color w:val="000000" w:themeColor="text1"/>
        </w:rPr>
        <w:t xml:space="preserve"> t</w:t>
      </w:r>
      <w:r w:rsidRPr="004C15E2">
        <w:t xml:space="preserve">he Government </w:t>
      </w:r>
      <w:r>
        <w:t>continues to deliver on</w:t>
      </w:r>
      <w:r w:rsidRPr="004C15E2">
        <w:t xml:space="preserve"> the four</w:t>
      </w:r>
      <w:r>
        <w:t>-</w:t>
      </w:r>
      <w:r w:rsidRPr="004C15E2">
        <w:t xml:space="preserve">step </w:t>
      </w:r>
      <w:r>
        <w:t xml:space="preserve">fiscal </w:t>
      </w:r>
      <w:r w:rsidRPr="004C15E2">
        <w:t>strategy to restore the State</w:t>
      </w:r>
      <w:r>
        <w:t>’s</w:t>
      </w:r>
      <w:r w:rsidRPr="004C15E2">
        <w:t xml:space="preserve"> finances </w:t>
      </w:r>
      <w:r>
        <w:t>following</w:t>
      </w:r>
      <w:r w:rsidRPr="004C15E2">
        <w:t xml:space="preserve"> the </w:t>
      </w:r>
      <w:r>
        <w:t xml:space="preserve">COVID-19 </w:t>
      </w:r>
      <w:r w:rsidRPr="004C15E2">
        <w:t>pandemic.</w:t>
      </w:r>
    </w:p>
    <w:p w14:paraId="67949CE3" w14:textId="77777777" w:rsidR="00C424E5" w:rsidRPr="004A33C2" w:rsidRDefault="00C424E5" w:rsidP="006448B4">
      <w:pPr>
        <w:pStyle w:val="HighlightBoxBullet"/>
        <w:keepNext/>
        <w:rPr>
          <w:color w:val="000000" w:themeColor="text1"/>
        </w:rPr>
      </w:pPr>
      <w:r w:rsidRPr="004A33C2">
        <w:rPr>
          <w:color w:val="000000" w:themeColor="text1"/>
        </w:rPr>
        <w:t xml:space="preserve">Progression on the </w:t>
      </w:r>
      <w:r>
        <w:rPr>
          <w:color w:val="000000" w:themeColor="text1"/>
        </w:rPr>
        <w:t>four-step fiscal strategy</w:t>
      </w:r>
      <w:r w:rsidRPr="004A33C2">
        <w:rPr>
          <w:color w:val="000000" w:themeColor="text1"/>
        </w:rPr>
        <w:t xml:space="preserve"> is well underway. Employment is well above its pre-pandemic levels, and the workforce participation rate is </w:t>
      </w:r>
      <w:r>
        <w:rPr>
          <w:color w:val="000000" w:themeColor="text1"/>
        </w:rPr>
        <w:t>near a</w:t>
      </w:r>
      <w:r w:rsidRPr="004A33C2">
        <w:rPr>
          <w:color w:val="000000" w:themeColor="text1"/>
        </w:rPr>
        <w:t xml:space="preserve"> record high.</w:t>
      </w:r>
    </w:p>
    <w:p w14:paraId="4B53A1D5" w14:textId="57D9B73D" w:rsidR="00C424E5" w:rsidRPr="004A33C2" w:rsidRDefault="00C424E5" w:rsidP="006448B4">
      <w:pPr>
        <w:pStyle w:val="HighlightBoxBullet"/>
        <w:keepNext/>
        <w:rPr>
          <w:color w:val="000000" w:themeColor="text1"/>
        </w:rPr>
      </w:pPr>
      <w:r w:rsidRPr="00D017C4">
        <w:rPr>
          <w:color w:val="000000" w:themeColor="text1"/>
        </w:rPr>
        <w:t>The net cash flows from operating activities for the general government sector is forecast to be in surplus by $</w:t>
      </w:r>
      <w:r>
        <w:rPr>
          <w:color w:val="000000" w:themeColor="text1"/>
        </w:rPr>
        <w:t>2.4</w:t>
      </w:r>
      <w:r w:rsidRPr="00D017C4">
        <w:rPr>
          <w:color w:val="000000" w:themeColor="text1"/>
        </w:rPr>
        <w:t xml:space="preserve"> billion in 2022</w:t>
      </w:r>
      <w:r w:rsidRPr="00D017C4">
        <w:rPr>
          <w:color w:val="000000" w:themeColor="text1"/>
        </w:rPr>
        <w:noBreakHyphen/>
        <w:t xml:space="preserve">23, </w:t>
      </w:r>
      <w:r w:rsidRPr="004A33C2">
        <w:rPr>
          <w:color w:val="000000" w:themeColor="text1"/>
        </w:rPr>
        <w:t xml:space="preserve">an improvement compared with the position in the </w:t>
      </w:r>
      <w:r w:rsidRPr="004A33C2">
        <w:rPr>
          <w:i/>
          <w:iCs/>
          <w:color w:val="000000" w:themeColor="text1"/>
        </w:rPr>
        <w:t>2022</w:t>
      </w:r>
      <w:r>
        <w:rPr>
          <w:i/>
          <w:iCs/>
          <w:color w:val="000000" w:themeColor="text1"/>
        </w:rPr>
        <w:noBreakHyphen/>
      </w:r>
      <w:r w:rsidRPr="004A33C2">
        <w:rPr>
          <w:i/>
          <w:iCs/>
          <w:color w:val="000000" w:themeColor="text1"/>
        </w:rPr>
        <w:t>23</w:t>
      </w:r>
      <w:r>
        <w:rPr>
          <w:i/>
          <w:iCs/>
          <w:color w:val="000000" w:themeColor="text1"/>
        </w:rPr>
        <w:t> </w:t>
      </w:r>
      <w:r w:rsidRPr="004A33C2">
        <w:rPr>
          <w:i/>
          <w:iCs/>
          <w:color w:val="000000" w:themeColor="text1"/>
        </w:rPr>
        <w:t>Budget</w:t>
      </w:r>
      <w:r>
        <w:rPr>
          <w:i/>
          <w:iCs/>
          <w:color w:val="000000" w:themeColor="text1"/>
        </w:rPr>
        <w:t>,</w:t>
      </w:r>
      <w:r w:rsidRPr="00D017C4">
        <w:rPr>
          <w:color w:val="000000" w:themeColor="text1"/>
        </w:rPr>
        <w:t xml:space="preserve"> increasing to $5.</w:t>
      </w:r>
      <w:r>
        <w:rPr>
          <w:color w:val="000000" w:themeColor="text1"/>
        </w:rPr>
        <w:t>3</w:t>
      </w:r>
      <w:r w:rsidRPr="00D017C4">
        <w:rPr>
          <w:color w:val="000000" w:themeColor="text1"/>
        </w:rPr>
        <w:t xml:space="preserve"> billion in 2025-26</w:t>
      </w:r>
      <w:r>
        <w:rPr>
          <w:color w:val="000000" w:themeColor="text1"/>
        </w:rPr>
        <w:t>.</w:t>
      </w:r>
    </w:p>
    <w:p w14:paraId="62743B66" w14:textId="565790FA" w:rsidR="00C424E5" w:rsidRPr="004A33C2" w:rsidRDefault="00C424E5" w:rsidP="006448B4">
      <w:pPr>
        <w:pStyle w:val="HighlightBoxBullet"/>
        <w:keepNext/>
        <w:rPr>
          <w:color w:val="000000" w:themeColor="text1"/>
        </w:rPr>
      </w:pPr>
      <w:r w:rsidRPr="004A33C2">
        <w:rPr>
          <w:color w:val="000000" w:themeColor="text1"/>
        </w:rPr>
        <w:t xml:space="preserve">The net result from transactions </w:t>
      </w:r>
      <w:r w:rsidRPr="00D017C4">
        <w:rPr>
          <w:color w:val="000000" w:themeColor="text1"/>
        </w:rPr>
        <w:t xml:space="preserve">for the general government sector is forecast to </w:t>
      </w:r>
      <w:r>
        <w:rPr>
          <w:color w:val="000000" w:themeColor="text1"/>
        </w:rPr>
        <w:t xml:space="preserve">return to a </w:t>
      </w:r>
      <w:r w:rsidRPr="00D017C4">
        <w:rPr>
          <w:color w:val="000000" w:themeColor="text1"/>
        </w:rPr>
        <w:t>$0.</w:t>
      </w:r>
      <w:r>
        <w:rPr>
          <w:color w:val="000000" w:themeColor="text1"/>
        </w:rPr>
        <w:t>9</w:t>
      </w:r>
      <w:r w:rsidRPr="00D017C4">
        <w:rPr>
          <w:color w:val="000000" w:themeColor="text1"/>
        </w:rPr>
        <w:t xml:space="preserve"> billion </w:t>
      </w:r>
      <w:r>
        <w:rPr>
          <w:color w:val="000000" w:themeColor="text1"/>
        </w:rPr>
        <w:t>surplus by</w:t>
      </w:r>
      <w:r w:rsidRPr="00D017C4">
        <w:rPr>
          <w:color w:val="000000" w:themeColor="text1"/>
        </w:rPr>
        <w:t xml:space="preserve"> 2025-26,</w:t>
      </w:r>
      <w:r w:rsidRPr="004A33C2">
        <w:rPr>
          <w:color w:val="000000" w:themeColor="text1"/>
        </w:rPr>
        <w:t xml:space="preserve"> demonstrating the Government’s commitment to strong financial management despite the challenges over the past two years</w:t>
      </w:r>
      <w:r w:rsidRPr="00D017C4">
        <w:rPr>
          <w:color w:val="000000" w:themeColor="text1"/>
        </w:rPr>
        <w:t>.</w:t>
      </w:r>
    </w:p>
    <w:p w14:paraId="20179BC9" w14:textId="53DBEAE3" w:rsidR="00C424E5" w:rsidRDefault="00C424E5" w:rsidP="006448B4">
      <w:pPr>
        <w:pStyle w:val="HighlightBoxBullet"/>
        <w:keepNext/>
        <w:rPr>
          <w:color w:val="000000" w:themeColor="text1"/>
        </w:rPr>
      </w:pPr>
      <w:bookmarkStart w:id="26" w:name="_Hlk71024615"/>
      <w:r w:rsidRPr="00850957">
        <w:rPr>
          <w:color w:val="000000" w:themeColor="text1"/>
        </w:rPr>
        <w:t xml:space="preserve">Net debt is projected to be </w:t>
      </w:r>
      <w:r w:rsidRPr="00BE77D8">
        <w:rPr>
          <w:color w:val="000000" w:themeColor="text1"/>
        </w:rPr>
        <w:t>$1</w:t>
      </w:r>
      <w:r>
        <w:rPr>
          <w:color w:val="000000" w:themeColor="text1"/>
        </w:rPr>
        <w:t>65.4 </w:t>
      </w:r>
      <w:r w:rsidRPr="00BE77D8">
        <w:rPr>
          <w:color w:val="000000" w:themeColor="text1"/>
        </w:rPr>
        <w:t>billion</w:t>
      </w:r>
      <w:r w:rsidRPr="00850957">
        <w:rPr>
          <w:color w:val="000000" w:themeColor="text1"/>
        </w:rPr>
        <w:t xml:space="preserve"> by June</w:t>
      </w:r>
      <w:r>
        <w:rPr>
          <w:color w:val="000000" w:themeColor="text1"/>
        </w:rPr>
        <w:t> </w:t>
      </w:r>
      <w:r w:rsidRPr="00850957">
        <w:rPr>
          <w:color w:val="000000" w:themeColor="text1"/>
        </w:rPr>
        <w:t>202</w:t>
      </w:r>
      <w:r>
        <w:rPr>
          <w:color w:val="000000" w:themeColor="text1"/>
        </w:rPr>
        <w:t xml:space="preserve">6, lower in each year of the forward estimates than was forecast in the </w:t>
      </w:r>
      <w:r w:rsidRPr="004A33C2">
        <w:rPr>
          <w:i/>
          <w:iCs/>
          <w:color w:val="000000" w:themeColor="text1"/>
        </w:rPr>
        <w:t>2022-23 Budget</w:t>
      </w:r>
      <w:r>
        <w:rPr>
          <w:color w:val="000000" w:themeColor="text1"/>
        </w:rPr>
        <w:t>.</w:t>
      </w:r>
    </w:p>
    <w:p w14:paraId="44C03ECB" w14:textId="77777777" w:rsidR="00C424E5" w:rsidRPr="00B425D8" w:rsidRDefault="00C424E5" w:rsidP="006448B4">
      <w:pPr>
        <w:pStyle w:val="HighlightBoxBullet"/>
        <w:keepNext/>
        <w:rPr>
          <w:color w:val="000000" w:themeColor="text1"/>
        </w:rPr>
      </w:pPr>
      <w:r w:rsidRPr="00312850">
        <w:rPr>
          <w:color w:val="000000" w:themeColor="text1"/>
        </w:rPr>
        <w:t>Government infrastructure investment (GII) is expected</w:t>
      </w:r>
      <w:r w:rsidRPr="00B425D8">
        <w:rPr>
          <w:color w:val="000000" w:themeColor="text1"/>
        </w:rPr>
        <w:t xml:space="preserve"> to </w:t>
      </w:r>
      <w:r w:rsidRPr="00C52FBE">
        <w:rPr>
          <w:color w:val="000000" w:themeColor="text1"/>
        </w:rPr>
        <w:t>average $2</w:t>
      </w:r>
      <w:r>
        <w:rPr>
          <w:color w:val="000000" w:themeColor="text1"/>
        </w:rPr>
        <w:t>1.6 </w:t>
      </w:r>
      <w:r w:rsidRPr="00C52FBE">
        <w:rPr>
          <w:color w:val="000000" w:themeColor="text1"/>
        </w:rPr>
        <w:t>billion a</w:t>
      </w:r>
      <w:r w:rsidRPr="00B425D8">
        <w:rPr>
          <w:color w:val="000000" w:themeColor="text1"/>
        </w:rPr>
        <w:t xml:space="preserve"> year</w:t>
      </w:r>
      <w:r>
        <w:rPr>
          <w:color w:val="000000" w:themeColor="text1"/>
        </w:rPr>
        <w:t> </w:t>
      </w:r>
      <w:r w:rsidRPr="00B425D8">
        <w:rPr>
          <w:color w:val="000000" w:themeColor="text1"/>
        </w:rPr>
        <w:t>over the budget and forward estimates</w:t>
      </w:r>
      <w:r>
        <w:rPr>
          <w:color w:val="000000" w:themeColor="text1"/>
        </w:rPr>
        <w:t>,</w:t>
      </w:r>
      <w:r w:rsidRPr="00B425D8">
        <w:rPr>
          <w:color w:val="000000" w:themeColor="text1"/>
        </w:rPr>
        <w:t xml:space="preserve"> </w:t>
      </w:r>
      <w:r>
        <w:rPr>
          <w:color w:val="000000" w:themeColor="text1"/>
        </w:rPr>
        <w:t>reflecting new infrastructure investment and the continuation of Victoria’s Big Build.</w:t>
      </w:r>
    </w:p>
    <w:bookmarkEnd w:id="26"/>
    <w:p w14:paraId="1E35C43F" w14:textId="77777777" w:rsidR="00C424E5" w:rsidRPr="0018080F" w:rsidRDefault="00C424E5" w:rsidP="006448B4">
      <w:pPr>
        <w:pStyle w:val="HighlightBoxBullet"/>
        <w:keepNext/>
        <w:rPr>
          <w:color w:val="000000" w:themeColor="text1"/>
        </w:rPr>
      </w:pPr>
      <w:r w:rsidRPr="0018080F">
        <w:rPr>
          <w:color w:val="000000" w:themeColor="text1"/>
        </w:rPr>
        <w:t>Interest expense as a share of total revenue is expected to</w:t>
      </w:r>
      <w:r>
        <w:rPr>
          <w:color w:val="000000" w:themeColor="text1"/>
        </w:rPr>
        <w:t xml:space="preserve"> </w:t>
      </w:r>
      <w:r w:rsidRPr="0018080F">
        <w:rPr>
          <w:color w:val="000000" w:themeColor="text1"/>
        </w:rPr>
        <w:t>averag</w:t>
      </w:r>
      <w:r>
        <w:rPr>
          <w:color w:val="000000" w:themeColor="text1"/>
        </w:rPr>
        <w:t>e</w:t>
      </w:r>
      <w:r w:rsidRPr="0018080F">
        <w:rPr>
          <w:color w:val="000000" w:themeColor="text1"/>
        </w:rPr>
        <w:t xml:space="preserve"> </w:t>
      </w:r>
      <w:r>
        <w:rPr>
          <w:color w:val="000000" w:themeColor="text1"/>
        </w:rPr>
        <w:t>6.4</w:t>
      </w:r>
      <w:r w:rsidRPr="0018080F">
        <w:rPr>
          <w:color w:val="000000" w:themeColor="text1"/>
        </w:rPr>
        <w:t xml:space="preserve"> per cent a year over the budget and forward </w:t>
      </w:r>
      <w:r>
        <w:rPr>
          <w:color w:val="000000" w:themeColor="text1"/>
        </w:rPr>
        <w:t>estimates.</w:t>
      </w:r>
    </w:p>
    <w:p w14:paraId="0FB657D7" w14:textId="77777777" w:rsidR="00C424E5" w:rsidRPr="0084084C" w:rsidRDefault="00C424E5" w:rsidP="006448B4">
      <w:pPr>
        <w:pStyle w:val="HighlightBoxBullet"/>
        <w:keepNext/>
        <w:rPr>
          <w:color w:val="000000" w:themeColor="text1"/>
        </w:rPr>
      </w:pPr>
      <w:bookmarkStart w:id="27" w:name="_Hlk8039383"/>
      <w:r w:rsidRPr="0084084C">
        <w:rPr>
          <w:color w:val="000000" w:themeColor="text1"/>
        </w:rPr>
        <w:t xml:space="preserve">The Government is on track to fully fund the </w:t>
      </w:r>
      <w:r>
        <w:rPr>
          <w:color w:val="000000" w:themeColor="text1"/>
        </w:rPr>
        <w:t>S</w:t>
      </w:r>
      <w:r w:rsidRPr="0084084C">
        <w:rPr>
          <w:color w:val="000000" w:themeColor="text1"/>
        </w:rPr>
        <w:t>tate</w:t>
      </w:r>
      <w:r>
        <w:rPr>
          <w:color w:val="000000" w:themeColor="text1"/>
        </w:rPr>
        <w:t>’</w:t>
      </w:r>
      <w:r w:rsidRPr="0084084C">
        <w:rPr>
          <w:color w:val="000000" w:themeColor="text1"/>
        </w:rPr>
        <w:t>s unfunded superannuation liability by 2035.</w:t>
      </w:r>
    </w:p>
    <w:bookmarkEnd w:id="27"/>
    <w:p w14:paraId="61549A5C" w14:textId="2E07D166" w:rsidR="00C424E5" w:rsidRDefault="00C424E5" w:rsidP="00EE2764">
      <w:pPr>
        <w:ind w:right="12"/>
      </w:pPr>
      <w:r w:rsidRPr="00275D81">
        <w:t xml:space="preserve">This chapter presents the revised budget position of the general government sector for the budget year and forward estimates. It takes into account all policy decisions made by the Victorian Government as at 11 October 2022. It also includes preliminary estimates for Commonwealth Government funding revisions, where known, </w:t>
      </w:r>
      <w:r>
        <w:t xml:space="preserve">updates to GST revenue </w:t>
      </w:r>
      <w:r w:rsidR="00E537BA">
        <w:t xml:space="preserve">to reflect Commonwealth revisions </w:t>
      </w:r>
      <w:r>
        <w:t xml:space="preserve">to national population forecasts, </w:t>
      </w:r>
      <w:r w:rsidRPr="00275D81">
        <w:t xml:space="preserve">as well as a preliminary provision for costs associated with the State’s flood recovery efforts. This chapter also reconciles and explains any movements since the </w:t>
      </w:r>
      <w:r w:rsidRPr="00275D81">
        <w:rPr>
          <w:i/>
          <w:iCs/>
        </w:rPr>
        <w:t>2022-23 Budget</w:t>
      </w:r>
      <w:r w:rsidRPr="00275D81">
        <w:t xml:space="preserve"> that affects the estimated net result from transactions.</w:t>
      </w:r>
    </w:p>
    <w:p w14:paraId="05B2B1AA" w14:textId="77777777" w:rsidR="00C424E5" w:rsidRDefault="00C424E5" w:rsidP="0045208C">
      <w:pPr>
        <w:pStyle w:val="Heading10"/>
      </w:pPr>
      <w:bookmarkStart w:id="28" w:name="_Toc117586244"/>
      <w:r>
        <w:lastRenderedPageBreak/>
        <w:t>General government sector</w:t>
      </w:r>
      <w:bookmarkEnd w:id="28"/>
    </w:p>
    <w:p w14:paraId="33566C00" w14:textId="77777777" w:rsidR="00C424E5" w:rsidRDefault="00C424E5" w:rsidP="006448B4">
      <w:pPr>
        <w:pStyle w:val="Heading20"/>
      </w:pPr>
      <w:r>
        <w:t>Overview</w:t>
      </w:r>
    </w:p>
    <w:p w14:paraId="1579FA0B" w14:textId="77777777" w:rsidR="00C424E5" w:rsidRDefault="00C424E5" w:rsidP="007769DB">
      <w:pPr>
        <w:spacing w:before="80"/>
      </w:pPr>
      <w:r w:rsidRPr="00B610E7">
        <w:rPr>
          <w:color w:val="000000" w:themeColor="text1"/>
        </w:rPr>
        <w:t xml:space="preserve">As outlined in the </w:t>
      </w:r>
      <w:r>
        <w:rPr>
          <w:color w:val="000000" w:themeColor="text1"/>
        </w:rPr>
        <w:t>previous three budgets</w:t>
      </w:r>
      <w:r>
        <w:t xml:space="preserve">, the Government developed a fiscal strategy to manage the extreme circumstances the State was facing and to provide the foundations for economic recovery. It involved a four-step plan to support Victorians through the COVID-19 pandemic and to restore the budget position over the medium term. </w:t>
      </w:r>
    </w:p>
    <w:p w14:paraId="037A3AC3" w14:textId="77777777" w:rsidR="00C424E5" w:rsidRPr="009F2660" w:rsidRDefault="00C424E5" w:rsidP="007769DB">
      <w:pPr>
        <w:spacing w:before="80"/>
      </w:pPr>
      <w:r>
        <w:t xml:space="preserve">Recent economic indicators have showed that this strategy is working, with the economy rebounding strongly. The </w:t>
      </w:r>
      <w:r w:rsidRPr="00271AB4">
        <w:rPr>
          <w:i/>
          <w:iCs/>
        </w:rPr>
        <w:t>2022-23 Budget</w:t>
      </w:r>
      <w:r>
        <w:t xml:space="preserve"> forecast significant improvement in the State’s key fiscal aggregates</w:t>
      </w:r>
      <w:r w:rsidRPr="009F2660">
        <w:t xml:space="preserve">. </w:t>
      </w:r>
    </w:p>
    <w:p w14:paraId="032CF840" w14:textId="0780C1F7" w:rsidR="00C424E5" w:rsidRPr="00F651D5" w:rsidRDefault="00C424E5" w:rsidP="007769DB">
      <w:pPr>
        <w:spacing w:before="80"/>
      </w:pPr>
      <w:r>
        <w:t>The</w:t>
      </w:r>
      <w:r w:rsidRPr="009F2660">
        <w:t xml:space="preserve"> net cash flows</w:t>
      </w:r>
      <w:r w:rsidRPr="00F651D5">
        <w:t xml:space="preserve"> from operating activities for the general government sector is forecast to be in surplus by $2.</w:t>
      </w:r>
      <w:r>
        <w:t>4</w:t>
      </w:r>
      <w:r w:rsidRPr="00F651D5">
        <w:t xml:space="preserve"> billion in 2022</w:t>
      </w:r>
      <w:r w:rsidRPr="00F651D5">
        <w:noBreakHyphen/>
        <w:t xml:space="preserve">23, an improvement compared with the position in the </w:t>
      </w:r>
      <w:r w:rsidRPr="00C5367E">
        <w:rPr>
          <w:i/>
          <w:iCs/>
        </w:rPr>
        <w:t>2022</w:t>
      </w:r>
      <w:r w:rsidRPr="00C5367E">
        <w:rPr>
          <w:i/>
          <w:iCs/>
        </w:rPr>
        <w:noBreakHyphen/>
        <w:t>23 Budget</w:t>
      </w:r>
      <w:r w:rsidRPr="00F651D5">
        <w:t>, increasing to $5.</w:t>
      </w:r>
      <w:r>
        <w:t>3</w:t>
      </w:r>
      <w:r w:rsidRPr="00F651D5">
        <w:t xml:space="preserve"> billion in 2025-26.</w:t>
      </w:r>
    </w:p>
    <w:p w14:paraId="6F3C6592" w14:textId="719DDAB9" w:rsidR="00C424E5" w:rsidRPr="00F651D5" w:rsidRDefault="00C424E5" w:rsidP="007769DB">
      <w:pPr>
        <w:spacing w:before="80"/>
      </w:pPr>
      <w:r w:rsidRPr="004A33C2">
        <w:rPr>
          <w:color w:val="000000" w:themeColor="text1"/>
        </w:rPr>
        <w:t xml:space="preserve">The net result from transactions </w:t>
      </w:r>
      <w:r w:rsidRPr="00D017C4">
        <w:rPr>
          <w:color w:val="000000" w:themeColor="text1"/>
        </w:rPr>
        <w:t xml:space="preserve">for the general government sector is forecast to </w:t>
      </w:r>
      <w:r>
        <w:rPr>
          <w:color w:val="000000" w:themeColor="text1"/>
        </w:rPr>
        <w:t xml:space="preserve">return to a </w:t>
      </w:r>
      <w:r w:rsidRPr="00D017C4">
        <w:rPr>
          <w:color w:val="000000" w:themeColor="text1"/>
        </w:rPr>
        <w:t>$0.</w:t>
      </w:r>
      <w:r>
        <w:rPr>
          <w:color w:val="000000" w:themeColor="text1"/>
        </w:rPr>
        <w:t>9</w:t>
      </w:r>
      <w:r w:rsidRPr="00D017C4">
        <w:rPr>
          <w:color w:val="000000" w:themeColor="text1"/>
        </w:rPr>
        <w:t xml:space="preserve"> billion </w:t>
      </w:r>
      <w:r>
        <w:rPr>
          <w:color w:val="000000" w:themeColor="text1"/>
        </w:rPr>
        <w:t>surplus by</w:t>
      </w:r>
      <w:r w:rsidRPr="00D017C4">
        <w:rPr>
          <w:color w:val="000000" w:themeColor="text1"/>
        </w:rPr>
        <w:t xml:space="preserve"> 2025-26,</w:t>
      </w:r>
      <w:r w:rsidRPr="004A33C2">
        <w:rPr>
          <w:color w:val="000000" w:themeColor="text1"/>
        </w:rPr>
        <w:t xml:space="preserve"> demonstrating the Government’s commitment to strong financial management despite the challenges over the past two years</w:t>
      </w:r>
      <w:r w:rsidRPr="00D017C4">
        <w:rPr>
          <w:color w:val="000000" w:themeColor="text1"/>
        </w:rPr>
        <w:t>.</w:t>
      </w:r>
    </w:p>
    <w:p w14:paraId="7B118654" w14:textId="66E4480C" w:rsidR="00C424E5" w:rsidRDefault="00C424E5" w:rsidP="007769DB">
      <w:pPr>
        <w:spacing w:before="80"/>
      </w:pPr>
      <w:r>
        <w:t xml:space="preserve">Total revenue for the general government sector is expected to be </w:t>
      </w:r>
      <w:r w:rsidRPr="00C93D84">
        <w:t>$8</w:t>
      </w:r>
      <w:r>
        <w:t>1.4</w:t>
      </w:r>
      <w:r w:rsidRPr="00C93D84">
        <w:t xml:space="preserve"> billion</w:t>
      </w:r>
      <w:r>
        <w:t xml:space="preserve"> in 2022-23 and increase to $93.4 billion by 2025-26. </w:t>
      </w:r>
      <w:r w:rsidRPr="00975A6F">
        <w:t xml:space="preserve">Total general government sector expenditure is expected to be </w:t>
      </w:r>
      <w:r w:rsidRPr="001D539E">
        <w:t>$91.</w:t>
      </w:r>
      <w:r>
        <w:t>1</w:t>
      </w:r>
      <w:r w:rsidRPr="001D539E">
        <w:t xml:space="preserve"> billion</w:t>
      </w:r>
      <w:r w:rsidRPr="00975A6F">
        <w:t xml:space="preserve"> in 2022-23 and </w:t>
      </w:r>
      <w:r>
        <w:t xml:space="preserve">increase to $92.5 billion by 2025-26. </w:t>
      </w:r>
    </w:p>
    <w:p w14:paraId="6A5B31D5" w14:textId="6BF794D6" w:rsidR="00C424E5" w:rsidRDefault="00C424E5" w:rsidP="007769DB">
      <w:pPr>
        <w:spacing w:before="80"/>
        <w:ind w:right="-114"/>
      </w:pPr>
      <w:r>
        <w:t xml:space="preserve">Net debt is expected to be </w:t>
      </w:r>
      <w:r w:rsidRPr="001604CB">
        <w:t>$11</w:t>
      </w:r>
      <w:r>
        <w:t>5.6</w:t>
      </w:r>
      <w:r w:rsidRPr="001604CB">
        <w:t xml:space="preserve"> billion</w:t>
      </w:r>
      <w:r>
        <w:t xml:space="preserve"> at June 2023 and </w:t>
      </w:r>
      <w:r w:rsidRPr="001604CB">
        <w:t>$16</w:t>
      </w:r>
      <w:r>
        <w:t>5</w:t>
      </w:r>
      <w:r w:rsidRPr="001604CB">
        <w:t>.</w:t>
      </w:r>
      <w:r>
        <w:t>4</w:t>
      </w:r>
      <w:r w:rsidRPr="001604CB">
        <w:t xml:space="preserve"> billion</w:t>
      </w:r>
      <w:r>
        <w:t xml:space="preserve"> by June 2026,</w:t>
      </w:r>
      <w:r w:rsidRPr="00F651D5">
        <w:t xml:space="preserve"> lower in each year of the forward estimates than was forecast in the </w:t>
      </w:r>
      <w:r w:rsidRPr="00F651D5">
        <w:rPr>
          <w:i/>
          <w:iCs/>
        </w:rPr>
        <w:t>2022-23 Budget</w:t>
      </w:r>
      <w:r w:rsidRPr="00F651D5">
        <w:t>.</w:t>
      </w:r>
      <w:r>
        <w:t xml:space="preserve"> As a proportion of GSP, net debt is projected to be </w:t>
      </w:r>
      <w:r w:rsidRPr="001604CB">
        <w:t>2</w:t>
      </w:r>
      <w:r>
        <w:t>0</w:t>
      </w:r>
      <w:r w:rsidRPr="001604CB">
        <w:t>.</w:t>
      </w:r>
      <w:r>
        <w:t>4</w:t>
      </w:r>
      <w:r w:rsidRPr="001604CB">
        <w:t xml:space="preserve"> per cent at June 2023 and 2</w:t>
      </w:r>
      <w:r>
        <w:t>4</w:t>
      </w:r>
      <w:r w:rsidRPr="001604CB">
        <w:t>.</w:t>
      </w:r>
      <w:r>
        <w:t>8 </w:t>
      </w:r>
      <w:r w:rsidRPr="001604CB">
        <w:t>per</w:t>
      </w:r>
      <w:r>
        <w:t> </w:t>
      </w:r>
      <w:r w:rsidRPr="001604CB">
        <w:t>cent by</w:t>
      </w:r>
      <w:r>
        <w:t xml:space="preserve"> June 2026, 1.7</w:t>
      </w:r>
      <w:r w:rsidRPr="00172756">
        <w:t xml:space="preserve"> percentage points lower than forecast in the </w:t>
      </w:r>
      <w:r w:rsidRPr="00293560">
        <w:rPr>
          <w:i/>
          <w:iCs/>
        </w:rPr>
        <w:t>2022</w:t>
      </w:r>
      <w:r w:rsidRPr="00293560">
        <w:rPr>
          <w:i/>
          <w:iCs/>
        </w:rPr>
        <w:noBreakHyphen/>
        <w:t>23 Budget</w:t>
      </w:r>
      <w:r w:rsidRPr="00172756">
        <w:t>.</w:t>
      </w:r>
    </w:p>
    <w:p w14:paraId="4793B92E" w14:textId="77777777" w:rsidR="00C424E5" w:rsidRPr="00F651D5" w:rsidRDefault="00C424E5" w:rsidP="007769DB">
      <w:pPr>
        <w:spacing w:before="80"/>
      </w:pPr>
      <w:r w:rsidRPr="00F651D5">
        <w:t>Government infrastructure investment (GII) is expected to average $21.6 billion a year</w:t>
      </w:r>
      <w:r>
        <w:t xml:space="preserve"> </w:t>
      </w:r>
      <w:r w:rsidRPr="00F651D5">
        <w:t>over</w:t>
      </w:r>
      <w:r>
        <w:t xml:space="preserve"> </w:t>
      </w:r>
      <w:r w:rsidRPr="00F651D5">
        <w:t>the budget and forward estimates, reflecting</w:t>
      </w:r>
      <w:r>
        <w:t xml:space="preserve"> new infrastructure investment and</w:t>
      </w:r>
      <w:r w:rsidRPr="00F651D5">
        <w:t xml:space="preserve"> the continuation of Victoria’s Big Build.</w:t>
      </w:r>
    </w:p>
    <w:p w14:paraId="0933FCC5" w14:textId="77777777" w:rsidR="00C424E5" w:rsidRDefault="00C424E5" w:rsidP="00DD5278">
      <w:pPr>
        <w:pStyle w:val="TableHeading"/>
      </w:pPr>
      <w:r w:rsidRPr="006341FF">
        <w:t xml:space="preserve">Table </w:t>
      </w:r>
      <w:r>
        <w:t>2</w:t>
      </w:r>
      <w:r w:rsidRPr="006341FF">
        <w:t xml:space="preserve">.1: </w:t>
      </w:r>
      <w:r w:rsidRPr="006341FF">
        <w:tab/>
        <w:t>General government fiscal aggregates</w:t>
      </w:r>
    </w:p>
    <w:tbl>
      <w:tblPr>
        <w:tblStyle w:val="DTFTableNumeric"/>
        <w:tblW w:w="7710" w:type="dxa"/>
        <w:tblLayout w:type="fixed"/>
        <w:tblLook w:val="06A0" w:firstRow="1" w:lastRow="0" w:firstColumn="1" w:lastColumn="0" w:noHBand="1" w:noVBand="1"/>
      </w:tblPr>
      <w:tblGrid>
        <w:gridCol w:w="3686"/>
        <w:gridCol w:w="848"/>
        <w:gridCol w:w="794"/>
        <w:gridCol w:w="794"/>
        <w:gridCol w:w="794"/>
        <w:gridCol w:w="794"/>
      </w:tblGrid>
      <w:tr w:rsidR="00C424E5" w14:paraId="0F63C084" w14:textId="77777777" w:rsidTr="00DD52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6" w:type="dxa"/>
          </w:tcPr>
          <w:p w14:paraId="2A74C9FD" w14:textId="31F2EC74" w:rsidR="00C424E5" w:rsidRDefault="00C424E5" w:rsidP="00A8365C">
            <w:pPr>
              <w:spacing w:after="0"/>
            </w:pPr>
          </w:p>
        </w:tc>
        <w:tc>
          <w:tcPr>
            <w:tcW w:w="848" w:type="dxa"/>
          </w:tcPr>
          <w:p w14:paraId="5D75C022" w14:textId="77777777" w:rsidR="00C424E5" w:rsidRDefault="00C424E5" w:rsidP="00A8365C">
            <w:pPr>
              <w:spacing w:after="0"/>
              <w:jc w:val="center"/>
              <w:cnfStyle w:val="100000000000" w:firstRow="1" w:lastRow="0" w:firstColumn="0" w:lastColumn="0" w:oddVBand="0" w:evenVBand="0" w:oddHBand="0" w:evenHBand="0" w:firstRowFirstColumn="0" w:firstRowLastColumn="0" w:lastRowFirstColumn="0" w:lastRowLastColumn="0"/>
            </w:pPr>
            <w:r>
              <w:t>Unit of</w:t>
            </w:r>
            <w:r>
              <w:rPr>
                <w:i w:val="0"/>
              </w:rPr>
              <w:br/>
            </w:r>
            <w:r>
              <w:t>measure</w:t>
            </w:r>
          </w:p>
        </w:tc>
        <w:tc>
          <w:tcPr>
            <w:tcW w:w="794" w:type="dxa"/>
          </w:tcPr>
          <w:p w14:paraId="0958AE4C" w14:textId="77777777" w:rsidR="00C424E5" w:rsidRDefault="00C424E5" w:rsidP="00A8365C">
            <w:pPr>
              <w:spacing w:after="0"/>
              <w:cnfStyle w:val="100000000000" w:firstRow="1" w:lastRow="0" w:firstColumn="0" w:lastColumn="0" w:oddVBand="0" w:evenVBand="0" w:oddHBand="0" w:evenHBand="0" w:firstRowFirstColumn="0" w:firstRowLastColumn="0" w:lastRowFirstColumn="0" w:lastRowLastColumn="0"/>
            </w:pPr>
            <w:r>
              <w:t>2022</w:t>
            </w:r>
            <w:r>
              <w:noBreakHyphen/>
              <w:t>23</w:t>
            </w:r>
            <w:r>
              <w:rPr>
                <w:i w:val="0"/>
              </w:rPr>
              <w:br/>
            </w:r>
            <w:r>
              <w:t>revised</w:t>
            </w:r>
          </w:p>
        </w:tc>
        <w:tc>
          <w:tcPr>
            <w:tcW w:w="794" w:type="dxa"/>
          </w:tcPr>
          <w:p w14:paraId="2A235A33" w14:textId="77777777" w:rsidR="00C424E5" w:rsidRDefault="00C424E5" w:rsidP="00A8365C">
            <w:pPr>
              <w:spacing w:after="0"/>
              <w:cnfStyle w:val="100000000000" w:firstRow="1" w:lastRow="0" w:firstColumn="0" w:lastColumn="0" w:oddVBand="0" w:evenVBand="0" w:oddHBand="0" w:evenHBand="0" w:firstRowFirstColumn="0" w:firstRowLastColumn="0" w:lastRowFirstColumn="0" w:lastRowLastColumn="0"/>
            </w:pPr>
            <w:r>
              <w:t>2023</w:t>
            </w:r>
            <w:r>
              <w:noBreakHyphen/>
              <w:t>24</w:t>
            </w:r>
            <w:r>
              <w:rPr>
                <w:i w:val="0"/>
              </w:rPr>
              <w:br/>
            </w:r>
            <w:r>
              <w:t>estimate</w:t>
            </w:r>
          </w:p>
        </w:tc>
        <w:tc>
          <w:tcPr>
            <w:tcW w:w="794" w:type="dxa"/>
          </w:tcPr>
          <w:p w14:paraId="29482009" w14:textId="77777777" w:rsidR="00C424E5" w:rsidRDefault="00C424E5" w:rsidP="00A8365C">
            <w:pPr>
              <w:spacing w:after="0"/>
              <w:cnfStyle w:val="100000000000" w:firstRow="1" w:lastRow="0" w:firstColumn="0" w:lastColumn="0" w:oddVBand="0" w:evenVBand="0" w:oddHBand="0" w:evenHBand="0" w:firstRowFirstColumn="0" w:firstRowLastColumn="0" w:lastRowFirstColumn="0" w:lastRowLastColumn="0"/>
            </w:pPr>
            <w:r>
              <w:t>2024</w:t>
            </w:r>
            <w:r>
              <w:noBreakHyphen/>
              <w:t>25</w:t>
            </w:r>
            <w:r>
              <w:rPr>
                <w:i w:val="0"/>
              </w:rPr>
              <w:br/>
            </w:r>
            <w:r>
              <w:t>estimate</w:t>
            </w:r>
          </w:p>
        </w:tc>
        <w:tc>
          <w:tcPr>
            <w:tcW w:w="794" w:type="dxa"/>
          </w:tcPr>
          <w:p w14:paraId="4F01B403" w14:textId="77777777" w:rsidR="00C424E5" w:rsidRDefault="00C424E5" w:rsidP="00A8365C">
            <w:pPr>
              <w:spacing w:after="0"/>
              <w:cnfStyle w:val="100000000000" w:firstRow="1" w:lastRow="0" w:firstColumn="0" w:lastColumn="0" w:oddVBand="0" w:evenVBand="0" w:oddHBand="0" w:evenHBand="0" w:firstRowFirstColumn="0" w:firstRowLastColumn="0" w:lastRowFirstColumn="0" w:lastRowLastColumn="0"/>
            </w:pPr>
            <w:r>
              <w:t>2025</w:t>
            </w:r>
            <w:r>
              <w:noBreakHyphen/>
              <w:t>26</w:t>
            </w:r>
            <w:r>
              <w:rPr>
                <w:i w:val="0"/>
              </w:rPr>
              <w:br/>
            </w:r>
            <w:r>
              <w:t>estimate</w:t>
            </w:r>
          </w:p>
        </w:tc>
      </w:tr>
      <w:tr w:rsidR="00C424E5" w14:paraId="6B0F91F5" w14:textId="77777777" w:rsidTr="00DD5278">
        <w:tc>
          <w:tcPr>
            <w:cnfStyle w:val="001000000000" w:firstRow="0" w:lastRow="0" w:firstColumn="1" w:lastColumn="0" w:oddVBand="0" w:evenVBand="0" w:oddHBand="0" w:evenHBand="0" w:firstRowFirstColumn="0" w:firstRowLastColumn="0" w:lastRowFirstColumn="0" w:lastRowLastColumn="0"/>
            <w:tcW w:w="3686" w:type="dxa"/>
          </w:tcPr>
          <w:p w14:paraId="00DD513D" w14:textId="77777777" w:rsidR="00C424E5" w:rsidRDefault="00C424E5">
            <w:r>
              <w:t>Net result from transactions</w:t>
            </w:r>
          </w:p>
        </w:tc>
        <w:tc>
          <w:tcPr>
            <w:tcW w:w="848" w:type="dxa"/>
          </w:tcPr>
          <w:p w14:paraId="45823700" w14:textId="77777777" w:rsidR="00C424E5" w:rsidRDefault="00C424E5" w:rsidP="00DD5278">
            <w:pPr>
              <w:jc w:val="center"/>
              <w:cnfStyle w:val="000000000000" w:firstRow="0" w:lastRow="0" w:firstColumn="0" w:lastColumn="0" w:oddVBand="0" w:evenVBand="0" w:oddHBand="0" w:evenHBand="0" w:firstRowFirstColumn="0" w:firstRowLastColumn="0" w:lastRowFirstColumn="0" w:lastRowLastColumn="0"/>
            </w:pPr>
            <w:r>
              <w:t>$ billion</w:t>
            </w:r>
          </w:p>
        </w:tc>
        <w:tc>
          <w:tcPr>
            <w:tcW w:w="794" w:type="dxa"/>
          </w:tcPr>
          <w:p w14:paraId="2F84CA6D" w14:textId="77777777" w:rsidR="00C424E5" w:rsidRDefault="00C424E5">
            <w:pPr>
              <w:cnfStyle w:val="000000000000" w:firstRow="0" w:lastRow="0" w:firstColumn="0" w:lastColumn="0" w:oddVBand="0" w:evenVBand="0" w:oddHBand="0" w:evenHBand="0" w:firstRowFirstColumn="0" w:firstRowLastColumn="0" w:lastRowFirstColumn="0" w:lastRowLastColumn="0"/>
            </w:pPr>
            <w:r>
              <w:t>(9.7)</w:t>
            </w:r>
          </w:p>
        </w:tc>
        <w:tc>
          <w:tcPr>
            <w:tcW w:w="794" w:type="dxa"/>
          </w:tcPr>
          <w:p w14:paraId="14568B38" w14:textId="77777777" w:rsidR="00C424E5" w:rsidRDefault="00C424E5">
            <w:pPr>
              <w:cnfStyle w:val="000000000000" w:firstRow="0" w:lastRow="0" w:firstColumn="0" w:lastColumn="0" w:oddVBand="0" w:evenVBand="0" w:oddHBand="0" w:evenHBand="0" w:firstRowFirstColumn="0" w:firstRowLastColumn="0" w:lastRowFirstColumn="0" w:lastRowLastColumn="0"/>
            </w:pPr>
            <w:r>
              <w:t>(3.6)</w:t>
            </w:r>
          </w:p>
        </w:tc>
        <w:tc>
          <w:tcPr>
            <w:tcW w:w="794" w:type="dxa"/>
          </w:tcPr>
          <w:p w14:paraId="5727B218" w14:textId="77777777" w:rsidR="00C424E5" w:rsidRDefault="00C424E5">
            <w:pPr>
              <w:cnfStyle w:val="000000000000" w:firstRow="0" w:lastRow="0" w:firstColumn="0" w:lastColumn="0" w:oddVBand="0" w:evenVBand="0" w:oddHBand="0" w:evenHBand="0" w:firstRowFirstColumn="0" w:firstRowLastColumn="0" w:lastRowFirstColumn="0" w:lastRowLastColumn="0"/>
            </w:pPr>
            <w:r>
              <w:t>(0.7)</w:t>
            </w:r>
          </w:p>
        </w:tc>
        <w:tc>
          <w:tcPr>
            <w:tcW w:w="794" w:type="dxa"/>
          </w:tcPr>
          <w:p w14:paraId="28E818E3" w14:textId="77777777" w:rsidR="00C424E5" w:rsidRDefault="00C424E5">
            <w:pPr>
              <w:cnfStyle w:val="000000000000" w:firstRow="0" w:lastRow="0" w:firstColumn="0" w:lastColumn="0" w:oddVBand="0" w:evenVBand="0" w:oddHBand="0" w:evenHBand="0" w:firstRowFirstColumn="0" w:firstRowLastColumn="0" w:lastRowFirstColumn="0" w:lastRowLastColumn="0"/>
            </w:pPr>
            <w:r>
              <w:t>0.9</w:t>
            </w:r>
          </w:p>
        </w:tc>
      </w:tr>
      <w:tr w:rsidR="00C424E5" w14:paraId="150C6658" w14:textId="77777777" w:rsidTr="00DD5278">
        <w:tc>
          <w:tcPr>
            <w:cnfStyle w:val="001000000000" w:firstRow="0" w:lastRow="0" w:firstColumn="1" w:lastColumn="0" w:oddVBand="0" w:evenVBand="0" w:oddHBand="0" w:evenHBand="0" w:firstRowFirstColumn="0" w:firstRowLastColumn="0" w:lastRowFirstColumn="0" w:lastRowLastColumn="0"/>
            <w:tcW w:w="3686" w:type="dxa"/>
          </w:tcPr>
          <w:p w14:paraId="4F5F4782" w14:textId="77777777" w:rsidR="00C424E5" w:rsidRDefault="00C424E5">
            <w:r>
              <w:t>Net cash flows from operating activities</w:t>
            </w:r>
          </w:p>
        </w:tc>
        <w:tc>
          <w:tcPr>
            <w:tcW w:w="848" w:type="dxa"/>
          </w:tcPr>
          <w:p w14:paraId="15472876" w14:textId="77777777" w:rsidR="00C424E5" w:rsidRDefault="00C424E5" w:rsidP="00DD5278">
            <w:pPr>
              <w:jc w:val="center"/>
              <w:cnfStyle w:val="000000000000" w:firstRow="0" w:lastRow="0" w:firstColumn="0" w:lastColumn="0" w:oddVBand="0" w:evenVBand="0" w:oddHBand="0" w:evenHBand="0" w:firstRowFirstColumn="0" w:firstRowLastColumn="0" w:lastRowFirstColumn="0" w:lastRowLastColumn="0"/>
            </w:pPr>
            <w:r>
              <w:t>$ billion</w:t>
            </w:r>
          </w:p>
        </w:tc>
        <w:tc>
          <w:tcPr>
            <w:tcW w:w="794" w:type="dxa"/>
          </w:tcPr>
          <w:p w14:paraId="65E7EF5C" w14:textId="77777777" w:rsidR="00C424E5" w:rsidRDefault="00C424E5">
            <w:pPr>
              <w:cnfStyle w:val="000000000000" w:firstRow="0" w:lastRow="0" w:firstColumn="0" w:lastColumn="0" w:oddVBand="0" w:evenVBand="0" w:oddHBand="0" w:evenHBand="0" w:firstRowFirstColumn="0" w:firstRowLastColumn="0" w:lastRowFirstColumn="0" w:lastRowLastColumn="0"/>
            </w:pPr>
            <w:r>
              <w:t>2.4</w:t>
            </w:r>
          </w:p>
        </w:tc>
        <w:tc>
          <w:tcPr>
            <w:tcW w:w="794" w:type="dxa"/>
          </w:tcPr>
          <w:p w14:paraId="0DD69AFB" w14:textId="77777777" w:rsidR="00C424E5" w:rsidRDefault="00C424E5">
            <w:pPr>
              <w:cnfStyle w:val="000000000000" w:firstRow="0" w:lastRow="0" w:firstColumn="0" w:lastColumn="0" w:oddVBand="0" w:evenVBand="0" w:oddHBand="0" w:evenHBand="0" w:firstRowFirstColumn="0" w:firstRowLastColumn="0" w:lastRowFirstColumn="0" w:lastRowLastColumn="0"/>
            </w:pPr>
            <w:r>
              <w:t>0.8</w:t>
            </w:r>
          </w:p>
        </w:tc>
        <w:tc>
          <w:tcPr>
            <w:tcW w:w="794" w:type="dxa"/>
          </w:tcPr>
          <w:p w14:paraId="7D043AA3" w14:textId="77777777" w:rsidR="00C424E5" w:rsidRDefault="00C424E5">
            <w:pPr>
              <w:cnfStyle w:val="000000000000" w:firstRow="0" w:lastRow="0" w:firstColumn="0" w:lastColumn="0" w:oddVBand="0" w:evenVBand="0" w:oddHBand="0" w:evenHBand="0" w:firstRowFirstColumn="0" w:firstRowLastColumn="0" w:lastRowFirstColumn="0" w:lastRowLastColumn="0"/>
            </w:pPr>
            <w:r>
              <w:t>3.9</w:t>
            </w:r>
          </w:p>
        </w:tc>
        <w:tc>
          <w:tcPr>
            <w:tcW w:w="794" w:type="dxa"/>
          </w:tcPr>
          <w:p w14:paraId="264A8CE8" w14:textId="77777777" w:rsidR="00C424E5" w:rsidRDefault="00C424E5">
            <w:pPr>
              <w:cnfStyle w:val="000000000000" w:firstRow="0" w:lastRow="0" w:firstColumn="0" w:lastColumn="0" w:oddVBand="0" w:evenVBand="0" w:oddHBand="0" w:evenHBand="0" w:firstRowFirstColumn="0" w:firstRowLastColumn="0" w:lastRowFirstColumn="0" w:lastRowLastColumn="0"/>
            </w:pPr>
            <w:r>
              <w:t>5.3</w:t>
            </w:r>
          </w:p>
        </w:tc>
      </w:tr>
      <w:tr w:rsidR="00C424E5" w14:paraId="0BFB6F41" w14:textId="77777777" w:rsidTr="00DD5278">
        <w:tc>
          <w:tcPr>
            <w:cnfStyle w:val="001000000000" w:firstRow="0" w:lastRow="0" w:firstColumn="1" w:lastColumn="0" w:oddVBand="0" w:evenVBand="0" w:oddHBand="0" w:evenHBand="0" w:firstRowFirstColumn="0" w:firstRowLastColumn="0" w:lastRowFirstColumn="0" w:lastRowLastColumn="0"/>
            <w:tcW w:w="3686" w:type="dxa"/>
          </w:tcPr>
          <w:p w14:paraId="17BEEB14" w14:textId="77777777" w:rsidR="00C424E5" w:rsidRDefault="00C424E5">
            <w:r>
              <w:t xml:space="preserve">Government infrastructure investment </w:t>
            </w:r>
            <w:r>
              <w:rPr>
                <w:vertAlign w:val="superscript"/>
              </w:rPr>
              <w:t>(a)(b)</w:t>
            </w:r>
          </w:p>
        </w:tc>
        <w:tc>
          <w:tcPr>
            <w:tcW w:w="848" w:type="dxa"/>
          </w:tcPr>
          <w:p w14:paraId="124D1F15" w14:textId="77777777" w:rsidR="00C424E5" w:rsidRDefault="00C424E5" w:rsidP="00DD5278">
            <w:pPr>
              <w:jc w:val="center"/>
              <w:cnfStyle w:val="000000000000" w:firstRow="0" w:lastRow="0" w:firstColumn="0" w:lastColumn="0" w:oddVBand="0" w:evenVBand="0" w:oddHBand="0" w:evenHBand="0" w:firstRowFirstColumn="0" w:firstRowLastColumn="0" w:lastRowFirstColumn="0" w:lastRowLastColumn="0"/>
            </w:pPr>
            <w:r>
              <w:t>$ billion</w:t>
            </w:r>
          </w:p>
        </w:tc>
        <w:tc>
          <w:tcPr>
            <w:tcW w:w="794" w:type="dxa"/>
          </w:tcPr>
          <w:p w14:paraId="33AE20AD" w14:textId="77777777" w:rsidR="00C424E5" w:rsidRDefault="00C424E5">
            <w:pPr>
              <w:cnfStyle w:val="000000000000" w:firstRow="0" w:lastRow="0" w:firstColumn="0" w:lastColumn="0" w:oddVBand="0" w:evenVBand="0" w:oddHBand="0" w:evenHBand="0" w:firstRowFirstColumn="0" w:firstRowLastColumn="0" w:lastRowFirstColumn="0" w:lastRowLastColumn="0"/>
            </w:pPr>
            <w:r>
              <w:t>21.2</w:t>
            </w:r>
          </w:p>
        </w:tc>
        <w:tc>
          <w:tcPr>
            <w:tcW w:w="794" w:type="dxa"/>
          </w:tcPr>
          <w:p w14:paraId="3A286198" w14:textId="77777777" w:rsidR="00C424E5" w:rsidRDefault="00C424E5">
            <w:pPr>
              <w:cnfStyle w:val="000000000000" w:firstRow="0" w:lastRow="0" w:firstColumn="0" w:lastColumn="0" w:oddVBand="0" w:evenVBand="0" w:oddHBand="0" w:evenHBand="0" w:firstRowFirstColumn="0" w:firstRowLastColumn="0" w:lastRowFirstColumn="0" w:lastRowLastColumn="0"/>
            </w:pPr>
            <w:r>
              <w:t>22.3</w:t>
            </w:r>
          </w:p>
        </w:tc>
        <w:tc>
          <w:tcPr>
            <w:tcW w:w="794" w:type="dxa"/>
          </w:tcPr>
          <w:p w14:paraId="3A34C867" w14:textId="77777777" w:rsidR="00C424E5" w:rsidRDefault="00C424E5">
            <w:pPr>
              <w:cnfStyle w:val="000000000000" w:firstRow="0" w:lastRow="0" w:firstColumn="0" w:lastColumn="0" w:oddVBand="0" w:evenVBand="0" w:oddHBand="0" w:evenHBand="0" w:firstRowFirstColumn="0" w:firstRowLastColumn="0" w:lastRowFirstColumn="0" w:lastRowLastColumn="0"/>
            </w:pPr>
            <w:r>
              <w:t>22.1</w:t>
            </w:r>
          </w:p>
        </w:tc>
        <w:tc>
          <w:tcPr>
            <w:tcW w:w="794" w:type="dxa"/>
          </w:tcPr>
          <w:p w14:paraId="15F8FC80" w14:textId="77777777" w:rsidR="00C424E5" w:rsidRDefault="00C424E5">
            <w:pPr>
              <w:cnfStyle w:val="000000000000" w:firstRow="0" w:lastRow="0" w:firstColumn="0" w:lastColumn="0" w:oddVBand="0" w:evenVBand="0" w:oddHBand="0" w:evenHBand="0" w:firstRowFirstColumn="0" w:firstRowLastColumn="0" w:lastRowFirstColumn="0" w:lastRowLastColumn="0"/>
            </w:pPr>
            <w:r>
              <w:t>20.6</w:t>
            </w:r>
          </w:p>
        </w:tc>
      </w:tr>
      <w:tr w:rsidR="00C424E5" w14:paraId="6F8AD49B" w14:textId="77777777" w:rsidTr="00DD5278">
        <w:tc>
          <w:tcPr>
            <w:cnfStyle w:val="001000000000" w:firstRow="0" w:lastRow="0" w:firstColumn="1" w:lastColumn="0" w:oddVBand="0" w:evenVBand="0" w:oddHBand="0" w:evenHBand="0" w:firstRowFirstColumn="0" w:firstRowLastColumn="0" w:lastRowFirstColumn="0" w:lastRowLastColumn="0"/>
            <w:tcW w:w="3686" w:type="dxa"/>
          </w:tcPr>
          <w:p w14:paraId="47E7BF4B" w14:textId="77777777" w:rsidR="00C424E5" w:rsidRDefault="00C424E5">
            <w:r>
              <w:t>Net debt</w:t>
            </w:r>
          </w:p>
        </w:tc>
        <w:tc>
          <w:tcPr>
            <w:tcW w:w="848" w:type="dxa"/>
          </w:tcPr>
          <w:p w14:paraId="20A2804E" w14:textId="77777777" w:rsidR="00C424E5" w:rsidRDefault="00C424E5" w:rsidP="00DD5278">
            <w:pPr>
              <w:jc w:val="center"/>
              <w:cnfStyle w:val="000000000000" w:firstRow="0" w:lastRow="0" w:firstColumn="0" w:lastColumn="0" w:oddVBand="0" w:evenVBand="0" w:oddHBand="0" w:evenHBand="0" w:firstRowFirstColumn="0" w:firstRowLastColumn="0" w:lastRowFirstColumn="0" w:lastRowLastColumn="0"/>
            </w:pPr>
            <w:r>
              <w:t>$ billion</w:t>
            </w:r>
          </w:p>
        </w:tc>
        <w:tc>
          <w:tcPr>
            <w:tcW w:w="794" w:type="dxa"/>
          </w:tcPr>
          <w:p w14:paraId="152104EF" w14:textId="77777777" w:rsidR="00C424E5" w:rsidRDefault="00C424E5">
            <w:pPr>
              <w:cnfStyle w:val="000000000000" w:firstRow="0" w:lastRow="0" w:firstColumn="0" w:lastColumn="0" w:oddVBand="0" w:evenVBand="0" w:oddHBand="0" w:evenHBand="0" w:firstRowFirstColumn="0" w:firstRowLastColumn="0" w:lastRowFirstColumn="0" w:lastRowLastColumn="0"/>
            </w:pPr>
            <w:r>
              <w:t>115.6</w:t>
            </w:r>
          </w:p>
        </w:tc>
        <w:tc>
          <w:tcPr>
            <w:tcW w:w="794" w:type="dxa"/>
          </w:tcPr>
          <w:p w14:paraId="2EC6FB13" w14:textId="77777777" w:rsidR="00C424E5" w:rsidRDefault="00C424E5">
            <w:pPr>
              <w:cnfStyle w:val="000000000000" w:firstRow="0" w:lastRow="0" w:firstColumn="0" w:lastColumn="0" w:oddVBand="0" w:evenVBand="0" w:oddHBand="0" w:evenHBand="0" w:firstRowFirstColumn="0" w:firstRowLastColumn="0" w:lastRowFirstColumn="0" w:lastRowLastColumn="0"/>
            </w:pPr>
            <w:r>
              <w:t>134.0</w:t>
            </w:r>
          </w:p>
        </w:tc>
        <w:tc>
          <w:tcPr>
            <w:tcW w:w="794" w:type="dxa"/>
          </w:tcPr>
          <w:p w14:paraId="229ACEDD" w14:textId="77777777" w:rsidR="00C424E5" w:rsidRDefault="00C424E5">
            <w:pPr>
              <w:cnfStyle w:val="000000000000" w:firstRow="0" w:lastRow="0" w:firstColumn="0" w:lastColumn="0" w:oddVBand="0" w:evenVBand="0" w:oddHBand="0" w:evenHBand="0" w:firstRowFirstColumn="0" w:firstRowLastColumn="0" w:lastRowFirstColumn="0" w:lastRowLastColumn="0"/>
            </w:pPr>
            <w:r>
              <w:t>151.4</w:t>
            </w:r>
          </w:p>
        </w:tc>
        <w:tc>
          <w:tcPr>
            <w:tcW w:w="794" w:type="dxa"/>
          </w:tcPr>
          <w:p w14:paraId="27FEA84A" w14:textId="77777777" w:rsidR="00C424E5" w:rsidRDefault="00C424E5">
            <w:pPr>
              <w:cnfStyle w:val="000000000000" w:firstRow="0" w:lastRow="0" w:firstColumn="0" w:lastColumn="0" w:oddVBand="0" w:evenVBand="0" w:oddHBand="0" w:evenHBand="0" w:firstRowFirstColumn="0" w:firstRowLastColumn="0" w:lastRowFirstColumn="0" w:lastRowLastColumn="0"/>
            </w:pPr>
            <w:r>
              <w:t>165.4</w:t>
            </w:r>
          </w:p>
        </w:tc>
      </w:tr>
      <w:tr w:rsidR="00C424E5" w14:paraId="0D1416A6" w14:textId="77777777" w:rsidTr="00DD5278">
        <w:tc>
          <w:tcPr>
            <w:cnfStyle w:val="001000000000" w:firstRow="0" w:lastRow="0" w:firstColumn="1" w:lastColumn="0" w:oddVBand="0" w:evenVBand="0" w:oddHBand="0" w:evenHBand="0" w:firstRowFirstColumn="0" w:firstRowLastColumn="0" w:lastRowFirstColumn="0" w:lastRowLastColumn="0"/>
            <w:tcW w:w="3686" w:type="dxa"/>
            <w:tcBorders>
              <w:bottom w:val="single" w:sz="12" w:space="0" w:color="auto"/>
            </w:tcBorders>
          </w:tcPr>
          <w:p w14:paraId="3C0B2137" w14:textId="77777777" w:rsidR="00C424E5" w:rsidRDefault="00C424E5">
            <w:r>
              <w:t xml:space="preserve">Net debt to GSP </w:t>
            </w:r>
            <w:r>
              <w:rPr>
                <w:vertAlign w:val="superscript"/>
              </w:rPr>
              <w:t>(c)</w:t>
            </w:r>
          </w:p>
        </w:tc>
        <w:tc>
          <w:tcPr>
            <w:tcW w:w="848" w:type="dxa"/>
            <w:tcBorders>
              <w:bottom w:val="single" w:sz="12" w:space="0" w:color="auto"/>
            </w:tcBorders>
          </w:tcPr>
          <w:p w14:paraId="12060BD5" w14:textId="77777777" w:rsidR="00C424E5" w:rsidRDefault="00C424E5" w:rsidP="00DD5278">
            <w:pPr>
              <w:jc w:val="center"/>
              <w:cnfStyle w:val="000000000000" w:firstRow="0" w:lastRow="0" w:firstColumn="0" w:lastColumn="0" w:oddVBand="0" w:evenVBand="0" w:oddHBand="0" w:evenHBand="0" w:firstRowFirstColumn="0" w:firstRowLastColumn="0" w:lastRowFirstColumn="0" w:lastRowLastColumn="0"/>
            </w:pPr>
            <w:r>
              <w:t>per cent</w:t>
            </w:r>
          </w:p>
        </w:tc>
        <w:tc>
          <w:tcPr>
            <w:tcW w:w="794" w:type="dxa"/>
            <w:tcBorders>
              <w:bottom w:val="single" w:sz="12" w:space="0" w:color="auto"/>
            </w:tcBorders>
          </w:tcPr>
          <w:p w14:paraId="0D009D7C" w14:textId="77777777" w:rsidR="00C424E5" w:rsidRDefault="00C424E5">
            <w:pPr>
              <w:cnfStyle w:val="000000000000" w:firstRow="0" w:lastRow="0" w:firstColumn="0" w:lastColumn="0" w:oddVBand="0" w:evenVBand="0" w:oddHBand="0" w:evenHBand="0" w:firstRowFirstColumn="0" w:firstRowLastColumn="0" w:lastRowFirstColumn="0" w:lastRowLastColumn="0"/>
            </w:pPr>
            <w:r>
              <w:t>20.4</w:t>
            </w:r>
          </w:p>
        </w:tc>
        <w:tc>
          <w:tcPr>
            <w:tcW w:w="794" w:type="dxa"/>
            <w:tcBorders>
              <w:bottom w:val="single" w:sz="12" w:space="0" w:color="auto"/>
            </w:tcBorders>
          </w:tcPr>
          <w:p w14:paraId="6BA64CE0" w14:textId="77777777" w:rsidR="00C424E5" w:rsidRDefault="00C424E5">
            <w:pPr>
              <w:cnfStyle w:val="000000000000" w:firstRow="0" w:lastRow="0" w:firstColumn="0" w:lastColumn="0" w:oddVBand="0" w:evenVBand="0" w:oddHBand="0" w:evenHBand="0" w:firstRowFirstColumn="0" w:firstRowLastColumn="0" w:lastRowFirstColumn="0" w:lastRowLastColumn="0"/>
            </w:pPr>
            <w:r>
              <w:t>22.4</w:t>
            </w:r>
          </w:p>
        </w:tc>
        <w:tc>
          <w:tcPr>
            <w:tcW w:w="794" w:type="dxa"/>
            <w:tcBorders>
              <w:bottom w:val="single" w:sz="12" w:space="0" w:color="auto"/>
            </w:tcBorders>
          </w:tcPr>
          <w:p w14:paraId="65E01B5E" w14:textId="77777777" w:rsidR="00C424E5" w:rsidRDefault="00C424E5">
            <w:pPr>
              <w:cnfStyle w:val="000000000000" w:firstRow="0" w:lastRow="0" w:firstColumn="0" w:lastColumn="0" w:oddVBand="0" w:evenVBand="0" w:oddHBand="0" w:evenHBand="0" w:firstRowFirstColumn="0" w:firstRowLastColumn="0" w:lastRowFirstColumn="0" w:lastRowLastColumn="0"/>
            </w:pPr>
            <w:r>
              <w:t>23.9</w:t>
            </w:r>
          </w:p>
        </w:tc>
        <w:tc>
          <w:tcPr>
            <w:tcW w:w="794" w:type="dxa"/>
            <w:tcBorders>
              <w:bottom w:val="single" w:sz="12" w:space="0" w:color="auto"/>
            </w:tcBorders>
          </w:tcPr>
          <w:p w14:paraId="6186D7DD" w14:textId="1B6CA497" w:rsidR="00C424E5" w:rsidRDefault="00C424E5">
            <w:pPr>
              <w:cnfStyle w:val="000000000000" w:firstRow="0" w:lastRow="0" w:firstColumn="0" w:lastColumn="0" w:oddVBand="0" w:evenVBand="0" w:oddHBand="0" w:evenHBand="0" w:firstRowFirstColumn="0" w:firstRowLastColumn="0" w:lastRowFirstColumn="0" w:lastRowLastColumn="0"/>
            </w:pPr>
            <w:r>
              <w:t>24.8</w:t>
            </w:r>
          </w:p>
        </w:tc>
      </w:tr>
    </w:tbl>
    <w:p w14:paraId="56B59E38" w14:textId="77777777" w:rsidR="00C424E5" w:rsidRPr="00AB3600" w:rsidRDefault="00C424E5" w:rsidP="006448B4">
      <w:pPr>
        <w:pStyle w:val="Note"/>
      </w:pPr>
      <w:r w:rsidRPr="00ED09E9">
        <w:t>Notes:</w:t>
      </w:r>
    </w:p>
    <w:p w14:paraId="1083A1DD" w14:textId="77777777" w:rsidR="00C424E5" w:rsidRDefault="00C424E5" w:rsidP="006448B4">
      <w:pPr>
        <w:pStyle w:val="Note"/>
      </w:pPr>
      <w:r w:rsidRPr="00C203E5">
        <w:t>(</w:t>
      </w:r>
      <w:r>
        <w:t>a</w:t>
      </w:r>
      <w:r w:rsidRPr="00C203E5">
        <w:t>)</w:t>
      </w:r>
      <w:r w:rsidRPr="00C203E5">
        <w:tab/>
      </w:r>
      <w:r w:rsidRPr="00E678D0">
        <w:t xml:space="preserve">Includes general government net infrastructure investment and </w:t>
      </w:r>
      <w:r>
        <w:t xml:space="preserve">the </w:t>
      </w:r>
      <w:r w:rsidRPr="00E678D0">
        <w:t xml:space="preserve">estimated construction costs </w:t>
      </w:r>
      <w:r>
        <w:t>of</w:t>
      </w:r>
      <w:r w:rsidRPr="00E678D0">
        <w:t xml:space="preserve"> public private partnership projects.</w:t>
      </w:r>
    </w:p>
    <w:p w14:paraId="24E554C2" w14:textId="77777777" w:rsidR="00C424E5" w:rsidRPr="00E678D0" w:rsidRDefault="00C424E5" w:rsidP="006448B4">
      <w:pPr>
        <w:pStyle w:val="Note"/>
      </w:pPr>
      <w:r>
        <w:t>(b)</w:t>
      </w:r>
      <w:r>
        <w:tab/>
      </w:r>
      <w:r w:rsidRPr="00961C37">
        <w:t xml:space="preserve">Includes the </w:t>
      </w:r>
      <w:r w:rsidRPr="00856778">
        <w:t xml:space="preserve">estimated private sector construction related expenditure </w:t>
      </w:r>
      <w:r w:rsidRPr="00961C37">
        <w:t xml:space="preserve">associated with the North East Link held in the </w:t>
      </w:r>
      <w:r>
        <w:t>public non</w:t>
      </w:r>
      <w:r>
        <w:noBreakHyphen/>
        <w:t>financial corporations (</w:t>
      </w:r>
      <w:r w:rsidRPr="00961C37">
        <w:t>PNFC</w:t>
      </w:r>
      <w:r>
        <w:t>)</w:t>
      </w:r>
      <w:r w:rsidRPr="00961C37">
        <w:t xml:space="preserve"> sector</w:t>
      </w:r>
      <w:r>
        <w:t>.</w:t>
      </w:r>
    </w:p>
    <w:p w14:paraId="0CF1562B" w14:textId="77777777" w:rsidR="00C424E5" w:rsidRPr="00906D86" w:rsidRDefault="00C424E5" w:rsidP="006448B4">
      <w:pPr>
        <w:pStyle w:val="Note"/>
      </w:pPr>
      <w:r w:rsidRPr="00E678D0">
        <w:t>(</w:t>
      </w:r>
      <w:r>
        <w:t>c</w:t>
      </w:r>
      <w:r w:rsidRPr="00E678D0">
        <w:t>)</w:t>
      </w:r>
      <w:r>
        <w:tab/>
      </w:r>
      <w:r w:rsidRPr="00E678D0">
        <w:t xml:space="preserve">The ratios to </w:t>
      </w:r>
      <w:r>
        <w:t>gross state product (</w:t>
      </w:r>
      <w:r w:rsidRPr="00E678D0">
        <w:t>GSP</w:t>
      </w:r>
      <w:r>
        <w:t>)</w:t>
      </w:r>
      <w:r w:rsidRPr="00E678D0">
        <w:t xml:space="preserve"> may vary from publications year to year due to revisions to the Australian Bureau of Statistics GSP data.</w:t>
      </w:r>
    </w:p>
    <w:p w14:paraId="2183723C" w14:textId="0EC603E2" w:rsidR="00C424E5" w:rsidRPr="00F651D5" w:rsidRDefault="00C424E5" w:rsidP="007769DB">
      <w:pPr>
        <w:spacing w:before="80"/>
      </w:pPr>
      <w:bookmarkStart w:id="29" w:name="_Hlk116993290"/>
      <w:r w:rsidRPr="00EB6497">
        <w:t xml:space="preserve">Interest expense as a share of total revenue is expected to average 6.4 per cent a year over the budget and forward estimates. The Government's debt management strategy aims to reduce the State’s exposure to interest rate movements by ensuring that a large proportion of existing debt is raised in long term fixed rate bonds. </w:t>
      </w:r>
    </w:p>
    <w:p w14:paraId="4AC22DA1" w14:textId="77777777" w:rsidR="00C424E5" w:rsidRPr="00C203E5" w:rsidRDefault="00C424E5" w:rsidP="006448B4">
      <w:pPr>
        <w:pStyle w:val="Heading10"/>
        <w:rPr>
          <w:rFonts w:eastAsiaTheme="minorHAnsi"/>
        </w:rPr>
      </w:pPr>
      <w:bookmarkStart w:id="30" w:name="_Toc117586245"/>
      <w:bookmarkEnd w:id="29"/>
      <w:r w:rsidRPr="00C203E5">
        <w:rPr>
          <w:rFonts w:eastAsiaTheme="minorHAnsi"/>
        </w:rPr>
        <w:lastRenderedPageBreak/>
        <w:t>Budget and forward estimates outlook</w:t>
      </w:r>
      <w:bookmarkEnd w:id="30"/>
    </w:p>
    <w:p w14:paraId="165D5E6B" w14:textId="77777777" w:rsidR="00C424E5" w:rsidRPr="00C203E5" w:rsidRDefault="00C424E5" w:rsidP="006448B4">
      <w:pPr>
        <w:keepNext/>
      </w:pPr>
      <w:r w:rsidRPr="00C203E5">
        <w:t xml:space="preserve">Table </w:t>
      </w:r>
      <w:r>
        <w:t>2.2</w:t>
      </w:r>
      <w:r w:rsidRPr="00C203E5">
        <w:t xml:space="preserve"> summarises the operating statement for the general government sector. A comprehensive operating statement is presented in </w:t>
      </w:r>
      <w:r w:rsidRPr="004011BF">
        <w:t xml:space="preserve">Chapter </w:t>
      </w:r>
      <w:r>
        <w:t>3</w:t>
      </w:r>
      <w:r w:rsidRPr="004011BF">
        <w:t xml:space="preserve"> </w:t>
      </w:r>
      <w:r w:rsidRPr="004011BF">
        <w:rPr>
          <w:i/>
        </w:rPr>
        <w:t xml:space="preserve">Estimated </w:t>
      </w:r>
      <w:r>
        <w:rPr>
          <w:i/>
        </w:rPr>
        <w:t>F</w:t>
      </w:r>
      <w:r w:rsidRPr="004011BF">
        <w:rPr>
          <w:i/>
        </w:rPr>
        <w:t xml:space="preserve">inancial </w:t>
      </w:r>
      <w:r>
        <w:rPr>
          <w:i/>
        </w:rPr>
        <w:t>S</w:t>
      </w:r>
      <w:r w:rsidRPr="004011BF">
        <w:rPr>
          <w:i/>
        </w:rPr>
        <w:t xml:space="preserve">tatements and </w:t>
      </w:r>
      <w:r>
        <w:rPr>
          <w:i/>
        </w:rPr>
        <w:t>N</w:t>
      </w:r>
      <w:r w:rsidRPr="004011BF">
        <w:rPr>
          <w:i/>
        </w:rPr>
        <w:t>otes</w:t>
      </w:r>
      <w:r w:rsidRPr="004011BF">
        <w:t>.</w:t>
      </w:r>
    </w:p>
    <w:p w14:paraId="16FBFC0D" w14:textId="77777777" w:rsidR="00C424E5" w:rsidRDefault="00C424E5" w:rsidP="00DD5278">
      <w:pPr>
        <w:pStyle w:val="TableHeading"/>
      </w:pPr>
      <w:r w:rsidRPr="00C203E5">
        <w:t xml:space="preserve">Table </w:t>
      </w:r>
      <w:r>
        <w:t>2.2</w:t>
      </w:r>
      <w:r w:rsidRPr="00C203E5">
        <w:t xml:space="preserve">: </w:t>
      </w:r>
      <w:r w:rsidRPr="00C203E5">
        <w:tab/>
        <w:t>Summary operating statement for the general government sector</w:t>
      </w:r>
      <w:r>
        <w:t xml:space="preserve"> </w:t>
      </w:r>
      <w:r w:rsidRPr="00C203E5">
        <w:rPr>
          <w:vertAlign w:val="superscript"/>
        </w:rPr>
        <w:t>(a)</w:t>
      </w:r>
      <w:r w:rsidRPr="00C203E5">
        <w:rPr>
          <w:vertAlign w:val="superscript"/>
        </w:rPr>
        <w:tab/>
      </w:r>
      <w:r w:rsidRPr="00C203E5">
        <w:t>($</w:t>
      </w:r>
      <w:r>
        <w:t> million</w:t>
      </w:r>
      <w:r w:rsidRPr="00C203E5">
        <w:t>)</w:t>
      </w:r>
    </w:p>
    <w:tbl>
      <w:tblPr>
        <w:tblStyle w:val="DTFTableNumeric"/>
        <w:tblW w:w="7711" w:type="dxa"/>
        <w:tblLayout w:type="fixed"/>
        <w:tblLook w:val="06A0" w:firstRow="1" w:lastRow="0" w:firstColumn="1" w:lastColumn="0" w:noHBand="1" w:noVBand="1"/>
      </w:tblPr>
      <w:tblGrid>
        <w:gridCol w:w="4163"/>
        <w:gridCol w:w="887"/>
        <w:gridCol w:w="887"/>
        <w:gridCol w:w="887"/>
        <w:gridCol w:w="887"/>
      </w:tblGrid>
      <w:tr w:rsidR="00C424E5" w14:paraId="7F5EE7FD" w14:textId="77777777" w:rsidTr="00EE2764">
        <w:trPr>
          <w:cnfStyle w:val="100000000000" w:firstRow="1" w:lastRow="0" w:firstColumn="0" w:lastColumn="0" w:oddVBand="0" w:evenVBand="0" w:oddHBand="0" w:evenHBand="0" w:firstRowFirstColumn="0" w:firstRowLastColumn="0" w:lastRowFirstColumn="0" w:lastRowLastColumn="0"/>
          <w:trHeight w:val="444"/>
          <w:tblHeader/>
        </w:trPr>
        <w:tc>
          <w:tcPr>
            <w:cnfStyle w:val="001000000000" w:firstRow="0" w:lastRow="0" w:firstColumn="1" w:lastColumn="0" w:oddVBand="0" w:evenVBand="0" w:oddHBand="0" w:evenHBand="0" w:firstRowFirstColumn="0" w:firstRowLastColumn="0" w:lastRowFirstColumn="0" w:lastRowLastColumn="0"/>
            <w:tcW w:w="4284" w:type="dxa"/>
          </w:tcPr>
          <w:p w14:paraId="5C0135A5" w14:textId="149F789A" w:rsidR="00C424E5" w:rsidRDefault="00C424E5" w:rsidP="00A8365C">
            <w:pPr>
              <w:spacing w:after="0"/>
              <w:ind w:left="0" w:firstLine="0"/>
            </w:pPr>
          </w:p>
        </w:tc>
        <w:tc>
          <w:tcPr>
            <w:tcW w:w="909" w:type="dxa"/>
          </w:tcPr>
          <w:p w14:paraId="3573DA40" w14:textId="77777777" w:rsidR="00C424E5" w:rsidRDefault="00C424E5" w:rsidP="00A8365C">
            <w:pPr>
              <w:spacing w:after="0"/>
              <w:cnfStyle w:val="100000000000" w:firstRow="1" w:lastRow="0" w:firstColumn="0" w:lastColumn="0" w:oddVBand="0" w:evenVBand="0" w:oddHBand="0" w:evenHBand="0" w:firstRowFirstColumn="0" w:firstRowLastColumn="0" w:lastRowFirstColumn="0" w:lastRowLastColumn="0"/>
            </w:pPr>
            <w:r>
              <w:t>2022</w:t>
            </w:r>
            <w:r>
              <w:noBreakHyphen/>
              <w:t>23</w:t>
            </w:r>
            <w:r>
              <w:rPr>
                <w:i w:val="0"/>
              </w:rPr>
              <w:br/>
            </w:r>
            <w:r>
              <w:t>revised</w:t>
            </w:r>
          </w:p>
        </w:tc>
        <w:tc>
          <w:tcPr>
            <w:tcW w:w="909" w:type="dxa"/>
          </w:tcPr>
          <w:p w14:paraId="3888A4E3" w14:textId="77777777" w:rsidR="00C424E5" w:rsidRDefault="00C424E5" w:rsidP="00A8365C">
            <w:pPr>
              <w:spacing w:after="0"/>
              <w:cnfStyle w:val="100000000000" w:firstRow="1" w:lastRow="0" w:firstColumn="0" w:lastColumn="0" w:oddVBand="0" w:evenVBand="0" w:oddHBand="0" w:evenHBand="0" w:firstRowFirstColumn="0" w:firstRowLastColumn="0" w:lastRowFirstColumn="0" w:lastRowLastColumn="0"/>
            </w:pPr>
            <w:r>
              <w:t>2023</w:t>
            </w:r>
            <w:r>
              <w:noBreakHyphen/>
              <w:t>24</w:t>
            </w:r>
            <w:r>
              <w:rPr>
                <w:i w:val="0"/>
              </w:rPr>
              <w:br/>
            </w:r>
            <w:r>
              <w:t>estimate</w:t>
            </w:r>
          </w:p>
        </w:tc>
        <w:tc>
          <w:tcPr>
            <w:tcW w:w="909" w:type="dxa"/>
          </w:tcPr>
          <w:p w14:paraId="6D2A77EC" w14:textId="77777777" w:rsidR="00C424E5" w:rsidRDefault="00C424E5" w:rsidP="00A8365C">
            <w:pPr>
              <w:spacing w:after="0"/>
              <w:cnfStyle w:val="100000000000" w:firstRow="1" w:lastRow="0" w:firstColumn="0" w:lastColumn="0" w:oddVBand="0" w:evenVBand="0" w:oddHBand="0" w:evenHBand="0" w:firstRowFirstColumn="0" w:firstRowLastColumn="0" w:lastRowFirstColumn="0" w:lastRowLastColumn="0"/>
            </w:pPr>
            <w:r>
              <w:t>2024</w:t>
            </w:r>
            <w:r>
              <w:noBreakHyphen/>
              <w:t>25</w:t>
            </w:r>
            <w:r>
              <w:rPr>
                <w:i w:val="0"/>
              </w:rPr>
              <w:br/>
            </w:r>
            <w:r>
              <w:t>estimate</w:t>
            </w:r>
          </w:p>
        </w:tc>
        <w:tc>
          <w:tcPr>
            <w:tcW w:w="909" w:type="dxa"/>
          </w:tcPr>
          <w:p w14:paraId="11478250" w14:textId="77777777" w:rsidR="00C424E5" w:rsidRDefault="00C424E5" w:rsidP="00A8365C">
            <w:pPr>
              <w:spacing w:after="0"/>
              <w:cnfStyle w:val="100000000000" w:firstRow="1" w:lastRow="0" w:firstColumn="0" w:lastColumn="0" w:oddVBand="0" w:evenVBand="0" w:oddHBand="0" w:evenHBand="0" w:firstRowFirstColumn="0" w:firstRowLastColumn="0" w:lastRowFirstColumn="0" w:lastRowLastColumn="0"/>
            </w:pPr>
            <w:r>
              <w:t>2025</w:t>
            </w:r>
            <w:r>
              <w:noBreakHyphen/>
              <w:t>26</w:t>
            </w:r>
            <w:r>
              <w:rPr>
                <w:i w:val="0"/>
              </w:rPr>
              <w:br/>
            </w:r>
            <w:r>
              <w:t>estimate</w:t>
            </w:r>
          </w:p>
        </w:tc>
      </w:tr>
      <w:tr w:rsidR="00C424E5" w14:paraId="252B44B7" w14:textId="77777777" w:rsidTr="00EE2764">
        <w:trPr>
          <w:trHeight w:val="252"/>
        </w:trPr>
        <w:tc>
          <w:tcPr>
            <w:cnfStyle w:val="001000000000" w:firstRow="0" w:lastRow="0" w:firstColumn="1" w:lastColumn="0" w:oddVBand="0" w:evenVBand="0" w:oddHBand="0" w:evenHBand="0" w:firstRowFirstColumn="0" w:firstRowLastColumn="0" w:lastRowFirstColumn="0" w:lastRowLastColumn="0"/>
            <w:tcW w:w="4284" w:type="dxa"/>
          </w:tcPr>
          <w:p w14:paraId="76F6C633" w14:textId="77777777" w:rsidR="00C424E5" w:rsidRDefault="00C424E5">
            <w:r>
              <w:rPr>
                <w:b/>
              </w:rPr>
              <w:t>Revenue and income from transactions</w:t>
            </w:r>
          </w:p>
        </w:tc>
        <w:tc>
          <w:tcPr>
            <w:tcW w:w="909" w:type="dxa"/>
          </w:tcPr>
          <w:p w14:paraId="741E84F1"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909" w:type="dxa"/>
          </w:tcPr>
          <w:p w14:paraId="51DEF97A"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909" w:type="dxa"/>
          </w:tcPr>
          <w:p w14:paraId="721594C2"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909" w:type="dxa"/>
          </w:tcPr>
          <w:p w14:paraId="40F8D5B5"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53FA13DC" w14:textId="77777777" w:rsidTr="00EE2764">
        <w:trPr>
          <w:trHeight w:val="237"/>
        </w:trPr>
        <w:tc>
          <w:tcPr>
            <w:cnfStyle w:val="001000000000" w:firstRow="0" w:lastRow="0" w:firstColumn="1" w:lastColumn="0" w:oddVBand="0" w:evenVBand="0" w:oddHBand="0" w:evenHBand="0" w:firstRowFirstColumn="0" w:firstRowLastColumn="0" w:lastRowFirstColumn="0" w:lastRowLastColumn="0"/>
            <w:tcW w:w="4284" w:type="dxa"/>
          </w:tcPr>
          <w:p w14:paraId="07F7F0A8" w14:textId="77777777" w:rsidR="00C424E5" w:rsidRDefault="00C424E5">
            <w:r>
              <w:t>Taxation</w:t>
            </w:r>
          </w:p>
        </w:tc>
        <w:tc>
          <w:tcPr>
            <w:tcW w:w="909" w:type="dxa"/>
          </w:tcPr>
          <w:p w14:paraId="4DD81E25" w14:textId="77777777" w:rsidR="00C424E5" w:rsidRDefault="00C424E5">
            <w:pPr>
              <w:cnfStyle w:val="000000000000" w:firstRow="0" w:lastRow="0" w:firstColumn="0" w:lastColumn="0" w:oddVBand="0" w:evenVBand="0" w:oddHBand="0" w:evenHBand="0" w:firstRowFirstColumn="0" w:firstRowLastColumn="0" w:lastRowFirstColumn="0" w:lastRowLastColumn="0"/>
            </w:pPr>
            <w:r>
              <w:t>31 166</w:t>
            </w:r>
          </w:p>
        </w:tc>
        <w:tc>
          <w:tcPr>
            <w:tcW w:w="909" w:type="dxa"/>
          </w:tcPr>
          <w:p w14:paraId="7709455C" w14:textId="77777777" w:rsidR="00C424E5" w:rsidRDefault="00C424E5">
            <w:pPr>
              <w:cnfStyle w:val="000000000000" w:firstRow="0" w:lastRow="0" w:firstColumn="0" w:lastColumn="0" w:oddVBand="0" w:evenVBand="0" w:oddHBand="0" w:evenHBand="0" w:firstRowFirstColumn="0" w:firstRowLastColumn="0" w:lastRowFirstColumn="0" w:lastRowLastColumn="0"/>
            </w:pPr>
            <w:r>
              <w:t>32 686</w:t>
            </w:r>
          </w:p>
        </w:tc>
        <w:tc>
          <w:tcPr>
            <w:tcW w:w="909" w:type="dxa"/>
          </w:tcPr>
          <w:p w14:paraId="39B6C50C" w14:textId="77777777" w:rsidR="00C424E5" w:rsidRDefault="00C424E5">
            <w:pPr>
              <w:cnfStyle w:val="000000000000" w:firstRow="0" w:lastRow="0" w:firstColumn="0" w:lastColumn="0" w:oddVBand="0" w:evenVBand="0" w:oddHBand="0" w:evenHBand="0" w:firstRowFirstColumn="0" w:firstRowLastColumn="0" w:lastRowFirstColumn="0" w:lastRowLastColumn="0"/>
            </w:pPr>
            <w:r>
              <w:t>33 802</w:t>
            </w:r>
          </w:p>
        </w:tc>
        <w:tc>
          <w:tcPr>
            <w:tcW w:w="909" w:type="dxa"/>
          </w:tcPr>
          <w:p w14:paraId="33B2231E" w14:textId="77777777" w:rsidR="00C424E5" w:rsidRDefault="00C424E5">
            <w:pPr>
              <w:cnfStyle w:val="000000000000" w:firstRow="0" w:lastRow="0" w:firstColumn="0" w:lastColumn="0" w:oddVBand="0" w:evenVBand="0" w:oddHBand="0" w:evenHBand="0" w:firstRowFirstColumn="0" w:firstRowLastColumn="0" w:lastRowFirstColumn="0" w:lastRowLastColumn="0"/>
            </w:pPr>
            <w:r>
              <w:t>35 554</w:t>
            </w:r>
          </w:p>
        </w:tc>
      </w:tr>
      <w:tr w:rsidR="00C424E5" w14:paraId="4A20E27F" w14:textId="77777777" w:rsidTr="00EE2764">
        <w:trPr>
          <w:trHeight w:val="252"/>
        </w:trPr>
        <w:tc>
          <w:tcPr>
            <w:cnfStyle w:val="001000000000" w:firstRow="0" w:lastRow="0" w:firstColumn="1" w:lastColumn="0" w:oddVBand="0" w:evenVBand="0" w:oddHBand="0" w:evenHBand="0" w:firstRowFirstColumn="0" w:firstRowLastColumn="0" w:lastRowFirstColumn="0" w:lastRowLastColumn="0"/>
            <w:tcW w:w="4284" w:type="dxa"/>
          </w:tcPr>
          <w:p w14:paraId="3BD8B038" w14:textId="77777777" w:rsidR="00C424E5" w:rsidRDefault="00C424E5">
            <w:r>
              <w:t xml:space="preserve">Dividends, TER and interest </w:t>
            </w:r>
            <w:r>
              <w:rPr>
                <w:vertAlign w:val="superscript"/>
              </w:rPr>
              <w:t>(b)</w:t>
            </w:r>
          </w:p>
        </w:tc>
        <w:tc>
          <w:tcPr>
            <w:tcW w:w="909" w:type="dxa"/>
          </w:tcPr>
          <w:p w14:paraId="02ED3142" w14:textId="77777777" w:rsidR="00C424E5" w:rsidRDefault="00C424E5">
            <w:pPr>
              <w:cnfStyle w:val="000000000000" w:firstRow="0" w:lastRow="0" w:firstColumn="0" w:lastColumn="0" w:oddVBand="0" w:evenVBand="0" w:oddHBand="0" w:evenHBand="0" w:firstRowFirstColumn="0" w:firstRowLastColumn="0" w:lastRowFirstColumn="0" w:lastRowLastColumn="0"/>
            </w:pPr>
            <w:r>
              <w:t>1 390</w:t>
            </w:r>
          </w:p>
        </w:tc>
        <w:tc>
          <w:tcPr>
            <w:tcW w:w="909" w:type="dxa"/>
          </w:tcPr>
          <w:p w14:paraId="60876D71" w14:textId="77777777" w:rsidR="00C424E5" w:rsidRDefault="00C424E5">
            <w:pPr>
              <w:cnfStyle w:val="000000000000" w:firstRow="0" w:lastRow="0" w:firstColumn="0" w:lastColumn="0" w:oddVBand="0" w:evenVBand="0" w:oddHBand="0" w:evenHBand="0" w:firstRowFirstColumn="0" w:firstRowLastColumn="0" w:lastRowFirstColumn="0" w:lastRowLastColumn="0"/>
            </w:pPr>
            <w:r>
              <w:t>1 715</w:t>
            </w:r>
          </w:p>
        </w:tc>
        <w:tc>
          <w:tcPr>
            <w:tcW w:w="909" w:type="dxa"/>
          </w:tcPr>
          <w:p w14:paraId="467E784C" w14:textId="77777777" w:rsidR="00C424E5" w:rsidRDefault="00C424E5">
            <w:pPr>
              <w:cnfStyle w:val="000000000000" w:firstRow="0" w:lastRow="0" w:firstColumn="0" w:lastColumn="0" w:oddVBand="0" w:evenVBand="0" w:oddHBand="0" w:evenHBand="0" w:firstRowFirstColumn="0" w:firstRowLastColumn="0" w:lastRowFirstColumn="0" w:lastRowLastColumn="0"/>
            </w:pPr>
            <w:r>
              <w:t>1 820</w:t>
            </w:r>
          </w:p>
        </w:tc>
        <w:tc>
          <w:tcPr>
            <w:tcW w:w="909" w:type="dxa"/>
          </w:tcPr>
          <w:p w14:paraId="7CD9C9D5" w14:textId="77777777" w:rsidR="00C424E5" w:rsidRDefault="00C424E5">
            <w:pPr>
              <w:cnfStyle w:val="000000000000" w:firstRow="0" w:lastRow="0" w:firstColumn="0" w:lastColumn="0" w:oddVBand="0" w:evenVBand="0" w:oddHBand="0" w:evenHBand="0" w:firstRowFirstColumn="0" w:firstRowLastColumn="0" w:lastRowFirstColumn="0" w:lastRowLastColumn="0"/>
            </w:pPr>
            <w:r>
              <w:t>2 035</w:t>
            </w:r>
          </w:p>
        </w:tc>
      </w:tr>
      <w:tr w:rsidR="00C424E5" w14:paraId="4B15BCAA" w14:textId="77777777" w:rsidTr="00EE2764">
        <w:trPr>
          <w:trHeight w:val="237"/>
        </w:trPr>
        <w:tc>
          <w:tcPr>
            <w:cnfStyle w:val="001000000000" w:firstRow="0" w:lastRow="0" w:firstColumn="1" w:lastColumn="0" w:oddVBand="0" w:evenVBand="0" w:oddHBand="0" w:evenHBand="0" w:firstRowFirstColumn="0" w:firstRowLastColumn="0" w:lastRowFirstColumn="0" w:lastRowLastColumn="0"/>
            <w:tcW w:w="4284" w:type="dxa"/>
          </w:tcPr>
          <w:p w14:paraId="6A9DEE30" w14:textId="77777777" w:rsidR="00C424E5" w:rsidRDefault="00C424E5">
            <w:r>
              <w:t>Sales of goods and services</w:t>
            </w:r>
          </w:p>
        </w:tc>
        <w:tc>
          <w:tcPr>
            <w:tcW w:w="909" w:type="dxa"/>
          </w:tcPr>
          <w:p w14:paraId="47C78F4A" w14:textId="77777777" w:rsidR="00C424E5" w:rsidRDefault="00C424E5">
            <w:pPr>
              <w:cnfStyle w:val="000000000000" w:firstRow="0" w:lastRow="0" w:firstColumn="0" w:lastColumn="0" w:oddVBand="0" w:evenVBand="0" w:oddHBand="0" w:evenHBand="0" w:firstRowFirstColumn="0" w:firstRowLastColumn="0" w:lastRowFirstColumn="0" w:lastRowLastColumn="0"/>
            </w:pPr>
            <w:r>
              <w:t>6 067</w:t>
            </w:r>
          </w:p>
        </w:tc>
        <w:tc>
          <w:tcPr>
            <w:tcW w:w="909" w:type="dxa"/>
          </w:tcPr>
          <w:p w14:paraId="4DD0DA48" w14:textId="77777777" w:rsidR="00C424E5" w:rsidRDefault="00C424E5">
            <w:pPr>
              <w:cnfStyle w:val="000000000000" w:firstRow="0" w:lastRow="0" w:firstColumn="0" w:lastColumn="0" w:oddVBand="0" w:evenVBand="0" w:oddHBand="0" w:evenHBand="0" w:firstRowFirstColumn="0" w:firstRowLastColumn="0" w:lastRowFirstColumn="0" w:lastRowLastColumn="0"/>
            </w:pPr>
            <w:r>
              <w:t>6 238</w:t>
            </w:r>
          </w:p>
        </w:tc>
        <w:tc>
          <w:tcPr>
            <w:tcW w:w="909" w:type="dxa"/>
          </w:tcPr>
          <w:p w14:paraId="6052D22C" w14:textId="77777777" w:rsidR="00C424E5" w:rsidRDefault="00C424E5">
            <w:pPr>
              <w:cnfStyle w:val="000000000000" w:firstRow="0" w:lastRow="0" w:firstColumn="0" w:lastColumn="0" w:oddVBand="0" w:evenVBand="0" w:oddHBand="0" w:evenHBand="0" w:firstRowFirstColumn="0" w:firstRowLastColumn="0" w:lastRowFirstColumn="0" w:lastRowLastColumn="0"/>
            </w:pPr>
            <w:r>
              <w:t>6 535</w:t>
            </w:r>
          </w:p>
        </w:tc>
        <w:tc>
          <w:tcPr>
            <w:tcW w:w="909" w:type="dxa"/>
          </w:tcPr>
          <w:p w14:paraId="6455CFE7" w14:textId="77777777" w:rsidR="00C424E5" w:rsidRDefault="00C424E5">
            <w:pPr>
              <w:cnfStyle w:val="000000000000" w:firstRow="0" w:lastRow="0" w:firstColumn="0" w:lastColumn="0" w:oddVBand="0" w:evenVBand="0" w:oddHBand="0" w:evenHBand="0" w:firstRowFirstColumn="0" w:firstRowLastColumn="0" w:lastRowFirstColumn="0" w:lastRowLastColumn="0"/>
            </w:pPr>
            <w:r>
              <w:t>6 500</w:t>
            </w:r>
          </w:p>
        </w:tc>
      </w:tr>
      <w:tr w:rsidR="00C424E5" w14:paraId="411E23FF" w14:textId="77777777" w:rsidTr="00EE2764">
        <w:trPr>
          <w:trHeight w:val="252"/>
        </w:trPr>
        <w:tc>
          <w:tcPr>
            <w:cnfStyle w:val="001000000000" w:firstRow="0" w:lastRow="0" w:firstColumn="1" w:lastColumn="0" w:oddVBand="0" w:evenVBand="0" w:oddHBand="0" w:evenHBand="0" w:firstRowFirstColumn="0" w:firstRowLastColumn="0" w:lastRowFirstColumn="0" w:lastRowLastColumn="0"/>
            <w:tcW w:w="4284" w:type="dxa"/>
          </w:tcPr>
          <w:p w14:paraId="1BF3A73E" w14:textId="77777777" w:rsidR="00C424E5" w:rsidRDefault="00C424E5">
            <w:r>
              <w:t>Grants</w:t>
            </w:r>
          </w:p>
        </w:tc>
        <w:tc>
          <w:tcPr>
            <w:tcW w:w="909" w:type="dxa"/>
          </w:tcPr>
          <w:p w14:paraId="6D63B50F" w14:textId="77777777" w:rsidR="00C424E5" w:rsidRDefault="00C424E5">
            <w:pPr>
              <w:cnfStyle w:val="000000000000" w:firstRow="0" w:lastRow="0" w:firstColumn="0" w:lastColumn="0" w:oddVBand="0" w:evenVBand="0" w:oddHBand="0" w:evenHBand="0" w:firstRowFirstColumn="0" w:firstRowLastColumn="0" w:lastRowFirstColumn="0" w:lastRowLastColumn="0"/>
            </w:pPr>
            <w:r>
              <w:t>39 204</w:t>
            </w:r>
          </w:p>
        </w:tc>
        <w:tc>
          <w:tcPr>
            <w:tcW w:w="909" w:type="dxa"/>
          </w:tcPr>
          <w:p w14:paraId="252601DA" w14:textId="77777777" w:rsidR="00C424E5" w:rsidRDefault="00C424E5">
            <w:pPr>
              <w:cnfStyle w:val="000000000000" w:firstRow="0" w:lastRow="0" w:firstColumn="0" w:lastColumn="0" w:oddVBand="0" w:evenVBand="0" w:oddHBand="0" w:evenHBand="0" w:firstRowFirstColumn="0" w:firstRowLastColumn="0" w:lastRowFirstColumn="0" w:lastRowLastColumn="0"/>
            </w:pPr>
            <w:r>
              <w:t>40 335</w:t>
            </w:r>
          </w:p>
        </w:tc>
        <w:tc>
          <w:tcPr>
            <w:tcW w:w="909" w:type="dxa"/>
          </w:tcPr>
          <w:p w14:paraId="3E21D659" w14:textId="77777777" w:rsidR="00C424E5" w:rsidRDefault="00C424E5">
            <w:pPr>
              <w:cnfStyle w:val="000000000000" w:firstRow="0" w:lastRow="0" w:firstColumn="0" w:lastColumn="0" w:oddVBand="0" w:evenVBand="0" w:oddHBand="0" w:evenHBand="0" w:firstRowFirstColumn="0" w:firstRowLastColumn="0" w:lastRowFirstColumn="0" w:lastRowLastColumn="0"/>
            </w:pPr>
            <w:r>
              <w:t>43 024</w:t>
            </w:r>
          </w:p>
        </w:tc>
        <w:tc>
          <w:tcPr>
            <w:tcW w:w="909" w:type="dxa"/>
          </w:tcPr>
          <w:p w14:paraId="3328D91E" w14:textId="77777777" w:rsidR="00C424E5" w:rsidRDefault="00C424E5">
            <w:pPr>
              <w:cnfStyle w:val="000000000000" w:firstRow="0" w:lastRow="0" w:firstColumn="0" w:lastColumn="0" w:oddVBand="0" w:evenVBand="0" w:oddHBand="0" w:evenHBand="0" w:firstRowFirstColumn="0" w:firstRowLastColumn="0" w:lastRowFirstColumn="0" w:lastRowLastColumn="0"/>
            </w:pPr>
            <w:r>
              <w:t>45 893</w:t>
            </w:r>
          </w:p>
        </w:tc>
      </w:tr>
      <w:tr w:rsidR="00C424E5" w14:paraId="6B967B9F" w14:textId="77777777" w:rsidTr="00EE2764">
        <w:trPr>
          <w:trHeight w:val="237"/>
        </w:trPr>
        <w:tc>
          <w:tcPr>
            <w:cnfStyle w:val="001000000000" w:firstRow="0" w:lastRow="0" w:firstColumn="1" w:lastColumn="0" w:oddVBand="0" w:evenVBand="0" w:oddHBand="0" w:evenHBand="0" w:firstRowFirstColumn="0" w:firstRowLastColumn="0" w:lastRowFirstColumn="0" w:lastRowLastColumn="0"/>
            <w:tcW w:w="4284" w:type="dxa"/>
            <w:tcBorders>
              <w:bottom w:val="single" w:sz="6" w:space="0" w:color="auto"/>
            </w:tcBorders>
          </w:tcPr>
          <w:p w14:paraId="3C57CE25" w14:textId="77777777" w:rsidR="00C424E5" w:rsidRDefault="00C424E5">
            <w:r>
              <w:t>Other revenue and income</w:t>
            </w:r>
          </w:p>
        </w:tc>
        <w:tc>
          <w:tcPr>
            <w:tcW w:w="909" w:type="dxa"/>
            <w:tcBorders>
              <w:bottom w:val="single" w:sz="6" w:space="0" w:color="auto"/>
            </w:tcBorders>
          </w:tcPr>
          <w:p w14:paraId="0F8C397C" w14:textId="77777777" w:rsidR="00C424E5" w:rsidRDefault="00C424E5">
            <w:pPr>
              <w:cnfStyle w:val="000000000000" w:firstRow="0" w:lastRow="0" w:firstColumn="0" w:lastColumn="0" w:oddVBand="0" w:evenVBand="0" w:oddHBand="0" w:evenHBand="0" w:firstRowFirstColumn="0" w:firstRowLastColumn="0" w:lastRowFirstColumn="0" w:lastRowLastColumn="0"/>
            </w:pPr>
            <w:r>
              <w:t>3 547</w:t>
            </w:r>
          </w:p>
        </w:tc>
        <w:tc>
          <w:tcPr>
            <w:tcW w:w="909" w:type="dxa"/>
            <w:tcBorders>
              <w:bottom w:val="single" w:sz="6" w:space="0" w:color="auto"/>
            </w:tcBorders>
          </w:tcPr>
          <w:p w14:paraId="11860DEF" w14:textId="77777777" w:rsidR="00C424E5" w:rsidRDefault="00C424E5">
            <w:pPr>
              <w:cnfStyle w:val="000000000000" w:firstRow="0" w:lastRow="0" w:firstColumn="0" w:lastColumn="0" w:oddVBand="0" w:evenVBand="0" w:oddHBand="0" w:evenHBand="0" w:firstRowFirstColumn="0" w:firstRowLastColumn="0" w:lastRowFirstColumn="0" w:lastRowLastColumn="0"/>
            </w:pPr>
            <w:r>
              <w:t>3 639</w:t>
            </w:r>
          </w:p>
        </w:tc>
        <w:tc>
          <w:tcPr>
            <w:tcW w:w="909" w:type="dxa"/>
            <w:tcBorders>
              <w:bottom w:val="single" w:sz="6" w:space="0" w:color="auto"/>
            </w:tcBorders>
          </w:tcPr>
          <w:p w14:paraId="5ED15307" w14:textId="77777777" w:rsidR="00C424E5" w:rsidRDefault="00C424E5">
            <w:pPr>
              <w:cnfStyle w:val="000000000000" w:firstRow="0" w:lastRow="0" w:firstColumn="0" w:lastColumn="0" w:oddVBand="0" w:evenVBand="0" w:oddHBand="0" w:evenHBand="0" w:firstRowFirstColumn="0" w:firstRowLastColumn="0" w:lastRowFirstColumn="0" w:lastRowLastColumn="0"/>
            </w:pPr>
            <w:r>
              <w:t>3 210</w:t>
            </w:r>
          </w:p>
        </w:tc>
        <w:tc>
          <w:tcPr>
            <w:tcW w:w="909" w:type="dxa"/>
            <w:tcBorders>
              <w:bottom w:val="single" w:sz="6" w:space="0" w:color="auto"/>
            </w:tcBorders>
          </w:tcPr>
          <w:p w14:paraId="1F6B1F24" w14:textId="77777777" w:rsidR="00C424E5" w:rsidRDefault="00C424E5">
            <w:pPr>
              <w:cnfStyle w:val="000000000000" w:firstRow="0" w:lastRow="0" w:firstColumn="0" w:lastColumn="0" w:oddVBand="0" w:evenVBand="0" w:oddHBand="0" w:evenHBand="0" w:firstRowFirstColumn="0" w:firstRowLastColumn="0" w:lastRowFirstColumn="0" w:lastRowLastColumn="0"/>
            </w:pPr>
            <w:r>
              <w:t>3 432</w:t>
            </w:r>
          </w:p>
        </w:tc>
      </w:tr>
      <w:tr w:rsidR="00C424E5" w14:paraId="649E49F5" w14:textId="77777777" w:rsidTr="00EE2764">
        <w:trPr>
          <w:trHeight w:val="252"/>
        </w:trPr>
        <w:tc>
          <w:tcPr>
            <w:cnfStyle w:val="001000000000" w:firstRow="0" w:lastRow="0" w:firstColumn="1" w:lastColumn="0" w:oddVBand="0" w:evenVBand="0" w:oddHBand="0" w:evenHBand="0" w:firstRowFirstColumn="0" w:firstRowLastColumn="0" w:lastRowFirstColumn="0" w:lastRowLastColumn="0"/>
            <w:tcW w:w="4284" w:type="dxa"/>
            <w:tcBorders>
              <w:top w:val="single" w:sz="6" w:space="0" w:color="auto"/>
            </w:tcBorders>
          </w:tcPr>
          <w:p w14:paraId="071170E9" w14:textId="77777777" w:rsidR="00C424E5" w:rsidRDefault="00C424E5">
            <w:r>
              <w:rPr>
                <w:b/>
              </w:rPr>
              <w:t>Total revenue and income from transactions</w:t>
            </w:r>
          </w:p>
        </w:tc>
        <w:tc>
          <w:tcPr>
            <w:tcW w:w="909" w:type="dxa"/>
            <w:tcBorders>
              <w:top w:val="single" w:sz="6" w:space="0" w:color="auto"/>
            </w:tcBorders>
          </w:tcPr>
          <w:p w14:paraId="43254EB8"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81 373</w:t>
            </w:r>
          </w:p>
        </w:tc>
        <w:tc>
          <w:tcPr>
            <w:tcW w:w="909" w:type="dxa"/>
            <w:tcBorders>
              <w:top w:val="single" w:sz="6" w:space="0" w:color="auto"/>
            </w:tcBorders>
          </w:tcPr>
          <w:p w14:paraId="0949CBE7"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84 615</w:t>
            </w:r>
          </w:p>
        </w:tc>
        <w:tc>
          <w:tcPr>
            <w:tcW w:w="909" w:type="dxa"/>
            <w:tcBorders>
              <w:top w:val="single" w:sz="6" w:space="0" w:color="auto"/>
            </w:tcBorders>
          </w:tcPr>
          <w:p w14:paraId="6F201556"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88 390</w:t>
            </w:r>
          </w:p>
        </w:tc>
        <w:tc>
          <w:tcPr>
            <w:tcW w:w="909" w:type="dxa"/>
            <w:tcBorders>
              <w:top w:val="single" w:sz="6" w:space="0" w:color="auto"/>
            </w:tcBorders>
          </w:tcPr>
          <w:p w14:paraId="3CDF7BD4"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93 415</w:t>
            </w:r>
          </w:p>
        </w:tc>
      </w:tr>
      <w:tr w:rsidR="00C424E5" w14:paraId="151A8A9A" w14:textId="77777777" w:rsidTr="00EE2764">
        <w:trPr>
          <w:trHeight w:val="237"/>
        </w:trPr>
        <w:tc>
          <w:tcPr>
            <w:cnfStyle w:val="001000000000" w:firstRow="0" w:lastRow="0" w:firstColumn="1" w:lastColumn="0" w:oddVBand="0" w:evenVBand="0" w:oddHBand="0" w:evenHBand="0" w:firstRowFirstColumn="0" w:firstRowLastColumn="0" w:lastRowFirstColumn="0" w:lastRowLastColumn="0"/>
            <w:tcW w:w="4284" w:type="dxa"/>
          </w:tcPr>
          <w:p w14:paraId="278822F5" w14:textId="77777777" w:rsidR="00C424E5" w:rsidRDefault="00C424E5">
            <w:r>
              <w:rPr>
                <w:i/>
              </w:rPr>
              <w:t>% change</w:t>
            </w:r>
          </w:p>
        </w:tc>
        <w:tc>
          <w:tcPr>
            <w:tcW w:w="909" w:type="dxa"/>
          </w:tcPr>
          <w:p w14:paraId="2CB1DA83"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i/>
              </w:rPr>
              <w:t>(2.0)</w:t>
            </w:r>
          </w:p>
        </w:tc>
        <w:tc>
          <w:tcPr>
            <w:tcW w:w="909" w:type="dxa"/>
          </w:tcPr>
          <w:p w14:paraId="3E188E56"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i/>
              </w:rPr>
              <w:t>4.0</w:t>
            </w:r>
          </w:p>
        </w:tc>
        <w:tc>
          <w:tcPr>
            <w:tcW w:w="909" w:type="dxa"/>
          </w:tcPr>
          <w:p w14:paraId="4F193C4D"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i/>
              </w:rPr>
              <w:t>4.5</w:t>
            </w:r>
          </w:p>
        </w:tc>
        <w:tc>
          <w:tcPr>
            <w:tcW w:w="909" w:type="dxa"/>
          </w:tcPr>
          <w:p w14:paraId="162B459E"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i/>
              </w:rPr>
              <w:t>5.7</w:t>
            </w:r>
          </w:p>
        </w:tc>
      </w:tr>
      <w:tr w:rsidR="00C424E5" w14:paraId="0A0DDA18" w14:textId="77777777" w:rsidTr="00EE2764">
        <w:trPr>
          <w:trHeight w:val="252"/>
        </w:trPr>
        <w:tc>
          <w:tcPr>
            <w:cnfStyle w:val="001000000000" w:firstRow="0" w:lastRow="0" w:firstColumn="1" w:lastColumn="0" w:oddVBand="0" w:evenVBand="0" w:oddHBand="0" w:evenHBand="0" w:firstRowFirstColumn="0" w:firstRowLastColumn="0" w:lastRowFirstColumn="0" w:lastRowLastColumn="0"/>
            <w:tcW w:w="4284" w:type="dxa"/>
          </w:tcPr>
          <w:p w14:paraId="3644055F" w14:textId="77777777" w:rsidR="00C424E5" w:rsidRDefault="00C424E5">
            <w:r>
              <w:rPr>
                <w:b/>
              </w:rPr>
              <w:t>Expenses from transactions</w:t>
            </w:r>
          </w:p>
        </w:tc>
        <w:tc>
          <w:tcPr>
            <w:tcW w:w="909" w:type="dxa"/>
          </w:tcPr>
          <w:p w14:paraId="6A8ED5AA"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909" w:type="dxa"/>
          </w:tcPr>
          <w:p w14:paraId="04A7D7E4"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909" w:type="dxa"/>
          </w:tcPr>
          <w:p w14:paraId="36120658"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909" w:type="dxa"/>
          </w:tcPr>
          <w:p w14:paraId="6C8A2081"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0F5AD236" w14:textId="77777777" w:rsidTr="00EE2764">
        <w:trPr>
          <w:trHeight w:val="237"/>
        </w:trPr>
        <w:tc>
          <w:tcPr>
            <w:cnfStyle w:val="001000000000" w:firstRow="0" w:lastRow="0" w:firstColumn="1" w:lastColumn="0" w:oddVBand="0" w:evenVBand="0" w:oddHBand="0" w:evenHBand="0" w:firstRowFirstColumn="0" w:firstRowLastColumn="0" w:lastRowFirstColumn="0" w:lastRowLastColumn="0"/>
            <w:tcW w:w="4284" w:type="dxa"/>
          </w:tcPr>
          <w:p w14:paraId="50748D7B" w14:textId="77777777" w:rsidR="00C424E5" w:rsidRDefault="00C424E5">
            <w:r>
              <w:t>Employee expenses</w:t>
            </w:r>
          </w:p>
        </w:tc>
        <w:tc>
          <w:tcPr>
            <w:tcW w:w="909" w:type="dxa"/>
          </w:tcPr>
          <w:p w14:paraId="22647B75" w14:textId="77777777" w:rsidR="00C424E5" w:rsidRDefault="00C424E5">
            <w:pPr>
              <w:cnfStyle w:val="000000000000" w:firstRow="0" w:lastRow="0" w:firstColumn="0" w:lastColumn="0" w:oddVBand="0" w:evenVBand="0" w:oddHBand="0" w:evenHBand="0" w:firstRowFirstColumn="0" w:firstRowLastColumn="0" w:lastRowFirstColumn="0" w:lastRowLastColumn="0"/>
            </w:pPr>
            <w:r>
              <w:t>33 485</w:t>
            </w:r>
          </w:p>
        </w:tc>
        <w:tc>
          <w:tcPr>
            <w:tcW w:w="909" w:type="dxa"/>
          </w:tcPr>
          <w:p w14:paraId="03E0EDD5" w14:textId="77777777" w:rsidR="00C424E5" w:rsidRDefault="00C424E5">
            <w:pPr>
              <w:cnfStyle w:val="000000000000" w:firstRow="0" w:lastRow="0" w:firstColumn="0" w:lastColumn="0" w:oddVBand="0" w:evenVBand="0" w:oddHBand="0" w:evenHBand="0" w:firstRowFirstColumn="0" w:firstRowLastColumn="0" w:lastRowFirstColumn="0" w:lastRowLastColumn="0"/>
            </w:pPr>
            <w:r>
              <w:t>34 170</w:t>
            </w:r>
          </w:p>
        </w:tc>
        <w:tc>
          <w:tcPr>
            <w:tcW w:w="909" w:type="dxa"/>
          </w:tcPr>
          <w:p w14:paraId="6710ABF0" w14:textId="77777777" w:rsidR="00C424E5" w:rsidRDefault="00C424E5">
            <w:pPr>
              <w:cnfStyle w:val="000000000000" w:firstRow="0" w:lastRow="0" w:firstColumn="0" w:lastColumn="0" w:oddVBand="0" w:evenVBand="0" w:oddHBand="0" w:evenHBand="0" w:firstRowFirstColumn="0" w:firstRowLastColumn="0" w:lastRowFirstColumn="0" w:lastRowLastColumn="0"/>
            </w:pPr>
            <w:r>
              <w:t>34 727</w:t>
            </w:r>
          </w:p>
        </w:tc>
        <w:tc>
          <w:tcPr>
            <w:tcW w:w="909" w:type="dxa"/>
          </w:tcPr>
          <w:p w14:paraId="05A112CC" w14:textId="77777777" w:rsidR="00C424E5" w:rsidRDefault="00C424E5">
            <w:pPr>
              <w:cnfStyle w:val="000000000000" w:firstRow="0" w:lastRow="0" w:firstColumn="0" w:lastColumn="0" w:oddVBand="0" w:evenVBand="0" w:oddHBand="0" w:evenHBand="0" w:firstRowFirstColumn="0" w:firstRowLastColumn="0" w:lastRowFirstColumn="0" w:lastRowLastColumn="0"/>
            </w:pPr>
            <w:r>
              <w:t>35 762</w:t>
            </w:r>
          </w:p>
        </w:tc>
      </w:tr>
      <w:tr w:rsidR="00C424E5" w14:paraId="291F734D" w14:textId="77777777" w:rsidTr="00EE2764">
        <w:trPr>
          <w:trHeight w:val="252"/>
        </w:trPr>
        <w:tc>
          <w:tcPr>
            <w:cnfStyle w:val="001000000000" w:firstRow="0" w:lastRow="0" w:firstColumn="1" w:lastColumn="0" w:oddVBand="0" w:evenVBand="0" w:oddHBand="0" w:evenHBand="0" w:firstRowFirstColumn="0" w:firstRowLastColumn="0" w:lastRowFirstColumn="0" w:lastRowLastColumn="0"/>
            <w:tcW w:w="4284" w:type="dxa"/>
          </w:tcPr>
          <w:p w14:paraId="2A3F1AA4" w14:textId="77777777" w:rsidR="00C424E5" w:rsidRDefault="00C424E5">
            <w:r>
              <w:t xml:space="preserve">Superannuation </w:t>
            </w:r>
            <w:r>
              <w:rPr>
                <w:vertAlign w:val="superscript"/>
              </w:rPr>
              <w:t>(c)</w:t>
            </w:r>
          </w:p>
        </w:tc>
        <w:tc>
          <w:tcPr>
            <w:tcW w:w="909" w:type="dxa"/>
          </w:tcPr>
          <w:p w14:paraId="51EDC1D2" w14:textId="77777777" w:rsidR="00C424E5" w:rsidRDefault="00C424E5">
            <w:pPr>
              <w:cnfStyle w:val="000000000000" w:firstRow="0" w:lastRow="0" w:firstColumn="0" w:lastColumn="0" w:oddVBand="0" w:evenVBand="0" w:oddHBand="0" w:evenHBand="0" w:firstRowFirstColumn="0" w:firstRowLastColumn="0" w:lastRowFirstColumn="0" w:lastRowLastColumn="0"/>
            </w:pPr>
            <w:r>
              <w:t>4 132</w:t>
            </w:r>
          </w:p>
        </w:tc>
        <w:tc>
          <w:tcPr>
            <w:tcW w:w="909" w:type="dxa"/>
          </w:tcPr>
          <w:p w14:paraId="293170A1" w14:textId="77777777" w:rsidR="00C424E5" w:rsidRDefault="00C424E5">
            <w:pPr>
              <w:cnfStyle w:val="000000000000" w:firstRow="0" w:lastRow="0" w:firstColumn="0" w:lastColumn="0" w:oddVBand="0" w:evenVBand="0" w:oddHBand="0" w:evenHBand="0" w:firstRowFirstColumn="0" w:firstRowLastColumn="0" w:lastRowFirstColumn="0" w:lastRowLastColumn="0"/>
            </w:pPr>
            <w:r>
              <w:t>4 243</w:t>
            </w:r>
          </w:p>
        </w:tc>
        <w:tc>
          <w:tcPr>
            <w:tcW w:w="909" w:type="dxa"/>
          </w:tcPr>
          <w:p w14:paraId="68BA9412" w14:textId="77777777" w:rsidR="00C424E5" w:rsidRDefault="00C424E5">
            <w:pPr>
              <w:cnfStyle w:val="000000000000" w:firstRow="0" w:lastRow="0" w:firstColumn="0" w:lastColumn="0" w:oddVBand="0" w:evenVBand="0" w:oddHBand="0" w:evenHBand="0" w:firstRowFirstColumn="0" w:firstRowLastColumn="0" w:lastRowFirstColumn="0" w:lastRowLastColumn="0"/>
            </w:pPr>
            <w:r>
              <w:t>4 308</w:t>
            </w:r>
          </w:p>
        </w:tc>
        <w:tc>
          <w:tcPr>
            <w:tcW w:w="909" w:type="dxa"/>
          </w:tcPr>
          <w:p w14:paraId="58CF7099" w14:textId="77777777" w:rsidR="00C424E5" w:rsidRDefault="00C424E5">
            <w:pPr>
              <w:cnfStyle w:val="000000000000" w:firstRow="0" w:lastRow="0" w:firstColumn="0" w:lastColumn="0" w:oddVBand="0" w:evenVBand="0" w:oddHBand="0" w:evenHBand="0" w:firstRowFirstColumn="0" w:firstRowLastColumn="0" w:lastRowFirstColumn="0" w:lastRowLastColumn="0"/>
            </w:pPr>
            <w:r>
              <w:t>4 320</w:t>
            </w:r>
          </w:p>
        </w:tc>
      </w:tr>
      <w:tr w:rsidR="00C424E5" w14:paraId="6A94404C" w14:textId="77777777" w:rsidTr="00EE2764">
        <w:trPr>
          <w:trHeight w:val="237"/>
        </w:trPr>
        <w:tc>
          <w:tcPr>
            <w:cnfStyle w:val="001000000000" w:firstRow="0" w:lastRow="0" w:firstColumn="1" w:lastColumn="0" w:oddVBand="0" w:evenVBand="0" w:oddHBand="0" w:evenHBand="0" w:firstRowFirstColumn="0" w:firstRowLastColumn="0" w:lastRowFirstColumn="0" w:lastRowLastColumn="0"/>
            <w:tcW w:w="4284" w:type="dxa"/>
          </w:tcPr>
          <w:p w14:paraId="36972305" w14:textId="77777777" w:rsidR="00C424E5" w:rsidRDefault="00C424E5">
            <w:r>
              <w:t>Depreciation</w:t>
            </w:r>
          </w:p>
        </w:tc>
        <w:tc>
          <w:tcPr>
            <w:tcW w:w="909" w:type="dxa"/>
          </w:tcPr>
          <w:p w14:paraId="5F274CAF" w14:textId="77777777" w:rsidR="00C424E5" w:rsidRDefault="00C424E5">
            <w:pPr>
              <w:cnfStyle w:val="000000000000" w:firstRow="0" w:lastRow="0" w:firstColumn="0" w:lastColumn="0" w:oddVBand="0" w:evenVBand="0" w:oddHBand="0" w:evenHBand="0" w:firstRowFirstColumn="0" w:firstRowLastColumn="0" w:lastRowFirstColumn="0" w:lastRowLastColumn="0"/>
            </w:pPr>
            <w:r>
              <w:t>4 712</w:t>
            </w:r>
          </w:p>
        </w:tc>
        <w:tc>
          <w:tcPr>
            <w:tcW w:w="909" w:type="dxa"/>
          </w:tcPr>
          <w:p w14:paraId="01B5B590" w14:textId="77777777" w:rsidR="00C424E5" w:rsidRDefault="00C424E5">
            <w:pPr>
              <w:cnfStyle w:val="000000000000" w:firstRow="0" w:lastRow="0" w:firstColumn="0" w:lastColumn="0" w:oddVBand="0" w:evenVBand="0" w:oddHBand="0" w:evenHBand="0" w:firstRowFirstColumn="0" w:firstRowLastColumn="0" w:lastRowFirstColumn="0" w:lastRowLastColumn="0"/>
            </w:pPr>
            <w:r>
              <w:t>4 712</w:t>
            </w:r>
          </w:p>
        </w:tc>
        <w:tc>
          <w:tcPr>
            <w:tcW w:w="909" w:type="dxa"/>
          </w:tcPr>
          <w:p w14:paraId="3302FC93" w14:textId="77777777" w:rsidR="00C424E5" w:rsidRDefault="00C424E5">
            <w:pPr>
              <w:cnfStyle w:val="000000000000" w:firstRow="0" w:lastRow="0" w:firstColumn="0" w:lastColumn="0" w:oddVBand="0" w:evenVBand="0" w:oddHBand="0" w:evenHBand="0" w:firstRowFirstColumn="0" w:firstRowLastColumn="0" w:lastRowFirstColumn="0" w:lastRowLastColumn="0"/>
            </w:pPr>
            <w:r>
              <w:t>4 826</w:t>
            </w:r>
          </w:p>
        </w:tc>
        <w:tc>
          <w:tcPr>
            <w:tcW w:w="909" w:type="dxa"/>
          </w:tcPr>
          <w:p w14:paraId="14A07424" w14:textId="77777777" w:rsidR="00C424E5" w:rsidRDefault="00C424E5">
            <w:pPr>
              <w:cnfStyle w:val="000000000000" w:firstRow="0" w:lastRow="0" w:firstColumn="0" w:lastColumn="0" w:oddVBand="0" w:evenVBand="0" w:oddHBand="0" w:evenHBand="0" w:firstRowFirstColumn="0" w:firstRowLastColumn="0" w:lastRowFirstColumn="0" w:lastRowLastColumn="0"/>
            </w:pPr>
            <w:r>
              <w:t>5 090</w:t>
            </w:r>
          </w:p>
        </w:tc>
      </w:tr>
      <w:tr w:rsidR="00C424E5" w14:paraId="09E38D7E" w14:textId="77777777" w:rsidTr="00EE2764">
        <w:trPr>
          <w:trHeight w:val="252"/>
        </w:trPr>
        <w:tc>
          <w:tcPr>
            <w:cnfStyle w:val="001000000000" w:firstRow="0" w:lastRow="0" w:firstColumn="1" w:lastColumn="0" w:oddVBand="0" w:evenVBand="0" w:oddHBand="0" w:evenHBand="0" w:firstRowFirstColumn="0" w:firstRowLastColumn="0" w:lastRowFirstColumn="0" w:lastRowLastColumn="0"/>
            <w:tcW w:w="4284" w:type="dxa"/>
          </w:tcPr>
          <w:p w14:paraId="54739ECA" w14:textId="77777777" w:rsidR="00C424E5" w:rsidRDefault="00C424E5">
            <w:r>
              <w:t>Interest expense</w:t>
            </w:r>
          </w:p>
        </w:tc>
        <w:tc>
          <w:tcPr>
            <w:tcW w:w="909" w:type="dxa"/>
          </w:tcPr>
          <w:p w14:paraId="729F9CE5" w14:textId="77777777" w:rsidR="00C424E5" w:rsidRDefault="00C424E5">
            <w:pPr>
              <w:cnfStyle w:val="000000000000" w:firstRow="0" w:lastRow="0" w:firstColumn="0" w:lastColumn="0" w:oddVBand="0" w:evenVBand="0" w:oddHBand="0" w:evenHBand="0" w:firstRowFirstColumn="0" w:firstRowLastColumn="0" w:lastRowFirstColumn="0" w:lastRowLastColumn="0"/>
            </w:pPr>
            <w:r>
              <w:t>3 857</w:t>
            </w:r>
          </w:p>
        </w:tc>
        <w:tc>
          <w:tcPr>
            <w:tcW w:w="909" w:type="dxa"/>
          </w:tcPr>
          <w:p w14:paraId="70530482" w14:textId="77777777" w:rsidR="00C424E5" w:rsidRDefault="00C424E5">
            <w:pPr>
              <w:cnfStyle w:val="000000000000" w:firstRow="0" w:lastRow="0" w:firstColumn="0" w:lastColumn="0" w:oddVBand="0" w:evenVBand="0" w:oddHBand="0" w:evenHBand="0" w:firstRowFirstColumn="0" w:firstRowLastColumn="0" w:lastRowFirstColumn="0" w:lastRowLastColumn="0"/>
            </w:pPr>
            <w:r>
              <w:t>5 120</w:t>
            </w:r>
          </w:p>
        </w:tc>
        <w:tc>
          <w:tcPr>
            <w:tcW w:w="909" w:type="dxa"/>
          </w:tcPr>
          <w:p w14:paraId="3BE0F13A" w14:textId="77777777" w:rsidR="00C424E5" w:rsidRDefault="00C424E5">
            <w:pPr>
              <w:cnfStyle w:val="000000000000" w:firstRow="0" w:lastRow="0" w:firstColumn="0" w:lastColumn="0" w:oddVBand="0" w:evenVBand="0" w:oddHBand="0" w:evenHBand="0" w:firstRowFirstColumn="0" w:firstRowLastColumn="0" w:lastRowFirstColumn="0" w:lastRowLastColumn="0"/>
            </w:pPr>
            <w:r>
              <w:t>6 254</w:t>
            </w:r>
          </w:p>
        </w:tc>
        <w:tc>
          <w:tcPr>
            <w:tcW w:w="909" w:type="dxa"/>
          </w:tcPr>
          <w:p w14:paraId="3F931D9B" w14:textId="77777777" w:rsidR="00C424E5" w:rsidRDefault="00C424E5">
            <w:pPr>
              <w:cnfStyle w:val="000000000000" w:firstRow="0" w:lastRow="0" w:firstColumn="0" w:lastColumn="0" w:oddVBand="0" w:evenVBand="0" w:oddHBand="0" w:evenHBand="0" w:firstRowFirstColumn="0" w:firstRowLastColumn="0" w:lastRowFirstColumn="0" w:lastRowLastColumn="0"/>
            </w:pPr>
            <w:r>
              <w:t>7 318</w:t>
            </w:r>
          </w:p>
        </w:tc>
      </w:tr>
      <w:tr w:rsidR="00C424E5" w14:paraId="038F206C" w14:textId="77777777" w:rsidTr="00EE2764">
        <w:trPr>
          <w:trHeight w:val="237"/>
        </w:trPr>
        <w:tc>
          <w:tcPr>
            <w:cnfStyle w:val="001000000000" w:firstRow="0" w:lastRow="0" w:firstColumn="1" w:lastColumn="0" w:oddVBand="0" w:evenVBand="0" w:oddHBand="0" w:evenHBand="0" w:firstRowFirstColumn="0" w:firstRowLastColumn="0" w:lastRowFirstColumn="0" w:lastRowLastColumn="0"/>
            <w:tcW w:w="4284" w:type="dxa"/>
          </w:tcPr>
          <w:p w14:paraId="79B7C781" w14:textId="77777777" w:rsidR="00C424E5" w:rsidRDefault="00C424E5">
            <w:r>
              <w:t>Grant expense</w:t>
            </w:r>
          </w:p>
        </w:tc>
        <w:tc>
          <w:tcPr>
            <w:tcW w:w="909" w:type="dxa"/>
          </w:tcPr>
          <w:p w14:paraId="1A6D8A90" w14:textId="77777777" w:rsidR="00C424E5" w:rsidRDefault="00C424E5">
            <w:pPr>
              <w:cnfStyle w:val="000000000000" w:firstRow="0" w:lastRow="0" w:firstColumn="0" w:lastColumn="0" w:oddVBand="0" w:evenVBand="0" w:oddHBand="0" w:evenHBand="0" w:firstRowFirstColumn="0" w:firstRowLastColumn="0" w:lastRowFirstColumn="0" w:lastRowLastColumn="0"/>
            </w:pPr>
            <w:r>
              <w:t>18 185</w:t>
            </w:r>
          </w:p>
        </w:tc>
        <w:tc>
          <w:tcPr>
            <w:tcW w:w="909" w:type="dxa"/>
          </w:tcPr>
          <w:p w14:paraId="776982F6" w14:textId="77777777" w:rsidR="00C424E5" w:rsidRDefault="00C424E5">
            <w:pPr>
              <w:cnfStyle w:val="000000000000" w:firstRow="0" w:lastRow="0" w:firstColumn="0" w:lastColumn="0" w:oddVBand="0" w:evenVBand="0" w:oddHBand="0" w:evenHBand="0" w:firstRowFirstColumn="0" w:firstRowLastColumn="0" w:lastRowFirstColumn="0" w:lastRowLastColumn="0"/>
            </w:pPr>
            <w:r>
              <w:t>15 744</w:t>
            </w:r>
          </w:p>
        </w:tc>
        <w:tc>
          <w:tcPr>
            <w:tcW w:w="909" w:type="dxa"/>
          </w:tcPr>
          <w:p w14:paraId="25D2109A" w14:textId="77777777" w:rsidR="00C424E5" w:rsidRDefault="00C424E5">
            <w:pPr>
              <w:cnfStyle w:val="000000000000" w:firstRow="0" w:lastRow="0" w:firstColumn="0" w:lastColumn="0" w:oddVBand="0" w:evenVBand="0" w:oddHBand="0" w:evenHBand="0" w:firstRowFirstColumn="0" w:firstRowLastColumn="0" w:lastRowFirstColumn="0" w:lastRowLastColumn="0"/>
            </w:pPr>
            <w:r>
              <w:t>15 219</w:t>
            </w:r>
          </w:p>
        </w:tc>
        <w:tc>
          <w:tcPr>
            <w:tcW w:w="909" w:type="dxa"/>
          </w:tcPr>
          <w:p w14:paraId="06D3B9E4" w14:textId="77777777" w:rsidR="00C424E5" w:rsidRDefault="00C424E5">
            <w:pPr>
              <w:cnfStyle w:val="000000000000" w:firstRow="0" w:lastRow="0" w:firstColumn="0" w:lastColumn="0" w:oddVBand="0" w:evenVBand="0" w:oddHBand="0" w:evenHBand="0" w:firstRowFirstColumn="0" w:firstRowLastColumn="0" w:lastRowFirstColumn="0" w:lastRowLastColumn="0"/>
            </w:pPr>
            <w:r>
              <w:t>15 678</w:t>
            </w:r>
          </w:p>
        </w:tc>
      </w:tr>
      <w:tr w:rsidR="00C424E5" w14:paraId="1730B165" w14:textId="77777777" w:rsidTr="00EE2764">
        <w:trPr>
          <w:trHeight w:val="252"/>
        </w:trPr>
        <w:tc>
          <w:tcPr>
            <w:cnfStyle w:val="001000000000" w:firstRow="0" w:lastRow="0" w:firstColumn="1" w:lastColumn="0" w:oddVBand="0" w:evenVBand="0" w:oddHBand="0" w:evenHBand="0" w:firstRowFirstColumn="0" w:firstRowLastColumn="0" w:lastRowFirstColumn="0" w:lastRowLastColumn="0"/>
            <w:tcW w:w="4284" w:type="dxa"/>
            <w:tcBorders>
              <w:bottom w:val="single" w:sz="6" w:space="0" w:color="auto"/>
            </w:tcBorders>
          </w:tcPr>
          <w:p w14:paraId="24DB7261" w14:textId="77777777" w:rsidR="00C424E5" w:rsidRDefault="00C424E5">
            <w:r>
              <w:t>Other operating expenses</w:t>
            </w:r>
          </w:p>
        </w:tc>
        <w:tc>
          <w:tcPr>
            <w:tcW w:w="909" w:type="dxa"/>
            <w:tcBorders>
              <w:bottom w:val="single" w:sz="6" w:space="0" w:color="auto"/>
            </w:tcBorders>
          </w:tcPr>
          <w:p w14:paraId="11BFADFC" w14:textId="77777777" w:rsidR="00C424E5" w:rsidRDefault="00C424E5">
            <w:pPr>
              <w:cnfStyle w:val="000000000000" w:firstRow="0" w:lastRow="0" w:firstColumn="0" w:lastColumn="0" w:oddVBand="0" w:evenVBand="0" w:oddHBand="0" w:evenHBand="0" w:firstRowFirstColumn="0" w:firstRowLastColumn="0" w:lastRowFirstColumn="0" w:lastRowLastColumn="0"/>
            </w:pPr>
            <w:r>
              <w:t>26 690</w:t>
            </w:r>
          </w:p>
        </w:tc>
        <w:tc>
          <w:tcPr>
            <w:tcW w:w="909" w:type="dxa"/>
            <w:tcBorders>
              <w:bottom w:val="single" w:sz="6" w:space="0" w:color="auto"/>
            </w:tcBorders>
          </w:tcPr>
          <w:p w14:paraId="01825F9D" w14:textId="77777777" w:rsidR="00C424E5" w:rsidRDefault="00C424E5">
            <w:pPr>
              <w:cnfStyle w:val="000000000000" w:firstRow="0" w:lastRow="0" w:firstColumn="0" w:lastColumn="0" w:oddVBand="0" w:evenVBand="0" w:oddHBand="0" w:evenHBand="0" w:firstRowFirstColumn="0" w:firstRowLastColumn="0" w:lastRowFirstColumn="0" w:lastRowLastColumn="0"/>
            </w:pPr>
            <w:r>
              <w:t>24 237</w:t>
            </w:r>
          </w:p>
        </w:tc>
        <w:tc>
          <w:tcPr>
            <w:tcW w:w="909" w:type="dxa"/>
            <w:tcBorders>
              <w:bottom w:val="single" w:sz="6" w:space="0" w:color="auto"/>
            </w:tcBorders>
          </w:tcPr>
          <w:p w14:paraId="019AACF5" w14:textId="77777777" w:rsidR="00C424E5" w:rsidRDefault="00C424E5">
            <w:pPr>
              <w:cnfStyle w:val="000000000000" w:firstRow="0" w:lastRow="0" w:firstColumn="0" w:lastColumn="0" w:oddVBand="0" w:evenVBand="0" w:oddHBand="0" w:evenHBand="0" w:firstRowFirstColumn="0" w:firstRowLastColumn="0" w:lastRowFirstColumn="0" w:lastRowLastColumn="0"/>
            </w:pPr>
            <w:r>
              <w:t>23 758</w:t>
            </w:r>
          </w:p>
        </w:tc>
        <w:tc>
          <w:tcPr>
            <w:tcW w:w="909" w:type="dxa"/>
            <w:tcBorders>
              <w:bottom w:val="single" w:sz="6" w:space="0" w:color="auto"/>
            </w:tcBorders>
          </w:tcPr>
          <w:p w14:paraId="25E9D8D9" w14:textId="77777777" w:rsidR="00C424E5" w:rsidRDefault="00C424E5">
            <w:pPr>
              <w:cnfStyle w:val="000000000000" w:firstRow="0" w:lastRow="0" w:firstColumn="0" w:lastColumn="0" w:oddVBand="0" w:evenVBand="0" w:oddHBand="0" w:evenHBand="0" w:firstRowFirstColumn="0" w:firstRowLastColumn="0" w:lastRowFirstColumn="0" w:lastRowLastColumn="0"/>
            </w:pPr>
            <w:r>
              <w:t>24 353</w:t>
            </w:r>
          </w:p>
        </w:tc>
      </w:tr>
      <w:tr w:rsidR="00C424E5" w14:paraId="73903E05" w14:textId="77777777" w:rsidTr="00EE2764">
        <w:trPr>
          <w:trHeight w:val="237"/>
        </w:trPr>
        <w:tc>
          <w:tcPr>
            <w:cnfStyle w:val="001000000000" w:firstRow="0" w:lastRow="0" w:firstColumn="1" w:lastColumn="0" w:oddVBand="0" w:evenVBand="0" w:oddHBand="0" w:evenHBand="0" w:firstRowFirstColumn="0" w:firstRowLastColumn="0" w:lastRowFirstColumn="0" w:lastRowLastColumn="0"/>
            <w:tcW w:w="4284" w:type="dxa"/>
            <w:tcBorders>
              <w:top w:val="single" w:sz="6" w:space="0" w:color="auto"/>
            </w:tcBorders>
          </w:tcPr>
          <w:p w14:paraId="42122F7E" w14:textId="77777777" w:rsidR="00C424E5" w:rsidRDefault="00C424E5">
            <w:r>
              <w:rPr>
                <w:b/>
              </w:rPr>
              <w:t>Total expenses from transactions</w:t>
            </w:r>
          </w:p>
        </w:tc>
        <w:tc>
          <w:tcPr>
            <w:tcW w:w="909" w:type="dxa"/>
            <w:tcBorders>
              <w:top w:val="single" w:sz="6" w:space="0" w:color="auto"/>
            </w:tcBorders>
          </w:tcPr>
          <w:p w14:paraId="4EB4D505"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91 061</w:t>
            </w:r>
          </w:p>
        </w:tc>
        <w:tc>
          <w:tcPr>
            <w:tcW w:w="909" w:type="dxa"/>
            <w:tcBorders>
              <w:top w:val="single" w:sz="6" w:space="0" w:color="auto"/>
            </w:tcBorders>
          </w:tcPr>
          <w:p w14:paraId="0A5CF3B1"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88 227</w:t>
            </w:r>
          </w:p>
        </w:tc>
        <w:tc>
          <w:tcPr>
            <w:tcW w:w="909" w:type="dxa"/>
            <w:tcBorders>
              <w:top w:val="single" w:sz="6" w:space="0" w:color="auto"/>
            </w:tcBorders>
          </w:tcPr>
          <w:p w14:paraId="2AFD7CBB"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89 091</w:t>
            </w:r>
          </w:p>
        </w:tc>
        <w:tc>
          <w:tcPr>
            <w:tcW w:w="909" w:type="dxa"/>
            <w:tcBorders>
              <w:top w:val="single" w:sz="6" w:space="0" w:color="auto"/>
            </w:tcBorders>
          </w:tcPr>
          <w:p w14:paraId="59A6EAF2"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92 521</w:t>
            </w:r>
          </w:p>
        </w:tc>
      </w:tr>
      <w:tr w:rsidR="00C424E5" w14:paraId="158B9954" w14:textId="77777777" w:rsidTr="00EE2764">
        <w:trPr>
          <w:trHeight w:val="252"/>
        </w:trPr>
        <w:tc>
          <w:tcPr>
            <w:cnfStyle w:val="001000000000" w:firstRow="0" w:lastRow="0" w:firstColumn="1" w:lastColumn="0" w:oddVBand="0" w:evenVBand="0" w:oddHBand="0" w:evenHBand="0" w:firstRowFirstColumn="0" w:firstRowLastColumn="0" w:lastRowFirstColumn="0" w:lastRowLastColumn="0"/>
            <w:tcW w:w="4284" w:type="dxa"/>
            <w:tcBorders>
              <w:bottom w:val="single" w:sz="6" w:space="0" w:color="auto"/>
            </w:tcBorders>
          </w:tcPr>
          <w:p w14:paraId="7FA84C89" w14:textId="77777777" w:rsidR="00C424E5" w:rsidRDefault="00C424E5">
            <w:r>
              <w:rPr>
                <w:i/>
              </w:rPr>
              <w:t>% change</w:t>
            </w:r>
          </w:p>
        </w:tc>
        <w:tc>
          <w:tcPr>
            <w:tcW w:w="909" w:type="dxa"/>
            <w:tcBorders>
              <w:bottom w:val="single" w:sz="6" w:space="0" w:color="auto"/>
            </w:tcBorders>
          </w:tcPr>
          <w:p w14:paraId="768D1462"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i/>
              </w:rPr>
              <w:t>(5.9)</w:t>
            </w:r>
          </w:p>
        </w:tc>
        <w:tc>
          <w:tcPr>
            <w:tcW w:w="909" w:type="dxa"/>
            <w:tcBorders>
              <w:bottom w:val="single" w:sz="6" w:space="0" w:color="auto"/>
            </w:tcBorders>
          </w:tcPr>
          <w:p w14:paraId="1D53F41B"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i/>
              </w:rPr>
              <w:t>(3.1)</w:t>
            </w:r>
          </w:p>
        </w:tc>
        <w:tc>
          <w:tcPr>
            <w:tcW w:w="909" w:type="dxa"/>
            <w:tcBorders>
              <w:bottom w:val="single" w:sz="6" w:space="0" w:color="auto"/>
            </w:tcBorders>
          </w:tcPr>
          <w:p w14:paraId="38C87711"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i/>
              </w:rPr>
              <w:t>1.0</w:t>
            </w:r>
          </w:p>
        </w:tc>
        <w:tc>
          <w:tcPr>
            <w:tcW w:w="909" w:type="dxa"/>
            <w:tcBorders>
              <w:bottom w:val="single" w:sz="6" w:space="0" w:color="auto"/>
            </w:tcBorders>
          </w:tcPr>
          <w:p w14:paraId="7D8C970C"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i/>
              </w:rPr>
              <w:t>3.8</w:t>
            </w:r>
          </w:p>
        </w:tc>
      </w:tr>
      <w:tr w:rsidR="00C424E5" w14:paraId="7B6B0ADD" w14:textId="77777777" w:rsidTr="00EE2764">
        <w:trPr>
          <w:trHeight w:val="444"/>
        </w:trPr>
        <w:tc>
          <w:tcPr>
            <w:cnfStyle w:val="001000000000" w:firstRow="0" w:lastRow="0" w:firstColumn="1" w:lastColumn="0" w:oddVBand="0" w:evenVBand="0" w:oddHBand="0" w:evenHBand="0" w:firstRowFirstColumn="0" w:firstRowLastColumn="0" w:lastRowFirstColumn="0" w:lastRowLastColumn="0"/>
            <w:tcW w:w="4284" w:type="dxa"/>
            <w:tcBorders>
              <w:top w:val="single" w:sz="6" w:space="0" w:color="auto"/>
              <w:bottom w:val="single" w:sz="6" w:space="0" w:color="auto"/>
            </w:tcBorders>
          </w:tcPr>
          <w:p w14:paraId="2785E9A2" w14:textId="77777777" w:rsidR="00C424E5" w:rsidRDefault="00C424E5">
            <w:r>
              <w:rPr>
                <w:b/>
              </w:rPr>
              <w:t xml:space="preserve">Net result from transactions – </w:t>
            </w:r>
            <w:r>
              <w:rPr>
                <w:b/>
              </w:rPr>
              <w:br/>
              <w:t>net operating balance</w:t>
            </w:r>
          </w:p>
        </w:tc>
        <w:tc>
          <w:tcPr>
            <w:tcW w:w="909" w:type="dxa"/>
            <w:tcBorders>
              <w:top w:val="single" w:sz="6" w:space="0" w:color="auto"/>
              <w:bottom w:val="single" w:sz="6" w:space="0" w:color="auto"/>
            </w:tcBorders>
          </w:tcPr>
          <w:p w14:paraId="5760B594"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(9 688)</w:t>
            </w:r>
          </w:p>
        </w:tc>
        <w:tc>
          <w:tcPr>
            <w:tcW w:w="909" w:type="dxa"/>
            <w:tcBorders>
              <w:top w:val="single" w:sz="6" w:space="0" w:color="auto"/>
              <w:bottom w:val="single" w:sz="6" w:space="0" w:color="auto"/>
            </w:tcBorders>
          </w:tcPr>
          <w:p w14:paraId="3422E4C7"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(3 612)</w:t>
            </w:r>
          </w:p>
        </w:tc>
        <w:tc>
          <w:tcPr>
            <w:tcW w:w="909" w:type="dxa"/>
            <w:tcBorders>
              <w:top w:val="single" w:sz="6" w:space="0" w:color="auto"/>
              <w:bottom w:val="single" w:sz="6" w:space="0" w:color="auto"/>
            </w:tcBorders>
          </w:tcPr>
          <w:p w14:paraId="39AF835B"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(701)</w:t>
            </w:r>
          </w:p>
        </w:tc>
        <w:tc>
          <w:tcPr>
            <w:tcW w:w="909" w:type="dxa"/>
            <w:tcBorders>
              <w:top w:val="single" w:sz="6" w:space="0" w:color="auto"/>
              <w:bottom w:val="single" w:sz="6" w:space="0" w:color="auto"/>
            </w:tcBorders>
          </w:tcPr>
          <w:p w14:paraId="1D4F0477"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894</w:t>
            </w:r>
          </w:p>
        </w:tc>
      </w:tr>
      <w:tr w:rsidR="00C424E5" w14:paraId="11947A7C" w14:textId="77777777" w:rsidTr="00EE2764">
        <w:trPr>
          <w:trHeight w:val="252"/>
        </w:trPr>
        <w:tc>
          <w:tcPr>
            <w:cnfStyle w:val="001000000000" w:firstRow="0" w:lastRow="0" w:firstColumn="1" w:lastColumn="0" w:oddVBand="0" w:evenVBand="0" w:oddHBand="0" w:evenHBand="0" w:firstRowFirstColumn="0" w:firstRowLastColumn="0" w:lastRowFirstColumn="0" w:lastRowLastColumn="0"/>
            <w:tcW w:w="4284" w:type="dxa"/>
            <w:tcBorders>
              <w:top w:val="single" w:sz="6" w:space="0" w:color="auto"/>
              <w:bottom w:val="single" w:sz="6" w:space="0" w:color="auto"/>
            </w:tcBorders>
          </w:tcPr>
          <w:p w14:paraId="548CC4FB" w14:textId="77777777" w:rsidR="00C424E5" w:rsidRDefault="00C424E5">
            <w:r>
              <w:rPr>
                <w:b/>
              </w:rPr>
              <w:t xml:space="preserve">Total other economic flows included in net result </w:t>
            </w:r>
            <w:r>
              <w:rPr>
                <w:b/>
                <w:vertAlign w:val="superscript"/>
              </w:rPr>
              <w:t>(d)</w:t>
            </w:r>
          </w:p>
        </w:tc>
        <w:tc>
          <w:tcPr>
            <w:tcW w:w="909" w:type="dxa"/>
            <w:tcBorders>
              <w:top w:val="single" w:sz="6" w:space="0" w:color="auto"/>
              <w:bottom w:val="single" w:sz="6" w:space="0" w:color="auto"/>
            </w:tcBorders>
          </w:tcPr>
          <w:p w14:paraId="376DC566"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(339)</w:t>
            </w:r>
          </w:p>
        </w:tc>
        <w:tc>
          <w:tcPr>
            <w:tcW w:w="909" w:type="dxa"/>
            <w:tcBorders>
              <w:top w:val="single" w:sz="6" w:space="0" w:color="auto"/>
              <w:bottom w:val="single" w:sz="6" w:space="0" w:color="auto"/>
            </w:tcBorders>
          </w:tcPr>
          <w:p w14:paraId="093AA955"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(339)</w:t>
            </w:r>
          </w:p>
        </w:tc>
        <w:tc>
          <w:tcPr>
            <w:tcW w:w="909" w:type="dxa"/>
            <w:tcBorders>
              <w:top w:val="single" w:sz="6" w:space="0" w:color="auto"/>
              <w:bottom w:val="single" w:sz="6" w:space="0" w:color="auto"/>
            </w:tcBorders>
          </w:tcPr>
          <w:p w14:paraId="2A7EDC1A"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(265)</w:t>
            </w:r>
          </w:p>
        </w:tc>
        <w:tc>
          <w:tcPr>
            <w:tcW w:w="909" w:type="dxa"/>
            <w:tcBorders>
              <w:top w:val="single" w:sz="6" w:space="0" w:color="auto"/>
              <w:bottom w:val="single" w:sz="6" w:space="0" w:color="auto"/>
            </w:tcBorders>
          </w:tcPr>
          <w:p w14:paraId="5FCE8A17"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(147)</w:t>
            </w:r>
          </w:p>
        </w:tc>
      </w:tr>
      <w:tr w:rsidR="00C424E5" w14:paraId="6E226454" w14:textId="77777777" w:rsidTr="00EE2764">
        <w:trPr>
          <w:trHeight w:val="237"/>
        </w:trPr>
        <w:tc>
          <w:tcPr>
            <w:cnfStyle w:val="001000000000" w:firstRow="0" w:lastRow="0" w:firstColumn="1" w:lastColumn="0" w:oddVBand="0" w:evenVBand="0" w:oddHBand="0" w:evenHBand="0" w:firstRowFirstColumn="0" w:firstRowLastColumn="0" w:lastRowFirstColumn="0" w:lastRowLastColumn="0"/>
            <w:tcW w:w="4284" w:type="dxa"/>
            <w:tcBorders>
              <w:top w:val="single" w:sz="6" w:space="0" w:color="auto"/>
              <w:bottom w:val="single" w:sz="12" w:space="0" w:color="auto"/>
            </w:tcBorders>
          </w:tcPr>
          <w:p w14:paraId="082BB0A1" w14:textId="77777777" w:rsidR="00C424E5" w:rsidRDefault="00C424E5">
            <w:r>
              <w:rPr>
                <w:b/>
              </w:rPr>
              <w:t>Net result</w:t>
            </w:r>
          </w:p>
        </w:tc>
        <w:tc>
          <w:tcPr>
            <w:tcW w:w="909" w:type="dxa"/>
            <w:tcBorders>
              <w:top w:val="single" w:sz="6" w:space="0" w:color="auto"/>
              <w:bottom w:val="single" w:sz="12" w:space="0" w:color="auto"/>
            </w:tcBorders>
          </w:tcPr>
          <w:p w14:paraId="0F23D234"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(10 027)</w:t>
            </w:r>
          </w:p>
        </w:tc>
        <w:tc>
          <w:tcPr>
            <w:tcW w:w="909" w:type="dxa"/>
            <w:tcBorders>
              <w:top w:val="single" w:sz="6" w:space="0" w:color="auto"/>
              <w:bottom w:val="single" w:sz="12" w:space="0" w:color="auto"/>
            </w:tcBorders>
          </w:tcPr>
          <w:p w14:paraId="6C43D3D4"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(3 952)</w:t>
            </w:r>
          </w:p>
        </w:tc>
        <w:tc>
          <w:tcPr>
            <w:tcW w:w="909" w:type="dxa"/>
            <w:tcBorders>
              <w:top w:val="single" w:sz="6" w:space="0" w:color="auto"/>
              <w:bottom w:val="single" w:sz="12" w:space="0" w:color="auto"/>
            </w:tcBorders>
          </w:tcPr>
          <w:p w14:paraId="01225C0A"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(966)</w:t>
            </w:r>
          </w:p>
        </w:tc>
        <w:tc>
          <w:tcPr>
            <w:tcW w:w="909" w:type="dxa"/>
            <w:tcBorders>
              <w:top w:val="single" w:sz="6" w:space="0" w:color="auto"/>
              <w:bottom w:val="single" w:sz="12" w:space="0" w:color="auto"/>
            </w:tcBorders>
          </w:tcPr>
          <w:p w14:paraId="1E318E07" w14:textId="4F65EF70" w:rsidR="00C424E5" w:rsidRDefault="00C424E5">
            <w:pPr>
              <w:cnfStyle w:val="000000000000" w:firstRow="0" w:lastRow="0" w:firstColumn="0" w:lastColumn="0" w:oddVBand="0" w:evenVBand="0" w:oddHBand="0" w:evenHBand="0" w:firstRowFirstColumn="0" w:firstRowLastColumn="0" w:lastRowFirstColumn="0" w:lastRowLastColumn="0"/>
            </w:pPr>
            <w:r>
              <w:rPr>
                <w:b/>
              </w:rPr>
              <w:t>747</w:t>
            </w:r>
          </w:p>
        </w:tc>
      </w:tr>
    </w:tbl>
    <w:p w14:paraId="386FE24A" w14:textId="77777777" w:rsidR="00C424E5" w:rsidRPr="00C203E5" w:rsidRDefault="00C424E5" w:rsidP="006448B4">
      <w:pPr>
        <w:pStyle w:val="Note"/>
      </w:pPr>
      <w:r w:rsidRPr="00C203E5">
        <w:t>Notes:</w:t>
      </w:r>
    </w:p>
    <w:p w14:paraId="3749052E" w14:textId="77777777" w:rsidR="00C424E5" w:rsidRDefault="00C424E5" w:rsidP="006448B4">
      <w:pPr>
        <w:pStyle w:val="Note"/>
      </w:pPr>
      <w:r w:rsidRPr="00C203E5">
        <w:t xml:space="preserve">(a) </w:t>
      </w:r>
      <w:r w:rsidRPr="00C203E5">
        <w:tab/>
        <w:t>Figures in this table are subject to rounding to the nearest</w:t>
      </w:r>
      <w:r>
        <w:t> million</w:t>
      </w:r>
      <w:r w:rsidRPr="00C203E5">
        <w:t xml:space="preserve"> and may not add up to totals.</w:t>
      </w:r>
    </w:p>
    <w:p w14:paraId="07587674" w14:textId="77777777" w:rsidR="00C424E5" w:rsidRDefault="00C424E5" w:rsidP="006448B4">
      <w:pPr>
        <w:pStyle w:val="Note"/>
      </w:pPr>
      <w:r>
        <w:t>(b)</w:t>
      </w:r>
      <w:r>
        <w:tab/>
      </w:r>
      <w:r w:rsidRPr="00C203E5">
        <w:t>Comprises dividends, income tax and rate equivalent revenue and interest.</w:t>
      </w:r>
    </w:p>
    <w:p w14:paraId="67C4F137" w14:textId="77777777" w:rsidR="00C424E5" w:rsidRPr="00C203E5" w:rsidRDefault="00C424E5" w:rsidP="006448B4">
      <w:pPr>
        <w:pStyle w:val="Note"/>
      </w:pPr>
      <w:r>
        <w:t>(c)</w:t>
      </w:r>
      <w:r>
        <w:tab/>
      </w:r>
      <w:r w:rsidRPr="00C203E5">
        <w:t>Comprises superannuation interest expense and other superannuation expenses.</w:t>
      </w:r>
    </w:p>
    <w:p w14:paraId="0966CA36" w14:textId="77777777" w:rsidR="00C424E5" w:rsidRDefault="00C424E5" w:rsidP="006448B4">
      <w:pPr>
        <w:pStyle w:val="Note"/>
      </w:pPr>
      <w:r>
        <w:t>(d)</w:t>
      </w:r>
      <w:r>
        <w:tab/>
      </w:r>
      <w:r w:rsidRPr="00573249">
        <w:t>This typically includes gains and losses from the disposal of non</w:t>
      </w:r>
      <w:r>
        <w:noBreakHyphen/>
      </w:r>
      <w:r w:rsidRPr="00573249">
        <w:t>financial assets, adjustments for bad and doubtful debts and revaluations of financial assets and liabilities.</w:t>
      </w:r>
    </w:p>
    <w:p w14:paraId="47683D6D" w14:textId="77777777" w:rsidR="00C424E5" w:rsidRDefault="00C424E5" w:rsidP="006448B4">
      <w:pPr>
        <w:keepLines w:val="0"/>
        <w:rPr>
          <w:rFonts w:asciiTheme="majorHAnsi" w:hAnsiTheme="majorHAnsi" w:cstheme="majorBidi"/>
          <w:b/>
          <w:spacing w:val="-2"/>
          <w:sz w:val="26"/>
          <w:szCs w:val="26"/>
        </w:rPr>
      </w:pPr>
      <w:r>
        <w:br w:type="page"/>
      </w:r>
    </w:p>
    <w:p w14:paraId="05096734" w14:textId="77777777" w:rsidR="00C424E5" w:rsidRPr="00C203E5" w:rsidRDefault="00C424E5" w:rsidP="006448B4">
      <w:pPr>
        <w:pStyle w:val="Heading20"/>
        <w:rPr>
          <w:rFonts w:eastAsiaTheme="minorHAnsi"/>
        </w:rPr>
      </w:pPr>
      <w:r w:rsidRPr="00C203E5">
        <w:rPr>
          <w:rFonts w:eastAsiaTheme="minorHAnsi"/>
        </w:rPr>
        <w:lastRenderedPageBreak/>
        <w:t>Revenue outlook</w:t>
      </w:r>
    </w:p>
    <w:p w14:paraId="54C8D8E2" w14:textId="1029E402" w:rsidR="00C424E5" w:rsidRPr="009173F4" w:rsidRDefault="00C424E5" w:rsidP="006448B4">
      <w:pPr>
        <w:rPr>
          <w:rFonts w:cstheme="minorHAnsi"/>
        </w:rPr>
      </w:pPr>
      <w:r w:rsidRPr="009173F4">
        <w:t>Total revenue for the general government sector is expected to be $8</w:t>
      </w:r>
      <w:r>
        <w:t>1.4</w:t>
      </w:r>
      <w:r w:rsidRPr="009173F4">
        <w:t xml:space="preserve"> billion in 2022</w:t>
      </w:r>
      <w:r>
        <w:noBreakHyphen/>
      </w:r>
      <w:r w:rsidRPr="009173F4">
        <w:t xml:space="preserve">23, with revenue growth projected to average </w:t>
      </w:r>
      <w:r>
        <w:t>4.7</w:t>
      </w:r>
      <w:r w:rsidRPr="009173F4">
        <w:t xml:space="preserve"> per cent a year over the forward estimates.</w:t>
      </w:r>
      <w:r>
        <w:t xml:space="preserve"> </w:t>
      </w:r>
    </w:p>
    <w:p w14:paraId="38352946" w14:textId="77777777" w:rsidR="00C424E5" w:rsidRPr="00C203E5" w:rsidRDefault="00C424E5" w:rsidP="006448B4">
      <w:pPr>
        <w:pStyle w:val="Heading30"/>
        <w:rPr>
          <w:rFonts w:eastAsiaTheme="minorHAnsi"/>
        </w:rPr>
      </w:pPr>
      <w:r w:rsidRPr="00C203E5">
        <w:rPr>
          <w:rFonts w:eastAsiaTheme="minorHAnsi"/>
        </w:rPr>
        <w:t>Taxation</w:t>
      </w:r>
    </w:p>
    <w:p w14:paraId="6A7D2DBB" w14:textId="77777777" w:rsidR="00C424E5" w:rsidRPr="00FE064E" w:rsidRDefault="00C424E5" w:rsidP="006448B4">
      <w:pPr>
        <w:spacing w:after="120"/>
      </w:pPr>
      <w:r w:rsidRPr="00FE064E">
        <w:t xml:space="preserve">Taxation revenue is forecast to be $31.2 billion in 2022-23 with a forecast decline in land transfer duty weighing on the short-term revenue outlook. Taxation revenue is expected to grow </w:t>
      </w:r>
      <w:r>
        <w:t>by</w:t>
      </w:r>
      <w:r w:rsidRPr="00FE064E">
        <w:t xml:space="preserve"> an average 4.</w:t>
      </w:r>
      <w:r>
        <w:t>5</w:t>
      </w:r>
      <w:r w:rsidRPr="00FE064E">
        <w:t xml:space="preserve"> per cent per year over the forward estimates. </w:t>
      </w:r>
    </w:p>
    <w:p w14:paraId="5F504DD3" w14:textId="77777777" w:rsidR="00C424E5" w:rsidRPr="00FE064E" w:rsidRDefault="00C424E5" w:rsidP="006448B4">
      <w:pPr>
        <w:pStyle w:val="ListParagraph"/>
        <w:keepLines w:val="0"/>
        <w:numPr>
          <w:ilvl w:val="0"/>
          <w:numId w:val="46"/>
        </w:numPr>
        <w:spacing w:after="120"/>
        <w:ind w:left="357" w:hanging="357"/>
        <w:contextualSpacing w:val="0"/>
      </w:pPr>
      <w:r w:rsidRPr="00FE064E">
        <w:t>Land transfer duty revenue is expected to decrease to $8.1 billion in 2022</w:t>
      </w:r>
      <w:r w:rsidRPr="00FE064E">
        <w:noBreakHyphen/>
        <w:t xml:space="preserve">23, then increase by an average of 3.0 per cent per year over the forward estimates. The residential property market outlook has weakened in the near term compared with the </w:t>
      </w:r>
      <w:r w:rsidRPr="00FE064E">
        <w:rPr>
          <w:i/>
          <w:iCs/>
        </w:rPr>
        <w:t>2022-23 Budget</w:t>
      </w:r>
      <w:r w:rsidRPr="00FE064E">
        <w:t xml:space="preserve"> as the Reserve Bank of Australia has rapidly lifted the official cash rate, </w:t>
      </w:r>
      <w:r>
        <w:t>flowing through to increased</w:t>
      </w:r>
      <w:r w:rsidRPr="00FE064E">
        <w:t xml:space="preserve"> borrowing costs, moderating property prices, and lower auction clearance rates.</w:t>
      </w:r>
    </w:p>
    <w:p w14:paraId="26C69143" w14:textId="77777777" w:rsidR="00C424E5" w:rsidRPr="00FE064E" w:rsidRDefault="00C424E5" w:rsidP="006448B4">
      <w:pPr>
        <w:pStyle w:val="ListParagraph"/>
        <w:keepLines w:val="0"/>
        <w:numPr>
          <w:ilvl w:val="0"/>
          <w:numId w:val="46"/>
        </w:numPr>
        <w:spacing w:beforeLines="120" w:before="288" w:after="120"/>
      </w:pPr>
      <w:r w:rsidRPr="00FE064E">
        <w:t xml:space="preserve">Land tax revenue is forecast to increase to </w:t>
      </w:r>
      <w:r w:rsidRPr="00CC1B5A">
        <w:t>$5.</w:t>
      </w:r>
      <w:r>
        <w:t>2</w:t>
      </w:r>
      <w:r w:rsidRPr="00CC1B5A">
        <w:t xml:space="preserve"> billion</w:t>
      </w:r>
      <w:r w:rsidRPr="00FE064E">
        <w:t xml:space="preserve"> in 2022-23, reflecting strong growth across residential, commercial, and industrial property values between 1</w:t>
      </w:r>
      <w:r>
        <w:t> </w:t>
      </w:r>
      <w:r w:rsidRPr="00FE064E">
        <w:t>January 2021 and 31 December 2021. Land tax revenue is projected to grow by an average of 4.4 per cent per year over the forward estimates, with the weakness in current property market conditions flowing through to land tax revenue in 2023-24.</w:t>
      </w:r>
    </w:p>
    <w:p w14:paraId="2ABF899D" w14:textId="77777777" w:rsidR="00C424E5" w:rsidRPr="00FE064E" w:rsidRDefault="00C424E5" w:rsidP="006448B4">
      <w:r w:rsidRPr="00FE064E">
        <w:t>The strong recovery of the Victorian economy from the effects of the COVID-19 pandemic by the end of 2021-22 – aided by the strong labour market outlook and accumulated household savings –</w:t>
      </w:r>
      <w:r>
        <w:t xml:space="preserve"> is</w:t>
      </w:r>
      <w:r w:rsidRPr="00FE064E">
        <w:t xml:space="preserve"> supporting the outlook for other taxation revenues.</w:t>
      </w:r>
    </w:p>
    <w:p w14:paraId="110F1073" w14:textId="77777777" w:rsidR="00C424E5" w:rsidRPr="00FE064E" w:rsidRDefault="00C424E5" w:rsidP="006448B4">
      <w:pPr>
        <w:pStyle w:val="ListParagraph"/>
        <w:keepLines w:val="0"/>
        <w:numPr>
          <w:ilvl w:val="0"/>
          <w:numId w:val="46"/>
        </w:numPr>
        <w:spacing w:after="120"/>
        <w:ind w:left="357" w:hanging="357"/>
        <w:contextualSpacing w:val="0"/>
      </w:pPr>
      <w:r w:rsidRPr="00FE064E">
        <w:t xml:space="preserve">Payroll tax revenue is forecast to grow to $7.1 billion in 2022-23, reflecting a strengthening outlook for full-time employment and nominal wage growth in the near term. Payroll tax revenue is expected to grow by an average of 6.1 per cent per year over the forward estimates. </w:t>
      </w:r>
    </w:p>
    <w:p w14:paraId="09F6B90A" w14:textId="77777777" w:rsidR="00C424E5" w:rsidRPr="00FE064E" w:rsidRDefault="00C424E5" w:rsidP="0054170B">
      <w:pPr>
        <w:pStyle w:val="ListParagraph"/>
        <w:keepLines w:val="0"/>
        <w:numPr>
          <w:ilvl w:val="0"/>
          <w:numId w:val="46"/>
        </w:numPr>
        <w:spacing w:after="120"/>
        <w:ind w:right="-86"/>
        <w:contextualSpacing w:val="0"/>
      </w:pPr>
      <w:r w:rsidRPr="00FE064E">
        <w:t>Motor vehicle tax revenue is forecast to grow to $3.2 billion in 2022</w:t>
      </w:r>
      <w:r>
        <w:noBreakHyphen/>
      </w:r>
      <w:r w:rsidRPr="00FE064E">
        <w:t xml:space="preserve">23, reflecting the continued growth in vehicle prices and sales. Motor vehicle tax revenue is expected to increase by an average of 5.0 per cent per year over the forward estimates. </w:t>
      </w:r>
    </w:p>
    <w:p w14:paraId="59255D05" w14:textId="77777777" w:rsidR="00C424E5" w:rsidRPr="00FE064E" w:rsidRDefault="00C424E5" w:rsidP="006448B4">
      <w:pPr>
        <w:pStyle w:val="ListParagraph"/>
        <w:keepLines w:val="0"/>
        <w:numPr>
          <w:ilvl w:val="0"/>
          <w:numId w:val="46"/>
        </w:numPr>
        <w:spacing w:after="120"/>
        <w:ind w:left="357" w:hanging="357"/>
        <w:contextualSpacing w:val="0"/>
      </w:pPr>
      <w:r w:rsidRPr="00FE064E">
        <w:t>Gambling tax revenue is forecast to grow to $2.5 billion in 2022-23, reflecting elevated electronic gaming machine (EGM) activity and recovering casino revenue. Over the forward estimates, growth is expected to average 4.4 per cent per year.</w:t>
      </w:r>
    </w:p>
    <w:p w14:paraId="096E5EFD" w14:textId="77777777" w:rsidR="00C424E5" w:rsidRPr="00FE064E" w:rsidRDefault="00C424E5" w:rsidP="006448B4">
      <w:pPr>
        <w:pStyle w:val="ListParagraph"/>
        <w:keepLines w:val="0"/>
        <w:numPr>
          <w:ilvl w:val="0"/>
          <w:numId w:val="46"/>
        </w:numPr>
        <w:spacing w:after="120"/>
        <w:ind w:left="357" w:hanging="357"/>
        <w:contextualSpacing w:val="0"/>
      </w:pPr>
      <w:r w:rsidRPr="00FE064E">
        <w:t>Insurance tax revenue is forecast to grow to $1.8 billion in 2022-23. Strong premium growth across most insurance products supports the forward outlook</w:t>
      </w:r>
      <w:r>
        <w:t>,</w:t>
      </w:r>
      <w:r w:rsidRPr="00FE064E">
        <w:t xml:space="preserve"> with growth expected to average 7.0 per cent per year over the forward estimates.</w:t>
      </w:r>
    </w:p>
    <w:p w14:paraId="6A3EBF0A" w14:textId="77777777" w:rsidR="00C424E5" w:rsidRPr="00C203E5" w:rsidRDefault="00C424E5" w:rsidP="004321C6">
      <w:pPr>
        <w:pStyle w:val="Heading30"/>
        <w:pageBreakBefore/>
        <w:spacing w:before="200"/>
        <w:rPr>
          <w:rFonts w:eastAsiaTheme="minorHAnsi"/>
        </w:rPr>
      </w:pPr>
      <w:r w:rsidRPr="00C203E5">
        <w:rPr>
          <w:rFonts w:eastAsiaTheme="minorHAnsi"/>
        </w:rPr>
        <w:lastRenderedPageBreak/>
        <w:t>Dividends, income tax equivalent and interest</w:t>
      </w:r>
    </w:p>
    <w:p w14:paraId="0433C624" w14:textId="77777777" w:rsidR="00C424E5" w:rsidRDefault="00C424E5" w:rsidP="006448B4">
      <w:r>
        <w:t xml:space="preserve">Dividend and income tax equivalent revenue is projected to </w:t>
      </w:r>
      <w:r w:rsidRPr="00EA47E1">
        <w:t>be $</w:t>
      </w:r>
      <w:r>
        <w:t>0.6 billion in 2022-23 and increase to $1.1 billion in 2025-26. The growth across the forward estimates largely reflects the increase in investment returns from the establishment of the Victorian Future Fund.</w:t>
      </w:r>
    </w:p>
    <w:p w14:paraId="51450EF2" w14:textId="77777777" w:rsidR="00C424E5" w:rsidRDefault="00C424E5" w:rsidP="006448B4">
      <w:r w:rsidRPr="00EA47E1">
        <w:t xml:space="preserve">Interest revenue is received on the cash and deposits held by the Government. Total interest is expected to </w:t>
      </w:r>
      <w:r>
        <w:t>be $</w:t>
      </w:r>
      <w:r w:rsidRPr="00EA47E1">
        <w:t>0.8 billion in 2022-23 and is forecast to increase by an average of 5.6 per cent a</w:t>
      </w:r>
      <w:r>
        <w:t xml:space="preserve"> year over the forward estimates.</w:t>
      </w:r>
    </w:p>
    <w:p w14:paraId="615B38C6" w14:textId="77777777" w:rsidR="00C424E5" w:rsidRPr="00C203E5" w:rsidRDefault="00C424E5" w:rsidP="006448B4">
      <w:pPr>
        <w:pStyle w:val="Heading30"/>
        <w:spacing w:before="200"/>
        <w:rPr>
          <w:rFonts w:eastAsiaTheme="minorHAnsi"/>
        </w:rPr>
      </w:pPr>
      <w:r w:rsidRPr="00C203E5">
        <w:rPr>
          <w:rFonts w:eastAsiaTheme="minorHAnsi"/>
        </w:rPr>
        <w:t>Sales of goods and services</w:t>
      </w:r>
    </w:p>
    <w:p w14:paraId="039DDC20" w14:textId="77777777" w:rsidR="00C424E5" w:rsidRPr="00DC355C" w:rsidRDefault="00C424E5" w:rsidP="00D57611">
      <w:pPr>
        <w:ind w:right="-58"/>
        <w:rPr>
          <w:rFonts w:cstheme="minorHAnsi"/>
        </w:rPr>
      </w:pPr>
      <w:r w:rsidRPr="00DC355C">
        <w:t>Revenue generated by the sales of goods and services is expected to increase</w:t>
      </w:r>
      <w:r>
        <w:t xml:space="preserve"> to</w:t>
      </w:r>
      <w:r w:rsidRPr="00DC355C">
        <w:t xml:space="preserve"> </w:t>
      </w:r>
      <w:r w:rsidRPr="00EA47E1">
        <w:t>$6</w:t>
      </w:r>
      <w:r>
        <w:t>.1 </w:t>
      </w:r>
      <w:r w:rsidRPr="00EA47E1">
        <w:t>billion</w:t>
      </w:r>
      <w:r w:rsidRPr="00DC355C">
        <w:t xml:space="preserve"> in 2022-23, largely reflecting the expected recovery in various service fees after the easing of public health restrictions. Growth is forecast to increase by an average of </w:t>
      </w:r>
      <w:r w:rsidRPr="008D07A9">
        <w:t>2.</w:t>
      </w:r>
      <w:r>
        <w:t>3 </w:t>
      </w:r>
      <w:r w:rsidRPr="008D07A9">
        <w:t>per cent</w:t>
      </w:r>
      <w:r w:rsidRPr="00DC355C">
        <w:t xml:space="preserve"> a year over the forward estimates.</w:t>
      </w:r>
      <w:r>
        <w:t xml:space="preserve"> </w:t>
      </w:r>
    </w:p>
    <w:p w14:paraId="5A126315" w14:textId="77777777" w:rsidR="00C424E5" w:rsidRPr="00C203E5" w:rsidRDefault="00C424E5" w:rsidP="006448B4">
      <w:pPr>
        <w:pStyle w:val="Heading30"/>
        <w:spacing w:before="200"/>
      </w:pPr>
      <w:r w:rsidRPr="00C203E5">
        <w:rPr>
          <w:rFonts w:eastAsiaTheme="minorHAnsi"/>
        </w:rPr>
        <w:t>Grants</w:t>
      </w:r>
    </w:p>
    <w:p w14:paraId="0E7003F5" w14:textId="321CCBBD" w:rsidR="00C424E5" w:rsidRDefault="00C424E5" w:rsidP="006448B4">
      <w:pPr>
        <w:rPr>
          <w:rFonts w:cstheme="minorHAnsi"/>
        </w:rPr>
      </w:pPr>
      <w:r>
        <w:rPr>
          <w:rFonts w:cstheme="minorHAnsi"/>
        </w:rPr>
        <w:t>Total grants revenue is expected to decline to $39.2 billion in 2022-23, largely driven by a decrease in Commonwealth grants reflecting the jointly funded business support packages provided in 2021-22.</w:t>
      </w:r>
    </w:p>
    <w:p w14:paraId="7A5493FC" w14:textId="15C0CF2E" w:rsidR="00C424E5" w:rsidRPr="00AC6C98" w:rsidRDefault="00C424E5" w:rsidP="006448B4">
      <w:pPr>
        <w:rPr>
          <w:rFonts w:eastAsia="Garamond" w:cstheme="minorHAnsi"/>
          <w:b/>
        </w:rPr>
      </w:pPr>
      <w:r w:rsidRPr="00AC6C98">
        <w:rPr>
          <w:rFonts w:cstheme="minorHAnsi"/>
        </w:rPr>
        <w:t>GST revenue is</w:t>
      </w:r>
      <w:r w:rsidRPr="00AC6C98">
        <w:t xml:space="preserve"> forecast to grow to $18.</w:t>
      </w:r>
      <w:r>
        <w:t>3</w:t>
      </w:r>
      <w:r w:rsidRPr="00AC6C98">
        <w:t xml:space="preserve"> billion in 2022-23. </w:t>
      </w:r>
      <w:r w:rsidRPr="00AC6C98">
        <w:rPr>
          <w:rFonts w:cstheme="minorHAnsi"/>
        </w:rPr>
        <w:t xml:space="preserve">Victoria’s share of the GST pool has decreased from 23.7 per cent in 2021-22 to 23.5 per cent in 2022-23. This largely reflects a reduction </w:t>
      </w:r>
      <w:r>
        <w:rPr>
          <w:rFonts w:cstheme="minorHAnsi"/>
        </w:rPr>
        <w:t>in the rate of Victoria’s population</w:t>
      </w:r>
      <w:r w:rsidRPr="00AC6C98">
        <w:rPr>
          <w:rFonts w:cstheme="minorHAnsi"/>
        </w:rPr>
        <w:t xml:space="preserve"> growth due to the COVID-19 pandemic. However, strong commodity prices (in prior years) and growth in </w:t>
      </w:r>
      <w:r>
        <w:rPr>
          <w:rFonts w:cstheme="minorHAnsi"/>
        </w:rPr>
        <w:t xml:space="preserve">the </w:t>
      </w:r>
      <w:r w:rsidRPr="00AC6C98">
        <w:rPr>
          <w:rFonts w:cstheme="minorHAnsi"/>
        </w:rPr>
        <w:t xml:space="preserve">national GST pool </w:t>
      </w:r>
      <w:r>
        <w:rPr>
          <w:rFonts w:cstheme="minorHAnsi"/>
        </w:rPr>
        <w:t>are</w:t>
      </w:r>
      <w:r w:rsidRPr="00AC6C98">
        <w:rPr>
          <w:rFonts w:cstheme="minorHAnsi"/>
        </w:rPr>
        <w:t xml:space="preserve"> forecast to more than offset this decline.</w:t>
      </w:r>
    </w:p>
    <w:p w14:paraId="19BE1D6A" w14:textId="20D8D00F" w:rsidR="00C424E5" w:rsidRDefault="00C424E5" w:rsidP="006448B4">
      <w:pPr>
        <w:rPr>
          <w:rFonts w:cstheme="minorHAnsi"/>
        </w:rPr>
      </w:pPr>
      <w:r w:rsidRPr="00AC6C98">
        <w:rPr>
          <w:rFonts w:cstheme="minorHAnsi"/>
        </w:rPr>
        <w:t>Over the forward estimates, Victorian GST revenue is expected to increase on average by 5.</w:t>
      </w:r>
      <w:r>
        <w:rPr>
          <w:rFonts w:cstheme="minorHAnsi"/>
        </w:rPr>
        <w:t>7 </w:t>
      </w:r>
      <w:r w:rsidRPr="00AC6C98">
        <w:rPr>
          <w:rFonts w:cstheme="minorHAnsi"/>
        </w:rPr>
        <w:t>per cent a year, buoyed by the continued growth in the GST pool. Victoria’s GST relativity is forecast to decline in 2023-24 before rising due to strength in commodities revenue in commodity</w:t>
      </w:r>
      <w:r>
        <w:rPr>
          <w:rFonts w:cstheme="minorHAnsi"/>
        </w:rPr>
        <w:t>-</w:t>
      </w:r>
      <w:r w:rsidRPr="00AC6C98">
        <w:rPr>
          <w:rFonts w:cstheme="minorHAnsi"/>
        </w:rPr>
        <w:t>rich states.</w:t>
      </w:r>
    </w:p>
    <w:p w14:paraId="2D7B3085" w14:textId="77777777" w:rsidR="00C424E5" w:rsidRPr="00C203E5" w:rsidRDefault="00C424E5" w:rsidP="006448B4">
      <w:pPr>
        <w:pStyle w:val="Heading30"/>
        <w:spacing w:before="200"/>
        <w:rPr>
          <w:rFonts w:eastAsiaTheme="minorHAnsi"/>
        </w:rPr>
      </w:pPr>
      <w:r w:rsidRPr="00C203E5">
        <w:rPr>
          <w:rFonts w:eastAsiaTheme="minorHAnsi"/>
        </w:rPr>
        <w:t>Other current revenue</w:t>
      </w:r>
    </w:p>
    <w:p w14:paraId="6A011CF4" w14:textId="77777777" w:rsidR="00C424E5" w:rsidRPr="00C203E5" w:rsidRDefault="00C424E5" w:rsidP="006448B4">
      <w:r w:rsidRPr="00C203E5">
        <w:t>Other current</w:t>
      </w:r>
      <w:r>
        <w:t xml:space="preserve"> revenue</w:t>
      </w:r>
      <w:r w:rsidRPr="00C203E5">
        <w:t xml:space="preserve"> </w:t>
      </w:r>
      <w:r>
        <w:t>and income includes fines, royalties, donations and gifts, assets received free-of-charge and other miscellaneous revenues. Other revenue is projected to be</w:t>
      </w:r>
      <w:r w:rsidRPr="008D07A9">
        <w:t xml:space="preserve"> $3.</w:t>
      </w:r>
      <w:r>
        <w:t>5 </w:t>
      </w:r>
      <w:r w:rsidRPr="008D07A9">
        <w:t xml:space="preserve">billion in 2022-23, followed by an average decline of </w:t>
      </w:r>
      <w:r>
        <w:t>1</w:t>
      </w:r>
      <w:r w:rsidRPr="008D07A9">
        <w:t>.</w:t>
      </w:r>
      <w:r>
        <w:t>1</w:t>
      </w:r>
      <w:r w:rsidRPr="008D07A9">
        <w:t xml:space="preserve"> per cent a year</w:t>
      </w:r>
      <w:r>
        <w:t xml:space="preserve"> over the forward estimates</w:t>
      </w:r>
      <w:r w:rsidRPr="00AC6C98">
        <w:t>. This revenue profile is primarily driven by the progressive recognition of the Cross Yarra Partnership Consortium’s contributions to additional costs borne by the operator as part of the Metro Tunnel settlement.</w:t>
      </w:r>
    </w:p>
    <w:p w14:paraId="47C0B726" w14:textId="77777777" w:rsidR="00C424E5" w:rsidRPr="00C203E5" w:rsidRDefault="00C424E5" w:rsidP="006448B4">
      <w:pPr>
        <w:pStyle w:val="Heading20"/>
        <w:rPr>
          <w:rFonts w:eastAsiaTheme="minorHAnsi"/>
        </w:rPr>
      </w:pPr>
      <w:r w:rsidRPr="00C203E5">
        <w:rPr>
          <w:rFonts w:eastAsiaTheme="minorHAnsi"/>
        </w:rPr>
        <w:lastRenderedPageBreak/>
        <w:t>Expenses outlook</w:t>
      </w:r>
    </w:p>
    <w:p w14:paraId="473F05F8" w14:textId="77777777" w:rsidR="00C424E5" w:rsidRDefault="00C424E5" w:rsidP="006448B4">
      <w:pPr>
        <w:keepNext/>
      </w:pPr>
      <w:r w:rsidRPr="008D07A9">
        <w:t>The Government is expected to spend $91.</w:t>
      </w:r>
      <w:r>
        <w:t>1</w:t>
      </w:r>
      <w:r w:rsidRPr="008D07A9">
        <w:t xml:space="preserve"> billion in 2022-23. This is a 5.</w:t>
      </w:r>
      <w:r>
        <w:t>9</w:t>
      </w:r>
      <w:r w:rsidRPr="008D07A9">
        <w:t xml:space="preserve"> per cent decrease relative to total expenditure of $96.8 billion in</w:t>
      </w:r>
      <w:r>
        <w:t xml:space="preserve"> 2021-22,</w:t>
      </w:r>
      <w:r w:rsidRPr="008D07A9">
        <w:t xml:space="preserve"> reflecting the tapering of targeted, short-term economic</w:t>
      </w:r>
      <w:r>
        <w:t xml:space="preserve"> support. Total expenditure is then projected</w:t>
      </w:r>
      <w:r w:rsidRPr="008D07A9">
        <w:t xml:space="preserve"> </w:t>
      </w:r>
      <w:r>
        <w:t>to</w:t>
      </w:r>
      <w:r w:rsidRPr="008D07A9">
        <w:t xml:space="preserve"> increase by an average of </w:t>
      </w:r>
      <w:r>
        <w:t>0</w:t>
      </w:r>
      <w:r w:rsidRPr="008D07A9">
        <w:t>.</w:t>
      </w:r>
      <w:r>
        <w:t>5</w:t>
      </w:r>
      <w:r w:rsidRPr="008D07A9">
        <w:t xml:space="preserve"> per cent a</w:t>
      </w:r>
      <w:r>
        <w:t xml:space="preserve"> year over the forward estimates. </w:t>
      </w:r>
    </w:p>
    <w:p w14:paraId="57D4DAC7" w14:textId="77777777" w:rsidR="00C424E5" w:rsidRDefault="00C424E5" w:rsidP="006448B4">
      <w:pPr>
        <w:keepNext/>
        <w:spacing w:after="120"/>
      </w:pPr>
      <w:r>
        <w:t>Moderation of expenditure growth over the forward estimates supports the Government’s fiscal strategy to achieve an operating surplus by the end of the forward estimates.</w:t>
      </w:r>
    </w:p>
    <w:p w14:paraId="1BD9DC69" w14:textId="77777777" w:rsidR="00C424E5" w:rsidRDefault="00C424E5" w:rsidP="006448B4">
      <w:pPr>
        <w:pStyle w:val="ListParagraph"/>
        <w:keepLines w:val="0"/>
        <w:numPr>
          <w:ilvl w:val="0"/>
          <w:numId w:val="47"/>
        </w:numPr>
        <w:spacing w:after="120"/>
        <w:ind w:left="357" w:hanging="357"/>
        <w:contextualSpacing w:val="0"/>
      </w:pPr>
      <w:r>
        <w:t xml:space="preserve">Employee expenses (including superannuation) is forecast to grow </w:t>
      </w:r>
      <w:r w:rsidRPr="008D07A9">
        <w:t>to $3</w:t>
      </w:r>
      <w:r>
        <w:t>7</w:t>
      </w:r>
      <w:r w:rsidRPr="008D07A9">
        <w:t>.</w:t>
      </w:r>
      <w:r>
        <w:t>6</w:t>
      </w:r>
      <w:r w:rsidRPr="008D07A9">
        <w:t xml:space="preserve"> billion in 2022</w:t>
      </w:r>
      <w:r>
        <w:t xml:space="preserve">-23, </w:t>
      </w:r>
      <w:r w:rsidRPr="00AC6C98">
        <w:t>primarily reflect</w:t>
      </w:r>
      <w:r>
        <w:t>ing</w:t>
      </w:r>
      <w:r w:rsidRPr="00AC6C98">
        <w:t xml:space="preserve"> the Government’s significant response to the COVID-19 pandemic</w:t>
      </w:r>
      <w:r>
        <w:t xml:space="preserve"> and investment in the health workforce in 2021-22</w:t>
      </w:r>
      <w:r w:rsidRPr="00AC6C98">
        <w:t>.</w:t>
      </w:r>
      <w:r>
        <w:t xml:space="preserve"> Average growth over the forward estimates </w:t>
      </w:r>
      <w:r w:rsidRPr="008D07A9">
        <w:t>of 2.</w:t>
      </w:r>
      <w:r>
        <w:t>1</w:t>
      </w:r>
      <w:r w:rsidRPr="008D07A9">
        <w:t xml:space="preserve"> per cent</w:t>
      </w:r>
      <w:r>
        <w:t xml:space="preserve"> a year is forecast, consistent with service delivery requirements and enterprise bargaining agreements. </w:t>
      </w:r>
    </w:p>
    <w:p w14:paraId="0FE97300" w14:textId="223C4B8C" w:rsidR="00C424E5" w:rsidRPr="009D76EA" w:rsidRDefault="00C424E5" w:rsidP="004A4CE3">
      <w:pPr>
        <w:pStyle w:val="ListParagraph"/>
        <w:keepLines w:val="0"/>
        <w:numPr>
          <w:ilvl w:val="0"/>
          <w:numId w:val="47"/>
        </w:numPr>
        <w:spacing w:after="120"/>
        <w:ind w:left="357" w:right="-212" w:hanging="357"/>
        <w:contextualSpacing w:val="0"/>
      </w:pPr>
      <w:r w:rsidRPr="009D76EA">
        <w:t>Depreciation expense is forecast to grow to $4.7 billion in 2022-23, and by an average of 2.6</w:t>
      </w:r>
      <w:r w:rsidR="004A4CE3">
        <w:t> </w:t>
      </w:r>
      <w:r w:rsidRPr="009D76EA">
        <w:t>per</w:t>
      </w:r>
      <w:r w:rsidR="004A4CE3">
        <w:t> </w:t>
      </w:r>
      <w:r w:rsidRPr="009D76EA">
        <w:t xml:space="preserve">cent a year over the forward estimates to $5.1 billion by 2025-26. Growth in depreciation is broadly in line with continuing high levels of investment in infrastructure. </w:t>
      </w:r>
    </w:p>
    <w:p w14:paraId="09ED8C16" w14:textId="77777777" w:rsidR="00C424E5" w:rsidRPr="009D76EA" w:rsidRDefault="00C424E5" w:rsidP="006448B4">
      <w:pPr>
        <w:pStyle w:val="ListParagraph"/>
        <w:keepLines w:val="0"/>
        <w:numPr>
          <w:ilvl w:val="0"/>
          <w:numId w:val="47"/>
        </w:numPr>
        <w:spacing w:after="120"/>
        <w:ind w:left="357" w:hanging="357"/>
        <w:contextualSpacing w:val="0"/>
      </w:pPr>
      <w:bookmarkStart w:id="31" w:name="_Hlk116546221"/>
      <w:r w:rsidRPr="009D76EA">
        <w:t>Interest expense is forecast to grow to $3.</w:t>
      </w:r>
      <w:r>
        <w:t>9</w:t>
      </w:r>
      <w:r w:rsidRPr="009D76EA">
        <w:t xml:space="preserve"> billion in 2022-23, and to $7.3 billion by 2025-26 as the Government increases borrowings to fund its response to the COVID-19 pandemic and continue </w:t>
      </w:r>
      <w:r>
        <w:t xml:space="preserve">the </w:t>
      </w:r>
      <w:r w:rsidRPr="009D76EA">
        <w:t xml:space="preserve">significant levels of infrastructure investment under Victoria’s Big Build. </w:t>
      </w:r>
      <w:r w:rsidRPr="00BD7BCB">
        <w:t>Interest expense as a share of total revenue is expected to average 6.4 per cent a year over the budget and forward estimates, well below the levels seen during the 1990s.</w:t>
      </w:r>
    </w:p>
    <w:bookmarkEnd w:id="31"/>
    <w:p w14:paraId="7923ED99" w14:textId="77777777" w:rsidR="00C424E5" w:rsidRDefault="00C424E5" w:rsidP="006448B4">
      <w:pPr>
        <w:pStyle w:val="ListParagraph"/>
        <w:keepLines w:val="0"/>
        <w:numPr>
          <w:ilvl w:val="0"/>
          <w:numId w:val="47"/>
        </w:numPr>
        <w:spacing w:after="120"/>
        <w:ind w:left="357" w:hanging="357"/>
        <w:contextualSpacing w:val="0"/>
      </w:pPr>
      <w:r>
        <w:t xml:space="preserve">Grant expenses are forecast to </w:t>
      </w:r>
      <w:r w:rsidRPr="009D76EA">
        <w:t>fall to $</w:t>
      </w:r>
      <w:r>
        <w:t>18.2</w:t>
      </w:r>
      <w:r w:rsidRPr="009D76EA">
        <w:t xml:space="preserve"> billion in 2022-23</w:t>
      </w:r>
      <w:r>
        <w:t>,</w:t>
      </w:r>
      <w:r w:rsidRPr="009D76EA">
        <w:t xml:space="preserve"> largely </w:t>
      </w:r>
      <w:r>
        <w:t>reflecting</w:t>
      </w:r>
      <w:r w:rsidRPr="009D76EA">
        <w:t xml:space="preserve"> the additional business support grants provided to Victorian businesses in 2021-22. Grants expenses are then expected to </w:t>
      </w:r>
      <w:r>
        <w:t xml:space="preserve">continue to decrease </w:t>
      </w:r>
      <w:r w:rsidRPr="009D76EA">
        <w:t xml:space="preserve">by an average of </w:t>
      </w:r>
      <w:r>
        <w:t>4</w:t>
      </w:r>
      <w:r w:rsidRPr="009D76EA">
        <w:t>.</w:t>
      </w:r>
      <w:r>
        <w:t>8 </w:t>
      </w:r>
      <w:r w:rsidRPr="009D76EA">
        <w:t>per</w:t>
      </w:r>
      <w:r>
        <w:t> </w:t>
      </w:r>
      <w:r w:rsidRPr="009D76EA">
        <w:t>cent a</w:t>
      </w:r>
      <w:r>
        <w:t xml:space="preserve"> year over the forward estimates</w:t>
      </w:r>
      <w:r w:rsidRPr="00F02D50">
        <w:t xml:space="preserve">, largely reflecting </w:t>
      </w:r>
      <w:r>
        <w:t xml:space="preserve">the tapering of COVID-19 pandemic support initiatives. </w:t>
      </w:r>
    </w:p>
    <w:p w14:paraId="725EFCF7" w14:textId="77777777" w:rsidR="00C424E5" w:rsidRDefault="00C424E5" w:rsidP="006448B4">
      <w:pPr>
        <w:pStyle w:val="ListParagraph"/>
        <w:keepLines w:val="0"/>
        <w:numPr>
          <w:ilvl w:val="0"/>
          <w:numId w:val="47"/>
        </w:numPr>
        <w:spacing w:after="120"/>
        <w:ind w:left="357" w:hanging="357"/>
        <w:contextualSpacing w:val="0"/>
      </w:pPr>
      <w:r>
        <w:t xml:space="preserve">Other operating expenses are forecast to fall </w:t>
      </w:r>
      <w:r w:rsidRPr="009D76EA">
        <w:t>to $2</w:t>
      </w:r>
      <w:r>
        <w:t>6</w:t>
      </w:r>
      <w:r w:rsidRPr="009D76EA">
        <w:t>.</w:t>
      </w:r>
      <w:r>
        <w:t>7</w:t>
      </w:r>
      <w:r w:rsidRPr="009D76EA">
        <w:t xml:space="preserve"> billion in</w:t>
      </w:r>
      <w:r>
        <w:t xml:space="preserve"> 2022-23, </w:t>
      </w:r>
      <w:r w:rsidRPr="00064CB8">
        <w:t>reflecting the additional support provided for the Government’s health response to the COVID-19 pandemic in 2021-22.</w:t>
      </w:r>
      <w:r>
        <w:t xml:space="preserve"> Other operating expenses are then expected to decline </w:t>
      </w:r>
      <w:r w:rsidRPr="009D76EA">
        <w:t xml:space="preserve">by </w:t>
      </w:r>
      <w:r>
        <w:t>9</w:t>
      </w:r>
      <w:r w:rsidRPr="00064CB8">
        <w:t>.</w:t>
      </w:r>
      <w:r>
        <w:t>2 </w:t>
      </w:r>
      <w:r w:rsidRPr="00064CB8">
        <w:t>per</w:t>
      </w:r>
      <w:r>
        <w:t> </w:t>
      </w:r>
      <w:r w:rsidRPr="00064CB8">
        <w:t>cent in 2023-24 as expenditure commitments attributable to the COVID-19 response continue to reduce.</w:t>
      </w:r>
    </w:p>
    <w:p w14:paraId="411B8FA2" w14:textId="77777777" w:rsidR="00C424E5" w:rsidRPr="00C203E5" w:rsidRDefault="00C424E5" w:rsidP="006448B4">
      <w:pPr>
        <w:keepLines w:val="0"/>
        <w:rPr>
          <w:rFonts w:asciiTheme="majorHAnsi" w:hAnsiTheme="majorHAnsi" w:cstheme="majorBidi"/>
          <w:b/>
          <w:spacing w:val="-2"/>
          <w:sz w:val="26"/>
          <w:szCs w:val="26"/>
        </w:rPr>
      </w:pPr>
      <w:r w:rsidRPr="00C203E5">
        <w:br w:type="page"/>
      </w:r>
    </w:p>
    <w:p w14:paraId="59621616" w14:textId="77777777" w:rsidR="00C424E5" w:rsidRPr="00C203E5" w:rsidRDefault="00C424E5" w:rsidP="006448B4">
      <w:pPr>
        <w:pStyle w:val="Heading20"/>
        <w:rPr>
          <w:rFonts w:eastAsiaTheme="minorHAnsi"/>
        </w:rPr>
      </w:pPr>
      <w:r w:rsidRPr="00C203E5">
        <w:rPr>
          <w:rFonts w:eastAsiaTheme="minorHAnsi"/>
        </w:rPr>
        <w:lastRenderedPageBreak/>
        <w:t xml:space="preserve">Reconciliation of estimates to the </w:t>
      </w:r>
      <w:r w:rsidRPr="00C203E5">
        <w:rPr>
          <w:rFonts w:eastAsiaTheme="minorHAnsi"/>
          <w:i/>
        </w:rPr>
        <w:t>20</w:t>
      </w:r>
      <w:r>
        <w:rPr>
          <w:rFonts w:eastAsiaTheme="minorHAnsi"/>
          <w:i/>
        </w:rPr>
        <w:t>22</w:t>
      </w:r>
      <w:r w:rsidRPr="00C203E5">
        <w:rPr>
          <w:rFonts w:eastAsiaTheme="minorHAnsi"/>
          <w:i/>
        </w:rPr>
        <w:noBreakHyphen/>
      </w:r>
      <w:r>
        <w:rPr>
          <w:rFonts w:eastAsiaTheme="minorHAnsi"/>
          <w:i/>
        </w:rPr>
        <w:t>23</w:t>
      </w:r>
      <w:r w:rsidRPr="00C203E5">
        <w:rPr>
          <w:rFonts w:eastAsiaTheme="minorHAnsi"/>
          <w:i/>
        </w:rPr>
        <w:t xml:space="preserve"> Budget</w:t>
      </w:r>
    </w:p>
    <w:p w14:paraId="22F63AD6" w14:textId="57E92FDE" w:rsidR="00C424E5" w:rsidRPr="00C203E5" w:rsidRDefault="00C424E5" w:rsidP="006448B4">
      <w:r w:rsidRPr="0063155D">
        <w:t xml:space="preserve">Relative to the </w:t>
      </w:r>
      <w:r w:rsidRPr="0063155D">
        <w:rPr>
          <w:i/>
          <w:iCs/>
        </w:rPr>
        <w:t>2022-23 Budget</w:t>
      </w:r>
      <w:r w:rsidRPr="0063155D">
        <w:t>, the net result from transactions has been revised down by $1.</w:t>
      </w:r>
      <w:r>
        <w:t>8</w:t>
      </w:r>
      <w:r w:rsidRPr="0063155D">
        <w:t xml:space="preserve"> billion in 2022-23, down by $0.</w:t>
      </w:r>
      <w:r>
        <w:t>3</w:t>
      </w:r>
      <w:r w:rsidRPr="0063155D">
        <w:t xml:space="preserve"> billion in 2023-24</w:t>
      </w:r>
      <w:r>
        <w:t>,</w:t>
      </w:r>
      <w:r w:rsidRPr="0063155D">
        <w:t xml:space="preserve"> up by $0.</w:t>
      </w:r>
      <w:r>
        <w:t>4</w:t>
      </w:r>
      <w:r w:rsidRPr="0063155D">
        <w:t xml:space="preserve"> billion in 2024-25</w:t>
      </w:r>
      <w:r>
        <w:t xml:space="preserve"> and up by $0.2 billion in 2025-26</w:t>
      </w:r>
      <w:r w:rsidR="00B20465">
        <w:t xml:space="preserve"> </w:t>
      </w:r>
      <w:r w:rsidRPr="00C203E5">
        <w:t xml:space="preserve">(Table </w:t>
      </w:r>
      <w:r>
        <w:t>2.3</w:t>
      </w:r>
      <w:r w:rsidRPr="00C203E5">
        <w:t>).</w:t>
      </w:r>
    </w:p>
    <w:p w14:paraId="5B3BEC59" w14:textId="77777777" w:rsidR="00C424E5" w:rsidRDefault="00C424E5" w:rsidP="00DD5278">
      <w:pPr>
        <w:pStyle w:val="TableHeading"/>
      </w:pPr>
      <w:r w:rsidRPr="00C203E5">
        <w:t xml:space="preserve">Table </w:t>
      </w:r>
      <w:r>
        <w:t>2.3</w:t>
      </w:r>
      <w:r w:rsidRPr="00C203E5">
        <w:t xml:space="preserve">: </w:t>
      </w:r>
      <w:r w:rsidRPr="00C203E5">
        <w:tab/>
        <w:t xml:space="preserve">Reconciliation of estimates to the </w:t>
      </w:r>
      <w:r w:rsidRPr="00C203E5">
        <w:rPr>
          <w:i/>
        </w:rPr>
        <w:t>20</w:t>
      </w:r>
      <w:r>
        <w:rPr>
          <w:i/>
        </w:rPr>
        <w:t>22</w:t>
      </w:r>
      <w:r w:rsidRPr="00C203E5">
        <w:rPr>
          <w:i/>
        </w:rPr>
        <w:noBreakHyphen/>
      </w:r>
      <w:r>
        <w:rPr>
          <w:i/>
        </w:rPr>
        <w:t>23</w:t>
      </w:r>
      <w:r w:rsidRPr="00C203E5">
        <w:rPr>
          <w:i/>
        </w:rPr>
        <w:t xml:space="preserve"> Budget</w:t>
      </w:r>
      <w:r>
        <w:rPr>
          <w:i/>
        </w:rPr>
        <w:t xml:space="preserve"> </w:t>
      </w:r>
      <w:r w:rsidRPr="00C203E5">
        <w:rPr>
          <w:vertAlign w:val="superscript"/>
        </w:rPr>
        <w:t>(a)</w:t>
      </w:r>
      <w:r w:rsidRPr="00C203E5">
        <w:t xml:space="preserve"> </w:t>
      </w:r>
      <w:r w:rsidRPr="00C203E5">
        <w:tab/>
        <w:t>($</w:t>
      </w:r>
      <w:r>
        <w:t> million</w:t>
      </w:r>
      <w:r w:rsidRPr="00C203E5">
        <w:t>)</w:t>
      </w:r>
    </w:p>
    <w:tbl>
      <w:tblPr>
        <w:tblStyle w:val="DTFTableNumeric"/>
        <w:tblW w:w="7710" w:type="dxa"/>
        <w:tblLayout w:type="fixed"/>
        <w:tblLook w:val="06A0" w:firstRow="1" w:lastRow="0" w:firstColumn="1" w:lastColumn="0" w:noHBand="1" w:noVBand="1"/>
      </w:tblPr>
      <w:tblGrid>
        <w:gridCol w:w="4534"/>
        <w:gridCol w:w="794"/>
        <w:gridCol w:w="794"/>
        <w:gridCol w:w="794"/>
        <w:gridCol w:w="794"/>
      </w:tblGrid>
      <w:tr w:rsidR="00C424E5" w14:paraId="387C3846" w14:textId="77777777" w:rsidTr="00DD52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4" w:type="dxa"/>
            <w:tcBorders>
              <w:top w:val="single" w:sz="0" w:space="0" w:color="auto"/>
            </w:tcBorders>
          </w:tcPr>
          <w:p w14:paraId="24E6EC8C" w14:textId="3CCC7463" w:rsidR="00C424E5" w:rsidRDefault="00C424E5" w:rsidP="00A8365C">
            <w:pPr>
              <w:spacing w:after="0"/>
            </w:pPr>
          </w:p>
        </w:tc>
        <w:tc>
          <w:tcPr>
            <w:tcW w:w="794" w:type="dxa"/>
            <w:tcBorders>
              <w:top w:val="single" w:sz="0" w:space="0" w:color="auto"/>
            </w:tcBorders>
          </w:tcPr>
          <w:p w14:paraId="4A0D8502" w14:textId="77777777" w:rsidR="00C424E5" w:rsidRDefault="00C424E5" w:rsidP="00A8365C">
            <w:pPr>
              <w:spacing w:after="0"/>
              <w:cnfStyle w:val="100000000000" w:firstRow="1" w:lastRow="0" w:firstColumn="0" w:lastColumn="0" w:oddVBand="0" w:evenVBand="0" w:oddHBand="0" w:evenHBand="0" w:firstRowFirstColumn="0" w:firstRowLastColumn="0" w:lastRowFirstColumn="0" w:lastRowLastColumn="0"/>
            </w:pPr>
            <w:r>
              <w:t>2022</w:t>
            </w:r>
            <w:r>
              <w:noBreakHyphen/>
              <w:t>23</w:t>
            </w:r>
            <w:r>
              <w:rPr>
                <w:i w:val="0"/>
              </w:rPr>
              <w:br/>
            </w:r>
            <w:r>
              <w:t>revised</w:t>
            </w:r>
          </w:p>
        </w:tc>
        <w:tc>
          <w:tcPr>
            <w:tcW w:w="794" w:type="dxa"/>
            <w:tcBorders>
              <w:top w:val="single" w:sz="0" w:space="0" w:color="auto"/>
            </w:tcBorders>
          </w:tcPr>
          <w:p w14:paraId="03B488E1" w14:textId="77777777" w:rsidR="00C424E5" w:rsidRDefault="00C424E5" w:rsidP="00A8365C">
            <w:pPr>
              <w:spacing w:after="0"/>
              <w:cnfStyle w:val="100000000000" w:firstRow="1" w:lastRow="0" w:firstColumn="0" w:lastColumn="0" w:oddVBand="0" w:evenVBand="0" w:oddHBand="0" w:evenHBand="0" w:firstRowFirstColumn="0" w:firstRowLastColumn="0" w:lastRowFirstColumn="0" w:lastRowLastColumn="0"/>
            </w:pPr>
            <w:r>
              <w:t>2023</w:t>
            </w:r>
            <w:r>
              <w:noBreakHyphen/>
              <w:t>24</w:t>
            </w:r>
            <w:r>
              <w:rPr>
                <w:i w:val="0"/>
              </w:rPr>
              <w:br/>
            </w:r>
            <w:r>
              <w:t>estimate</w:t>
            </w:r>
          </w:p>
        </w:tc>
        <w:tc>
          <w:tcPr>
            <w:tcW w:w="794" w:type="dxa"/>
            <w:tcBorders>
              <w:top w:val="single" w:sz="0" w:space="0" w:color="auto"/>
            </w:tcBorders>
          </w:tcPr>
          <w:p w14:paraId="3FF3C979" w14:textId="77777777" w:rsidR="00C424E5" w:rsidRDefault="00C424E5" w:rsidP="00A8365C">
            <w:pPr>
              <w:spacing w:after="0"/>
              <w:cnfStyle w:val="100000000000" w:firstRow="1" w:lastRow="0" w:firstColumn="0" w:lastColumn="0" w:oddVBand="0" w:evenVBand="0" w:oddHBand="0" w:evenHBand="0" w:firstRowFirstColumn="0" w:firstRowLastColumn="0" w:lastRowFirstColumn="0" w:lastRowLastColumn="0"/>
            </w:pPr>
            <w:r>
              <w:t>2024</w:t>
            </w:r>
            <w:r>
              <w:noBreakHyphen/>
              <w:t>25</w:t>
            </w:r>
            <w:r>
              <w:rPr>
                <w:i w:val="0"/>
              </w:rPr>
              <w:br/>
            </w:r>
            <w:r>
              <w:t>estimate</w:t>
            </w:r>
          </w:p>
        </w:tc>
        <w:tc>
          <w:tcPr>
            <w:tcW w:w="794" w:type="dxa"/>
            <w:tcBorders>
              <w:top w:val="single" w:sz="0" w:space="0" w:color="auto"/>
            </w:tcBorders>
          </w:tcPr>
          <w:p w14:paraId="06850778" w14:textId="77777777" w:rsidR="00C424E5" w:rsidRDefault="00C424E5" w:rsidP="00A8365C">
            <w:pPr>
              <w:spacing w:after="0"/>
              <w:cnfStyle w:val="100000000000" w:firstRow="1" w:lastRow="0" w:firstColumn="0" w:lastColumn="0" w:oddVBand="0" w:evenVBand="0" w:oddHBand="0" w:evenHBand="0" w:firstRowFirstColumn="0" w:firstRowLastColumn="0" w:lastRowFirstColumn="0" w:lastRowLastColumn="0"/>
            </w:pPr>
            <w:r>
              <w:t>2025</w:t>
            </w:r>
            <w:r>
              <w:noBreakHyphen/>
              <w:t>26</w:t>
            </w:r>
            <w:r>
              <w:rPr>
                <w:i w:val="0"/>
              </w:rPr>
              <w:br/>
            </w:r>
            <w:r>
              <w:t>estimate</w:t>
            </w:r>
          </w:p>
        </w:tc>
      </w:tr>
      <w:tr w:rsidR="00C424E5" w14:paraId="188B504D" w14:textId="77777777">
        <w:tc>
          <w:tcPr>
            <w:cnfStyle w:val="001000000000" w:firstRow="0" w:lastRow="0" w:firstColumn="1" w:lastColumn="0" w:oddVBand="0" w:evenVBand="0" w:oddHBand="0" w:evenHBand="0" w:firstRowFirstColumn="0" w:firstRowLastColumn="0" w:lastRowFirstColumn="0" w:lastRowLastColumn="0"/>
            <w:tcW w:w="4534" w:type="dxa"/>
          </w:tcPr>
          <w:p w14:paraId="10879951" w14:textId="77777777" w:rsidR="00C424E5" w:rsidRDefault="00C424E5">
            <w:r>
              <w:rPr>
                <w:b/>
              </w:rPr>
              <w:t xml:space="preserve">Net result from transactions: </w:t>
            </w:r>
            <w:r>
              <w:rPr>
                <w:b/>
                <w:i/>
              </w:rPr>
              <w:t>2022</w:t>
            </w:r>
            <w:r>
              <w:rPr>
                <w:b/>
                <w:i/>
              </w:rPr>
              <w:noBreakHyphen/>
              <w:t>23 Budget</w:t>
            </w:r>
          </w:p>
        </w:tc>
        <w:tc>
          <w:tcPr>
            <w:tcW w:w="794" w:type="dxa"/>
          </w:tcPr>
          <w:p w14:paraId="3D1181A2"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(7 864)</w:t>
            </w:r>
          </w:p>
        </w:tc>
        <w:tc>
          <w:tcPr>
            <w:tcW w:w="794" w:type="dxa"/>
          </w:tcPr>
          <w:p w14:paraId="63A6E915"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(3 263)</w:t>
            </w:r>
          </w:p>
        </w:tc>
        <w:tc>
          <w:tcPr>
            <w:tcW w:w="794" w:type="dxa"/>
          </w:tcPr>
          <w:p w14:paraId="1548C48A"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(1 126)</w:t>
            </w:r>
          </w:p>
        </w:tc>
        <w:tc>
          <w:tcPr>
            <w:tcW w:w="794" w:type="dxa"/>
          </w:tcPr>
          <w:p w14:paraId="23A8A9EB"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652</w:t>
            </w:r>
          </w:p>
        </w:tc>
      </w:tr>
      <w:tr w:rsidR="00C424E5" w14:paraId="0C87A55E" w14:textId="77777777">
        <w:tc>
          <w:tcPr>
            <w:cnfStyle w:val="001000000000" w:firstRow="0" w:lastRow="0" w:firstColumn="1" w:lastColumn="0" w:oddVBand="0" w:evenVBand="0" w:oddHBand="0" w:evenHBand="0" w:firstRowFirstColumn="0" w:firstRowLastColumn="0" w:lastRowFirstColumn="0" w:lastRowLastColumn="0"/>
            <w:tcW w:w="4534" w:type="dxa"/>
          </w:tcPr>
          <w:p w14:paraId="339448BB" w14:textId="77777777" w:rsidR="00C424E5" w:rsidRDefault="00C424E5">
            <w:r>
              <w:rPr>
                <w:b/>
              </w:rPr>
              <w:t>Policy variations</w:t>
            </w:r>
          </w:p>
        </w:tc>
        <w:tc>
          <w:tcPr>
            <w:tcW w:w="794" w:type="dxa"/>
          </w:tcPr>
          <w:p w14:paraId="5AB6EE98"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36EC340E"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1E95DA13"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75DBCE56"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4AA7DDE4" w14:textId="77777777">
        <w:tc>
          <w:tcPr>
            <w:cnfStyle w:val="001000000000" w:firstRow="0" w:lastRow="0" w:firstColumn="1" w:lastColumn="0" w:oddVBand="0" w:evenVBand="0" w:oddHBand="0" w:evenHBand="0" w:firstRowFirstColumn="0" w:firstRowLastColumn="0" w:lastRowFirstColumn="0" w:lastRowLastColumn="0"/>
            <w:tcW w:w="4534" w:type="dxa"/>
          </w:tcPr>
          <w:p w14:paraId="4ADFBED2" w14:textId="77777777" w:rsidR="00C424E5" w:rsidRDefault="00C424E5">
            <w:r>
              <w:t xml:space="preserve">  Revenue policy initiatives</w:t>
            </w:r>
          </w:p>
        </w:tc>
        <w:tc>
          <w:tcPr>
            <w:tcW w:w="794" w:type="dxa"/>
          </w:tcPr>
          <w:p w14:paraId="04A8568F"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490D5E60"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20EA6C15"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5C4127FC"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r>
      <w:tr w:rsidR="00C424E5" w14:paraId="44B8763E" w14:textId="77777777">
        <w:tc>
          <w:tcPr>
            <w:cnfStyle w:val="001000000000" w:firstRow="0" w:lastRow="0" w:firstColumn="1" w:lastColumn="0" w:oddVBand="0" w:evenVBand="0" w:oddHBand="0" w:evenHBand="0" w:firstRowFirstColumn="0" w:firstRowLastColumn="0" w:lastRowFirstColumn="0" w:lastRowLastColumn="0"/>
            <w:tcW w:w="4534" w:type="dxa"/>
          </w:tcPr>
          <w:p w14:paraId="24F84A86" w14:textId="77777777" w:rsidR="00C424E5" w:rsidRDefault="00C424E5">
            <w:r>
              <w:t xml:space="preserve">  Output policy initiatives </w:t>
            </w:r>
            <w:r>
              <w:rPr>
                <w:vertAlign w:val="superscript"/>
              </w:rPr>
              <w:t>(b)</w:t>
            </w:r>
          </w:p>
        </w:tc>
        <w:tc>
          <w:tcPr>
            <w:tcW w:w="794" w:type="dxa"/>
          </w:tcPr>
          <w:p w14:paraId="644FB039" w14:textId="77777777" w:rsidR="00C424E5" w:rsidRDefault="00C424E5">
            <w:pPr>
              <w:cnfStyle w:val="000000000000" w:firstRow="0" w:lastRow="0" w:firstColumn="0" w:lastColumn="0" w:oddVBand="0" w:evenVBand="0" w:oddHBand="0" w:evenHBand="0" w:firstRowFirstColumn="0" w:firstRowLastColumn="0" w:lastRowFirstColumn="0" w:lastRowLastColumn="0"/>
            </w:pPr>
            <w:r>
              <w:t>(1 904)</w:t>
            </w:r>
          </w:p>
        </w:tc>
        <w:tc>
          <w:tcPr>
            <w:tcW w:w="794" w:type="dxa"/>
          </w:tcPr>
          <w:p w14:paraId="602867BA" w14:textId="77777777" w:rsidR="00C424E5" w:rsidRDefault="00C424E5">
            <w:pPr>
              <w:cnfStyle w:val="000000000000" w:firstRow="0" w:lastRow="0" w:firstColumn="0" w:lastColumn="0" w:oddVBand="0" w:evenVBand="0" w:oddHBand="0" w:evenHBand="0" w:firstRowFirstColumn="0" w:firstRowLastColumn="0" w:lastRowFirstColumn="0" w:lastRowLastColumn="0"/>
            </w:pPr>
            <w:r>
              <w:t>(423)</w:t>
            </w:r>
          </w:p>
        </w:tc>
        <w:tc>
          <w:tcPr>
            <w:tcW w:w="794" w:type="dxa"/>
          </w:tcPr>
          <w:p w14:paraId="09202F6D" w14:textId="77777777" w:rsidR="00C424E5" w:rsidRDefault="00C424E5">
            <w:pPr>
              <w:cnfStyle w:val="000000000000" w:firstRow="0" w:lastRow="0" w:firstColumn="0" w:lastColumn="0" w:oddVBand="0" w:evenVBand="0" w:oddHBand="0" w:evenHBand="0" w:firstRowFirstColumn="0" w:firstRowLastColumn="0" w:lastRowFirstColumn="0" w:lastRowLastColumn="0"/>
            </w:pPr>
            <w:r>
              <w:t>(652)</w:t>
            </w:r>
          </w:p>
        </w:tc>
        <w:tc>
          <w:tcPr>
            <w:tcW w:w="794" w:type="dxa"/>
          </w:tcPr>
          <w:p w14:paraId="32C82ECE" w14:textId="77777777" w:rsidR="00C424E5" w:rsidRDefault="00C424E5">
            <w:pPr>
              <w:cnfStyle w:val="000000000000" w:firstRow="0" w:lastRow="0" w:firstColumn="0" w:lastColumn="0" w:oddVBand="0" w:evenVBand="0" w:oddHBand="0" w:evenHBand="0" w:firstRowFirstColumn="0" w:firstRowLastColumn="0" w:lastRowFirstColumn="0" w:lastRowLastColumn="0"/>
            </w:pPr>
            <w:r>
              <w:t>(919)</w:t>
            </w:r>
          </w:p>
        </w:tc>
      </w:tr>
      <w:tr w:rsidR="00C424E5" w14:paraId="2D6BD739" w14:textId="77777777">
        <w:tc>
          <w:tcPr>
            <w:cnfStyle w:val="001000000000" w:firstRow="0" w:lastRow="0" w:firstColumn="1" w:lastColumn="0" w:oddVBand="0" w:evenVBand="0" w:oddHBand="0" w:evenHBand="0" w:firstRowFirstColumn="0" w:firstRowLastColumn="0" w:lastRowFirstColumn="0" w:lastRowLastColumn="0"/>
            <w:tcW w:w="4534" w:type="dxa"/>
          </w:tcPr>
          <w:p w14:paraId="739D0774" w14:textId="77777777" w:rsidR="00C424E5" w:rsidRDefault="00C424E5"/>
        </w:tc>
        <w:tc>
          <w:tcPr>
            <w:tcW w:w="794" w:type="dxa"/>
          </w:tcPr>
          <w:p w14:paraId="6A33F2A9"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(1 904)</w:t>
            </w:r>
          </w:p>
        </w:tc>
        <w:tc>
          <w:tcPr>
            <w:tcW w:w="794" w:type="dxa"/>
          </w:tcPr>
          <w:p w14:paraId="65F1319B"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(423)</w:t>
            </w:r>
          </w:p>
        </w:tc>
        <w:tc>
          <w:tcPr>
            <w:tcW w:w="794" w:type="dxa"/>
          </w:tcPr>
          <w:p w14:paraId="7108FCF1"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(652)</w:t>
            </w:r>
          </w:p>
        </w:tc>
        <w:tc>
          <w:tcPr>
            <w:tcW w:w="794" w:type="dxa"/>
          </w:tcPr>
          <w:p w14:paraId="00DCB080"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(919)</w:t>
            </w:r>
          </w:p>
        </w:tc>
      </w:tr>
      <w:tr w:rsidR="00C424E5" w14:paraId="6ED222AA" w14:textId="77777777">
        <w:tc>
          <w:tcPr>
            <w:cnfStyle w:val="001000000000" w:firstRow="0" w:lastRow="0" w:firstColumn="1" w:lastColumn="0" w:oddVBand="0" w:evenVBand="0" w:oddHBand="0" w:evenHBand="0" w:firstRowFirstColumn="0" w:firstRowLastColumn="0" w:lastRowFirstColumn="0" w:lastRowLastColumn="0"/>
            <w:tcW w:w="4534" w:type="dxa"/>
          </w:tcPr>
          <w:p w14:paraId="1D2C6C71" w14:textId="77777777" w:rsidR="00C424E5" w:rsidRDefault="00C424E5">
            <w:r>
              <w:rPr>
                <w:b/>
              </w:rPr>
              <w:t>Economic/demographic variations</w:t>
            </w:r>
          </w:p>
        </w:tc>
        <w:tc>
          <w:tcPr>
            <w:tcW w:w="794" w:type="dxa"/>
          </w:tcPr>
          <w:p w14:paraId="4C48FC03"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26F8CFD4"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3249B3CF"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5083E417"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2ECB4977" w14:textId="77777777">
        <w:tc>
          <w:tcPr>
            <w:cnfStyle w:val="001000000000" w:firstRow="0" w:lastRow="0" w:firstColumn="1" w:lastColumn="0" w:oddVBand="0" w:evenVBand="0" w:oddHBand="0" w:evenHBand="0" w:firstRowFirstColumn="0" w:firstRowLastColumn="0" w:lastRowFirstColumn="0" w:lastRowLastColumn="0"/>
            <w:tcW w:w="4534" w:type="dxa"/>
          </w:tcPr>
          <w:p w14:paraId="0E88CB92" w14:textId="77777777" w:rsidR="00C424E5" w:rsidRDefault="00C424E5">
            <w:r>
              <w:t xml:space="preserve">  Taxation</w:t>
            </w:r>
          </w:p>
        </w:tc>
        <w:tc>
          <w:tcPr>
            <w:tcW w:w="794" w:type="dxa"/>
          </w:tcPr>
          <w:p w14:paraId="30F6649A" w14:textId="77777777" w:rsidR="00C424E5" w:rsidRDefault="00C424E5">
            <w:pPr>
              <w:cnfStyle w:val="000000000000" w:firstRow="0" w:lastRow="0" w:firstColumn="0" w:lastColumn="0" w:oddVBand="0" w:evenVBand="0" w:oddHBand="0" w:evenHBand="0" w:firstRowFirstColumn="0" w:firstRowLastColumn="0" w:lastRowFirstColumn="0" w:lastRowLastColumn="0"/>
            </w:pPr>
            <w:r>
              <w:t>678</w:t>
            </w:r>
          </w:p>
        </w:tc>
        <w:tc>
          <w:tcPr>
            <w:tcW w:w="794" w:type="dxa"/>
          </w:tcPr>
          <w:p w14:paraId="777E2323" w14:textId="77777777" w:rsidR="00C424E5" w:rsidRDefault="00C424E5">
            <w:pPr>
              <w:cnfStyle w:val="000000000000" w:firstRow="0" w:lastRow="0" w:firstColumn="0" w:lastColumn="0" w:oddVBand="0" w:evenVBand="0" w:oddHBand="0" w:evenHBand="0" w:firstRowFirstColumn="0" w:firstRowLastColumn="0" w:lastRowFirstColumn="0" w:lastRowLastColumn="0"/>
            </w:pPr>
            <w:r>
              <w:t>470</w:t>
            </w:r>
          </w:p>
        </w:tc>
        <w:tc>
          <w:tcPr>
            <w:tcW w:w="794" w:type="dxa"/>
          </w:tcPr>
          <w:p w14:paraId="3D16E296" w14:textId="77777777" w:rsidR="00C424E5" w:rsidRDefault="00C424E5">
            <w:pPr>
              <w:cnfStyle w:val="000000000000" w:firstRow="0" w:lastRow="0" w:firstColumn="0" w:lastColumn="0" w:oddVBand="0" w:evenVBand="0" w:oddHBand="0" w:evenHBand="0" w:firstRowFirstColumn="0" w:firstRowLastColumn="0" w:lastRowFirstColumn="0" w:lastRowLastColumn="0"/>
            </w:pPr>
            <w:r>
              <w:t>482</w:t>
            </w:r>
          </w:p>
        </w:tc>
        <w:tc>
          <w:tcPr>
            <w:tcW w:w="794" w:type="dxa"/>
          </w:tcPr>
          <w:p w14:paraId="31FF6B7C" w14:textId="77777777" w:rsidR="00C424E5" w:rsidRDefault="00C424E5">
            <w:pPr>
              <w:cnfStyle w:val="000000000000" w:firstRow="0" w:lastRow="0" w:firstColumn="0" w:lastColumn="0" w:oddVBand="0" w:evenVBand="0" w:oddHBand="0" w:evenHBand="0" w:firstRowFirstColumn="0" w:firstRowLastColumn="0" w:lastRowFirstColumn="0" w:lastRowLastColumn="0"/>
            </w:pPr>
            <w:r>
              <w:t>536</w:t>
            </w:r>
          </w:p>
        </w:tc>
      </w:tr>
      <w:tr w:rsidR="00C424E5" w14:paraId="6A1CCA4C" w14:textId="77777777">
        <w:tc>
          <w:tcPr>
            <w:cnfStyle w:val="001000000000" w:firstRow="0" w:lastRow="0" w:firstColumn="1" w:lastColumn="0" w:oddVBand="0" w:evenVBand="0" w:oddHBand="0" w:evenHBand="0" w:firstRowFirstColumn="0" w:firstRowLastColumn="0" w:lastRowFirstColumn="0" w:lastRowLastColumn="0"/>
            <w:tcW w:w="4534" w:type="dxa"/>
          </w:tcPr>
          <w:p w14:paraId="47CE36C4" w14:textId="77777777" w:rsidR="00C424E5" w:rsidRDefault="00C424E5">
            <w:r>
              <w:t xml:space="preserve">  Investment income </w:t>
            </w:r>
            <w:r>
              <w:rPr>
                <w:vertAlign w:val="superscript"/>
              </w:rPr>
              <w:t>(c)</w:t>
            </w:r>
          </w:p>
        </w:tc>
        <w:tc>
          <w:tcPr>
            <w:tcW w:w="794" w:type="dxa"/>
          </w:tcPr>
          <w:p w14:paraId="4D17E38E" w14:textId="77777777" w:rsidR="00C424E5" w:rsidRDefault="00C424E5">
            <w:pPr>
              <w:cnfStyle w:val="000000000000" w:firstRow="0" w:lastRow="0" w:firstColumn="0" w:lastColumn="0" w:oddVBand="0" w:evenVBand="0" w:oddHBand="0" w:evenHBand="0" w:firstRowFirstColumn="0" w:firstRowLastColumn="0" w:lastRowFirstColumn="0" w:lastRowLastColumn="0"/>
            </w:pPr>
            <w:r>
              <w:t>(43)</w:t>
            </w:r>
          </w:p>
        </w:tc>
        <w:tc>
          <w:tcPr>
            <w:tcW w:w="794" w:type="dxa"/>
          </w:tcPr>
          <w:p w14:paraId="28819D13" w14:textId="77777777" w:rsidR="00C424E5" w:rsidRDefault="00C424E5">
            <w:pPr>
              <w:cnfStyle w:val="000000000000" w:firstRow="0" w:lastRow="0" w:firstColumn="0" w:lastColumn="0" w:oddVBand="0" w:evenVBand="0" w:oddHBand="0" w:evenHBand="0" w:firstRowFirstColumn="0" w:firstRowLastColumn="0" w:lastRowFirstColumn="0" w:lastRowLastColumn="0"/>
            </w:pPr>
            <w:r>
              <w:t>128</w:t>
            </w:r>
          </w:p>
        </w:tc>
        <w:tc>
          <w:tcPr>
            <w:tcW w:w="794" w:type="dxa"/>
          </w:tcPr>
          <w:p w14:paraId="0F739741" w14:textId="77777777" w:rsidR="00C424E5" w:rsidRDefault="00C424E5">
            <w:pPr>
              <w:cnfStyle w:val="000000000000" w:firstRow="0" w:lastRow="0" w:firstColumn="0" w:lastColumn="0" w:oddVBand="0" w:evenVBand="0" w:oddHBand="0" w:evenHBand="0" w:firstRowFirstColumn="0" w:firstRowLastColumn="0" w:lastRowFirstColumn="0" w:lastRowLastColumn="0"/>
            </w:pPr>
            <w:r>
              <w:t>84</w:t>
            </w:r>
          </w:p>
        </w:tc>
        <w:tc>
          <w:tcPr>
            <w:tcW w:w="794" w:type="dxa"/>
          </w:tcPr>
          <w:p w14:paraId="607E58AD" w14:textId="77777777" w:rsidR="00C424E5" w:rsidRDefault="00C424E5">
            <w:pPr>
              <w:cnfStyle w:val="000000000000" w:firstRow="0" w:lastRow="0" w:firstColumn="0" w:lastColumn="0" w:oddVBand="0" w:evenVBand="0" w:oddHBand="0" w:evenHBand="0" w:firstRowFirstColumn="0" w:firstRowLastColumn="0" w:lastRowFirstColumn="0" w:lastRowLastColumn="0"/>
            </w:pPr>
            <w:r>
              <w:t>249</w:t>
            </w:r>
          </w:p>
        </w:tc>
      </w:tr>
      <w:tr w:rsidR="00C424E5" w14:paraId="3A90FF60" w14:textId="77777777">
        <w:tc>
          <w:tcPr>
            <w:cnfStyle w:val="001000000000" w:firstRow="0" w:lastRow="0" w:firstColumn="1" w:lastColumn="0" w:oddVBand="0" w:evenVBand="0" w:oddHBand="0" w:evenHBand="0" w:firstRowFirstColumn="0" w:firstRowLastColumn="0" w:lastRowFirstColumn="0" w:lastRowLastColumn="0"/>
            <w:tcW w:w="4534" w:type="dxa"/>
          </w:tcPr>
          <w:p w14:paraId="6D89C390" w14:textId="77777777" w:rsidR="00C424E5" w:rsidRDefault="00C424E5"/>
        </w:tc>
        <w:tc>
          <w:tcPr>
            <w:tcW w:w="794" w:type="dxa"/>
          </w:tcPr>
          <w:p w14:paraId="5920521D"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635</w:t>
            </w:r>
          </w:p>
        </w:tc>
        <w:tc>
          <w:tcPr>
            <w:tcW w:w="794" w:type="dxa"/>
          </w:tcPr>
          <w:p w14:paraId="47FB0477"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598</w:t>
            </w:r>
          </w:p>
        </w:tc>
        <w:tc>
          <w:tcPr>
            <w:tcW w:w="794" w:type="dxa"/>
          </w:tcPr>
          <w:p w14:paraId="03E73295"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566</w:t>
            </w:r>
          </w:p>
        </w:tc>
        <w:tc>
          <w:tcPr>
            <w:tcW w:w="794" w:type="dxa"/>
          </w:tcPr>
          <w:p w14:paraId="578C4070"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785</w:t>
            </w:r>
          </w:p>
        </w:tc>
      </w:tr>
      <w:tr w:rsidR="00C424E5" w14:paraId="7A5ED2F8" w14:textId="77777777">
        <w:tc>
          <w:tcPr>
            <w:cnfStyle w:val="001000000000" w:firstRow="0" w:lastRow="0" w:firstColumn="1" w:lastColumn="0" w:oddVBand="0" w:evenVBand="0" w:oddHBand="0" w:evenHBand="0" w:firstRowFirstColumn="0" w:firstRowLastColumn="0" w:lastRowFirstColumn="0" w:lastRowLastColumn="0"/>
            <w:tcW w:w="4534" w:type="dxa"/>
          </w:tcPr>
          <w:p w14:paraId="67A1D4EC" w14:textId="77777777" w:rsidR="00C424E5" w:rsidRDefault="00C424E5">
            <w:r>
              <w:rPr>
                <w:b/>
              </w:rPr>
              <w:t>Commonwealth grant variations</w:t>
            </w:r>
          </w:p>
        </w:tc>
        <w:tc>
          <w:tcPr>
            <w:tcW w:w="794" w:type="dxa"/>
          </w:tcPr>
          <w:p w14:paraId="467253C6"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2B04BE4E"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700574F9"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1C656EF8"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2274DEE1" w14:textId="77777777">
        <w:tc>
          <w:tcPr>
            <w:cnfStyle w:val="001000000000" w:firstRow="0" w:lastRow="0" w:firstColumn="1" w:lastColumn="0" w:oddVBand="0" w:evenVBand="0" w:oddHBand="0" w:evenHBand="0" w:firstRowFirstColumn="0" w:firstRowLastColumn="0" w:lastRowFirstColumn="0" w:lastRowLastColumn="0"/>
            <w:tcW w:w="4534" w:type="dxa"/>
          </w:tcPr>
          <w:p w14:paraId="22D05ABF" w14:textId="77777777" w:rsidR="00C424E5" w:rsidRDefault="00C424E5">
            <w:r>
              <w:t xml:space="preserve">  General purpose grants</w:t>
            </w:r>
          </w:p>
        </w:tc>
        <w:tc>
          <w:tcPr>
            <w:tcW w:w="794" w:type="dxa"/>
          </w:tcPr>
          <w:p w14:paraId="2E362588" w14:textId="77777777" w:rsidR="00C424E5" w:rsidRDefault="00C424E5">
            <w:pPr>
              <w:cnfStyle w:val="000000000000" w:firstRow="0" w:lastRow="0" w:firstColumn="0" w:lastColumn="0" w:oddVBand="0" w:evenVBand="0" w:oddHBand="0" w:evenHBand="0" w:firstRowFirstColumn="0" w:firstRowLastColumn="0" w:lastRowFirstColumn="0" w:lastRowLastColumn="0"/>
            </w:pPr>
            <w:r>
              <w:t>(378)</w:t>
            </w:r>
          </w:p>
        </w:tc>
        <w:tc>
          <w:tcPr>
            <w:tcW w:w="794" w:type="dxa"/>
          </w:tcPr>
          <w:p w14:paraId="6E4AAB92" w14:textId="77777777" w:rsidR="00C424E5" w:rsidRDefault="00C424E5">
            <w:pPr>
              <w:cnfStyle w:val="000000000000" w:firstRow="0" w:lastRow="0" w:firstColumn="0" w:lastColumn="0" w:oddVBand="0" w:evenVBand="0" w:oddHBand="0" w:evenHBand="0" w:firstRowFirstColumn="0" w:firstRowLastColumn="0" w:lastRowFirstColumn="0" w:lastRowLastColumn="0"/>
            </w:pPr>
            <w:r>
              <w:t>(561)</w:t>
            </w:r>
          </w:p>
        </w:tc>
        <w:tc>
          <w:tcPr>
            <w:tcW w:w="794" w:type="dxa"/>
          </w:tcPr>
          <w:p w14:paraId="41A4DFB9" w14:textId="77777777" w:rsidR="00C424E5" w:rsidRDefault="00C424E5">
            <w:pPr>
              <w:cnfStyle w:val="000000000000" w:firstRow="0" w:lastRow="0" w:firstColumn="0" w:lastColumn="0" w:oddVBand="0" w:evenVBand="0" w:oddHBand="0" w:evenHBand="0" w:firstRowFirstColumn="0" w:firstRowLastColumn="0" w:lastRowFirstColumn="0" w:lastRowLastColumn="0"/>
            </w:pPr>
            <w:r>
              <w:t>85</w:t>
            </w:r>
          </w:p>
        </w:tc>
        <w:tc>
          <w:tcPr>
            <w:tcW w:w="794" w:type="dxa"/>
          </w:tcPr>
          <w:p w14:paraId="6D279465" w14:textId="77777777" w:rsidR="00C424E5" w:rsidRDefault="00C424E5">
            <w:pPr>
              <w:cnfStyle w:val="000000000000" w:firstRow="0" w:lastRow="0" w:firstColumn="0" w:lastColumn="0" w:oddVBand="0" w:evenVBand="0" w:oddHBand="0" w:evenHBand="0" w:firstRowFirstColumn="0" w:firstRowLastColumn="0" w:lastRowFirstColumn="0" w:lastRowLastColumn="0"/>
            </w:pPr>
            <w:r>
              <w:t>289</w:t>
            </w:r>
          </w:p>
        </w:tc>
      </w:tr>
      <w:tr w:rsidR="00C424E5" w14:paraId="0ABCFFF4" w14:textId="77777777">
        <w:tc>
          <w:tcPr>
            <w:cnfStyle w:val="001000000000" w:firstRow="0" w:lastRow="0" w:firstColumn="1" w:lastColumn="0" w:oddVBand="0" w:evenVBand="0" w:oddHBand="0" w:evenHBand="0" w:firstRowFirstColumn="0" w:firstRowLastColumn="0" w:lastRowFirstColumn="0" w:lastRowLastColumn="0"/>
            <w:tcW w:w="4534" w:type="dxa"/>
          </w:tcPr>
          <w:p w14:paraId="78971EB3" w14:textId="77777777" w:rsidR="00C424E5" w:rsidRDefault="00C424E5">
            <w:r>
              <w:t xml:space="preserve">  Specific purpose grants </w:t>
            </w:r>
            <w:r>
              <w:rPr>
                <w:vertAlign w:val="superscript"/>
              </w:rPr>
              <w:t>(d)</w:t>
            </w:r>
          </w:p>
        </w:tc>
        <w:tc>
          <w:tcPr>
            <w:tcW w:w="794" w:type="dxa"/>
          </w:tcPr>
          <w:p w14:paraId="5881A55F" w14:textId="77777777" w:rsidR="00C424E5" w:rsidRDefault="00C424E5">
            <w:pPr>
              <w:cnfStyle w:val="000000000000" w:firstRow="0" w:lastRow="0" w:firstColumn="0" w:lastColumn="0" w:oddVBand="0" w:evenVBand="0" w:oddHBand="0" w:evenHBand="0" w:firstRowFirstColumn="0" w:firstRowLastColumn="0" w:lastRowFirstColumn="0" w:lastRowLastColumn="0"/>
            </w:pPr>
            <w:r>
              <w:t>(399)</w:t>
            </w:r>
          </w:p>
        </w:tc>
        <w:tc>
          <w:tcPr>
            <w:tcW w:w="794" w:type="dxa"/>
          </w:tcPr>
          <w:p w14:paraId="00B22088" w14:textId="77777777" w:rsidR="00C424E5" w:rsidRDefault="00C424E5">
            <w:pPr>
              <w:cnfStyle w:val="000000000000" w:firstRow="0" w:lastRow="0" w:firstColumn="0" w:lastColumn="0" w:oddVBand="0" w:evenVBand="0" w:oddHBand="0" w:evenHBand="0" w:firstRowFirstColumn="0" w:firstRowLastColumn="0" w:lastRowFirstColumn="0" w:lastRowLastColumn="0"/>
            </w:pPr>
            <w:r>
              <w:t>(239)</w:t>
            </w:r>
          </w:p>
        </w:tc>
        <w:tc>
          <w:tcPr>
            <w:tcW w:w="794" w:type="dxa"/>
          </w:tcPr>
          <w:p w14:paraId="4C96ADEA" w14:textId="77777777" w:rsidR="00C424E5" w:rsidRDefault="00C424E5">
            <w:pPr>
              <w:cnfStyle w:val="000000000000" w:firstRow="0" w:lastRow="0" w:firstColumn="0" w:lastColumn="0" w:oddVBand="0" w:evenVBand="0" w:oddHBand="0" w:evenHBand="0" w:firstRowFirstColumn="0" w:firstRowLastColumn="0" w:lastRowFirstColumn="0" w:lastRowLastColumn="0"/>
            </w:pPr>
            <w:r>
              <w:t>53</w:t>
            </w:r>
          </w:p>
        </w:tc>
        <w:tc>
          <w:tcPr>
            <w:tcW w:w="794" w:type="dxa"/>
          </w:tcPr>
          <w:p w14:paraId="4B9ABFCD" w14:textId="77777777" w:rsidR="00C424E5" w:rsidRDefault="00C424E5">
            <w:pPr>
              <w:cnfStyle w:val="000000000000" w:firstRow="0" w:lastRow="0" w:firstColumn="0" w:lastColumn="0" w:oddVBand="0" w:evenVBand="0" w:oddHBand="0" w:evenHBand="0" w:firstRowFirstColumn="0" w:firstRowLastColumn="0" w:lastRowFirstColumn="0" w:lastRowLastColumn="0"/>
            </w:pPr>
            <w:r>
              <w:t>819</w:t>
            </w:r>
          </w:p>
        </w:tc>
      </w:tr>
      <w:tr w:rsidR="00C424E5" w14:paraId="37AD72DD" w14:textId="77777777">
        <w:tc>
          <w:tcPr>
            <w:cnfStyle w:val="001000000000" w:firstRow="0" w:lastRow="0" w:firstColumn="1" w:lastColumn="0" w:oddVBand="0" w:evenVBand="0" w:oddHBand="0" w:evenHBand="0" w:firstRowFirstColumn="0" w:firstRowLastColumn="0" w:lastRowFirstColumn="0" w:lastRowLastColumn="0"/>
            <w:tcW w:w="4534" w:type="dxa"/>
          </w:tcPr>
          <w:p w14:paraId="0FB3FD60" w14:textId="77777777" w:rsidR="00C424E5" w:rsidRDefault="00C424E5"/>
        </w:tc>
        <w:tc>
          <w:tcPr>
            <w:tcW w:w="794" w:type="dxa"/>
          </w:tcPr>
          <w:p w14:paraId="070BF52A"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(777)</w:t>
            </w:r>
          </w:p>
        </w:tc>
        <w:tc>
          <w:tcPr>
            <w:tcW w:w="794" w:type="dxa"/>
          </w:tcPr>
          <w:p w14:paraId="70C902F4"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(800)</w:t>
            </w:r>
          </w:p>
        </w:tc>
        <w:tc>
          <w:tcPr>
            <w:tcW w:w="794" w:type="dxa"/>
          </w:tcPr>
          <w:p w14:paraId="6A833B68"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139</w:t>
            </w:r>
          </w:p>
        </w:tc>
        <w:tc>
          <w:tcPr>
            <w:tcW w:w="794" w:type="dxa"/>
          </w:tcPr>
          <w:p w14:paraId="478AECDB"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1 108</w:t>
            </w:r>
          </w:p>
        </w:tc>
      </w:tr>
      <w:tr w:rsidR="00C424E5" w14:paraId="0F29D8EB" w14:textId="77777777">
        <w:tc>
          <w:tcPr>
            <w:cnfStyle w:val="001000000000" w:firstRow="0" w:lastRow="0" w:firstColumn="1" w:lastColumn="0" w:oddVBand="0" w:evenVBand="0" w:oddHBand="0" w:evenHBand="0" w:firstRowFirstColumn="0" w:firstRowLastColumn="0" w:lastRowFirstColumn="0" w:lastRowLastColumn="0"/>
            <w:tcW w:w="4534" w:type="dxa"/>
          </w:tcPr>
          <w:p w14:paraId="141C51F1" w14:textId="77777777" w:rsidR="00C424E5" w:rsidRDefault="00C424E5">
            <w:r>
              <w:rPr>
                <w:b/>
              </w:rPr>
              <w:t>Administrative variations</w:t>
            </w:r>
          </w:p>
        </w:tc>
        <w:tc>
          <w:tcPr>
            <w:tcW w:w="794" w:type="dxa"/>
          </w:tcPr>
          <w:p w14:paraId="1D80533C"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5F05DF9D"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7F607A6D"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3345931F"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57206578" w14:textId="77777777">
        <w:tc>
          <w:tcPr>
            <w:cnfStyle w:val="001000000000" w:firstRow="0" w:lastRow="0" w:firstColumn="1" w:lastColumn="0" w:oddVBand="0" w:evenVBand="0" w:oddHBand="0" w:evenHBand="0" w:firstRowFirstColumn="0" w:firstRowLastColumn="0" w:lastRowFirstColumn="0" w:lastRowLastColumn="0"/>
            <w:tcW w:w="4534" w:type="dxa"/>
          </w:tcPr>
          <w:p w14:paraId="53735BE1" w14:textId="77777777" w:rsidR="00C424E5" w:rsidRDefault="00C424E5">
            <w:r>
              <w:t xml:space="preserve">  Contingency offset for new policy initiatives </w:t>
            </w:r>
            <w:r>
              <w:rPr>
                <w:vertAlign w:val="superscript"/>
              </w:rPr>
              <w:t>(e)</w:t>
            </w:r>
          </w:p>
        </w:tc>
        <w:tc>
          <w:tcPr>
            <w:tcW w:w="794" w:type="dxa"/>
          </w:tcPr>
          <w:p w14:paraId="0B989C89"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78B9E66B"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0EC98EFC"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657F139D"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r>
      <w:tr w:rsidR="00C424E5" w14:paraId="28C48A22" w14:textId="77777777">
        <w:tc>
          <w:tcPr>
            <w:cnfStyle w:val="001000000000" w:firstRow="0" w:lastRow="0" w:firstColumn="1" w:lastColumn="0" w:oddVBand="0" w:evenVBand="0" w:oddHBand="0" w:evenHBand="0" w:firstRowFirstColumn="0" w:firstRowLastColumn="0" w:lastRowFirstColumn="0" w:lastRowLastColumn="0"/>
            <w:tcW w:w="4534" w:type="dxa"/>
          </w:tcPr>
          <w:p w14:paraId="10E19AF7" w14:textId="77777777" w:rsidR="00C424E5" w:rsidRDefault="00C424E5">
            <w:r>
              <w:t xml:space="preserve">  Other administrative variations</w:t>
            </w:r>
          </w:p>
        </w:tc>
        <w:tc>
          <w:tcPr>
            <w:tcW w:w="794" w:type="dxa"/>
          </w:tcPr>
          <w:p w14:paraId="3A02BE90" w14:textId="77777777" w:rsidR="00C424E5" w:rsidRDefault="00C424E5">
            <w:pPr>
              <w:cnfStyle w:val="000000000000" w:firstRow="0" w:lastRow="0" w:firstColumn="0" w:lastColumn="0" w:oddVBand="0" w:evenVBand="0" w:oddHBand="0" w:evenHBand="0" w:firstRowFirstColumn="0" w:firstRowLastColumn="0" w:lastRowFirstColumn="0" w:lastRowLastColumn="0"/>
            </w:pPr>
            <w:r>
              <w:t>222</w:t>
            </w:r>
          </w:p>
        </w:tc>
        <w:tc>
          <w:tcPr>
            <w:tcW w:w="794" w:type="dxa"/>
          </w:tcPr>
          <w:p w14:paraId="16556312" w14:textId="77777777" w:rsidR="00C424E5" w:rsidRDefault="00C424E5">
            <w:pPr>
              <w:cnfStyle w:val="000000000000" w:firstRow="0" w:lastRow="0" w:firstColumn="0" w:lastColumn="0" w:oddVBand="0" w:evenVBand="0" w:oddHBand="0" w:evenHBand="0" w:firstRowFirstColumn="0" w:firstRowLastColumn="0" w:lastRowFirstColumn="0" w:lastRowLastColumn="0"/>
            </w:pPr>
            <w:r>
              <w:t>276</w:t>
            </w:r>
          </w:p>
        </w:tc>
        <w:tc>
          <w:tcPr>
            <w:tcW w:w="794" w:type="dxa"/>
          </w:tcPr>
          <w:p w14:paraId="64C66B53" w14:textId="77777777" w:rsidR="00C424E5" w:rsidRDefault="00C424E5">
            <w:pPr>
              <w:cnfStyle w:val="000000000000" w:firstRow="0" w:lastRow="0" w:firstColumn="0" w:lastColumn="0" w:oddVBand="0" w:evenVBand="0" w:oddHBand="0" w:evenHBand="0" w:firstRowFirstColumn="0" w:firstRowLastColumn="0" w:lastRowFirstColumn="0" w:lastRowLastColumn="0"/>
            </w:pPr>
            <w:r>
              <w:t>372</w:t>
            </w:r>
          </w:p>
        </w:tc>
        <w:tc>
          <w:tcPr>
            <w:tcW w:w="794" w:type="dxa"/>
          </w:tcPr>
          <w:p w14:paraId="2B103B6D" w14:textId="77777777" w:rsidR="00C424E5" w:rsidRDefault="00C424E5">
            <w:pPr>
              <w:cnfStyle w:val="000000000000" w:firstRow="0" w:lastRow="0" w:firstColumn="0" w:lastColumn="0" w:oddVBand="0" w:evenVBand="0" w:oddHBand="0" w:evenHBand="0" w:firstRowFirstColumn="0" w:firstRowLastColumn="0" w:lastRowFirstColumn="0" w:lastRowLastColumn="0"/>
            </w:pPr>
            <w:r>
              <w:t>(730)</w:t>
            </w:r>
          </w:p>
        </w:tc>
      </w:tr>
      <w:tr w:rsidR="00C424E5" w14:paraId="2CFA1754" w14:textId="77777777">
        <w:tc>
          <w:tcPr>
            <w:cnfStyle w:val="001000000000" w:firstRow="0" w:lastRow="0" w:firstColumn="1" w:lastColumn="0" w:oddVBand="0" w:evenVBand="0" w:oddHBand="0" w:evenHBand="0" w:firstRowFirstColumn="0" w:firstRowLastColumn="0" w:lastRowFirstColumn="0" w:lastRowLastColumn="0"/>
            <w:tcW w:w="4534" w:type="dxa"/>
          </w:tcPr>
          <w:p w14:paraId="16F40369" w14:textId="77777777" w:rsidR="00C424E5" w:rsidRDefault="00C424E5"/>
        </w:tc>
        <w:tc>
          <w:tcPr>
            <w:tcW w:w="794" w:type="dxa"/>
          </w:tcPr>
          <w:p w14:paraId="2A338A71"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222</w:t>
            </w:r>
          </w:p>
        </w:tc>
        <w:tc>
          <w:tcPr>
            <w:tcW w:w="794" w:type="dxa"/>
          </w:tcPr>
          <w:p w14:paraId="1652ECD7"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276</w:t>
            </w:r>
          </w:p>
        </w:tc>
        <w:tc>
          <w:tcPr>
            <w:tcW w:w="794" w:type="dxa"/>
          </w:tcPr>
          <w:p w14:paraId="0654BB24"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372</w:t>
            </w:r>
          </w:p>
        </w:tc>
        <w:tc>
          <w:tcPr>
            <w:tcW w:w="794" w:type="dxa"/>
          </w:tcPr>
          <w:p w14:paraId="7B9C0F0B"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(730)</w:t>
            </w:r>
          </w:p>
        </w:tc>
      </w:tr>
      <w:tr w:rsidR="00C424E5" w14:paraId="0BFDB02E" w14:textId="77777777" w:rsidTr="00F11628">
        <w:trPr>
          <w:trHeight w:hRule="exact" w:val="113"/>
        </w:trPr>
        <w:tc>
          <w:tcPr>
            <w:cnfStyle w:val="001000000000" w:firstRow="0" w:lastRow="0" w:firstColumn="1" w:lastColumn="0" w:oddVBand="0" w:evenVBand="0" w:oddHBand="0" w:evenHBand="0" w:firstRowFirstColumn="0" w:firstRowLastColumn="0" w:lastRowFirstColumn="0" w:lastRowLastColumn="0"/>
            <w:tcW w:w="4534" w:type="dxa"/>
          </w:tcPr>
          <w:p w14:paraId="115DAE96" w14:textId="77777777" w:rsidR="00C424E5" w:rsidRDefault="00C424E5"/>
        </w:tc>
        <w:tc>
          <w:tcPr>
            <w:tcW w:w="794" w:type="dxa"/>
          </w:tcPr>
          <w:p w14:paraId="51FF6564"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4DE1904F"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6169FE83"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3A55E34C"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76574EAB" w14:textId="77777777" w:rsidTr="00F11628">
        <w:tc>
          <w:tcPr>
            <w:cnfStyle w:val="001000000000" w:firstRow="0" w:lastRow="0" w:firstColumn="1" w:lastColumn="0" w:oddVBand="0" w:evenVBand="0" w:oddHBand="0" w:evenHBand="0" w:firstRowFirstColumn="0" w:firstRowLastColumn="0" w:lastRowFirstColumn="0" w:lastRowLastColumn="0"/>
            <w:tcW w:w="4534" w:type="dxa"/>
            <w:tcBorders>
              <w:bottom w:val="single" w:sz="6" w:space="0" w:color="auto"/>
            </w:tcBorders>
          </w:tcPr>
          <w:p w14:paraId="1E5C98D3" w14:textId="77777777" w:rsidR="00C424E5" w:rsidRDefault="00C424E5">
            <w:r>
              <w:rPr>
                <w:b/>
              </w:rPr>
              <w:t xml:space="preserve">Total variation since the </w:t>
            </w:r>
            <w:r>
              <w:rPr>
                <w:b/>
                <w:i/>
              </w:rPr>
              <w:t>2022</w:t>
            </w:r>
            <w:r>
              <w:rPr>
                <w:b/>
                <w:i/>
              </w:rPr>
              <w:noBreakHyphen/>
              <w:t>23 Budget</w:t>
            </w:r>
          </w:p>
        </w:tc>
        <w:tc>
          <w:tcPr>
            <w:tcW w:w="794" w:type="dxa"/>
            <w:tcBorders>
              <w:bottom w:val="single" w:sz="6" w:space="0" w:color="auto"/>
            </w:tcBorders>
          </w:tcPr>
          <w:p w14:paraId="615F8E66"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(1 824)</w:t>
            </w:r>
          </w:p>
        </w:tc>
        <w:tc>
          <w:tcPr>
            <w:tcW w:w="794" w:type="dxa"/>
            <w:tcBorders>
              <w:bottom w:val="single" w:sz="6" w:space="0" w:color="auto"/>
            </w:tcBorders>
          </w:tcPr>
          <w:p w14:paraId="29E6BE4A"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(349)</w:t>
            </w:r>
          </w:p>
        </w:tc>
        <w:tc>
          <w:tcPr>
            <w:tcW w:w="794" w:type="dxa"/>
            <w:tcBorders>
              <w:bottom w:val="single" w:sz="6" w:space="0" w:color="auto"/>
            </w:tcBorders>
          </w:tcPr>
          <w:p w14:paraId="141EF18E"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425</w:t>
            </w:r>
          </w:p>
        </w:tc>
        <w:tc>
          <w:tcPr>
            <w:tcW w:w="794" w:type="dxa"/>
            <w:tcBorders>
              <w:bottom w:val="single" w:sz="6" w:space="0" w:color="auto"/>
            </w:tcBorders>
          </w:tcPr>
          <w:p w14:paraId="022591CE"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243</w:t>
            </w:r>
          </w:p>
        </w:tc>
      </w:tr>
      <w:tr w:rsidR="00C424E5" w14:paraId="44D95D27" w14:textId="77777777" w:rsidTr="00F11628">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bottom w:val="single" w:sz="12" w:space="0" w:color="auto"/>
            </w:tcBorders>
          </w:tcPr>
          <w:p w14:paraId="0E71F73A" w14:textId="77777777" w:rsidR="00C424E5" w:rsidRDefault="00C424E5">
            <w:r>
              <w:rPr>
                <w:b/>
              </w:rPr>
              <w:t>Net result from transactions</w:t>
            </w:r>
          </w:p>
        </w:tc>
        <w:tc>
          <w:tcPr>
            <w:tcW w:w="794" w:type="dxa"/>
            <w:tcBorders>
              <w:top w:val="single" w:sz="6" w:space="0" w:color="auto"/>
              <w:bottom w:val="single" w:sz="12" w:space="0" w:color="auto"/>
            </w:tcBorders>
          </w:tcPr>
          <w:p w14:paraId="45263546"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(9 688)</w:t>
            </w:r>
          </w:p>
        </w:tc>
        <w:tc>
          <w:tcPr>
            <w:tcW w:w="794" w:type="dxa"/>
            <w:tcBorders>
              <w:top w:val="single" w:sz="6" w:space="0" w:color="auto"/>
              <w:bottom w:val="single" w:sz="12" w:space="0" w:color="auto"/>
            </w:tcBorders>
          </w:tcPr>
          <w:p w14:paraId="65D6AA06"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(3 612)</w:t>
            </w:r>
          </w:p>
        </w:tc>
        <w:tc>
          <w:tcPr>
            <w:tcW w:w="794" w:type="dxa"/>
            <w:tcBorders>
              <w:top w:val="single" w:sz="6" w:space="0" w:color="auto"/>
              <w:bottom w:val="single" w:sz="12" w:space="0" w:color="auto"/>
            </w:tcBorders>
          </w:tcPr>
          <w:p w14:paraId="7745A216"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(701)</w:t>
            </w:r>
          </w:p>
        </w:tc>
        <w:tc>
          <w:tcPr>
            <w:tcW w:w="794" w:type="dxa"/>
            <w:tcBorders>
              <w:top w:val="single" w:sz="6" w:space="0" w:color="auto"/>
              <w:bottom w:val="single" w:sz="12" w:space="0" w:color="auto"/>
            </w:tcBorders>
          </w:tcPr>
          <w:p w14:paraId="45681423" w14:textId="44E2686A" w:rsidR="00C424E5" w:rsidRDefault="00C424E5">
            <w:pPr>
              <w:cnfStyle w:val="000000000000" w:firstRow="0" w:lastRow="0" w:firstColumn="0" w:lastColumn="0" w:oddVBand="0" w:evenVBand="0" w:oddHBand="0" w:evenHBand="0" w:firstRowFirstColumn="0" w:firstRowLastColumn="0" w:lastRowFirstColumn="0" w:lastRowLastColumn="0"/>
            </w:pPr>
            <w:r>
              <w:rPr>
                <w:b/>
              </w:rPr>
              <w:t>894</w:t>
            </w:r>
          </w:p>
        </w:tc>
      </w:tr>
    </w:tbl>
    <w:p w14:paraId="61D78439" w14:textId="77777777" w:rsidR="00C424E5" w:rsidRPr="0099654B" w:rsidRDefault="00C424E5" w:rsidP="006448B4">
      <w:pPr>
        <w:pStyle w:val="Note"/>
      </w:pPr>
      <w:r w:rsidRPr="0099654B">
        <w:t>Notes:</w:t>
      </w:r>
    </w:p>
    <w:p w14:paraId="23F85D7E" w14:textId="77777777" w:rsidR="00C424E5" w:rsidRDefault="00C424E5" w:rsidP="006448B4">
      <w:pPr>
        <w:pStyle w:val="Note"/>
      </w:pPr>
      <w:r w:rsidRPr="0099654B">
        <w:t xml:space="preserve">(a) </w:t>
      </w:r>
      <w:r w:rsidRPr="0099654B">
        <w:tab/>
        <w:t>Figures in this table are subject to rounding to the nearest</w:t>
      </w:r>
      <w:r>
        <w:t> million</w:t>
      </w:r>
      <w:r w:rsidRPr="0099654B">
        <w:t xml:space="preserve"> and may not add up to totals.</w:t>
      </w:r>
    </w:p>
    <w:p w14:paraId="0A277C00" w14:textId="77777777" w:rsidR="00C424E5" w:rsidRPr="00AC276B" w:rsidRDefault="00C424E5" w:rsidP="006448B4">
      <w:pPr>
        <w:pStyle w:val="Note"/>
      </w:pPr>
      <w:r>
        <w:t>(b)</w:t>
      </w:r>
      <w:r>
        <w:tab/>
      </w:r>
      <w:r w:rsidRPr="0099654B">
        <w:t xml:space="preserve">This is </w:t>
      </w:r>
      <w:r w:rsidRPr="00AC276B">
        <w:t xml:space="preserve">represented in Table </w:t>
      </w:r>
      <w:r>
        <w:t>2</w:t>
      </w:r>
      <w:r w:rsidRPr="00AC276B">
        <w:t>.</w:t>
      </w:r>
      <w:r>
        <w:t>4</w:t>
      </w:r>
      <w:r w:rsidRPr="00AC276B">
        <w:t xml:space="preserve"> as the </w:t>
      </w:r>
      <w:r>
        <w:t>2022 Victorian Economic and Fiscal Update (VEFU)</w:t>
      </w:r>
      <w:r w:rsidRPr="00AC276B">
        <w:t xml:space="preserve"> output policy initiatives.</w:t>
      </w:r>
    </w:p>
    <w:p w14:paraId="27CCBB95" w14:textId="77777777" w:rsidR="00C424E5" w:rsidRDefault="00C424E5" w:rsidP="006448B4">
      <w:pPr>
        <w:pStyle w:val="Note"/>
        <w:rPr>
          <w:highlight w:val="yellow"/>
        </w:rPr>
      </w:pPr>
      <w:r w:rsidRPr="00AC276B">
        <w:t>(</w:t>
      </w:r>
      <w:r>
        <w:t>c</w:t>
      </w:r>
      <w:r w:rsidRPr="00AC276B">
        <w:t>)</w:t>
      </w:r>
      <w:r w:rsidRPr="00AC276B">
        <w:tab/>
        <w:t>Comprises dividends and income tax</w:t>
      </w:r>
      <w:r w:rsidRPr="0099654B">
        <w:t xml:space="preserve"> and rate equivalent revenue.</w:t>
      </w:r>
      <w:r w:rsidRPr="0099654B">
        <w:rPr>
          <w:highlight w:val="yellow"/>
        </w:rPr>
        <w:t xml:space="preserve"> </w:t>
      </w:r>
    </w:p>
    <w:p w14:paraId="744503B7" w14:textId="77777777" w:rsidR="00C424E5" w:rsidRPr="009A223A" w:rsidRDefault="00C424E5" w:rsidP="006448B4">
      <w:pPr>
        <w:pStyle w:val="Note"/>
      </w:pPr>
      <w:r w:rsidRPr="0099654B">
        <w:t>(</w:t>
      </w:r>
      <w:r>
        <w:t>d</w:t>
      </w:r>
      <w:r w:rsidRPr="0099654B">
        <w:t>)</w:t>
      </w:r>
      <w:r w:rsidRPr="0099654B">
        <w:tab/>
      </w:r>
      <w:r w:rsidRPr="00B77481">
        <w:t xml:space="preserve">Reflects the change in grant revenue as per Note 3.2.4, Chapter </w:t>
      </w:r>
      <w:r w:rsidRPr="00B77481">
        <w:rPr>
          <w:i w:val="0"/>
          <w:iCs/>
        </w:rPr>
        <w:t xml:space="preserve">3 </w:t>
      </w:r>
      <w:r w:rsidRPr="002516FD">
        <w:rPr>
          <w:i w:val="0"/>
          <w:iCs/>
        </w:rPr>
        <w:t>Estimated Financial Statements and Notes</w:t>
      </w:r>
      <w:r w:rsidRPr="00B77481">
        <w:rPr>
          <w:i w:val="0"/>
        </w:rPr>
        <w:t xml:space="preserve"> </w:t>
      </w:r>
      <w:r w:rsidRPr="00B77481">
        <w:t>less associated expense movements.</w:t>
      </w:r>
    </w:p>
    <w:p w14:paraId="16AC735A" w14:textId="77777777" w:rsidR="00C424E5" w:rsidRPr="00E87B8D" w:rsidRDefault="00C424E5" w:rsidP="006448B4">
      <w:pPr>
        <w:pStyle w:val="Note"/>
      </w:pPr>
      <w:r w:rsidRPr="009A223A">
        <w:t>(</w:t>
      </w:r>
      <w:r>
        <w:t>e</w:t>
      </w:r>
      <w:r w:rsidRPr="009A223A">
        <w:t>)</w:t>
      </w:r>
      <w:r w:rsidRPr="009A223A">
        <w:tab/>
        <w:t xml:space="preserve">Represents releases from the funding not allocated to specific purposes contingency associated with </w:t>
      </w:r>
      <w:r>
        <w:t>2022 VEFU</w:t>
      </w:r>
      <w:r w:rsidRPr="00AC276B">
        <w:t xml:space="preserve"> </w:t>
      </w:r>
      <w:r w:rsidRPr="009A223A">
        <w:t xml:space="preserve">new output initiatives. Further information on total output contingencies can be found </w:t>
      </w:r>
      <w:r w:rsidRPr="00085164">
        <w:t>at Note 3.</w:t>
      </w:r>
      <w:r>
        <w:t>3.5</w:t>
      </w:r>
      <w:r w:rsidRPr="002F660C">
        <w:t xml:space="preserve">, Chapter </w:t>
      </w:r>
      <w:r>
        <w:t>3</w:t>
      </w:r>
      <w:r w:rsidRPr="002F660C">
        <w:t xml:space="preserve"> </w:t>
      </w:r>
      <w:r w:rsidRPr="002516FD">
        <w:rPr>
          <w:i w:val="0"/>
          <w:iCs/>
        </w:rPr>
        <w:t>Estimated Financial Statements and Notes</w:t>
      </w:r>
      <w:r>
        <w:t>.</w:t>
      </w:r>
    </w:p>
    <w:p w14:paraId="70D1FE83" w14:textId="77777777" w:rsidR="00C424E5" w:rsidRPr="000C2AFC" w:rsidRDefault="00C424E5" w:rsidP="000C2AFC">
      <w:pPr>
        <w:pStyle w:val="Heading20"/>
      </w:pPr>
      <w:r w:rsidRPr="000C2AFC">
        <w:t>Policy variations</w:t>
      </w:r>
    </w:p>
    <w:p w14:paraId="431DD7FB" w14:textId="77777777" w:rsidR="00C424E5" w:rsidRDefault="00C424E5" w:rsidP="006448B4">
      <w:r>
        <w:t xml:space="preserve">Policy variations reflect specific initiatives by the Government that have a fiscal impact and are related to a new policy or represent a change in the Government’s existing policy position since the </w:t>
      </w:r>
      <w:r w:rsidRPr="00BF67E4">
        <w:rPr>
          <w:i/>
          <w:iCs/>
        </w:rPr>
        <w:t>2022-23 Budget</w:t>
      </w:r>
      <w:r>
        <w:t>.</w:t>
      </w:r>
    </w:p>
    <w:p w14:paraId="6AF3A3B4" w14:textId="77777777" w:rsidR="00C424E5" w:rsidRDefault="00C424E5" w:rsidP="006448B4">
      <w:bookmarkStart w:id="32" w:name="_Hlk116557538"/>
      <w:r>
        <w:t xml:space="preserve">Appendix A </w:t>
      </w:r>
      <w:r w:rsidRPr="006341FF">
        <w:rPr>
          <w:i/>
        </w:rPr>
        <w:t>Specific policy initiatives affecting</w:t>
      </w:r>
      <w:r>
        <w:rPr>
          <w:i/>
        </w:rPr>
        <w:t xml:space="preserve"> the</w:t>
      </w:r>
      <w:r w:rsidRPr="006341FF">
        <w:rPr>
          <w:i/>
        </w:rPr>
        <w:t xml:space="preserve"> budget position</w:t>
      </w:r>
      <w:r>
        <w:t xml:space="preserve"> </w:t>
      </w:r>
      <w:bookmarkEnd w:id="32"/>
      <w:r>
        <w:t>d</w:t>
      </w:r>
      <w:r w:rsidRPr="00C203E5">
        <w:t xml:space="preserve">etails </w:t>
      </w:r>
      <w:r>
        <w:t>the</w:t>
      </w:r>
      <w:r w:rsidRPr="00C203E5">
        <w:t xml:space="preserve"> specific new output and revenue poli</w:t>
      </w:r>
      <w:r>
        <w:t>cy initiatives.</w:t>
      </w:r>
    </w:p>
    <w:p w14:paraId="1FDC2355" w14:textId="77777777" w:rsidR="00C424E5" w:rsidRDefault="00C424E5" w:rsidP="006448B4">
      <w:pPr>
        <w:keepLines w:val="0"/>
      </w:pPr>
      <w:r>
        <w:br w:type="page"/>
      </w:r>
    </w:p>
    <w:p w14:paraId="5B443FEE" w14:textId="77777777" w:rsidR="00C424E5" w:rsidRDefault="00C424E5" w:rsidP="00DD5278">
      <w:pPr>
        <w:pStyle w:val="TableHeading"/>
      </w:pPr>
      <w:r w:rsidRPr="00C203E5">
        <w:lastRenderedPageBreak/>
        <w:t xml:space="preserve">Table </w:t>
      </w:r>
      <w:r>
        <w:t>2.4</w:t>
      </w:r>
      <w:r w:rsidRPr="00C203E5">
        <w:t>:</w:t>
      </w:r>
      <w:r w:rsidRPr="00C203E5">
        <w:tab/>
        <w:t xml:space="preserve">Net impact of new output initiatives </w:t>
      </w:r>
      <w:r>
        <w:t xml:space="preserve">since the </w:t>
      </w:r>
      <w:r w:rsidRPr="00C203E5">
        <w:rPr>
          <w:i/>
        </w:rPr>
        <w:t>20</w:t>
      </w:r>
      <w:r>
        <w:rPr>
          <w:i/>
        </w:rPr>
        <w:t>22</w:t>
      </w:r>
      <w:r w:rsidRPr="00C203E5">
        <w:rPr>
          <w:i/>
        </w:rPr>
        <w:noBreakHyphen/>
      </w:r>
      <w:r>
        <w:rPr>
          <w:i/>
        </w:rPr>
        <w:t>23</w:t>
      </w:r>
      <w:r w:rsidRPr="00C203E5">
        <w:rPr>
          <w:i/>
        </w:rPr>
        <w:t xml:space="preserve"> Budget</w:t>
      </w:r>
      <w:r w:rsidRPr="00C203E5">
        <w:t xml:space="preserve"> </w:t>
      </w:r>
      <w:r w:rsidRPr="00C203E5">
        <w:rPr>
          <w:vertAlign w:val="superscript"/>
        </w:rPr>
        <w:t>(a)</w:t>
      </w:r>
      <w:r w:rsidRPr="00C203E5">
        <w:t xml:space="preserve"> </w:t>
      </w:r>
      <w:r w:rsidRPr="00C203E5">
        <w:tab/>
        <w:t>($</w:t>
      </w:r>
      <w:r>
        <w:t> million</w:t>
      </w:r>
      <w:r w:rsidRPr="00C203E5">
        <w:t>)</w:t>
      </w:r>
    </w:p>
    <w:tbl>
      <w:tblPr>
        <w:tblStyle w:val="DTFTableNumeric"/>
        <w:tblW w:w="7710" w:type="dxa"/>
        <w:tblLayout w:type="fixed"/>
        <w:tblLook w:val="06A0" w:firstRow="1" w:lastRow="0" w:firstColumn="1" w:lastColumn="0" w:noHBand="1" w:noVBand="1"/>
      </w:tblPr>
      <w:tblGrid>
        <w:gridCol w:w="4534"/>
        <w:gridCol w:w="794"/>
        <w:gridCol w:w="794"/>
        <w:gridCol w:w="794"/>
        <w:gridCol w:w="794"/>
      </w:tblGrid>
      <w:tr w:rsidR="00C424E5" w14:paraId="1E5202CC" w14:textId="77777777" w:rsidTr="00A836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4" w:type="dxa"/>
          </w:tcPr>
          <w:p w14:paraId="6455754F" w14:textId="4AEF110B" w:rsidR="00C424E5" w:rsidRDefault="00C424E5" w:rsidP="00A8365C">
            <w:pPr>
              <w:spacing w:after="0"/>
            </w:pPr>
          </w:p>
        </w:tc>
        <w:tc>
          <w:tcPr>
            <w:tcW w:w="794" w:type="dxa"/>
          </w:tcPr>
          <w:p w14:paraId="3D824E76" w14:textId="77777777" w:rsidR="00C424E5" w:rsidRDefault="00C424E5" w:rsidP="00A8365C">
            <w:pPr>
              <w:spacing w:after="0"/>
              <w:cnfStyle w:val="100000000000" w:firstRow="1" w:lastRow="0" w:firstColumn="0" w:lastColumn="0" w:oddVBand="0" w:evenVBand="0" w:oddHBand="0" w:evenHBand="0" w:firstRowFirstColumn="0" w:firstRowLastColumn="0" w:lastRowFirstColumn="0" w:lastRowLastColumn="0"/>
            </w:pPr>
            <w:r>
              <w:t>2022</w:t>
            </w:r>
            <w:r>
              <w:noBreakHyphen/>
              <w:t>23</w:t>
            </w:r>
            <w:r>
              <w:rPr>
                <w:i w:val="0"/>
              </w:rPr>
              <w:br/>
            </w:r>
            <w:r>
              <w:t>revised</w:t>
            </w:r>
          </w:p>
        </w:tc>
        <w:tc>
          <w:tcPr>
            <w:tcW w:w="794" w:type="dxa"/>
          </w:tcPr>
          <w:p w14:paraId="4B08DAE2" w14:textId="77777777" w:rsidR="00C424E5" w:rsidRDefault="00C424E5" w:rsidP="00A8365C">
            <w:pPr>
              <w:spacing w:after="0"/>
              <w:cnfStyle w:val="100000000000" w:firstRow="1" w:lastRow="0" w:firstColumn="0" w:lastColumn="0" w:oddVBand="0" w:evenVBand="0" w:oddHBand="0" w:evenHBand="0" w:firstRowFirstColumn="0" w:firstRowLastColumn="0" w:lastRowFirstColumn="0" w:lastRowLastColumn="0"/>
            </w:pPr>
            <w:r>
              <w:t>2023</w:t>
            </w:r>
            <w:r>
              <w:noBreakHyphen/>
              <w:t>24</w:t>
            </w:r>
            <w:r>
              <w:rPr>
                <w:i w:val="0"/>
              </w:rPr>
              <w:br/>
            </w:r>
            <w:r>
              <w:t>estimate</w:t>
            </w:r>
          </w:p>
        </w:tc>
        <w:tc>
          <w:tcPr>
            <w:tcW w:w="794" w:type="dxa"/>
          </w:tcPr>
          <w:p w14:paraId="2DC1FE06" w14:textId="77777777" w:rsidR="00C424E5" w:rsidRDefault="00C424E5" w:rsidP="00A8365C">
            <w:pPr>
              <w:spacing w:after="0"/>
              <w:cnfStyle w:val="100000000000" w:firstRow="1" w:lastRow="0" w:firstColumn="0" w:lastColumn="0" w:oddVBand="0" w:evenVBand="0" w:oddHBand="0" w:evenHBand="0" w:firstRowFirstColumn="0" w:firstRowLastColumn="0" w:lastRowFirstColumn="0" w:lastRowLastColumn="0"/>
            </w:pPr>
            <w:r>
              <w:t>2024</w:t>
            </w:r>
            <w:r>
              <w:noBreakHyphen/>
              <w:t>25</w:t>
            </w:r>
            <w:r>
              <w:rPr>
                <w:i w:val="0"/>
              </w:rPr>
              <w:br/>
            </w:r>
            <w:r>
              <w:t>estimate</w:t>
            </w:r>
          </w:p>
        </w:tc>
        <w:tc>
          <w:tcPr>
            <w:tcW w:w="794" w:type="dxa"/>
          </w:tcPr>
          <w:p w14:paraId="063AF191" w14:textId="77777777" w:rsidR="00C424E5" w:rsidRDefault="00C424E5" w:rsidP="00A8365C">
            <w:pPr>
              <w:spacing w:after="0"/>
              <w:cnfStyle w:val="100000000000" w:firstRow="1" w:lastRow="0" w:firstColumn="0" w:lastColumn="0" w:oddVBand="0" w:evenVBand="0" w:oddHBand="0" w:evenHBand="0" w:firstRowFirstColumn="0" w:firstRowLastColumn="0" w:lastRowFirstColumn="0" w:lastRowLastColumn="0"/>
            </w:pPr>
            <w:r>
              <w:t>2025</w:t>
            </w:r>
            <w:r>
              <w:noBreakHyphen/>
              <w:t>26</w:t>
            </w:r>
            <w:r>
              <w:rPr>
                <w:i w:val="0"/>
              </w:rPr>
              <w:br/>
            </w:r>
            <w:r>
              <w:t>estimate</w:t>
            </w:r>
          </w:p>
        </w:tc>
      </w:tr>
      <w:tr w:rsidR="00C424E5" w14:paraId="576BCECF" w14:textId="77777777">
        <w:tc>
          <w:tcPr>
            <w:cnfStyle w:val="001000000000" w:firstRow="0" w:lastRow="0" w:firstColumn="1" w:lastColumn="0" w:oddVBand="0" w:evenVBand="0" w:oddHBand="0" w:evenHBand="0" w:firstRowFirstColumn="0" w:firstRowLastColumn="0" w:lastRowFirstColumn="0" w:lastRowLastColumn="0"/>
            <w:tcW w:w="4534" w:type="dxa"/>
          </w:tcPr>
          <w:p w14:paraId="4B420BA6" w14:textId="77777777" w:rsidR="00C424E5" w:rsidRDefault="00C424E5" w:rsidP="00A8365C">
            <w:pPr>
              <w:spacing w:after="0"/>
            </w:pPr>
            <w:r>
              <w:rPr>
                <w:b/>
              </w:rPr>
              <w:t>New output initiatives</w:t>
            </w:r>
          </w:p>
        </w:tc>
        <w:tc>
          <w:tcPr>
            <w:tcW w:w="794" w:type="dxa"/>
          </w:tcPr>
          <w:p w14:paraId="3FC5BA58" w14:textId="77777777" w:rsidR="00C424E5" w:rsidRDefault="00C424E5" w:rsidP="00A8365C">
            <w:pPr>
              <w:spacing w:after="0"/>
              <w:cnfStyle w:val="000000000000" w:firstRow="0" w:lastRow="0" w:firstColumn="0" w:lastColumn="0" w:oddVBand="0" w:evenVBand="0" w:oddHBand="0" w:evenHBand="0" w:firstRowFirstColumn="0" w:firstRowLastColumn="0" w:lastRowFirstColumn="0" w:lastRowLastColumn="0"/>
            </w:pPr>
            <w:r>
              <w:rPr>
                <w:b/>
              </w:rPr>
              <w:t>2 401</w:t>
            </w:r>
          </w:p>
        </w:tc>
        <w:tc>
          <w:tcPr>
            <w:tcW w:w="794" w:type="dxa"/>
          </w:tcPr>
          <w:p w14:paraId="1F8A900C" w14:textId="44D3A6E9" w:rsidR="00C424E5" w:rsidRDefault="00C424E5" w:rsidP="00A8365C">
            <w:pPr>
              <w:spacing w:after="0"/>
              <w:cnfStyle w:val="000000000000" w:firstRow="0" w:lastRow="0" w:firstColumn="0" w:lastColumn="0" w:oddVBand="0" w:evenVBand="0" w:oddHBand="0" w:evenHBand="0" w:firstRowFirstColumn="0" w:firstRowLastColumn="0" w:lastRowFirstColumn="0" w:lastRowLastColumn="0"/>
            </w:pPr>
            <w:r>
              <w:rPr>
                <w:b/>
              </w:rPr>
              <w:t>854</w:t>
            </w:r>
          </w:p>
        </w:tc>
        <w:tc>
          <w:tcPr>
            <w:tcW w:w="794" w:type="dxa"/>
          </w:tcPr>
          <w:p w14:paraId="21C4DA2D" w14:textId="06B7170F" w:rsidR="00C424E5" w:rsidRDefault="00C424E5" w:rsidP="00A8365C">
            <w:pPr>
              <w:spacing w:after="0"/>
              <w:cnfStyle w:val="000000000000" w:firstRow="0" w:lastRow="0" w:firstColumn="0" w:lastColumn="0" w:oddVBand="0" w:evenVBand="0" w:oddHBand="0" w:evenHBand="0" w:firstRowFirstColumn="0" w:firstRowLastColumn="0" w:lastRowFirstColumn="0" w:lastRowLastColumn="0"/>
            </w:pPr>
            <w:r>
              <w:rPr>
                <w:b/>
              </w:rPr>
              <w:t>775</w:t>
            </w:r>
          </w:p>
        </w:tc>
        <w:tc>
          <w:tcPr>
            <w:tcW w:w="794" w:type="dxa"/>
          </w:tcPr>
          <w:p w14:paraId="17F2C492" w14:textId="38FC48D5" w:rsidR="00C424E5" w:rsidRDefault="00C424E5" w:rsidP="00A8365C">
            <w:pPr>
              <w:spacing w:after="0"/>
              <w:cnfStyle w:val="000000000000" w:firstRow="0" w:lastRow="0" w:firstColumn="0" w:lastColumn="0" w:oddVBand="0" w:evenVBand="0" w:oddHBand="0" w:evenHBand="0" w:firstRowFirstColumn="0" w:firstRowLastColumn="0" w:lastRowFirstColumn="0" w:lastRowLastColumn="0"/>
            </w:pPr>
            <w:r>
              <w:rPr>
                <w:b/>
              </w:rPr>
              <w:t>949</w:t>
            </w:r>
          </w:p>
        </w:tc>
      </w:tr>
      <w:tr w:rsidR="00C424E5" w14:paraId="07A7EA1D" w14:textId="77777777">
        <w:tc>
          <w:tcPr>
            <w:cnfStyle w:val="001000000000" w:firstRow="0" w:lastRow="0" w:firstColumn="1" w:lastColumn="0" w:oddVBand="0" w:evenVBand="0" w:oddHBand="0" w:evenHBand="0" w:firstRowFirstColumn="0" w:firstRowLastColumn="0" w:lastRowFirstColumn="0" w:lastRowLastColumn="0"/>
            <w:tcW w:w="4534" w:type="dxa"/>
          </w:tcPr>
          <w:p w14:paraId="5DE9B6C3" w14:textId="77777777" w:rsidR="00C424E5" w:rsidRDefault="00C424E5" w:rsidP="00A8365C">
            <w:pPr>
              <w:spacing w:after="0"/>
            </w:pPr>
            <w:r>
              <w:t>Less:</w:t>
            </w:r>
          </w:p>
        </w:tc>
        <w:tc>
          <w:tcPr>
            <w:tcW w:w="794" w:type="dxa"/>
          </w:tcPr>
          <w:p w14:paraId="6A152F54" w14:textId="77777777" w:rsidR="00C424E5" w:rsidRDefault="00C424E5" w:rsidP="00A8365C">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49C59736" w14:textId="77777777" w:rsidR="00C424E5" w:rsidRDefault="00C424E5" w:rsidP="00A8365C">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3C46C976" w14:textId="77777777" w:rsidR="00C424E5" w:rsidRDefault="00C424E5" w:rsidP="00A8365C">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02AB7B5A" w14:textId="77777777" w:rsidR="00C424E5" w:rsidRDefault="00C424E5" w:rsidP="00A8365C">
            <w:pPr>
              <w:spacing w:after="0"/>
              <w:cnfStyle w:val="000000000000" w:firstRow="0" w:lastRow="0" w:firstColumn="0" w:lastColumn="0" w:oddVBand="0" w:evenVBand="0" w:oddHBand="0" w:evenHBand="0" w:firstRowFirstColumn="0" w:firstRowLastColumn="0" w:lastRowFirstColumn="0" w:lastRowLastColumn="0"/>
            </w:pPr>
          </w:p>
        </w:tc>
      </w:tr>
      <w:tr w:rsidR="00C424E5" w14:paraId="250EB774" w14:textId="77777777">
        <w:tc>
          <w:tcPr>
            <w:cnfStyle w:val="001000000000" w:firstRow="0" w:lastRow="0" w:firstColumn="1" w:lastColumn="0" w:oddVBand="0" w:evenVBand="0" w:oddHBand="0" w:evenHBand="0" w:firstRowFirstColumn="0" w:firstRowLastColumn="0" w:lastRowFirstColumn="0" w:lastRowLastColumn="0"/>
            <w:tcW w:w="4534" w:type="dxa"/>
          </w:tcPr>
          <w:p w14:paraId="4FCD19C7" w14:textId="77777777" w:rsidR="00C424E5" w:rsidRDefault="00C424E5" w:rsidP="00A8365C">
            <w:pPr>
              <w:spacing w:after="0"/>
            </w:pPr>
            <w:r>
              <w:t xml:space="preserve">   Reprioritisations and revenue offsets </w:t>
            </w:r>
            <w:r>
              <w:rPr>
                <w:vertAlign w:val="superscript"/>
              </w:rPr>
              <w:t>(b)</w:t>
            </w:r>
          </w:p>
        </w:tc>
        <w:tc>
          <w:tcPr>
            <w:tcW w:w="794" w:type="dxa"/>
          </w:tcPr>
          <w:p w14:paraId="0A62BD74" w14:textId="77777777" w:rsidR="00C424E5" w:rsidRDefault="00C424E5" w:rsidP="00A8365C">
            <w:pPr>
              <w:spacing w:after="0"/>
              <w:cnfStyle w:val="000000000000" w:firstRow="0" w:lastRow="0" w:firstColumn="0" w:lastColumn="0" w:oddVBand="0" w:evenVBand="0" w:oddHBand="0" w:evenHBand="0" w:firstRowFirstColumn="0" w:firstRowLastColumn="0" w:lastRowFirstColumn="0" w:lastRowLastColumn="0"/>
            </w:pPr>
            <w:r>
              <w:t>99</w:t>
            </w:r>
          </w:p>
        </w:tc>
        <w:tc>
          <w:tcPr>
            <w:tcW w:w="794" w:type="dxa"/>
          </w:tcPr>
          <w:p w14:paraId="090AD15A" w14:textId="77777777" w:rsidR="00C424E5" w:rsidRDefault="00C424E5" w:rsidP="00A8365C">
            <w:pPr>
              <w:spacing w:after="0"/>
              <w:cnfStyle w:val="000000000000" w:firstRow="0" w:lastRow="0" w:firstColumn="0" w:lastColumn="0" w:oddVBand="0" w:evenVBand="0" w:oddHBand="0" w:evenHBand="0" w:firstRowFirstColumn="0" w:firstRowLastColumn="0" w:lastRowFirstColumn="0" w:lastRowLastColumn="0"/>
            </w:pPr>
            <w:r>
              <w:t>92</w:t>
            </w:r>
          </w:p>
        </w:tc>
        <w:tc>
          <w:tcPr>
            <w:tcW w:w="794" w:type="dxa"/>
          </w:tcPr>
          <w:p w14:paraId="7F0E24BC" w14:textId="77777777" w:rsidR="00C424E5" w:rsidRDefault="00C424E5" w:rsidP="00A8365C">
            <w:pPr>
              <w:spacing w:after="0"/>
              <w:cnfStyle w:val="000000000000" w:firstRow="0" w:lastRow="0" w:firstColumn="0" w:lastColumn="0" w:oddVBand="0" w:evenVBand="0" w:oddHBand="0" w:evenHBand="0" w:firstRowFirstColumn="0" w:firstRowLastColumn="0" w:lastRowFirstColumn="0" w:lastRowLastColumn="0"/>
            </w:pPr>
            <w:r>
              <w:t>140</w:t>
            </w:r>
          </w:p>
        </w:tc>
        <w:tc>
          <w:tcPr>
            <w:tcW w:w="794" w:type="dxa"/>
          </w:tcPr>
          <w:p w14:paraId="5CA44598" w14:textId="77777777" w:rsidR="00C424E5" w:rsidRDefault="00C424E5" w:rsidP="00A8365C">
            <w:pPr>
              <w:spacing w:after="0"/>
              <w:cnfStyle w:val="000000000000" w:firstRow="0" w:lastRow="0" w:firstColumn="0" w:lastColumn="0" w:oddVBand="0" w:evenVBand="0" w:oddHBand="0" w:evenHBand="0" w:firstRowFirstColumn="0" w:firstRowLastColumn="0" w:lastRowFirstColumn="0" w:lastRowLastColumn="0"/>
            </w:pPr>
            <w:r>
              <w:t>66</w:t>
            </w:r>
          </w:p>
        </w:tc>
      </w:tr>
      <w:tr w:rsidR="00C424E5" w14:paraId="4E9286B4" w14:textId="77777777">
        <w:tc>
          <w:tcPr>
            <w:cnfStyle w:val="001000000000" w:firstRow="0" w:lastRow="0" w:firstColumn="1" w:lastColumn="0" w:oddVBand="0" w:evenVBand="0" w:oddHBand="0" w:evenHBand="0" w:firstRowFirstColumn="0" w:firstRowLastColumn="0" w:lastRowFirstColumn="0" w:lastRowLastColumn="0"/>
            <w:tcW w:w="4534" w:type="dxa"/>
          </w:tcPr>
          <w:p w14:paraId="40A0B1CF" w14:textId="77777777" w:rsidR="00C424E5" w:rsidRDefault="00C424E5" w:rsidP="00A8365C">
            <w:pPr>
              <w:spacing w:after="0"/>
            </w:pPr>
            <w:r>
              <w:t xml:space="preserve">   Adjustments </w:t>
            </w:r>
            <w:r>
              <w:rPr>
                <w:vertAlign w:val="superscript"/>
              </w:rPr>
              <w:t>(c)</w:t>
            </w:r>
          </w:p>
        </w:tc>
        <w:tc>
          <w:tcPr>
            <w:tcW w:w="794" w:type="dxa"/>
          </w:tcPr>
          <w:p w14:paraId="6FD235C7" w14:textId="77777777" w:rsidR="00C424E5" w:rsidRDefault="00C424E5" w:rsidP="00A8365C">
            <w:pPr>
              <w:spacing w:after="0"/>
              <w:cnfStyle w:val="000000000000" w:firstRow="0" w:lastRow="0" w:firstColumn="0" w:lastColumn="0" w:oddVBand="0" w:evenVBand="0" w:oddHBand="0" w:evenHBand="0" w:firstRowFirstColumn="0" w:firstRowLastColumn="0" w:lastRowFirstColumn="0" w:lastRowLastColumn="0"/>
            </w:pPr>
            <w:r>
              <w:t>399</w:t>
            </w:r>
          </w:p>
        </w:tc>
        <w:tc>
          <w:tcPr>
            <w:tcW w:w="794" w:type="dxa"/>
          </w:tcPr>
          <w:p w14:paraId="6E65FC7D" w14:textId="4182D790" w:rsidR="00C424E5" w:rsidRDefault="00C424E5" w:rsidP="00A8365C">
            <w:pPr>
              <w:spacing w:after="0"/>
              <w:cnfStyle w:val="000000000000" w:firstRow="0" w:lastRow="0" w:firstColumn="0" w:lastColumn="0" w:oddVBand="0" w:evenVBand="0" w:oddHBand="0" w:evenHBand="0" w:firstRowFirstColumn="0" w:firstRowLastColumn="0" w:lastRowFirstColumn="0" w:lastRowLastColumn="0"/>
            </w:pPr>
            <w:r>
              <w:t>339</w:t>
            </w:r>
          </w:p>
        </w:tc>
        <w:tc>
          <w:tcPr>
            <w:tcW w:w="794" w:type="dxa"/>
          </w:tcPr>
          <w:p w14:paraId="59944883" w14:textId="53949464" w:rsidR="00C424E5" w:rsidRDefault="00C424E5" w:rsidP="00A8365C">
            <w:pPr>
              <w:spacing w:after="0"/>
              <w:cnfStyle w:val="000000000000" w:firstRow="0" w:lastRow="0" w:firstColumn="0" w:lastColumn="0" w:oddVBand="0" w:evenVBand="0" w:oddHBand="0" w:evenHBand="0" w:firstRowFirstColumn="0" w:firstRowLastColumn="0" w:lastRowFirstColumn="0" w:lastRowLastColumn="0"/>
            </w:pPr>
            <w:r>
              <w:t>(16)</w:t>
            </w:r>
          </w:p>
        </w:tc>
        <w:tc>
          <w:tcPr>
            <w:tcW w:w="794" w:type="dxa"/>
          </w:tcPr>
          <w:p w14:paraId="28AEA23B" w14:textId="060D9B72" w:rsidR="00C424E5" w:rsidRDefault="00C424E5" w:rsidP="00A8365C">
            <w:pPr>
              <w:spacing w:after="0"/>
              <w:cnfStyle w:val="000000000000" w:firstRow="0" w:lastRow="0" w:firstColumn="0" w:lastColumn="0" w:oddVBand="0" w:evenVBand="0" w:oddHBand="0" w:evenHBand="0" w:firstRowFirstColumn="0" w:firstRowLastColumn="0" w:lastRowFirstColumn="0" w:lastRowLastColumn="0"/>
            </w:pPr>
            <w:r>
              <w:t>(37)</w:t>
            </w:r>
          </w:p>
        </w:tc>
      </w:tr>
      <w:tr w:rsidR="00C424E5" w14:paraId="38B7B8A9" w14:textId="77777777" w:rsidTr="00F11628">
        <w:tc>
          <w:tcPr>
            <w:cnfStyle w:val="001000000000" w:firstRow="0" w:lastRow="0" w:firstColumn="1" w:lastColumn="0" w:oddVBand="0" w:evenVBand="0" w:oddHBand="0" w:evenHBand="0" w:firstRowFirstColumn="0" w:firstRowLastColumn="0" w:lastRowFirstColumn="0" w:lastRowLastColumn="0"/>
            <w:tcW w:w="4534" w:type="dxa"/>
            <w:tcBorders>
              <w:bottom w:val="single" w:sz="6" w:space="0" w:color="auto"/>
            </w:tcBorders>
          </w:tcPr>
          <w:p w14:paraId="664675FD" w14:textId="77777777" w:rsidR="00C424E5" w:rsidRDefault="00C424E5" w:rsidP="00A8365C">
            <w:pPr>
              <w:spacing w:after="0"/>
            </w:pPr>
            <w:r>
              <w:t xml:space="preserve">   Savings</w:t>
            </w:r>
          </w:p>
        </w:tc>
        <w:tc>
          <w:tcPr>
            <w:tcW w:w="794" w:type="dxa"/>
            <w:tcBorders>
              <w:bottom w:val="single" w:sz="6" w:space="0" w:color="auto"/>
            </w:tcBorders>
          </w:tcPr>
          <w:p w14:paraId="38295981" w14:textId="77777777" w:rsidR="00C424E5" w:rsidRDefault="00C424E5" w:rsidP="00A8365C">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255B879A" w14:textId="77777777" w:rsidR="00C424E5" w:rsidRDefault="00C424E5" w:rsidP="00A8365C">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436DDB56" w14:textId="77777777" w:rsidR="00C424E5" w:rsidRDefault="00C424E5" w:rsidP="00A8365C">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68845B84" w14:textId="77777777" w:rsidR="00C424E5" w:rsidRDefault="00C424E5" w:rsidP="00A8365C">
            <w:pPr>
              <w:spacing w:after="0"/>
              <w:cnfStyle w:val="000000000000" w:firstRow="0" w:lastRow="0" w:firstColumn="0" w:lastColumn="0" w:oddVBand="0" w:evenVBand="0" w:oddHBand="0" w:evenHBand="0" w:firstRowFirstColumn="0" w:firstRowLastColumn="0" w:lastRowFirstColumn="0" w:lastRowLastColumn="0"/>
            </w:pPr>
            <w:r>
              <w:t>..</w:t>
            </w:r>
          </w:p>
        </w:tc>
      </w:tr>
      <w:tr w:rsidR="00C424E5" w14:paraId="14FAACB2" w14:textId="77777777" w:rsidTr="00F11628">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bottom w:val="single" w:sz="6" w:space="0" w:color="auto"/>
            </w:tcBorders>
          </w:tcPr>
          <w:p w14:paraId="7B33FFD6" w14:textId="77777777" w:rsidR="00C424E5" w:rsidRDefault="00C424E5" w:rsidP="00A8365C">
            <w:pPr>
              <w:spacing w:after="0"/>
            </w:pPr>
            <w:r>
              <w:rPr>
                <w:b/>
                <w:i/>
              </w:rPr>
              <w:t>2022 VEFU</w:t>
            </w:r>
            <w:r>
              <w:rPr>
                <w:b/>
              </w:rPr>
              <w:t xml:space="preserve"> output policy initiatives</w:t>
            </w:r>
          </w:p>
        </w:tc>
        <w:tc>
          <w:tcPr>
            <w:tcW w:w="794" w:type="dxa"/>
            <w:tcBorders>
              <w:top w:val="single" w:sz="6" w:space="0" w:color="auto"/>
              <w:bottom w:val="single" w:sz="6" w:space="0" w:color="auto"/>
            </w:tcBorders>
          </w:tcPr>
          <w:p w14:paraId="14EAA9C8" w14:textId="77777777" w:rsidR="00C424E5" w:rsidRDefault="00C424E5" w:rsidP="00A8365C">
            <w:pPr>
              <w:spacing w:after="0"/>
              <w:cnfStyle w:val="000000000000" w:firstRow="0" w:lastRow="0" w:firstColumn="0" w:lastColumn="0" w:oddVBand="0" w:evenVBand="0" w:oddHBand="0" w:evenHBand="0" w:firstRowFirstColumn="0" w:firstRowLastColumn="0" w:lastRowFirstColumn="0" w:lastRowLastColumn="0"/>
            </w:pPr>
            <w:r>
              <w:rPr>
                <w:b/>
              </w:rPr>
              <w:t>1 904</w:t>
            </w:r>
          </w:p>
        </w:tc>
        <w:tc>
          <w:tcPr>
            <w:tcW w:w="794" w:type="dxa"/>
            <w:tcBorders>
              <w:top w:val="single" w:sz="6" w:space="0" w:color="auto"/>
              <w:bottom w:val="single" w:sz="6" w:space="0" w:color="auto"/>
            </w:tcBorders>
          </w:tcPr>
          <w:p w14:paraId="09802D02" w14:textId="77777777" w:rsidR="00C424E5" w:rsidRDefault="00C424E5" w:rsidP="00A8365C">
            <w:pPr>
              <w:spacing w:after="0"/>
              <w:cnfStyle w:val="000000000000" w:firstRow="0" w:lastRow="0" w:firstColumn="0" w:lastColumn="0" w:oddVBand="0" w:evenVBand="0" w:oddHBand="0" w:evenHBand="0" w:firstRowFirstColumn="0" w:firstRowLastColumn="0" w:lastRowFirstColumn="0" w:lastRowLastColumn="0"/>
            </w:pPr>
            <w:r>
              <w:rPr>
                <w:b/>
              </w:rPr>
              <w:t>423</w:t>
            </w:r>
          </w:p>
        </w:tc>
        <w:tc>
          <w:tcPr>
            <w:tcW w:w="794" w:type="dxa"/>
            <w:tcBorders>
              <w:top w:val="single" w:sz="6" w:space="0" w:color="auto"/>
              <w:bottom w:val="single" w:sz="6" w:space="0" w:color="auto"/>
            </w:tcBorders>
          </w:tcPr>
          <w:p w14:paraId="154B66EB" w14:textId="77777777" w:rsidR="00C424E5" w:rsidRDefault="00C424E5" w:rsidP="00A8365C">
            <w:pPr>
              <w:spacing w:after="0"/>
              <w:cnfStyle w:val="000000000000" w:firstRow="0" w:lastRow="0" w:firstColumn="0" w:lastColumn="0" w:oddVBand="0" w:evenVBand="0" w:oddHBand="0" w:evenHBand="0" w:firstRowFirstColumn="0" w:firstRowLastColumn="0" w:lastRowFirstColumn="0" w:lastRowLastColumn="0"/>
            </w:pPr>
            <w:r>
              <w:rPr>
                <w:b/>
              </w:rPr>
              <w:t>652</w:t>
            </w:r>
          </w:p>
        </w:tc>
        <w:tc>
          <w:tcPr>
            <w:tcW w:w="794" w:type="dxa"/>
            <w:tcBorders>
              <w:top w:val="single" w:sz="6" w:space="0" w:color="auto"/>
              <w:bottom w:val="single" w:sz="6" w:space="0" w:color="auto"/>
            </w:tcBorders>
          </w:tcPr>
          <w:p w14:paraId="08B7F9E6" w14:textId="77777777" w:rsidR="00C424E5" w:rsidRDefault="00C424E5" w:rsidP="00A8365C">
            <w:pPr>
              <w:spacing w:after="0"/>
              <w:cnfStyle w:val="000000000000" w:firstRow="0" w:lastRow="0" w:firstColumn="0" w:lastColumn="0" w:oddVBand="0" w:evenVBand="0" w:oddHBand="0" w:evenHBand="0" w:firstRowFirstColumn="0" w:firstRowLastColumn="0" w:lastRowFirstColumn="0" w:lastRowLastColumn="0"/>
            </w:pPr>
            <w:r>
              <w:rPr>
                <w:b/>
              </w:rPr>
              <w:t>919</w:t>
            </w:r>
          </w:p>
        </w:tc>
      </w:tr>
      <w:tr w:rsidR="00C424E5" w14:paraId="25C6B12D" w14:textId="77777777" w:rsidTr="00F11628">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bottom w:val="single" w:sz="6" w:space="0" w:color="auto"/>
            </w:tcBorders>
          </w:tcPr>
          <w:p w14:paraId="6FBFEEB8" w14:textId="77777777" w:rsidR="00C424E5" w:rsidRDefault="00C424E5" w:rsidP="00A8365C">
            <w:pPr>
              <w:spacing w:after="0"/>
            </w:pPr>
            <w:r>
              <w:t xml:space="preserve">Less: Contingency offset for new policy </w:t>
            </w:r>
            <w:r>
              <w:rPr>
                <w:vertAlign w:val="superscript"/>
              </w:rPr>
              <w:t>(d)</w:t>
            </w:r>
          </w:p>
        </w:tc>
        <w:tc>
          <w:tcPr>
            <w:tcW w:w="794" w:type="dxa"/>
            <w:tcBorders>
              <w:top w:val="single" w:sz="6" w:space="0" w:color="auto"/>
              <w:bottom w:val="single" w:sz="6" w:space="0" w:color="auto"/>
            </w:tcBorders>
          </w:tcPr>
          <w:p w14:paraId="313602AE" w14:textId="77777777" w:rsidR="00C424E5" w:rsidRDefault="00C424E5" w:rsidP="00A8365C">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Borders>
              <w:top w:val="single" w:sz="6" w:space="0" w:color="auto"/>
              <w:bottom w:val="single" w:sz="6" w:space="0" w:color="auto"/>
            </w:tcBorders>
          </w:tcPr>
          <w:p w14:paraId="00118E2E" w14:textId="77777777" w:rsidR="00C424E5" w:rsidRDefault="00C424E5" w:rsidP="00A8365C">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Borders>
              <w:top w:val="single" w:sz="6" w:space="0" w:color="auto"/>
              <w:bottom w:val="single" w:sz="6" w:space="0" w:color="auto"/>
            </w:tcBorders>
          </w:tcPr>
          <w:p w14:paraId="3C881A55" w14:textId="77777777" w:rsidR="00C424E5" w:rsidRDefault="00C424E5" w:rsidP="00A8365C">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Borders>
              <w:top w:val="single" w:sz="6" w:space="0" w:color="auto"/>
              <w:bottom w:val="single" w:sz="6" w:space="0" w:color="auto"/>
            </w:tcBorders>
          </w:tcPr>
          <w:p w14:paraId="4C66FB62" w14:textId="77777777" w:rsidR="00C424E5" w:rsidRDefault="00C424E5" w:rsidP="00A8365C">
            <w:pPr>
              <w:spacing w:after="0"/>
              <w:cnfStyle w:val="000000000000" w:firstRow="0" w:lastRow="0" w:firstColumn="0" w:lastColumn="0" w:oddVBand="0" w:evenVBand="0" w:oddHBand="0" w:evenHBand="0" w:firstRowFirstColumn="0" w:firstRowLastColumn="0" w:lastRowFirstColumn="0" w:lastRowLastColumn="0"/>
            </w:pPr>
            <w:r>
              <w:t>..</w:t>
            </w:r>
          </w:p>
        </w:tc>
      </w:tr>
      <w:tr w:rsidR="00C424E5" w14:paraId="0DEF0C4D" w14:textId="77777777" w:rsidTr="00F11628">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bottom w:val="single" w:sz="12" w:space="0" w:color="auto"/>
            </w:tcBorders>
          </w:tcPr>
          <w:p w14:paraId="5287C544" w14:textId="77777777" w:rsidR="00C424E5" w:rsidRDefault="00C424E5" w:rsidP="00A8365C">
            <w:pPr>
              <w:spacing w:after="0"/>
            </w:pPr>
            <w:r>
              <w:rPr>
                <w:b/>
              </w:rPr>
              <w:t>Net impact</w:t>
            </w:r>
          </w:p>
        </w:tc>
        <w:tc>
          <w:tcPr>
            <w:tcW w:w="794" w:type="dxa"/>
            <w:tcBorders>
              <w:top w:val="single" w:sz="6" w:space="0" w:color="auto"/>
              <w:bottom w:val="single" w:sz="12" w:space="0" w:color="auto"/>
            </w:tcBorders>
          </w:tcPr>
          <w:p w14:paraId="3DA7AB34" w14:textId="77777777" w:rsidR="00C424E5" w:rsidRDefault="00C424E5" w:rsidP="00A8365C">
            <w:pPr>
              <w:spacing w:after="0"/>
              <w:cnfStyle w:val="000000000000" w:firstRow="0" w:lastRow="0" w:firstColumn="0" w:lastColumn="0" w:oddVBand="0" w:evenVBand="0" w:oddHBand="0" w:evenHBand="0" w:firstRowFirstColumn="0" w:firstRowLastColumn="0" w:lastRowFirstColumn="0" w:lastRowLastColumn="0"/>
            </w:pPr>
            <w:r>
              <w:rPr>
                <w:b/>
              </w:rPr>
              <w:t>1 904</w:t>
            </w:r>
          </w:p>
        </w:tc>
        <w:tc>
          <w:tcPr>
            <w:tcW w:w="794" w:type="dxa"/>
            <w:tcBorders>
              <w:top w:val="single" w:sz="6" w:space="0" w:color="auto"/>
              <w:bottom w:val="single" w:sz="12" w:space="0" w:color="auto"/>
            </w:tcBorders>
          </w:tcPr>
          <w:p w14:paraId="645FBA23" w14:textId="77777777" w:rsidR="00C424E5" w:rsidRDefault="00C424E5" w:rsidP="00A8365C">
            <w:pPr>
              <w:spacing w:after="0"/>
              <w:cnfStyle w:val="000000000000" w:firstRow="0" w:lastRow="0" w:firstColumn="0" w:lastColumn="0" w:oddVBand="0" w:evenVBand="0" w:oddHBand="0" w:evenHBand="0" w:firstRowFirstColumn="0" w:firstRowLastColumn="0" w:lastRowFirstColumn="0" w:lastRowLastColumn="0"/>
            </w:pPr>
            <w:r>
              <w:rPr>
                <w:b/>
              </w:rPr>
              <w:t>423</w:t>
            </w:r>
          </w:p>
        </w:tc>
        <w:tc>
          <w:tcPr>
            <w:tcW w:w="794" w:type="dxa"/>
            <w:tcBorders>
              <w:top w:val="single" w:sz="6" w:space="0" w:color="auto"/>
              <w:bottom w:val="single" w:sz="12" w:space="0" w:color="auto"/>
            </w:tcBorders>
          </w:tcPr>
          <w:p w14:paraId="4774BF29" w14:textId="77777777" w:rsidR="00C424E5" w:rsidRDefault="00C424E5" w:rsidP="00A8365C">
            <w:pPr>
              <w:spacing w:after="0"/>
              <w:cnfStyle w:val="000000000000" w:firstRow="0" w:lastRow="0" w:firstColumn="0" w:lastColumn="0" w:oddVBand="0" w:evenVBand="0" w:oddHBand="0" w:evenHBand="0" w:firstRowFirstColumn="0" w:firstRowLastColumn="0" w:lastRowFirstColumn="0" w:lastRowLastColumn="0"/>
            </w:pPr>
            <w:r>
              <w:rPr>
                <w:b/>
              </w:rPr>
              <w:t>652</w:t>
            </w:r>
          </w:p>
        </w:tc>
        <w:tc>
          <w:tcPr>
            <w:tcW w:w="794" w:type="dxa"/>
            <w:tcBorders>
              <w:top w:val="single" w:sz="6" w:space="0" w:color="auto"/>
              <w:bottom w:val="single" w:sz="12" w:space="0" w:color="auto"/>
            </w:tcBorders>
          </w:tcPr>
          <w:p w14:paraId="64D657B1" w14:textId="0A99D78E" w:rsidR="00C424E5" w:rsidRDefault="00C424E5" w:rsidP="00A8365C">
            <w:pPr>
              <w:spacing w:after="0"/>
              <w:cnfStyle w:val="000000000000" w:firstRow="0" w:lastRow="0" w:firstColumn="0" w:lastColumn="0" w:oddVBand="0" w:evenVBand="0" w:oddHBand="0" w:evenHBand="0" w:firstRowFirstColumn="0" w:firstRowLastColumn="0" w:lastRowFirstColumn="0" w:lastRowLastColumn="0"/>
            </w:pPr>
            <w:r>
              <w:rPr>
                <w:b/>
              </w:rPr>
              <w:t>919</w:t>
            </w:r>
          </w:p>
        </w:tc>
      </w:tr>
    </w:tbl>
    <w:p w14:paraId="26B7A823" w14:textId="77777777" w:rsidR="00C424E5" w:rsidRPr="00CA318F" w:rsidRDefault="00C424E5" w:rsidP="006448B4">
      <w:pPr>
        <w:pStyle w:val="Note"/>
      </w:pPr>
      <w:r w:rsidRPr="00CA318F">
        <w:t>Notes:</w:t>
      </w:r>
    </w:p>
    <w:p w14:paraId="6EBA0919" w14:textId="77777777" w:rsidR="00C424E5" w:rsidRPr="00CA318F" w:rsidRDefault="00C424E5" w:rsidP="006448B4">
      <w:pPr>
        <w:pStyle w:val="Note"/>
      </w:pPr>
      <w:r w:rsidRPr="00CA318F">
        <w:t>(a)</w:t>
      </w:r>
      <w:r w:rsidRPr="00CA318F">
        <w:tab/>
        <w:t>Figures in this table are subject to rounding to the nearest</w:t>
      </w:r>
      <w:r>
        <w:t> million</w:t>
      </w:r>
      <w:r w:rsidRPr="00CA318F">
        <w:t xml:space="preserve"> and may not add up to totals.</w:t>
      </w:r>
    </w:p>
    <w:p w14:paraId="71FC01BC" w14:textId="77777777" w:rsidR="00C424E5" w:rsidRPr="00CA318F" w:rsidRDefault="00C424E5" w:rsidP="006448B4">
      <w:pPr>
        <w:pStyle w:val="Note"/>
      </w:pPr>
      <w:r w:rsidRPr="00CA318F">
        <w:t>(b)</w:t>
      </w:r>
      <w:r w:rsidRPr="00CA318F">
        <w:tab/>
        <w:t>This includes the reprioritisation of resources previously allocated to departments and revenue offsets.</w:t>
      </w:r>
    </w:p>
    <w:p w14:paraId="6BDB7AA9" w14:textId="77777777" w:rsidR="00C424E5" w:rsidRPr="00CA318F" w:rsidRDefault="00C424E5" w:rsidP="006448B4">
      <w:pPr>
        <w:pStyle w:val="Note"/>
      </w:pPr>
      <w:r w:rsidRPr="00CA318F">
        <w:t>(c)</w:t>
      </w:r>
      <w:r w:rsidRPr="00CA318F">
        <w:tab/>
        <w:t xml:space="preserve">Primarily incorporates the net impact of the </w:t>
      </w:r>
      <w:r>
        <w:t xml:space="preserve">specific </w:t>
      </w:r>
      <w:r w:rsidRPr="00CA318F">
        <w:t>creation and release of contingencies held for decisions made but not yet allocated.</w:t>
      </w:r>
    </w:p>
    <w:p w14:paraId="5DFD9EDA" w14:textId="77777777" w:rsidR="00C424E5" w:rsidRPr="006841AC" w:rsidRDefault="00C424E5" w:rsidP="006448B4">
      <w:pPr>
        <w:pStyle w:val="Note"/>
      </w:pPr>
      <w:r w:rsidRPr="00CA318F">
        <w:t>(d)</w:t>
      </w:r>
      <w:r w:rsidRPr="00CA318F">
        <w:tab/>
      </w:r>
      <w:r w:rsidRPr="00D40E1B">
        <w:t xml:space="preserve">Represents releases from the funding not allocated to specific purposes contingency associated with </w:t>
      </w:r>
      <w:r>
        <w:t>2022 VEFU</w:t>
      </w:r>
      <w:r w:rsidRPr="00AC276B">
        <w:t xml:space="preserve"> </w:t>
      </w:r>
      <w:r w:rsidRPr="00D40E1B">
        <w:t xml:space="preserve">new output initiatives. Further information on total output contingencies can be found at Note 3.3.5, </w:t>
      </w:r>
      <w:r w:rsidRPr="009D5A1B">
        <w:rPr>
          <w:i w:val="0"/>
          <w:iCs/>
        </w:rPr>
        <w:t xml:space="preserve">Chapter 3 </w:t>
      </w:r>
      <w:r w:rsidRPr="002516FD">
        <w:rPr>
          <w:i w:val="0"/>
          <w:iCs/>
        </w:rPr>
        <w:t>Estimated Financial Statements and Notes</w:t>
      </w:r>
      <w:r w:rsidRPr="006841AC">
        <w:t xml:space="preserve">. </w:t>
      </w:r>
    </w:p>
    <w:p w14:paraId="65C3FBF7" w14:textId="77777777" w:rsidR="00C424E5" w:rsidRPr="00C203E5" w:rsidRDefault="00C424E5" w:rsidP="00EE2764">
      <w:pPr>
        <w:pStyle w:val="Heading4"/>
        <w:spacing w:before="120"/>
        <w:rPr>
          <w:rFonts w:eastAsiaTheme="minorHAnsi"/>
        </w:rPr>
      </w:pPr>
      <w:r w:rsidRPr="00C203E5">
        <w:rPr>
          <w:rFonts w:eastAsiaTheme="minorHAnsi"/>
        </w:rPr>
        <w:t>Economic and demographic variations</w:t>
      </w:r>
    </w:p>
    <w:p w14:paraId="2AA62CB7" w14:textId="77777777" w:rsidR="00C424E5" w:rsidRPr="00C203E5" w:rsidRDefault="00C424E5" w:rsidP="006448B4">
      <w:pPr>
        <w:spacing w:before="100"/>
        <w:rPr>
          <w:i/>
          <w:iCs/>
        </w:rPr>
      </w:pPr>
      <w:r w:rsidRPr="00C203E5">
        <w:t xml:space="preserve">Since </w:t>
      </w:r>
      <w:r w:rsidRPr="007742B8">
        <w:t xml:space="preserve">the </w:t>
      </w:r>
      <w:r w:rsidRPr="007742B8">
        <w:rPr>
          <w:i/>
          <w:iCs/>
        </w:rPr>
        <w:t>2022-23 Budget</w:t>
      </w:r>
      <w:r w:rsidRPr="007742B8">
        <w:t xml:space="preserve">, taxation revenue has been revised upwards </w:t>
      </w:r>
      <w:r>
        <w:t>by $678 million</w:t>
      </w:r>
      <w:r w:rsidRPr="007742B8">
        <w:t xml:space="preserve"> in 2022-23, $</w:t>
      </w:r>
      <w:r>
        <w:t>470</w:t>
      </w:r>
      <w:r w:rsidRPr="007742B8">
        <w:t xml:space="preserve"> </w:t>
      </w:r>
      <w:r>
        <w:t>m</w:t>
      </w:r>
      <w:r w:rsidRPr="007742B8">
        <w:t>illion in 2023-24</w:t>
      </w:r>
      <w:r>
        <w:t>,</w:t>
      </w:r>
      <w:r w:rsidRPr="007742B8">
        <w:t xml:space="preserve"> $</w:t>
      </w:r>
      <w:r>
        <w:t>482</w:t>
      </w:r>
      <w:r w:rsidRPr="007742B8">
        <w:t xml:space="preserve"> </w:t>
      </w:r>
      <w:r>
        <w:t>m</w:t>
      </w:r>
      <w:r w:rsidRPr="007742B8">
        <w:t>illion in 2024-25</w:t>
      </w:r>
      <w:r>
        <w:t xml:space="preserve"> and $536 million in 2025-26</w:t>
      </w:r>
      <w:r w:rsidRPr="007742B8">
        <w:t xml:space="preserve">. This includes upgrades to </w:t>
      </w:r>
      <w:r>
        <w:t>payroll tax and motor vehicle taxes</w:t>
      </w:r>
      <w:r w:rsidRPr="007742B8">
        <w:t>.</w:t>
      </w:r>
    </w:p>
    <w:p w14:paraId="440E373B" w14:textId="77777777" w:rsidR="00C424E5" w:rsidRPr="00C203E5" w:rsidRDefault="00C424E5" w:rsidP="00EE2764">
      <w:pPr>
        <w:pStyle w:val="Heading4"/>
        <w:spacing w:before="120"/>
        <w:rPr>
          <w:rFonts w:eastAsiaTheme="minorHAnsi"/>
        </w:rPr>
      </w:pPr>
      <w:r w:rsidRPr="00C203E5">
        <w:rPr>
          <w:rFonts w:eastAsiaTheme="minorHAnsi"/>
        </w:rPr>
        <w:t>Commonwealth grants variations</w:t>
      </w:r>
    </w:p>
    <w:p w14:paraId="7069A899" w14:textId="1646D8DF" w:rsidR="00C424E5" w:rsidRDefault="00C424E5" w:rsidP="006448B4">
      <w:pPr>
        <w:spacing w:before="100"/>
      </w:pPr>
      <w:r>
        <w:t>Commonwealth general purpose grants (or GST grants) have been revised down by $378 million in 2022-23, $561 million in 2023-24, and upwards by $85 million in 2024-25, and $289 million in 2025-26,</w:t>
      </w:r>
      <w:r w:rsidRPr="00357061">
        <w:t xml:space="preserve"> </w:t>
      </w:r>
      <w:r>
        <w:t xml:space="preserve">compared with the </w:t>
      </w:r>
      <w:r w:rsidRPr="00E35417">
        <w:rPr>
          <w:i/>
          <w:iCs/>
        </w:rPr>
        <w:t>2022-23 Budget</w:t>
      </w:r>
      <w:r>
        <w:t>. These changes largely reflect a reduction in Victoria’s population share. A near-term reduction in relativities is offset over the forward estimates by strength in commodity revenue in commodity-rich states.</w:t>
      </w:r>
    </w:p>
    <w:p w14:paraId="2075F171" w14:textId="77777777" w:rsidR="00C424E5" w:rsidRDefault="00C424E5" w:rsidP="006448B4">
      <w:pPr>
        <w:spacing w:before="100"/>
      </w:pPr>
      <w:r>
        <w:t>Net changes to specific purpose grants have decreased the operating result by $399 million in 2022-23 and $239 million in 2023-24, and upwards by $53 million in 2024</w:t>
      </w:r>
      <w:r>
        <w:noBreakHyphen/>
        <w:t>25 and $819 million in 2025-26,</w:t>
      </w:r>
      <w:r w:rsidRPr="00357061">
        <w:t xml:space="preserve"> </w:t>
      </w:r>
      <w:r>
        <w:t xml:space="preserve">compared with the </w:t>
      </w:r>
      <w:r w:rsidRPr="00E35417">
        <w:rPr>
          <w:i/>
          <w:iCs/>
        </w:rPr>
        <w:t>2022-23 Budget</w:t>
      </w:r>
      <w:r>
        <w:t xml:space="preserve">. </w:t>
      </w:r>
      <w:r w:rsidRPr="00064C62">
        <w:t xml:space="preserve">The movements primarily reflect </w:t>
      </w:r>
      <w:r>
        <w:t>new</w:t>
      </w:r>
      <w:r w:rsidRPr="00064C62">
        <w:t xml:space="preserve"> infrastructure grants </w:t>
      </w:r>
      <w:r>
        <w:t xml:space="preserve">expected </w:t>
      </w:r>
      <w:r w:rsidRPr="00064C62">
        <w:t>from the Commonwealth</w:t>
      </w:r>
      <w:r>
        <w:t xml:space="preserve"> and a rephase of</w:t>
      </w:r>
      <w:r w:rsidRPr="00064C62">
        <w:t xml:space="preserve"> </w:t>
      </w:r>
      <w:r>
        <w:t xml:space="preserve">some existing </w:t>
      </w:r>
      <w:r w:rsidRPr="00064C62">
        <w:t>infrastructure grants</w:t>
      </w:r>
      <w:r>
        <w:t>.</w:t>
      </w:r>
    </w:p>
    <w:p w14:paraId="67BC3944" w14:textId="77777777" w:rsidR="00C424E5" w:rsidRPr="00C203E5" w:rsidRDefault="00C424E5" w:rsidP="00EE2764">
      <w:pPr>
        <w:pStyle w:val="Heading4"/>
        <w:spacing w:before="120"/>
        <w:rPr>
          <w:rFonts w:eastAsiaTheme="minorHAnsi"/>
        </w:rPr>
      </w:pPr>
      <w:bookmarkStart w:id="33" w:name="_Hlk116546236"/>
      <w:bookmarkStart w:id="34" w:name="_Hlk116546701"/>
      <w:r w:rsidRPr="00C203E5">
        <w:rPr>
          <w:rFonts w:eastAsiaTheme="minorHAnsi"/>
        </w:rPr>
        <w:t>Administrative variations</w:t>
      </w:r>
    </w:p>
    <w:bookmarkEnd w:id="33"/>
    <w:p w14:paraId="3AEDCEE7" w14:textId="77777777" w:rsidR="00C424E5" w:rsidRDefault="00C424E5" w:rsidP="0054170B">
      <w:pPr>
        <w:spacing w:before="80"/>
        <w:ind w:right="54"/>
      </w:pPr>
      <w:r w:rsidRPr="00C203E5">
        <w:t xml:space="preserve">Other </w:t>
      </w:r>
      <w:r>
        <w:t xml:space="preserve">administrative variations are expected to increase the operating result by </w:t>
      </w:r>
      <w:r w:rsidRPr="00286D9A">
        <w:t>$</w:t>
      </w:r>
      <w:r>
        <w:t>222</w:t>
      </w:r>
      <w:r w:rsidRPr="00286D9A">
        <w:t> million in</w:t>
      </w:r>
      <w:r>
        <w:t xml:space="preserve"> 2022-23, $276 million in 2023-24 and $372 million in 2024</w:t>
      </w:r>
      <w:r>
        <w:noBreakHyphen/>
        <w:t>25, and decrease by $730 million in 2025-26,</w:t>
      </w:r>
      <w:r w:rsidRPr="00357061">
        <w:t xml:space="preserve"> </w:t>
      </w:r>
      <w:r>
        <w:t xml:space="preserve">compared with the </w:t>
      </w:r>
      <w:r w:rsidRPr="00E35417">
        <w:rPr>
          <w:i/>
          <w:iCs/>
        </w:rPr>
        <w:t>2022-23 Budget</w:t>
      </w:r>
      <w:r>
        <w:t xml:space="preserve">. </w:t>
      </w:r>
      <w:bookmarkStart w:id="35" w:name="_Hlk116546260"/>
    </w:p>
    <w:p w14:paraId="50274EA8" w14:textId="77777777" w:rsidR="00C424E5" w:rsidRDefault="00C424E5" w:rsidP="0054170B">
      <w:pPr>
        <w:spacing w:before="80"/>
        <w:ind w:right="54"/>
      </w:pPr>
      <w:r>
        <w:t>Major variations include:</w:t>
      </w:r>
      <w:bookmarkEnd w:id="35"/>
    </w:p>
    <w:p w14:paraId="0F015B9A" w14:textId="77777777" w:rsidR="00C424E5" w:rsidRPr="00B77481" w:rsidRDefault="00C424E5" w:rsidP="00A8365C">
      <w:pPr>
        <w:pStyle w:val="ListBullet"/>
        <w:numPr>
          <w:ilvl w:val="0"/>
          <w:numId w:val="45"/>
        </w:numPr>
        <w:spacing w:before="20"/>
      </w:pPr>
      <w:r>
        <w:t>updates to the timing of some expenditure programs across departments</w:t>
      </w:r>
    </w:p>
    <w:p w14:paraId="4223CAE2" w14:textId="77777777" w:rsidR="00C424E5" w:rsidRPr="007524B3" w:rsidRDefault="00C424E5" w:rsidP="00A8365C">
      <w:pPr>
        <w:pStyle w:val="ListBullet"/>
        <w:numPr>
          <w:ilvl w:val="0"/>
          <w:numId w:val="45"/>
        </w:numPr>
        <w:spacing w:before="20"/>
      </w:pPr>
      <w:bookmarkStart w:id="36" w:name="_Hlk116546271"/>
      <w:bookmarkStart w:id="37" w:name="_Hlk116545917"/>
      <w:r w:rsidRPr="007524B3">
        <w:t xml:space="preserve">an increase in interest expense in line with increased global bond rates and volatile market conditions since the </w:t>
      </w:r>
      <w:r w:rsidRPr="00F33D64">
        <w:rPr>
          <w:i/>
          <w:iCs/>
        </w:rPr>
        <w:t>2022-23 Budget</w:t>
      </w:r>
      <w:bookmarkEnd w:id="36"/>
      <w:r>
        <w:t xml:space="preserve">; </w:t>
      </w:r>
      <w:r w:rsidRPr="00B77481">
        <w:t>offset by</w:t>
      </w:r>
    </w:p>
    <w:p w14:paraId="722B12D2" w14:textId="77777777" w:rsidR="00C424E5" w:rsidRPr="00F33D64" w:rsidRDefault="00C424E5" w:rsidP="00A8365C">
      <w:pPr>
        <w:pStyle w:val="ListBullet"/>
        <w:numPr>
          <w:ilvl w:val="0"/>
          <w:numId w:val="45"/>
        </w:numPr>
        <w:spacing w:before="20"/>
      </w:pPr>
      <w:r w:rsidRPr="00F33D64">
        <w:t xml:space="preserve">a </w:t>
      </w:r>
      <w:bookmarkEnd w:id="34"/>
      <w:bookmarkEnd w:id="37"/>
      <w:r w:rsidRPr="0094255A">
        <w:t>reduction in the defined benefit superannuation expense from 2022-23 that primarily relates to the impact of increases in the bond yields that underlie the key superannuation valuation assumptions</w:t>
      </w:r>
      <w:r>
        <w:t>.</w:t>
      </w:r>
    </w:p>
    <w:p w14:paraId="797DF081" w14:textId="77777777" w:rsidR="00C424E5" w:rsidRPr="00C203E5" w:rsidRDefault="00C424E5" w:rsidP="006448B4">
      <w:pPr>
        <w:pStyle w:val="Heading20"/>
        <w:rPr>
          <w:rFonts w:eastAsiaTheme="minorHAnsi"/>
        </w:rPr>
      </w:pPr>
      <w:r w:rsidRPr="00C203E5">
        <w:rPr>
          <w:rFonts w:eastAsiaTheme="minorHAnsi"/>
        </w:rPr>
        <w:lastRenderedPageBreak/>
        <w:t>Capital expenditure</w:t>
      </w:r>
    </w:p>
    <w:p w14:paraId="6F808C8E" w14:textId="77777777" w:rsidR="00C424E5" w:rsidRDefault="00C424E5" w:rsidP="006448B4">
      <w:r w:rsidRPr="00B17076">
        <w:t xml:space="preserve">Government </w:t>
      </w:r>
      <w:r>
        <w:t xml:space="preserve">infrastructure investment (GII), which measures investment funded by the Government and estimated private sector construction related expenditure on public private partnership projects, is expected to average </w:t>
      </w:r>
      <w:r w:rsidRPr="007742B8">
        <w:t>$21.6 billion</w:t>
      </w:r>
      <w:r>
        <w:t xml:space="preserve"> a year over the budget and forward estimates. </w:t>
      </w:r>
    </w:p>
    <w:p w14:paraId="319D21FE" w14:textId="77777777" w:rsidR="00C424E5" w:rsidRDefault="00C424E5" w:rsidP="006448B4">
      <w:r>
        <w:t>This includes investments in health, housing, education, transport and cultural precincts, as well as major productivity-enhancing projects such as North East Link, Metro Tunnel, West Gate Tunnel, Melbourne Airport Rail, Geelong Fast Rail, Suburban Rail Loop and Level Crossing Removal Program.</w:t>
      </w:r>
    </w:p>
    <w:p w14:paraId="742DD13B" w14:textId="77777777" w:rsidR="00C424E5" w:rsidRDefault="00C424E5" w:rsidP="006448B4">
      <w:r w:rsidRPr="0068770D">
        <w:t xml:space="preserve">Appendix A </w:t>
      </w:r>
      <w:r w:rsidRPr="0068770D">
        <w:rPr>
          <w:i/>
        </w:rPr>
        <w:t xml:space="preserve">Specific policy initiatives affecting </w:t>
      </w:r>
      <w:r>
        <w:rPr>
          <w:i/>
        </w:rPr>
        <w:t xml:space="preserve">the </w:t>
      </w:r>
      <w:r w:rsidRPr="0068770D">
        <w:rPr>
          <w:i/>
        </w:rPr>
        <w:t>budget position</w:t>
      </w:r>
      <w:r w:rsidRPr="0068770D">
        <w:t xml:space="preserve"> </w:t>
      </w:r>
      <w:r>
        <w:t xml:space="preserve">provides </w:t>
      </w:r>
      <w:r w:rsidRPr="0068770D">
        <w:t>details of new</w:t>
      </w:r>
      <w:r>
        <w:t xml:space="preserve"> </w:t>
      </w:r>
      <w:r w:rsidRPr="0068770D">
        <w:t>individual asset initiatives</w:t>
      </w:r>
      <w:r>
        <w:t xml:space="preserve"> committed since the </w:t>
      </w:r>
      <w:r w:rsidRPr="00341777">
        <w:rPr>
          <w:i/>
          <w:iCs/>
        </w:rPr>
        <w:t>2022-23 Budget</w:t>
      </w:r>
      <w:r>
        <w:t>.</w:t>
      </w:r>
    </w:p>
    <w:p w14:paraId="1CC0BAF9" w14:textId="77777777" w:rsidR="00C424E5" w:rsidRDefault="00C424E5" w:rsidP="006448B4">
      <w:pPr>
        <w:pStyle w:val="TableHeading"/>
        <w:ind w:left="0" w:firstLine="0"/>
        <w:rPr>
          <w:vertAlign w:val="superscript"/>
        </w:rPr>
      </w:pPr>
      <w:r w:rsidRPr="00FF22C0">
        <w:t>Chart 2.1:</w:t>
      </w:r>
      <w:r w:rsidRPr="00FF22C0">
        <w:tab/>
        <w:t xml:space="preserve">Government infrastructure investment </w:t>
      </w:r>
      <w:r w:rsidRPr="00FF22C0">
        <w:rPr>
          <w:vertAlign w:val="superscript"/>
        </w:rPr>
        <w:t>(a)(b)</w:t>
      </w:r>
    </w:p>
    <w:p w14:paraId="28D1A3B9" w14:textId="77777777" w:rsidR="00C424E5" w:rsidRPr="00854D6E" w:rsidRDefault="00087BE6" w:rsidP="006448B4">
      <w:pPr>
        <w:rPr>
          <w:vertAlign w:val="superscript"/>
        </w:rPr>
      </w:pPr>
      <w:r>
        <w:rPr>
          <w:vertAlign w:val="superscript"/>
        </w:rPr>
        <w:pict w14:anchorId="36402D69">
          <v:shape id="_x0000_i1026" type="#_x0000_t75" style="width:381.5pt;height:209.45pt">
            <v:imagedata r:id="rId31" o:title="" cropbottom="1634f"/>
          </v:shape>
        </w:pict>
      </w:r>
    </w:p>
    <w:p w14:paraId="0D82ABB4" w14:textId="77777777" w:rsidR="00C424E5" w:rsidRPr="00F52950" w:rsidRDefault="00C424E5" w:rsidP="006448B4">
      <w:pPr>
        <w:pStyle w:val="Note"/>
      </w:pPr>
      <w:r w:rsidRPr="00F52950">
        <w:t>Notes:</w:t>
      </w:r>
    </w:p>
    <w:p w14:paraId="6901D468" w14:textId="77777777" w:rsidR="00C424E5" w:rsidRDefault="00C424E5" w:rsidP="006448B4">
      <w:pPr>
        <w:pStyle w:val="Note"/>
      </w:pPr>
      <w:r w:rsidRPr="00F52950">
        <w:t>(a)</w:t>
      </w:r>
      <w:r w:rsidRPr="00F52950">
        <w:tab/>
        <w:t xml:space="preserve">Includes general government net infrastructure investment and </w:t>
      </w:r>
      <w:r>
        <w:t xml:space="preserve">the </w:t>
      </w:r>
      <w:r w:rsidRPr="00F52950">
        <w:t xml:space="preserve">estimated cash flows for </w:t>
      </w:r>
      <w:r>
        <w:t>public private partnership</w:t>
      </w:r>
      <w:r w:rsidRPr="00F52950">
        <w:t xml:space="preserve"> projects.</w:t>
      </w:r>
    </w:p>
    <w:p w14:paraId="063E8695" w14:textId="77777777" w:rsidR="00C424E5" w:rsidRPr="00F52950" w:rsidRDefault="00C424E5" w:rsidP="006448B4">
      <w:pPr>
        <w:pStyle w:val="Note"/>
      </w:pPr>
      <w:r>
        <w:t>(b)</w:t>
      </w:r>
      <w:r>
        <w:tab/>
      </w:r>
      <w:r w:rsidRPr="00961C37">
        <w:t xml:space="preserve">Includes the </w:t>
      </w:r>
      <w:r w:rsidRPr="00856778">
        <w:t xml:space="preserve">estimated private sector construction related expenditure </w:t>
      </w:r>
      <w:r w:rsidRPr="00961C37">
        <w:t>associated with the North East Link held in the PNFC sector</w:t>
      </w:r>
      <w:r>
        <w:t>.</w:t>
      </w:r>
    </w:p>
    <w:p w14:paraId="27BDABB7" w14:textId="77777777" w:rsidR="00C424E5" w:rsidRDefault="00C424E5" w:rsidP="006448B4">
      <w:pPr>
        <w:pStyle w:val="Note"/>
      </w:pPr>
      <w:r w:rsidRPr="00F52950">
        <w:t>(</w:t>
      </w:r>
      <w:r>
        <w:t>c</w:t>
      </w:r>
      <w:r w:rsidRPr="00F52950">
        <w:t>)</w:t>
      </w:r>
      <w:r w:rsidRPr="00F52950">
        <w:tab/>
        <w:t>Excludes the impact of the medium</w:t>
      </w:r>
      <w:r w:rsidRPr="00F52950">
        <w:noBreakHyphen/>
        <w:t>term lease over the operations of the Port of Melbourne and the divestment of Victoria</w:t>
      </w:r>
      <w:r>
        <w:t>’</w:t>
      </w:r>
      <w:r w:rsidRPr="00F52950">
        <w:t>s share</w:t>
      </w:r>
      <w:r w:rsidRPr="00C203E5">
        <w:t xml:space="preserve"> of Snowy Hydro Limited.</w:t>
      </w:r>
    </w:p>
    <w:p w14:paraId="32715E0D" w14:textId="77777777" w:rsidR="00C424E5" w:rsidRDefault="00C424E5" w:rsidP="006448B4">
      <w:pPr>
        <w:pStyle w:val="Note"/>
        <w:rPr>
          <w:rFonts w:cstheme="majorBidi"/>
          <w:b/>
          <w:sz w:val="26"/>
          <w:szCs w:val="26"/>
        </w:rPr>
      </w:pPr>
      <w:r>
        <w:br w:type="page"/>
      </w:r>
    </w:p>
    <w:p w14:paraId="4231F901" w14:textId="77777777" w:rsidR="00C424E5" w:rsidRPr="00C203E5" w:rsidRDefault="00C424E5" w:rsidP="006448B4">
      <w:pPr>
        <w:pStyle w:val="Heading20"/>
        <w:spacing w:before="120"/>
        <w:rPr>
          <w:rFonts w:eastAsiaTheme="minorHAnsi"/>
          <w:b w:val="0"/>
        </w:rPr>
      </w:pPr>
      <w:r w:rsidRPr="00C203E5">
        <w:rPr>
          <w:rFonts w:eastAsiaTheme="minorHAnsi"/>
        </w:rPr>
        <w:lastRenderedPageBreak/>
        <w:t>Net debt</w:t>
      </w:r>
    </w:p>
    <w:p w14:paraId="122A84DE" w14:textId="2445D035" w:rsidR="00C424E5" w:rsidRDefault="00C424E5" w:rsidP="00F3105A">
      <w:pPr>
        <w:spacing w:before="100"/>
      </w:pPr>
      <w:r w:rsidRPr="00C203E5">
        <w:t xml:space="preserve">Net debt </w:t>
      </w:r>
      <w:r w:rsidRPr="00327DEA">
        <w:t xml:space="preserve">is </w:t>
      </w:r>
      <w:r>
        <w:t xml:space="preserve">projected to be </w:t>
      </w:r>
      <w:r w:rsidRPr="007742B8">
        <w:t>$11</w:t>
      </w:r>
      <w:r>
        <w:t>5.6</w:t>
      </w:r>
      <w:r w:rsidRPr="007742B8">
        <w:t xml:space="preserve"> billion at June 2023 and is forecast to increase to $16</w:t>
      </w:r>
      <w:r>
        <w:t>5</w:t>
      </w:r>
      <w:r w:rsidRPr="007742B8">
        <w:t>.</w:t>
      </w:r>
      <w:r>
        <w:t>4 </w:t>
      </w:r>
      <w:r w:rsidRPr="007742B8">
        <w:t>billion by</w:t>
      </w:r>
      <w:r>
        <w:t xml:space="preserve"> June 2026. This is a decrease </w:t>
      </w:r>
      <w:r w:rsidRPr="007742B8">
        <w:t>of $</w:t>
      </w:r>
      <w:r>
        <w:t>2</w:t>
      </w:r>
      <w:r w:rsidRPr="007742B8">
        <w:t>.</w:t>
      </w:r>
      <w:r>
        <w:t>9</w:t>
      </w:r>
      <w:r w:rsidRPr="007742B8">
        <w:t xml:space="preserve"> billion by June 2023 and of $</w:t>
      </w:r>
      <w:r>
        <w:t>2.1 </w:t>
      </w:r>
      <w:r w:rsidRPr="007742B8">
        <w:t>billion by June</w:t>
      </w:r>
      <w:r>
        <w:t xml:space="preserve"> 2026 compared with the </w:t>
      </w:r>
      <w:r w:rsidRPr="00327DEA">
        <w:rPr>
          <w:i/>
          <w:iCs/>
        </w:rPr>
        <w:t>2022-23 Budget</w:t>
      </w:r>
      <w:r>
        <w:t>.</w:t>
      </w:r>
    </w:p>
    <w:p w14:paraId="0437E28A" w14:textId="25513C73" w:rsidR="00C424E5" w:rsidRDefault="00C424E5" w:rsidP="00F3105A">
      <w:pPr>
        <w:spacing w:before="100"/>
      </w:pPr>
      <w:r w:rsidRPr="00C87F94">
        <w:t>As a proportion of gross state product (GSP), net debt is projected to increase from 2</w:t>
      </w:r>
      <w:r>
        <w:t>0</w:t>
      </w:r>
      <w:r w:rsidRPr="00C87F94">
        <w:t>.</w:t>
      </w:r>
      <w:r>
        <w:t>4 </w:t>
      </w:r>
      <w:r w:rsidRPr="00C87F94">
        <w:t>per cent in June 2023 to 2</w:t>
      </w:r>
      <w:r>
        <w:t>4</w:t>
      </w:r>
      <w:r w:rsidRPr="00C87F94">
        <w:t>.</w:t>
      </w:r>
      <w:r>
        <w:t>8</w:t>
      </w:r>
      <w:r w:rsidRPr="00C87F94">
        <w:t xml:space="preserve"> per cent by June 2026.</w:t>
      </w:r>
    </w:p>
    <w:p w14:paraId="6EFA69D9" w14:textId="77777777" w:rsidR="00C424E5" w:rsidRDefault="00C424E5" w:rsidP="00F3105A">
      <w:pPr>
        <w:spacing w:before="100"/>
      </w:pPr>
      <w:r>
        <w:t xml:space="preserve">Expenditure in response to the COVID-19 pandemic over the last two years has been targeted to allow required services and economic support to assist recovery while maintaining steps two and three of the fiscal strategy. </w:t>
      </w:r>
    </w:p>
    <w:p w14:paraId="17BB9FFF" w14:textId="0FCAA024" w:rsidR="00C424E5" w:rsidRDefault="00C424E5" w:rsidP="00F3105A">
      <w:pPr>
        <w:spacing w:before="100"/>
      </w:pPr>
      <w:r>
        <w:t xml:space="preserve">Stabilising net debt as a percentage of GSP – the last step in the Government’s fiscal strategy – is an important medium-term objective for the Government. Chart 2.2 shows the net debt to GSP ratio is </w:t>
      </w:r>
      <w:r w:rsidRPr="005350B7">
        <w:t xml:space="preserve">lower in each year of the forward estimates than was forecast in the </w:t>
      </w:r>
      <w:r w:rsidRPr="005350B7">
        <w:rPr>
          <w:i/>
          <w:iCs/>
        </w:rPr>
        <w:t>2022-23 Budget</w:t>
      </w:r>
      <w:r>
        <w:t>, and 1.7</w:t>
      </w:r>
      <w:r w:rsidRPr="00172756">
        <w:t xml:space="preserve"> percentage points lower than forecast in </w:t>
      </w:r>
      <w:r>
        <w:t>2025-26.</w:t>
      </w:r>
    </w:p>
    <w:p w14:paraId="13F5BE59" w14:textId="77777777" w:rsidR="00C424E5" w:rsidRDefault="00C424E5" w:rsidP="00F3105A">
      <w:pPr>
        <w:spacing w:before="100"/>
      </w:pPr>
      <w:r>
        <w:t>While net debt to GSP is still projected to rise over the forward estimates, the rate of growth has slowed and will continue to slow over the medium term.</w:t>
      </w:r>
    </w:p>
    <w:p w14:paraId="55942576" w14:textId="77777777" w:rsidR="00C424E5" w:rsidRDefault="00C424E5" w:rsidP="006448B4">
      <w:pPr>
        <w:pStyle w:val="TableHeading"/>
        <w:rPr>
          <w:vertAlign w:val="superscript"/>
        </w:rPr>
      </w:pPr>
      <w:r w:rsidRPr="00C203E5">
        <w:t xml:space="preserve">Chart </w:t>
      </w:r>
      <w:r>
        <w:t>2</w:t>
      </w:r>
      <w:r w:rsidRPr="00C203E5">
        <w:t>.2:</w:t>
      </w:r>
      <w:r w:rsidRPr="00C203E5">
        <w:tab/>
        <w:t>General government net debt to GSP</w:t>
      </w:r>
    </w:p>
    <w:p w14:paraId="2F6E047F" w14:textId="2E22FCDB" w:rsidR="00C424E5" w:rsidRDefault="008B48BC" w:rsidP="006448B4">
      <w:r>
        <w:object w:dxaOrig="7545" w:dyaOrig="4395" w14:anchorId="3C720C33">
          <v:shape id="_x0000_i1027" type="#_x0000_t75" style="width:375.9pt;height:212.25pt" o:ole="">
            <v:imagedata r:id="rId32" o:title="" cropbottom="2085f"/>
          </v:shape>
          <o:OLEObject Type="Link" ProgID="Excel.Sheet.12" ShapeID="_x0000_i1027" DrawAspect="Content" r:id="rId33" UpdateMode="OnCall">
            <o:LinkType>EnhancedMetaFile</o:LinkType>
            <o:LockedField/>
          </o:OLEObject>
        </w:object>
      </w:r>
    </w:p>
    <w:p w14:paraId="2AAF53CE" w14:textId="77777777" w:rsidR="00C424E5" w:rsidRPr="00FE0E34" w:rsidRDefault="00C424E5" w:rsidP="006448B4">
      <w:pPr>
        <w:pStyle w:val="HighlightBoxHeading"/>
        <w:pBdr>
          <w:top w:val="single" w:sz="4" w:space="3" w:color="auto"/>
          <w:left w:val="single" w:sz="4" w:space="5" w:color="auto"/>
          <w:bottom w:val="single" w:sz="4" w:space="3" w:color="auto"/>
          <w:right w:val="single" w:sz="4" w:space="5" w:color="auto"/>
        </w:pBdr>
        <w:ind w:left="1170" w:hanging="1170"/>
      </w:pPr>
      <w:r w:rsidRPr="001D2C22">
        <w:t xml:space="preserve">Box </w:t>
      </w:r>
      <w:r>
        <w:t>2</w:t>
      </w:r>
      <w:r w:rsidRPr="00290A3A">
        <w:t>.</w:t>
      </w:r>
      <w:r>
        <w:t>1</w:t>
      </w:r>
      <w:r w:rsidRPr="00290A3A">
        <w:t>:</w:t>
      </w:r>
      <w:r>
        <w:t xml:space="preserve"> The </w:t>
      </w:r>
      <w:r>
        <w:rPr>
          <w:rFonts w:ascii="Calibri" w:eastAsia="Calibri" w:hAnsi="Calibri"/>
          <w:bCs/>
          <w:sz w:val="23"/>
          <w:szCs w:val="23"/>
        </w:rPr>
        <w:t>Victorian Future</w:t>
      </w:r>
      <w:r w:rsidRPr="00B97F85">
        <w:rPr>
          <w:rFonts w:ascii="Calibri" w:eastAsia="Calibri" w:hAnsi="Calibri"/>
          <w:bCs/>
          <w:sz w:val="23"/>
          <w:szCs w:val="23"/>
        </w:rPr>
        <w:t xml:space="preserve"> </w:t>
      </w:r>
      <w:r>
        <w:rPr>
          <w:rFonts w:ascii="Calibri" w:eastAsia="Calibri" w:hAnsi="Calibri"/>
          <w:bCs/>
          <w:sz w:val="23"/>
          <w:szCs w:val="23"/>
        </w:rPr>
        <w:t>Fund</w:t>
      </w:r>
    </w:p>
    <w:p w14:paraId="232ECD3F" w14:textId="77777777" w:rsidR="00C424E5" w:rsidRDefault="00C424E5" w:rsidP="006448B4">
      <w:pPr>
        <w:pStyle w:val="HighlightBoxText"/>
        <w:pBdr>
          <w:top w:val="single" w:sz="4" w:space="3" w:color="auto"/>
          <w:left w:val="single" w:sz="4" w:space="5" w:color="auto"/>
          <w:bottom w:val="single" w:sz="4" w:space="3" w:color="auto"/>
          <w:right w:val="single" w:sz="4" w:space="5" w:color="auto"/>
        </w:pBdr>
        <w:spacing w:before="80"/>
        <w:rPr>
          <w:rFonts w:ascii="Garamond" w:eastAsia="Garamond" w:hAnsi="Garamond"/>
        </w:rPr>
      </w:pPr>
      <w:r w:rsidRPr="00AC5477">
        <w:rPr>
          <w:rFonts w:ascii="Garamond" w:eastAsia="Garamond" w:hAnsi="Garamond"/>
        </w:rPr>
        <w:t>The Government increased public spending to cushion the impact of COVID</w:t>
      </w:r>
      <w:r>
        <w:rPr>
          <w:rFonts w:ascii="Garamond" w:eastAsia="Garamond" w:hAnsi="Garamond"/>
        </w:rPr>
        <w:t>-</w:t>
      </w:r>
      <w:r w:rsidRPr="00AC5477">
        <w:rPr>
          <w:rFonts w:ascii="Garamond" w:eastAsia="Garamond" w:hAnsi="Garamond"/>
        </w:rPr>
        <w:t>19 on the Victorian economy</w:t>
      </w:r>
      <w:r>
        <w:rPr>
          <w:rFonts w:ascii="Garamond" w:eastAsia="Garamond" w:hAnsi="Garamond"/>
        </w:rPr>
        <w:t>, households</w:t>
      </w:r>
      <w:r w:rsidRPr="00AC5477">
        <w:rPr>
          <w:rFonts w:ascii="Garamond" w:eastAsia="Garamond" w:hAnsi="Garamond"/>
        </w:rPr>
        <w:t xml:space="preserve"> and community</w:t>
      </w:r>
      <w:r>
        <w:rPr>
          <w:rFonts w:ascii="Garamond" w:eastAsia="Garamond" w:hAnsi="Garamond"/>
        </w:rPr>
        <w:t xml:space="preserve">, and the use of </w:t>
      </w:r>
      <w:r w:rsidRPr="00AC5477">
        <w:rPr>
          <w:rFonts w:ascii="Garamond" w:eastAsia="Garamond" w:hAnsi="Garamond"/>
        </w:rPr>
        <w:t>the</w:t>
      </w:r>
      <w:r>
        <w:rPr>
          <w:rFonts w:ascii="Garamond" w:eastAsia="Garamond" w:hAnsi="Garamond"/>
        </w:rPr>
        <w:t xml:space="preserve"> Government’s</w:t>
      </w:r>
      <w:r w:rsidRPr="00AC5477">
        <w:rPr>
          <w:rFonts w:ascii="Garamond" w:eastAsia="Garamond" w:hAnsi="Garamond"/>
        </w:rPr>
        <w:t xml:space="preserve"> balance sheet to support the Victorian community has led to a </w:t>
      </w:r>
      <w:r>
        <w:rPr>
          <w:rFonts w:ascii="Garamond" w:eastAsia="Garamond" w:hAnsi="Garamond"/>
        </w:rPr>
        <w:t>necessary</w:t>
      </w:r>
      <w:r w:rsidRPr="00AC5477">
        <w:rPr>
          <w:rFonts w:ascii="Garamond" w:eastAsia="Garamond" w:hAnsi="Garamond"/>
        </w:rPr>
        <w:t xml:space="preserve"> increase in debt</w:t>
      </w:r>
      <w:r>
        <w:rPr>
          <w:rFonts w:ascii="Garamond" w:eastAsia="Garamond" w:hAnsi="Garamond"/>
        </w:rPr>
        <w:t>.</w:t>
      </w:r>
    </w:p>
    <w:p w14:paraId="5584A155" w14:textId="77777777" w:rsidR="00C424E5" w:rsidRDefault="00C424E5" w:rsidP="006448B4">
      <w:pPr>
        <w:pStyle w:val="HighlightBoxText"/>
        <w:pBdr>
          <w:top w:val="single" w:sz="4" w:space="3" w:color="auto"/>
          <w:left w:val="single" w:sz="4" w:space="5" w:color="auto"/>
          <w:bottom w:val="single" w:sz="4" w:space="3" w:color="auto"/>
          <w:right w:val="single" w:sz="4" w:space="5" w:color="auto"/>
        </w:pBdr>
        <w:spacing w:before="80"/>
        <w:rPr>
          <w:rFonts w:ascii="Garamond" w:eastAsia="Garamond" w:hAnsi="Garamond"/>
        </w:rPr>
      </w:pPr>
      <w:r>
        <w:rPr>
          <w:rFonts w:ascii="Garamond" w:eastAsia="Garamond" w:hAnsi="Garamond"/>
        </w:rPr>
        <w:t xml:space="preserve">The Victorian Future Fund (the Fund) has been established by the Government to manage the fiscal impact of COVID-19 and deliver positive outcomes for Victorians by reducing the debt burden on future generations. The Fund will support the State’s </w:t>
      </w:r>
      <w:r w:rsidRPr="00B97F85">
        <w:rPr>
          <w:rFonts w:ascii="Garamond" w:eastAsia="Garamond" w:hAnsi="Garamond"/>
        </w:rPr>
        <w:t>debt stabilisation strategy</w:t>
      </w:r>
      <w:r>
        <w:rPr>
          <w:rFonts w:ascii="Garamond" w:eastAsia="Garamond" w:hAnsi="Garamond"/>
        </w:rPr>
        <w:t>.</w:t>
      </w:r>
    </w:p>
    <w:p w14:paraId="5C2E239A" w14:textId="77777777" w:rsidR="00C424E5" w:rsidRPr="00F3105A" w:rsidRDefault="00C424E5" w:rsidP="008B48BC">
      <w:pPr>
        <w:spacing w:before="0"/>
        <w:rPr>
          <w:sz w:val="18"/>
          <w:szCs w:val="18"/>
        </w:rPr>
      </w:pPr>
    </w:p>
    <w:p w14:paraId="7118B019" w14:textId="7F84E55B" w:rsidR="00C424E5" w:rsidRDefault="00C424E5" w:rsidP="006448B4">
      <w:pPr>
        <w:pStyle w:val="HighlightBoxText"/>
        <w:pBdr>
          <w:top w:val="single" w:sz="4" w:space="3" w:color="auto"/>
          <w:left w:val="single" w:sz="4" w:space="5" w:color="auto"/>
          <w:bottom w:val="single" w:sz="4" w:space="3" w:color="auto"/>
          <w:right w:val="single" w:sz="4" w:space="5" w:color="auto"/>
        </w:pBdr>
        <w:spacing w:before="80"/>
        <w:rPr>
          <w:rFonts w:ascii="Garamond" w:eastAsia="Garamond" w:hAnsi="Garamond"/>
        </w:rPr>
      </w:pPr>
      <w:r>
        <w:rPr>
          <w:rFonts w:ascii="Garamond" w:eastAsia="Garamond" w:hAnsi="Garamond"/>
        </w:rPr>
        <w:lastRenderedPageBreak/>
        <w:t>The Fund</w:t>
      </w:r>
      <w:r w:rsidRPr="00B97F85">
        <w:rPr>
          <w:rFonts w:ascii="Garamond" w:eastAsia="Garamond" w:hAnsi="Garamond"/>
        </w:rPr>
        <w:t xml:space="preserve"> </w:t>
      </w:r>
      <w:r>
        <w:rPr>
          <w:rFonts w:ascii="Garamond" w:eastAsia="Garamond" w:hAnsi="Garamond"/>
        </w:rPr>
        <w:t xml:space="preserve">has been established using </w:t>
      </w:r>
      <w:r w:rsidRPr="00B97F85">
        <w:rPr>
          <w:rFonts w:ascii="Garamond" w:eastAsia="Garamond" w:hAnsi="Garamond"/>
        </w:rPr>
        <w:t xml:space="preserve">proceeds from </w:t>
      </w:r>
      <w:r>
        <w:rPr>
          <w:rFonts w:ascii="Garamond" w:eastAsia="Garamond" w:hAnsi="Garamond"/>
        </w:rPr>
        <w:t xml:space="preserve">the VicRoads Modernisation Joint Venture. </w:t>
      </w:r>
      <w:r w:rsidRPr="00B97F85">
        <w:rPr>
          <w:rFonts w:ascii="Garamond" w:eastAsia="Garamond" w:hAnsi="Garamond"/>
        </w:rPr>
        <w:t xml:space="preserve">The investment returns from the </w:t>
      </w:r>
      <w:r>
        <w:rPr>
          <w:rFonts w:ascii="Garamond" w:eastAsia="Garamond" w:hAnsi="Garamond"/>
        </w:rPr>
        <w:t>Fund</w:t>
      </w:r>
      <w:r w:rsidRPr="00B97F85">
        <w:rPr>
          <w:rFonts w:ascii="Garamond" w:eastAsia="Garamond" w:hAnsi="Garamond"/>
        </w:rPr>
        <w:t xml:space="preserve"> will be quarantined and returned to the </w:t>
      </w:r>
      <w:r>
        <w:rPr>
          <w:rFonts w:ascii="Garamond" w:eastAsia="Garamond" w:hAnsi="Garamond"/>
        </w:rPr>
        <w:t>F</w:t>
      </w:r>
      <w:r w:rsidRPr="00B97F85">
        <w:rPr>
          <w:rFonts w:ascii="Garamond" w:eastAsia="Garamond" w:hAnsi="Garamond"/>
        </w:rPr>
        <w:t>und so that its balance will grow over time to offset borrowings.</w:t>
      </w:r>
      <w:r>
        <w:rPr>
          <w:rFonts w:ascii="Garamond" w:eastAsia="Garamond" w:hAnsi="Garamond"/>
        </w:rPr>
        <w:t xml:space="preserve"> Both the investments into the Fund and future returns will be used to repay COVID</w:t>
      </w:r>
      <w:r>
        <w:rPr>
          <w:rFonts w:ascii="Garamond" w:eastAsia="Garamond" w:hAnsi="Garamond"/>
        </w:rPr>
        <w:noBreakHyphen/>
        <w:t xml:space="preserve">19 borrowings. The Fund is projected to have a balance of </w:t>
      </w:r>
      <w:r w:rsidRPr="00B51B48">
        <w:rPr>
          <w:rFonts w:ascii="Garamond" w:eastAsia="Garamond" w:hAnsi="Garamond"/>
        </w:rPr>
        <w:t>around $10.9 billion by the end of the forward estimates.</w:t>
      </w:r>
    </w:p>
    <w:p w14:paraId="5B289129" w14:textId="77777777" w:rsidR="00C424E5" w:rsidRDefault="00C424E5" w:rsidP="006448B4">
      <w:pPr>
        <w:pStyle w:val="HighlightBoxText"/>
        <w:pBdr>
          <w:top w:val="single" w:sz="4" w:space="3" w:color="auto"/>
          <w:left w:val="single" w:sz="4" w:space="5" w:color="auto"/>
          <w:bottom w:val="single" w:sz="4" w:space="3" w:color="auto"/>
          <w:right w:val="single" w:sz="4" w:space="5" w:color="auto"/>
        </w:pBdr>
        <w:spacing w:before="80"/>
        <w:rPr>
          <w:rFonts w:ascii="Garamond" w:eastAsia="Garamond" w:hAnsi="Garamond"/>
        </w:rPr>
      </w:pPr>
      <w:r>
        <w:rPr>
          <w:rFonts w:ascii="Garamond" w:eastAsia="Garamond" w:hAnsi="Garamond"/>
        </w:rPr>
        <w:t>Further investments will be made in the future into the Fund through proceeds from designated government land sales and a proportion of future budget surpluses once net debt stabilises.</w:t>
      </w:r>
    </w:p>
    <w:p w14:paraId="3E55C941" w14:textId="77777777" w:rsidR="00C424E5" w:rsidRDefault="00C424E5" w:rsidP="006448B4">
      <w:pPr>
        <w:pStyle w:val="HighlightBoxText"/>
        <w:pBdr>
          <w:top w:val="single" w:sz="4" w:space="3" w:color="auto"/>
          <w:left w:val="single" w:sz="4" w:space="5" w:color="auto"/>
          <w:bottom w:val="single" w:sz="4" w:space="3" w:color="auto"/>
          <w:right w:val="single" w:sz="4" w:space="5" w:color="auto"/>
        </w:pBdr>
        <w:spacing w:before="80"/>
        <w:rPr>
          <w:rFonts w:ascii="Garamond" w:eastAsia="Garamond" w:hAnsi="Garamond"/>
        </w:rPr>
      </w:pPr>
      <w:r>
        <w:rPr>
          <w:rFonts w:ascii="Garamond" w:eastAsia="Garamond" w:hAnsi="Garamond"/>
        </w:rPr>
        <w:t>The Fund</w:t>
      </w:r>
      <w:r w:rsidRPr="00B97F85">
        <w:rPr>
          <w:rFonts w:ascii="Garamond" w:eastAsia="Garamond" w:hAnsi="Garamond"/>
        </w:rPr>
        <w:t xml:space="preserve"> will be managed by the Victorian Funds Management Corporation (VFMC), the </w:t>
      </w:r>
      <w:r>
        <w:rPr>
          <w:rFonts w:ascii="Garamond" w:eastAsia="Garamond" w:hAnsi="Garamond"/>
        </w:rPr>
        <w:t>S</w:t>
      </w:r>
      <w:r w:rsidRPr="00B97F85">
        <w:rPr>
          <w:rFonts w:ascii="Garamond" w:eastAsia="Garamond" w:hAnsi="Garamond"/>
        </w:rPr>
        <w:t>tate</w:t>
      </w:r>
      <w:r>
        <w:rPr>
          <w:rFonts w:ascii="Garamond" w:eastAsia="Garamond" w:hAnsi="Garamond"/>
        </w:rPr>
        <w:t>’</w:t>
      </w:r>
      <w:r w:rsidRPr="00B97F85">
        <w:rPr>
          <w:rFonts w:ascii="Garamond" w:eastAsia="Garamond" w:hAnsi="Garamond"/>
        </w:rPr>
        <w:t>s specialist investment agency</w:t>
      </w:r>
      <w:r>
        <w:rPr>
          <w:rFonts w:ascii="Garamond" w:eastAsia="Garamond" w:hAnsi="Garamond"/>
        </w:rPr>
        <w:t>,</w:t>
      </w:r>
      <w:r w:rsidRPr="00B97F85">
        <w:rPr>
          <w:rFonts w:ascii="Garamond" w:eastAsia="Garamond" w:hAnsi="Garamond"/>
        </w:rPr>
        <w:t xml:space="preserve"> by implementing a diversified investment strategy designed to </w:t>
      </w:r>
      <w:r>
        <w:rPr>
          <w:rFonts w:ascii="Garamond" w:eastAsia="Garamond" w:hAnsi="Garamond"/>
        </w:rPr>
        <w:t>deliver</w:t>
      </w:r>
      <w:r w:rsidRPr="00B97F85">
        <w:rPr>
          <w:rFonts w:ascii="Garamond" w:eastAsia="Garamond" w:hAnsi="Garamond"/>
        </w:rPr>
        <w:t xml:space="preserve"> returns </w:t>
      </w:r>
      <w:r>
        <w:rPr>
          <w:rFonts w:ascii="Garamond" w:eastAsia="Garamond" w:hAnsi="Garamond"/>
        </w:rPr>
        <w:t xml:space="preserve">that exceed </w:t>
      </w:r>
      <w:r w:rsidRPr="00B97F85">
        <w:rPr>
          <w:rFonts w:ascii="Garamond" w:eastAsia="Garamond" w:hAnsi="Garamond"/>
        </w:rPr>
        <w:t xml:space="preserve">the savings </w:t>
      </w:r>
      <w:r>
        <w:rPr>
          <w:rFonts w:ascii="Garamond" w:eastAsia="Garamond" w:hAnsi="Garamond"/>
        </w:rPr>
        <w:t>that would otherwise have been achieved</w:t>
      </w:r>
      <w:r w:rsidRPr="00B97F85">
        <w:rPr>
          <w:rFonts w:ascii="Garamond" w:eastAsia="Garamond" w:hAnsi="Garamond"/>
        </w:rPr>
        <w:t xml:space="preserve">. These excess returns will, over time, improve the </w:t>
      </w:r>
      <w:r>
        <w:rPr>
          <w:rFonts w:ascii="Garamond" w:eastAsia="Garamond" w:hAnsi="Garamond"/>
        </w:rPr>
        <w:t xml:space="preserve">state’s </w:t>
      </w:r>
      <w:r w:rsidRPr="00B97F85">
        <w:rPr>
          <w:rFonts w:ascii="Garamond" w:eastAsia="Garamond" w:hAnsi="Garamond"/>
        </w:rPr>
        <w:t xml:space="preserve">operating </w:t>
      </w:r>
      <w:r>
        <w:rPr>
          <w:rFonts w:ascii="Garamond" w:eastAsia="Garamond" w:hAnsi="Garamond"/>
        </w:rPr>
        <w:t>result</w:t>
      </w:r>
      <w:r w:rsidRPr="00B97F85">
        <w:rPr>
          <w:rFonts w:ascii="Garamond" w:eastAsia="Garamond" w:hAnsi="Garamond"/>
        </w:rPr>
        <w:t xml:space="preserve"> and net debt position, further supporting the </w:t>
      </w:r>
      <w:r>
        <w:rPr>
          <w:rFonts w:ascii="Garamond" w:eastAsia="Garamond" w:hAnsi="Garamond"/>
        </w:rPr>
        <w:t>S</w:t>
      </w:r>
      <w:r w:rsidRPr="00B97F85">
        <w:rPr>
          <w:rFonts w:ascii="Garamond" w:eastAsia="Garamond" w:hAnsi="Garamond"/>
        </w:rPr>
        <w:t>tate</w:t>
      </w:r>
      <w:r>
        <w:rPr>
          <w:rFonts w:ascii="Garamond" w:eastAsia="Garamond" w:hAnsi="Garamond"/>
        </w:rPr>
        <w:t>’</w:t>
      </w:r>
      <w:r w:rsidRPr="00B97F85">
        <w:rPr>
          <w:rFonts w:ascii="Garamond" w:eastAsia="Garamond" w:hAnsi="Garamond"/>
        </w:rPr>
        <w:t xml:space="preserve">s debt </w:t>
      </w:r>
      <w:r>
        <w:rPr>
          <w:rFonts w:ascii="Garamond" w:eastAsia="Garamond" w:hAnsi="Garamond"/>
        </w:rPr>
        <w:t>stabilisation</w:t>
      </w:r>
      <w:r w:rsidRPr="00B97F85">
        <w:rPr>
          <w:rFonts w:ascii="Garamond" w:eastAsia="Garamond" w:hAnsi="Garamond"/>
        </w:rPr>
        <w:t xml:space="preserve"> strategy</w:t>
      </w:r>
      <w:r>
        <w:rPr>
          <w:rFonts w:ascii="Garamond" w:eastAsia="Garamond" w:hAnsi="Garamond"/>
        </w:rPr>
        <w:t>.</w:t>
      </w:r>
    </w:p>
    <w:p w14:paraId="7C16AA03" w14:textId="77777777" w:rsidR="00C424E5" w:rsidRPr="006B5473" w:rsidRDefault="00C424E5" w:rsidP="006448B4">
      <w:pPr>
        <w:pStyle w:val="HighlightBoxText"/>
        <w:pBdr>
          <w:top w:val="single" w:sz="4" w:space="3" w:color="auto"/>
          <w:left w:val="single" w:sz="4" w:space="5" w:color="auto"/>
          <w:bottom w:val="single" w:sz="4" w:space="3" w:color="auto"/>
          <w:right w:val="single" w:sz="4" w:space="5" w:color="auto"/>
        </w:pBdr>
        <w:spacing w:before="80"/>
        <w:rPr>
          <w:rFonts w:ascii="Garamond" w:eastAsia="Garamond" w:hAnsi="Garamond"/>
        </w:rPr>
      </w:pPr>
      <w:r>
        <w:rPr>
          <w:rFonts w:ascii="Garamond" w:eastAsia="Garamond" w:hAnsi="Garamond"/>
        </w:rPr>
        <w:t>The Fund will be managed in line with strict environmental, social and governance (ESG) principles consistent with other investments managed by the VFMC.</w:t>
      </w:r>
    </w:p>
    <w:p w14:paraId="0C852868" w14:textId="77777777" w:rsidR="00C424E5" w:rsidRDefault="00C424E5" w:rsidP="004E47E9">
      <w:pPr>
        <w:spacing w:before="240"/>
        <w:rPr>
          <w:rFonts w:asciiTheme="majorHAnsi" w:hAnsiTheme="majorHAnsi"/>
          <w:b/>
          <w:sz w:val="20"/>
        </w:rPr>
      </w:pPr>
      <w:r>
        <w:t>The application of cash resources for the general government sector (as shown in Table 2.5) outlines the annual movements in net debt.</w:t>
      </w:r>
    </w:p>
    <w:p w14:paraId="6B6BE63C" w14:textId="77777777" w:rsidR="00C424E5" w:rsidRDefault="00C424E5" w:rsidP="00DD5278">
      <w:pPr>
        <w:pStyle w:val="TableHeading"/>
        <w:ind w:left="0" w:firstLine="0"/>
      </w:pPr>
      <w:r w:rsidRPr="00C203E5">
        <w:t xml:space="preserve">Table </w:t>
      </w:r>
      <w:r>
        <w:t>2</w:t>
      </w:r>
      <w:r w:rsidRPr="00C203E5">
        <w:t>.</w:t>
      </w:r>
      <w:r>
        <w:t>5</w:t>
      </w:r>
      <w:r w:rsidRPr="00C203E5">
        <w:t>:</w:t>
      </w:r>
      <w:r w:rsidRPr="00C203E5">
        <w:tab/>
        <w:t xml:space="preserve">Application of cash resources for the general government sector </w:t>
      </w:r>
      <w:r w:rsidRPr="00C203E5">
        <w:rPr>
          <w:vertAlign w:val="superscript"/>
        </w:rPr>
        <w:t>(a)</w:t>
      </w:r>
      <w:r w:rsidRPr="00C203E5">
        <w:tab/>
        <w:t>($</w:t>
      </w:r>
      <w:r>
        <w:t> million</w:t>
      </w:r>
      <w:r w:rsidRPr="00C203E5">
        <w:t>)</w:t>
      </w:r>
    </w:p>
    <w:tbl>
      <w:tblPr>
        <w:tblStyle w:val="DTFTableNumeric"/>
        <w:tblW w:w="7711" w:type="dxa"/>
        <w:tblLayout w:type="fixed"/>
        <w:tblLook w:val="06A0" w:firstRow="1" w:lastRow="0" w:firstColumn="1" w:lastColumn="0" w:noHBand="1" w:noVBand="1"/>
      </w:tblPr>
      <w:tblGrid>
        <w:gridCol w:w="4168"/>
        <w:gridCol w:w="885"/>
        <w:gridCol w:w="886"/>
        <w:gridCol w:w="886"/>
        <w:gridCol w:w="886"/>
      </w:tblGrid>
      <w:tr w:rsidR="00C424E5" w14:paraId="3E9DF1AD" w14:textId="77777777" w:rsidTr="00A836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19" w:type="dxa"/>
          </w:tcPr>
          <w:p w14:paraId="256C7E70" w14:textId="1858F8C4" w:rsidR="00C424E5" w:rsidRDefault="00C424E5"/>
        </w:tc>
        <w:tc>
          <w:tcPr>
            <w:tcW w:w="895" w:type="dxa"/>
          </w:tcPr>
          <w:p w14:paraId="4E3B653B" w14:textId="77777777" w:rsidR="00C424E5" w:rsidRDefault="00C424E5" w:rsidP="00E25886">
            <w:pPr>
              <w:cnfStyle w:val="100000000000" w:firstRow="1" w:lastRow="0" w:firstColumn="0" w:lastColumn="0" w:oddVBand="0" w:evenVBand="0" w:oddHBand="0" w:evenHBand="0" w:firstRowFirstColumn="0" w:firstRowLastColumn="0" w:lastRowFirstColumn="0" w:lastRowLastColumn="0"/>
            </w:pPr>
            <w:r>
              <w:t>2022</w:t>
            </w:r>
            <w:r>
              <w:noBreakHyphen/>
              <w:t>23</w:t>
            </w:r>
            <w:r>
              <w:rPr>
                <w:i w:val="0"/>
              </w:rPr>
              <w:br/>
            </w:r>
            <w:r>
              <w:t>revised</w:t>
            </w:r>
          </w:p>
        </w:tc>
        <w:tc>
          <w:tcPr>
            <w:tcW w:w="895" w:type="dxa"/>
          </w:tcPr>
          <w:p w14:paraId="57A75A67" w14:textId="77777777" w:rsidR="00C424E5" w:rsidRDefault="00C424E5" w:rsidP="00260F61">
            <w:pPr>
              <w:cnfStyle w:val="100000000000" w:firstRow="1" w:lastRow="0" w:firstColumn="0" w:lastColumn="0" w:oddVBand="0" w:evenVBand="0" w:oddHBand="0" w:evenHBand="0" w:firstRowFirstColumn="0" w:firstRowLastColumn="0" w:lastRowFirstColumn="0" w:lastRowLastColumn="0"/>
            </w:pPr>
            <w:r>
              <w:t>2023</w:t>
            </w:r>
            <w:r>
              <w:noBreakHyphen/>
              <w:t>24</w:t>
            </w:r>
            <w:r>
              <w:rPr>
                <w:i w:val="0"/>
              </w:rPr>
              <w:br/>
            </w:r>
            <w:r>
              <w:t>estimate</w:t>
            </w:r>
          </w:p>
        </w:tc>
        <w:tc>
          <w:tcPr>
            <w:tcW w:w="895" w:type="dxa"/>
          </w:tcPr>
          <w:p w14:paraId="4A4416AE" w14:textId="77777777" w:rsidR="00C424E5" w:rsidRDefault="00C424E5" w:rsidP="00A60A70">
            <w:pPr>
              <w:cnfStyle w:val="100000000000" w:firstRow="1" w:lastRow="0" w:firstColumn="0" w:lastColumn="0" w:oddVBand="0" w:evenVBand="0" w:oddHBand="0" w:evenHBand="0" w:firstRowFirstColumn="0" w:firstRowLastColumn="0" w:lastRowFirstColumn="0" w:lastRowLastColumn="0"/>
            </w:pPr>
            <w:r>
              <w:t>2024</w:t>
            </w:r>
            <w:r>
              <w:noBreakHyphen/>
              <w:t>25</w:t>
            </w:r>
            <w:r>
              <w:rPr>
                <w:i w:val="0"/>
              </w:rPr>
              <w:br/>
            </w:r>
            <w:r>
              <w:t>estimate</w:t>
            </w:r>
          </w:p>
        </w:tc>
        <w:tc>
          <w:tcPr>
            <w:tcW w:w="895" w:type="dxa"/>
          </w:tcPr>
          <w:p w14:paraId="3126F551" w14:textId="77777777" w:rsidR="00C424E5" w:rsidRDefault="00C424E5" w:rsidP="00662979">
            <w:pPr>
              <w:cnfStyle w:val="100000000000" w:firstRow="1" w:lastRow="0" w:firstColumn="0" w:lastColumn="0" w:oddVBand="0" w:evenVBand="0" w:oddHBand="0" w:evenHBand="0" w:firstRowFirstColumn="0" w:firstRowLastColumn="0" w:lastRowFirstColumn="0" w:lastRowLastColumn="0"/>
            </w:pPr>
            <w:r>
              <w:t>2025</w:t>
            </w:r>
            <w:r>
              <w:noBreakHyphen/>
              <w:t>26</w:t>
            </w:r>
            <w:r>
              <w:rPr>
                <w:i w:val="0"/>
              </w:rPr>
              <w:br/>
            </w:r>
            <w:r>
              <w:t>estimate</w:t>
            </w:r>
          </w:p>
        </w:tc>
      </w:tr>
      <w:tr w:rsidR="00C424E5" w14:paraId="2B8E02F0" w14:textId="77777777" w:rsidTr="00EE2764">
        <w:trPr>
          <w:trHeight w:val="259"/>
        </w:trPr>
        <w:tc>
          <w:tcPr>
            <w:cnfStyle w:val="001000000000" w:firstRow="0" w:lastRow="0" w:firstColumn="1" w:lastColumn="0" w:oddVBand="0" w:evenVBand="0" w:oddHBand="0" w:evenHBand="0" w:firstRowFirstColumn="0" w:firstRowLastColumn="0" w:lastRowFirstColumn="0" w:lastRowLastColumn="0"/>
            <w:tcW w:w="4219" w:type="dxa"/>
          </w:tcPr>
          <w:p w14:paraId="4C4D5E1A" w14:textId="77777777" w:rsidR="00C424E5" w:rsidRDefault="00C424E5">
            <w:r>
              <w:rPr>
                <w:b/>
              </w:rPr>
              <w:t>Net result from transactions</w:t>
            </w:r>
          </w:p>
        </w:tc>
        <w:tc>
          <w:tcPr>
            <w:tcW w:w="895" w:type="dxa"/>
          </w:tcPr>
          <w:p w14:paraId="4F1FE6A2"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(9 688)</w:t>
            </w:r>
          </w:p>
        </w:tc>
        <w:tc>
          <w:tcPr>
            <w:tcW w:w="895" w:type="dxa"/>
          </w:tcPr>
          <w:p w14:paraId="15DFB0DE"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(3 612)</w:t>
            </w:r>
          </w:p>
        </w:tc>
        <w:tc>
          <w:tcPr>
            <w:tcW w:w="895" w:type="dxa"/>
          </w:tcPr>
          <w:p w14:paraId="4190EA39"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(701)</w:t>
            </w:r>
          </w:p>
        </w:tc>
        <w:tc>
          <w:tcPr>
            <w:tcW w:w="895" w:type="dxa"/>
          </w:tcPr>
          <w:p w14:paraId="6F7661AC"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894</w:t>
            </w:r>
          </w:p>
        </w:tc>
      </w:tr>
      <w:tr w:rsidR="00C424E5" w14:paraId="3228223B" w14:textId="77777777" w:rsidTr="00EE2764">
        <w:trPr>
          <w:trHeight w:val="458"/>
        </w:trPr>
        <w:tc>
          <w:tcPr>
            <w:cnfStyle w:val="001000000000" w:firstRow="0" w:lastRow="0" w:firstColumn="1" w:lastColumn="0" w:oddVBand="0" w:evenVBand="0" w:oddHBand="0" w:evenHBand="0" w:firstRowFirstColumn="0" w:firstRowLastColumn="0" w:lastRowFirstColumn="0" w:lastRowLastColumn="0"/>
            <w:tcW w:w="4219" w:type="dxa"/>
            <w:tcBorders>
              <w:bottom w:val="single" w:sz="6" w:space="0" w:color="auto"/>
            </w:tcBorders>
          </w:tcPr>
          <w:p w14:paraId="021389FB" w14:textId="4913413E" w:rsidR="00C424E5" w:rsidRDefault="00C424E5">
            <w:r>
              <w:t xml:space="preserve">Add back: Operating cash flows not recognised in the </w:t>
            </w:r>
            <w:r w:rsidR="00EE2764">
              <w:br/>
            </w:r>
            <w:r>
              <w:t xml:space="preserve">net operating balance </w:t>
            </w:r>
            <w:r>
              <w:rPr>
                <w:vertAlign w:val="superscript"/>
              </w:rPr>
              <w:t>(b)</w:t>
            </w:r>
          </w:p>
        </w:tc>
        <w:tc>
          <w:tcPr>
            <w:tcW w:w="895" w:type="dxa"/>
            <w:tcBorders>
              <w:bottom w:val="single" w:sz="6" w:space="0" w:color="auto"/>
            </w:tcBorders>
          </w:tcPr>
          <w:p w14:paraId="42A11F07" w14:textId="77777777" w:rsidR="00C424E5" w:rsidRDefault="00C424E5">
            <w:pPr>
              <w:cnfStyle w:val="000000000000" w:firstRow="0" w:lastRow="0" w:firstColumn="0" w:lastColumn="0" w:oddVBand="0" w:evenVBand="0" w:oddHBand="0" w:evenHBand="0" w:firstRowFirstColumn="0" w:firstRowLastColumn="0" w:lastRowFirstColumn="0" w:lastRowLastColumn="0"/>
            </w:pPr>
            <w:r>
              <w:t>12 050</w:t>
            </w:r>
          </w:p>
        </w:tc>
        <w:tc>
          <w:tcPr>
            <w:tcW w:w="895" w:type="dxa"/>
            <w:tcBorders>
              <w:bottom w:val="single" w:sz="6" w:space="0" w:color="auto"/>
            </w:tcBorders>
          </w:tcPr>
          <w:p w14:paraId="3A3015E7" w14:textId="77777777" w:rsidR="00C424E5" w:rsidRDefault="00C424E5">
            <w:pPr>
              <w:cnfStyle w:val="000000000000" w:firstRow="0" w:lastRow="0" w:firstColumn="0" w:lastColumn="0" w:oddVBand="0" w:evenVBand="0" w:oddHBand="0" w:evenHBand="0" w:firstRowFirstColumn="0" w:firstRowLastColumn="0" w:lastRowFirstColumn="0" w:lastRowLastColumn="0"/>
            </w:pPr>
            <w:r>
              <w:t>4 406</w:t>
            </w:r>
          </w:p>
        </w:tc>
        <w:tc>
          <w:tcPr>
            <w:tcW w:w="895" w:type="dxa"/>
            <w:tcBorders>
              <w:bottom w:val="single" w:sz="6" w:space="0" w:color="auto"/>
            </w:tcBorders>
          </w:tcPr>
          <w:p w14:paraId="61C51EE6" w14:textId="77777777" w:rsidR="00C424E5" w:rsidRDefault="00C424E5">
            <w:pPr>
              <w:cnfStyle w:val="000000000000" w:firstRow="0" w:lastRow="0" w:firstColumn="0" w:lastColumn="0" w:oddVBand="0" w:evenVBand="0" w:oddHBand="0" w:evenHBand="0" w:firstRowFirstColumn="0" w:firstRowLastColumn="0" w:lastRowFirstColumn="0" w:lastRowLastColumn="0"/>
            </w:pPr>
            <w:r>
              <w:t>4 608</w:t>
            </w:r>
          </w:p>
        </w:tc>
        <w:tc>
          <w:tcPr>
            <w:tcW w:w="895" w:type="dxa"/>
            <w:tcBorders>
              <w:bottom w:val="single" w:sz="6" w:space="0" w:color="auto"/>
            </w:tcBorders>
          </w:tcPr>
          <w:p w14:paraId="623F518B" w14:textId="77777777" w:rsidR="00C424E5" w:rsidRDefault="00C424E5">
            <w:pPr>
              <w:cnfStyle w:val="000000000000" w:firstRow="0" w:lastRow="0" w:firstColumn="0" w:lastColumn="0" w:oddVBand="0" w:evenVBand="0" w:oddHBand="0" w:evenHBand="0" w:firstRowFirstColumn="0" w:firstRowLastColumn="0" w:lastRowFirstColumn="0" w:lastRowLastColumn="0"/>
            </w:pPr>
            <w:r>
              <w:t>4 438</w:t>
            </w:r>
          </w:p>
        </w:tc>
      </w:tr>
      <w:tr w:rsidR="00C424E5" w14:paraId="1F16A1DB" w14:textId="77777777" w:rsidTr="00EE2764">
        <w:trPr>
          <w:trHeight w:val="259"/>
        </w:trPr>
        <w:tc>
          <w:tcPr>
            <w:cnfStyle w:val="001000000000" w:firstRow="0" w:lastRow="0" w:firstColumn="1" w:lastColumn="0" w:oddVBand="0" w:evenVBand="0" w:oddHBand="0" w:evenHBand="0" w:firstRowFirstColumn="0" w:firstRowLastColumn="0" w:lastRowFirstColumn="0" w:lastRowLastColumn="0"/>
            <w:tcW w:w="4219" w:type="dxa"/>
            <w:tcBorders>
              <w:top w:val="single" w:sz="6" w:space="0" w:color="auto"/>
              <w:bottom w:val="single" w:sz="6" w:space="0" w:color="auto"/>
            </w:tcBorders>
          </w:tcPr>
          <w:p w14:paraId="48B5F804" w14:textId="77777777" w:rsidR="00C424E5" w:rsidRDefault="00C424E5">
            <w:r>
              <w:rPr>
                <w:b/>
              </w:rPr>
              <w:t>Net cash flows from operating activities</w:t>
            </w:r>
          </w:p>
        </w:tc>
        <w:tc>
          <w:tcPr>
            <w:tcW w:w="895" w:type="dxa"/>
            <w:tcBorders>
              <w:top w:val="single" w:sz="6" w:space="0" w:color="auto"/>
              <w:bottom w:val="single" w:sz="6" w:space="0" w:color="auto"/>
            </w:tcBorders>
          </w:tcPr>
          <w:p w14:paraId="07F88F58"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2 361</w:t>
            </w:r>
          </w:p>
        </w:tc>
        <w:tc>
          <w:tcPr>
            <w:tcW w:w="895" w:type="dxa"/>
            <w:tcBorders>
              <w:top w:val="single" w:sz="6" w:space="0" w:color="auto"/>
              <w:bottom w:val="single" w:sz="6" w:space="0" w:color="auto"/>
            </w:tcBorders>
          </w:tcPr>
          <w:p w14:paraId="659FC6EF"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793</w:t>
            </w:r>
          </w:p>
        </w:tc>
        <w:tc>
          <w:tcPr>
            <w:tcW w:w="895" w:type="dxa"/>
            <w:tcBorders>
              <w:top w:val="single" w:sz="6" w:space="0" w:color="auto"/>
              <w:bottom w:val="single" w:sz="6" w:space="0" w:color="auto"/>
            </w:tcBorders>
          </w:tcPr>
          <w:p w14:paraId="3D9F9FDB"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3 907</w:t>
            </w:r>
          </w:p>
        </w:tc>
        <w:tc>
          <w:tcPr>
            <w:tcW w:w="895" w:type="dxa"/>
            <w:tcBorders>
              <w:top w:val="single" w:sz="6" w:space="0" w:color="auto"/>
              <w:bottom w:val="single" w:sz="6" w:space="0" w:color="auto"/>
            </w:tcBorders>
          </w:tcPr>
          <w:p w14:paraId="2FC47704"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5 332</w:t>
            </w:r>
          </w:p>
        </w:tc>
      </w:tr>
      <w:tr w:rsidR="00C424E5" w14:paraId="00B637B7" w14:textId="77777777" w:rsidTr="00EE2764">
        <w:trPr>
          <w:trHeight w:val="244"/>
        </w:trPr>
        <w:tc>
          <w:tcPr>
            <w:cnfStyle w:val="001000000000" w:firstRow="0" w:lastRow="0" w:firstColumn="1" w:lastColumn="0" w:oddVBand="0" w:evenVBand="0" w:oddHBand="0" w:evenHBand="0" w:firstRowFirstColumn="0" w:firstRowLastColumn="0" w:lastRowFirstColumn="0" w:lastRowLastColumn="0"/>
            <w:tcW w:w="4219" w:type="dxa"/>
            <w:tcBorders>
              <w:top w:val="single" w:sz="6" w:space="0" w:color="auto"/>
              <w:bottom w:val="single" w:sz="6" w:space="0" w:color="auto"/>
            </w:tcBorders>
          </w:tcPr>
          <w:p w14:paraId="424C1A63" w14:textId="77777777" w:rsidR="00C424E5" w:rsidRDefault="00C424E5">
            <w:r>
              <w:rPr>
                <w:b/>
              </w:rPr>
              <w:t xml:space="preserve">Less: Total net investment in fixed assets </w:t>
            </w:r>
            <w:r>
              <w:rPr>
                <w:b/>
                <w:vertAlign w:val="superscript"/>
              </w:rPr>
              <w:t>(c)</w:t>
            </w:r>
          </w:p>
        </w:tc>
        <w:tc>
          <w:tcPr>
            <w:tcW w:w="895" w:type="dxa"/>
            <w:tcBorders>
              <w:top w:val="single" w:sz="6" w:space="0" w:color="auto"/>
              <w:bottom w:val="single" w:sz="6" w:space="0" w:color="auto"/>
            </w:tcBorders>
          </w:tcPr>
          <w:p w14:paraId="7C9D1AE8"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15 832</w:t>
            </w:r>
          </w:p>
        </w:tc>
        <w:tc>
          <w:tcPr>
            <w:tcW w:w="895" w:type="dxa"/>
            <w:tcBorders>
              <w:top w:val="single" w:sz="6" w:space="0" w:color="auto"/>
              <w:bottom w:val="single" w:sz="6" w:space="0" w:color="auto"/>
            </w:tcBorders>
          </w:tcPr>
          <w:p w14:paraId="321E3968"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18 303</w:t>
            </w:r>
          </w:p>
        </w:tc>
        <w:tc>
          <w:tcPr>
            <w:tcW w:w="895" w:type="dxa"/>
            <w:tcBorders>
              <w:top w:val="single" w:sz="6" w:space="0" w:color="auto"/>
              <w:bottom w:val="single" w:sz="6" w:space="0" w:color="auto"/>
            </w:tcBorders>
          </w:tcPr>
          <w:p w14:paraId="4C8D1FD3"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20 534</w:t>
            </w:r>
          </w:p>
        </w:tc>
        <w:tc>
          <w:tcPr>
            <w:tcW w:w="895" w:type="dxa"/>
            <w:tcBorders>
              <w:top w:val="single" w:sz="6" w:space="0" w:color="auto"/>
              <w:bottom w:val="single" w:sz="6" w:space="0" w:color="auto"/>
            </w:tcBorders>
          </w:tcPr>
          <w:p w14:paraId="5D0AC1B5"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19 306</w:t>
            </w:r>
          </w:p>
        </w:tc>
      </w:tr>
      <w:tr w:rsidR="00C424E5" w14:paraId="075E7063" w14:textId="77777777" w:rsidTr="00EE2764">
        <w:trPr>
          <w:trHeight w:val="473"/>
        </w:trPr>
        <w:tc>
          <w:tcPr>
            <w:cnfStyle w:val="001000000000" w:firstRow="0" w:lastRow="0" w:firstColumn="1" w:lastColumn="0" w:oddVBand="0" w:evenVBand="0" w:oddHBand="0" w:evenHBand="0" w:firstRowFirstColumn="0" w:firstRowLastColumn="0" w:lastRowFirstColumn="0" w:lastRowLastColumn="0"/>
            <w:tcW w:w="4219" w:type="dxa"/>
            <w:tcBorders>
              <w:top w:val="single" w:sz="6" w:space="0" w:color="auto"/>
              <w:bottom w:val="single" w:sz="6" w:space="0" w:color="auto"/>
            </w:tcBorders>
          </w:tcPr>
          <w:p w14:paraId="69841DBA" w14:textId="77777777" w:rsidR="00C424E5" w:rsidRDefault="00C424E5">
            <w:r>
              <w:rPr>
                <w:b/>
              </w:rPr>
              <w:t>Surplus/(deficit) of cash from operations after funding net investment in fixed assets</w:t>
            </w:r>
          </w:p>
        </w:tc>
        <w:tc>
          <w:tcPr>
            <w:tcW w:w="895" w:type="dxa"/>
            <w:tcBorders>
              <w:top w:val="single" w:sz="6" w:space="0" w:color="auto"/>
              <w:bottom w:val="single" w:sz="6" w:space="0" w:color="auto"/>
            </w:tcBorders>
          </w:tcPr>
          <w:p w14:paraId="0C7555E5"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(13 470)</w:t>
            </w:r>
          </w:p>
        </w:tc>
        <w:tc>
          <w:tcPr>
            <w:tcW w:w="895" w:type="dxa"/>
            <w:tcBorders>
              <w:top w:val="single" w:sz="6" w:space="0" w:color="auto"/>
              <w:bottom w:val="single" w:sz="6" w:space="0" w:color="auto"/>
            </w:tcBorders>
          </w:tcPr>
          <w:p w14:paraId="0C6CF1A9"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(17 510)</w:t>
            </w:r>
          </w:p>
        </w:tc>
        <w:tc>
          <w:tcPr>
            <w:tcW w:w="895" w:type="dxa"/>
            <w:tcBorders>
              <w:top w:val="single" w:sz="6" w:space="0" w:color="auto"/>
              <w:bottom w:val="single" w:sz="6" w:space="0" w:color="auto"/>
            </w:tcBorders>
          </w:tcPr>
          <w:p w14:paraId="4A7F8E1A"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(16 628)</w:t>
            </w:r>
          </w:p>
        </w:tc>
        <w:tc>
          <w:tcPr>
            <w:tcW w:w="895" w:type="dxa"/>
            <w:tcBorders>
              <w:top w:val="single" w:sz="6" w:space="0" w:color="auto"/>
              <w:bottom w:val="single" w:sz="6" w:space="0" w:color="auto"/>
            </w:tcBorders>
          </w:tcPr>
          <w:p w14:paraId="1A7B4DA5"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(13 973)</w:t>
            </w:r>
          </w:p>
        </w:tc>
      </w:tr>
      <w:tr w:rsidR="00C424E5" w14:paraId="02A0CD3E" w14:textId="77777777" w:rsidTr="00EE2764">
        <w:trPr>
          <w:trHeight w:val="244"/>
        </w:trPr>
        <w:tc>
          <w:tcPr>
            <w:cnfStyle w:val="001000000000" w:firstRow="0" w:lastRow="0" w:firstColumn="1" w:lastColumn="0" w:oddVBand="0" w:evenVBand="0" w:oddHBand="0" w:evenHBand="0" w:firstRowFirstColumn="0" w:firstRowLastColumn="0" w:lastRowFirstColumn="0" w:lastRowLastColumn="0"/>
            <w:tcW w:w="4219" w:type="dxa"/>
            <w:tcBorders>
              <w:top w:val="single" w:sz="6" w:space="0" w:color="auto"/>
            </w:tcBorders>
          </w:tcPr>
          <w:p w14:paraId="4D0A3758" w14:textId="77777777" w:rsidR="00C424E5" w:rsidRDefault="00C424E5">
            <w:r>
              <w:t>Less:</w:t>
            </w:r>
          </w:p>
        </w:tc>
        <w:tc>
          <w:tcPr>
            <w:tcW w:w="895" w:type="dxa"/>
            <w:tcBorders>
              <w:top w:val="single" w:sz="6" w:space="0" w:color="auto"/>
            </w:tcBorders>
          </w:tcPr>
          <w:p w14:paraId="1BF9F959"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895" w:type="dxa"/>
            <w:tcBorders>
              <w:top w:val="single" w:sz="6" w:space="0" w:color="auto"/>
            </w:tcBorders>
          </w:tcPr>
          <w:p w14:paraId="5FDF7EA8"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895" w:type="dxa"/>
            <w:tcBorders>
              <w:top w:val="single" w:sz="6" w:space="0" w:color="auto"/>
            </w:tcBorders>
          </w:tcPr>
          <w:p w14:paraId="1C0ADD22"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895" w:type="dxa"/>
            <w:tcBorders>
              <w:top w:val="single" w:sz="6" w:space="0" w:color="auto"/>
            </w:tcBorders>
          </w:tcPr>
          <w:p w14:paraId="67D21C9E"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75115702" w14:textId="77777777" w:rsidTr="00EE2764">
        <w:trPr>
          <w:trHeight w:val="259"/>
        </w:trPr>
        <w:tc>
          <w:tcPr>
            <w:cnfStyle w:val="001000000000" w:firstRow="0" w:lastRow="0" w:firstColumn="1" w:lastColumn="0" w:oddVBand="0" w:evenVBand="0" w:oddHBand="0" w:evenHBand="0" w:firstRowFirstColumn="0" w:firstRowLastColumn="0" w:lastRowFirstColumn="0" w:lastRowLastColumn="0"/>
            <w:tcW w:w="4219" w:type="dxa"/>
          </w:tcPr>
          <w:p w14:paraId="6DEE6FF4" w14:textId="77777777" w:rsidR="00C424E5" w:rsidRDefault="00C424E5">
            <w:r>
              <w:t xml:space="preserve">   Leases and service concession arrangements </w:t>
            </w:r>
            <w:r>
              <w:rPr>
                <w:vertAlign w:val="superscript"/>
              </w:rPr>
              <w:t>(d)</w:t>
            </w:r>
          </w:p>
        </w:tc>
        <w:tc>
          <w:tcPr>
            <w:tcW w:w="895" w:type="dxa"/>
          </w:tcPr>
          <w:p w14:paraId="6F49D8D4" w14:textId="77777777" w:rsidR="00C424E5" w:rsidRDefault="00C424E5">
            <w:pPr>
              <w:cnfStyle w:val="000000000000" w:firstRow="0" w:lastRow="0" w:firstColumn="0" w:lastColumn="0" w:oddVBand="0" w:evenVBand="0" w:oddHBand="0" w:evenHBand="0" w:firstRowFirstColumn="0" w:firstRowLastColumn="0" w:lastRowFirstColumn="0" w:lastRowLastColumn="0"/>
            </w:pPr>
            <w:r>
              <w:t>2 380</w:t>
            </w:r>
          </w:p>
        </w:tc>
        <w:tc>
          <w:tcPr>
            <w:tcW w:w="895" w:type="dxa"/>
          </w:tcPr>
          <w:p w14:paraId="7F10313A" w14:textId="77777777" w:rsidR="00C424E5" w:rsidRDefault="00C424E5">
            <w:pPr>
              <w:cnfStyle w:val="000000000000" w:firstRow="0" w:lastRow="0" w:firstColumn="0" w:lastColumn="0" w:oddVBand="0" w:evenVBand="0" w:oddHBand="0" w:evenHBand="0" w:firstRowFirstColumn="0" w:firstRowLastColumn="0" w:lastRowFirstColumn="0" w:lastRowLastColumn="0"/>
            </w:pPr>
            <w:r>
              <w:t>2 401</w:t>
            </w:r>
          </w:p>
        </w:tc>
        <w:tc>
          <w:tcPr>
            <w:tcW w:w="895" w:type="dxa"/>
          </w:tcPr>
          <w:p w14:paraId="2B3D73C9" w14:textId="77777777" w:rsidR="00C424E5" w:rsidRDefault="00C424E5">
            <w:pPr>
              <w:cnfStyle w:val="000000000000" w:firstRow="0" w:lastRow="0" w:firstColumn="0" w:lastColumn="0" w:oddVBand="0" w:evenVBand="0" w:oddHBand="0" w:evenHBand="0" w:firstRowFirstColumn="0" w:firstRowLastColumn="0" w:lastRowFirstColumn="0" w:lastRowLastColumn="0"/>
            </w:pPr>
            <w:r>
              <w:t>946</w:t>
            </w:r>
          </w:p>
        </w:tc>
        <w:tc>
          <w:tcPr>
            <w:tcW w:w="895" w:type="dxa"/>
          </w:tcPr>
          <w:p w14:paraId="6F8FA748" w14:textId="77777777" w:rsidR="00C424E5" w:rsidRDefault="00C424E5">
            <w:pPr>
              <w:cnfStyle w:val="000000000000" w:firstRow="0" w:lastRow="0" w:firstColumn="0" w:lastColumn="0" w:oddVBand="0" w:evenVBand="0" w:oddHBand="0" w:evenHBand="0" w:firstRowFirstColumn="0" w:firstRowLastColumn="0" w:lastRowFirstColumn="0" w:lastRowLastColumn="0"/>
            </w:pPr>
            <w:r>
              <w:t>300</w:t>
            </w:r>
          </w:p>
        </w:tc>
      </w:tr>
      <w:tr w:rsidR="00C424E5" w14:paraId="724A7CBA" w14:textId="77777777" w:rsidTr="00EE2764">
        <w:trPr>
          <w:trHeight w:val="244"/>
        </w:trPr>
        <w:tc>
          <w:tcPr>
            <w:cnfStyle w:val="001000000000" w:firstRow="0" w:lastRow="0" w:firstColumn="1" w:lastColumn="0" w:oddVBand="0" w:evenVBand="0" w:oddHBand="0" w:evenHBand="0" w:firstRowFirstColumn="0" w:firstRowLastColumn="0" w:lastRowFirstColumn="0" w:lastRowLastColumn="0"/>
            <w:tcW w:w="4219" w:type="dxa"/>
            <w:tcBorders>
              <w:bottom w:val="single" w:sz="6" w:space="0" w:color="auto"/>
            </w:tcBorders>
          </w:tcPr>
          <w:p w14:paraId="3543F09F" w14:textId="77777777" w:rsidR="00C424E5" w:rsidRDefault="00C424E5">
            <w:r>
              <w:t xml:space="preserve">   Other movements</w:t>
            </w:r>
          </w:p>
        </w:tc>
        <w:tc>
          <w:tcPr>
            <w:tcW w:w="895" w:type="dxa"/>
            <w:tcBorders>
              <w:bottom w:val="single" w:sz="6" w:space="0" w:color="auto"/>
            </w:tcBorders>
          </w:tcPr>
          <w:p w14:paraId="0A72D836" w14:textId="77777777" w:rsidR="00C424E5" w:rsidRDefault="00C424E5">
            <w:pPr>
              <w:cnfStyle w:val="000000000000" w:firstRow="0" w:lastRow="0" w:firstColumn="0" w:lastColumn="0" w:oddVBand="0" w:evenVBand="0" w:oddHBand="0" w:evenHBand="0" w:firstRowFirstColumn="0" w:firstRowLastColumn="0" w:lastRowFirstColumn="0" w:lastRowLastColumn="0"/>
            </w:pPr>
            <w:r>
              <w:t>(221)</w:t>
            </w:r>
          </w:p>
        </w:tc>
        <w:tc>
          <w:tcPr>
            <w:tcW w:w="895" w:type="dxa"/>
            <w:tcBorders>
              <w:bottom w:val="single" w:sz="6" w:space="0" w:color="auto"/>
            </w:tcBorders>
          </w:tcPr>
          <w:p w14:paraId="72DD37ED" w14:textId="77777777" w:rsidR="00C424E5" w:rsidRDefault="00C424E5">
            <w:pPr>
              <w:cnfStyle w:val="000000000000" w:firstRow="0" w:lastRow="0" w:firstColumn="0" w:lastColumn="0" w:oddVBand="0" w:evenVBand="0" w:oddHBand="0" w:evenHBand="0" w:firstRowFirstColumn="0" w:firstRowLastColumn="0" w:lastRowFirstColumn="0" w:lastRowLastColumn="0"/>
            </w:pPr>
            <w:r>
              <w:t>(1 556)</w:t>
            </w:r>
          </w:p>
        </w:tc>
        <w:tc>
          <w:tcPr>
            <w:tcW w:w="895" w:type="dxa"/>
            <w:tcBorders>
              <w:bottom w:val="single" w:sz="6" w:space="0" w:color="auto"/>
            </w:tcBorders>
          </w:tcPr>
          <w:p w14:paraId="2BB774A9" w14:textId="77777777" w:rsidR="00C424E5" w:rsidRDefault="00C424E5">
            <w:pPr>
              <w:cnfStyle w:val="000000000000" w:firstRow="0" w:lastRow="0" w:firstColumn="0" w:lastColumn="0" w:oddVBand="0" w:evenVBand="0" w:oddHBand="0" w:evenHBand="0" w:firstRowFirstColumn="0" w:firstRowLastColumn="0" w:lastRowFirstColumn="0" w:lastRowLastColumn="0"/>
            </w:pPr>
            <w:r>
              <w:t>(85)</w:t>
            </w:r>
          </w:p>
        </w:tc>
        <w:tc>
          <w:tcPr>
            <w:tcW w:w="895" w:type="dxa"/>
            <w:tcBorders>
              <w:bottom w:val="single" w:sz="6" w:space="0" w:color="auto"/>
            </w:tcBorders>
          </w:tcPr>
          <w:p w14:paraId="38035116" w14:textId="77777777" w:rsidR="00C424E5" w:rsidRDefault="00C424E5">
            <w:pPr>
              <w:cnfStyle w:val="000000000000" w:firstRow="0" w:lastRow="0" w:firstColumn="0" w:lastColumn="0" w:oddVBand="0" w:evenVBand="0" w:oddHBand="0" w:evenHBand="0" w:firstRowFirstColumn="0" w:firstRowLastColumn="0" w:lastRowFirstColumn="0" w:lastRowLastColumn="0"/>
            </w:pPr>
            <w:r>
              <w:t>(327)</w:t>
            </w:r>
          </w:p>
        </w:tc>
      </w:tr>
      <w:tr w:rsidR="00C424E5" w14:paraId="22C8D8DA" w14:textId="77777777" w:rsidTr="00EE2764">
        <w:trPr>
          <w:trHeight w:val="259"/>
        </w:trPr>
        <w:tc>
          <w:tcPr>
            <w:cnfStyle w:val="001000000000" w:firstRow="0" w:lastRow="0" w:firstColumn="1" w:lastColumn="0" w:oddVBand="0" w:evenVBand="0" w:oddHBand="0" w:evenHBand="0" w:firstRowFirstColumn="0" w:firstRowLastColumn="0" w:lastRowFirstColumn="0" w:lastRowLastColumn="0"/>
            <w:tcW w:w="4219" w:type="dxa"/>
            <w:tcBorders>
              <w:top w:val="single" w:sz="6" w:space="0" w:color="auto"/>
              <w:bottom w:val="single" w:sz="12" w:space="0" w:color="auto"/>
            </w:tcBorders>
          </w:tcPr>
          <w:p w14:paraId="2E9FCD34" w14:textId="77777777" w:rsidR="00C424E5" w:rsidRDefault="00C424E5">
            <w:r>
              <w:rPr>
                <w:b/>
              </w:rPr>
              <w:t>Decrease/(increase) in net debt</w:t>
            </w:r>
          </w:p>
        </w:tc>
        <w:tc>
          <w:tcPr>
            <w:tcW w:w="895" w:type="dxa"/>
            <w:tcBorders>
              <w:top w:val="single" w:sz="6" w:space="0" w:color="auto"/>
              <w:bottom w:val="single" w:sz="12" w:space="0" w:color="auto"/>
            </w:tcBorders>
          </w:tcPr>
          <w:p w14:paraId="43901171"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(15 630)</w:t>
            </w:r>
          </w:p>
        </w:tc>
        <w:tc>
          <w:tcPr>
            <w:tcW w:w="895" w:type="dxa"/>
            <w:tcBorders>
              <w:top w:val="single" w:sz="6" w:space="0" w:color="auto"/>
              <w:bottom w:val="single" w:sz="12" w:space="0" w:color="auto"/>
            </w:tcBorders>
          </w:tcPr>
          <w:p w14:paraId="08F9F5D2"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(18 355)</w:t>
            </w:r>
          </w:p>
        </w:tc>
        <w:tc>
          <w:tcPr>
            <w:tcW w:w="895" w:type="dxa"/>
            <w:tcBorders>
              <w:top w:val="single" w:sz="6" w:space="0" w:color="auto"/>
              <w:bottom w:val="single" w:sz="12" w:space="0" w:color="auto"/>
            </w:tcBorders>
          </w:tcPr>
          <w:p w14:paraId="78581DA0"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(17 488)</w:t>
            </w:r>
          </w:p>
        </w:tc>
        <w:tc>
          <w:tcPr>
            <w:tcW w:w="895" w:type="dxa"/>
            <w:tcBorders>
              <w:top w:val="single" w:sz="6" w:space="0" w:color="auto"/>
              <w:bottom w:val="single" w:sz="12" w:space="0" w:color="auto"/>
            </w:tcBorders>
          </w:tcPr>
          <w:p w14:paraId="677586FF" w14:textId="506D9E26" w:rsidR="00C424E5" w:rsidRDefault="00C424E5">
            <w:pPr>
              <w:cnfStyle w:val="000000000000" w:firstRow="0" w:lastRow="0" w:firstColumn="0" w:lastColumn="0" w:oddVBand="0" w:evenVBand="0" w:oddHBand="0" w:evenHBand="0" w:firstRowFirstColumn="0" w:firstRowLastColumn="0" w:lastRowFirstColumn="0" w:lastRowLastColumn="0"/>
            </w:pPr>
            <w:r>
              <w:rPr>
                <w:b/>
              </w:rPr>
              <w:t>(13 946)</w:t>
            </w:r>
          </w:p>
        </w:tc>
      </w:tr>
    </w:tbl>
    <w:p w14:paraId="0E33F279" w14:textId="77777777" w:rsidR="00C424E5" w:rsidRPr="004173CA" w:rsidRDefault="00C424E5" w:rsidP="006448B4">
      <w:pPr>
        <w:pStyle w:val="Note"/>
      </w:pPr>
      <w:r w:rsidRPr="004173CA">
        <w:t>Notes:</w:t>
      </w:r>
    </w:p>
    <w:p w14:paraId="79E9C62C" w14:textId="77777777" w:rsidR="00C424E5" w:rsidRPr="004173CA" w:rsidRDefault="00C424E5" w:rsidP="006448B4">
      <w:pPr>
        <w:pStyle w:val="Note"/>
      </w:pPr>
      <w:r w:rsidRPr="004173CA">
        <w:t xml:space="preserve">(a) </w:t>
      </w:r>
      <w:r w:rsidRPr="004173CA">
        <w:tab/>
        <w:t>Figures in this table are subject to rounding to the nearest</w:t>
      </w:r>
      <w:r>
        <w:t> million</w:t>
      </w:r>
      <w:r w:rsidRPr="004173CA">
        <w:t xml:space="preserve"> and may not add up to totals.</w:t>
      </w:r>
    </w:p>
    <w:p w14:paraId="18648B5C" w14:textId="77777777" w:rsidR="00C424E5" w:rsidRPr="004173CA" w:rsidRDefault="00C424E5" w:rsidP="006448B4">
      <w:pPr>
        <w:pStyle w:val="Note"/>
      </w:pPr>
      <w:r w:rsidRPr="004173CA">
        <w:t>(</w:t>
      </w:r>
      <w:r>
        <w:t>b</w:t>
      </w:r>
      <w:r w:rsidRPr="004173CA">
        <w:t xml:space="preserve">) </w:t>
      </w:r>
      <w:r w:rsidRPr="004173CA">
        <w:tab/>
        <w:t xml:space="preserve">Includes depreciation, prepayments and movements in the superannuation liability and liability </w:t>
      </w:r>
      <w:r>
        <w:t>of</w:t>
      </w:r>
      <w:r w:rsidRPr="004173CA">
        <w:t xml:space="preserve"> employee benefits</w:t>
      </w:r>
      <w:r>
        <w:t xml:space="preserve"> for the year, and the progressive unwinding of the grant of a right to the operator liability.</w:t>
      </w:r>
    </w:p>
    <w:p w14:paraId="6443082F" w14:textId="77777777" w:rsidR="00C424E5" w:rsidRPr="004173CA" w:rsidRDefault="00C424E5" w:rsidP="006448B4">
      <w:pPr>
        <w:pStyle w:val="Note"/>
      </w:pPr>
      <w:r w:rsidRPr="004173CA">
        <w:t>(</w:t>
      </w:r>
      <w:r>
        <w:t>c</w:t>
      </w:r>
      <w:r w:rsidRPr="004173CA">
        <w:t xml:space="preserve">) </w:t>
      </w:r>
      <w:r w:rsidRPr="004173CA">
        <w:tab/>
        <w:t>Includes total purchases of plant, property and equipment, and net capital contributions to other sectors of government net of proceeds from asset sales</w:t>
      </w:r>
      <w:r w:rsidRPr="004173CA">
        <w:fldChar w:fldCharType="begin"/>
      </w:r>
      <w:r w:rsidRPr="004173CA">
        <w:instrText xml:space="preserve"> "Asset recycling" </w:instrText>
      </w:r>
      <w:r w:rsidRPr="004173CA">
        <w:fldChar w:fldCharType="end"/>
      </w:r>
      <w:r w:rsidRPr="004173CA">
        <w:t>.</w:t>
      </w:r>
    </w:p>
    <w:p w14:paraId="7A9DE304" w14:textId="77777777" w:rsidR="00C424E5" w:rsidRPr="002301A0" w:rsidRDefault="00C424E5" w:rsidP="006448B4">
      <w:pPr>
        <w:pStyle w:val="Note"/>
      </w:pPr>
      <w:r w:rsidRPr="00A05F89">
        <w:t>(</w:t>
      </w:r>
      <w:r>
        <w:t>d</w:t>
      </w:r>
      <w:r w:rsidRPr="00A05F89">
        <w:t>)</w:t>
      </w:r>
      <w:r w:rsidRPr="00A05F89">
        <w:tab/>
      </w:r>
      <w:r>
        <w:t xml:space="preserve">Includes most operating leases, which are now required to be recognised as lease liabilities. It also includes the financial liabilities relating to public private partnership projects including the High Capacity Metro Trains Project, the Metro Tunnel, the new Footscray Hospital and the Frankston Hospital Redevelopment. </w:t>
      </w:r>
    </w:p>
    <w:p w14:paraId="161AF888" w14:textId="77777777" w:rsidR="00C424E5" w:rsidRPr="00C203E5" w:rsidRDefault="00C424E5" w:rsidP="007769DB">
      <w:pPr>
        <w:pStyle w:val="Heading20"/>
        <w:spacing w:before="360"/>
        <w:rPr>
          <w:rFonts w:eastAsiaTheme="minorHAnsi"/>
        </w:rPr>
      </w:pPr>
      <w:r w:rsidRPr="00C203E5">
        <w:rPr>
          <w:rFonts w:eastAsiaTheme="minorHAnsi"/>
        </w:rPr>
        <w:t>Unfunded superannuation liability</w:t>
      </w:r>
    </w:p>
    <w:p w14:paraId="23BD386C" w14:textId="77777777" w:rsidR="00C424E5" w:rsidRDefault="00C424E5" w:rsidP="006448B4">
      <w:bookmarkStart w:id="38" w:name="_Toc449123068"/>
      <w:bookmarkStart w:id="39" w:name="_Toc481160574"/>
      <w:bookmarkStart w:id="40" w:name="_Toc481246482"/>
      <w:bookmarkStart w:id="41" w:name="_Toc512629768"/>
      <w:r w:rsidRPr="00193FB5">
        <w:t>The Gover</w:t>
      </w:r>
      <w:r>
        <w:t>nment is on track to fully fund the State’s unfunded superannuation liability by 2035</w:t>
      </w:r>
      <w:r w:rsidRPr="00126B79">
        <w:t>. Note 3.6.3</w:t>
      </w:r>
      <w:r>
        <w:t xml:space="preserve"> of Chapter 3 </w:t>
      </w:r>
      <w:r w:rsidRPr="00193FB5">
        <w:rPr>
          <w:i/>
          <w:iCs/>
        </w:rPr>
        <w:t xml:space="preserve">Estimated Financial Statements </w:t>
      </w:r>
      <w:r>
        <w:rPr>
          <w:i/>
          <w:iCs/>
        </w:rPr>
        <w:t>and Notes</w:t>
      </w:r>
      <w:r>
        <w:t xml:space="preserve"> shows information on the reported superannuation liability.</w:t>
      </w:r>
    </w:p>
    <w:p w14:paraId="2D2A57DC" w14:textId="77777777" w:rsidR="00C424E5" w:rsidRPr="00C203E5" w:rsidRDefault="00C424E5" w:rsidP="006448B4">
      <w:pPr>
        <w:pStyle w:val="Heading10"/>
        <w:rPr>
          <w:rFonts w:eastAsiaTheme="minorHAnsi"/>
        </w:rPr>
      </w:pPr>
      <w:bookmarkStart w:id="42" w:name="_Toc117586246"/>
      <w:r w:rsidRPr="00C203E5">
        <w:rPr>
          <w:rFonts w:eastAsiaTheme="minorHAnsi"/>
        </w:rPr>
        <w:lastRenderedPageBreak/>
        <w:t>Fiscal risks</w:t>
      </w:r>
      <w:bookmarkEnd w:id="38"/>
      <w:bookmarkEnd w:id="39"/>
      <w:bookmarkEnd w:id="40"/>
      <w:bookmarkEnd w:id="41"/>
      <w:bookmarkEnd w:id="42"/>
    </w:p>
    <w:p w14:paraId="4C79577B" w14:textId="77777777" w:rsidR="00C424E5" w:rsidRPr="00C203E5" w:rsidRDefault="00C424E5" w:rsidP="006448B4">
      <w:r w:rsidRPr="00C203E5">
        <w:t xml:space="preserve">This </w:t>
      </w:r>
      <w:r>
        <w:t xml:space="preserve">section discusses a number of risks which, if realised, are likely to impact on the State’s financial position and budget outcomes. </w:t>
      </w:r>
    </w:p>
    <w:p w14:paraId="661DEB3D" w14:textId="77777777" w:rsidR="00C424E5" w:rsidRDefault="00C424E5" w:rsidP="006448B4">
      <w:pPr>
        <w:rPr>
          <w:i/>
        </w:rPr>
      </w:pPr>
      <w:r>
        <w:t>Details of specific contingent assets and liabilities, defined as possible assets or liabilities that arise from past events whose existence will be confirmed only by the occurrence or non-occurrence of one or more uncertain future events not wholly within the control of the entity, are contained within Chapter 4</w:t>
      </w:r>
      <w:r w:rsidRPr="007E4E2E">
        <w:t xml:space="preserve"> </w:t>
      </w:r>
      <w:r w:rsidRPr="007E4E2E">
        <w:rPr>
          <w:i/>
        </w:rPr>
        <w:t>Contingent assets and contingent liabilities</w:t>
      </w:r>
      <w:r w:rsidRPr="00C203E5">
        <w:rPr>
          <w:i/>
        </w:rPr>
        <w:t>.</w:t>
      </w:r>
    </w:p>
    <w:p w14:paraId="24D67008" w14:textId="77777777" w:rsidR="00C424E5" w:rsidRPr="00C203E5" w:rsidRDefault="00C424E5" w:rsidP="006448B4">
      <w:pPr>
        <w:pStyle w:val="Heading10"/>
        <w:rPr>
          <w:rFonts w:eastAsiaTheme="minorHAnsi"/>
        </w:rPr>
      </w:pPr>
      <w:bookmarkStart w:id="43" w:name="_Toc117586247"/>
      <w:r w:rsidRPr="00C203E5">
        <w:rPr>
          <w:rFonts w:eastAsiaTheme="minorHAnsi"/>
        </w:rPr>
        <w:t>General fiscal risks</w:t>
      </w:r>
      <w:bookmarkEnd w:id="43"/>
    </w:p>
    <w:p w14:paraId="5194B9D3" w14:textId="77777777" w:rsidR="00C424E5" w:rsidRPr="00C203E5" w:rsidRDefault="00C424E5" w:rsidP="006448B4">
      <w:pPr>
        <w:pStyle w:val="Heading30"/>
      </w:pPr>
      <w:r>
        <w:rPr>
          <w:rFonts w:eastAsiaTheme="minorHAnsi"/>
        </w:rPr>
        <w:t>COVID-19</w:t>
      </w:r>
    </w:p>
    <w:p w14:paraId="51A9A21A" w14:textId="77777777" w:rsidR="00C424E5" w:rsidRPr="00FE064E" w:rsidRDefault="00C424E5" w:rsidP="006448B4">
      <w:r w:rsidRPr="00FE064E">
        <w:t xml:space="preserve">The risks to Victoria’s economic outlook remain greater than were typical prior to the </w:t>
      </w:r>
      <w:r>
        <w:t xml:space="preserve">COVID-19 </w:t>
      </w:r>
      <w:r w:rsidRPr="00FE064E">
        <w:t>pandemic. These include ongoing risks relating to the pandemic, the outlook for inflation</w:t>
      </w:r>
      <w:r>
        <w:t xml:space="preserve"> (and </w:t>
      </w:r>
      <w:r w:rsidRPr="00FE064E">
        <w:t>hence for interest rates</w:t>
      </w:r>
      <w:r>
        <w:t>)</w:t>
      </w:r>
      <w:r w:rsidRPr="00FE064E">
        <w:t xml:space="preserve">, as well as prospects for global economic growth against a backdrop of geopolitical volatility. </w:t>
      </w:r>
    </w:p>
    <w:p w14:paraId="73BCA01A" w14:textId="77777777" w:rsidR="00C424E5" w:rsidRPr="00FE064E" w:rsidRDefault="00C424E5" w:rsidP="006448B4">
      <w:r w:rsidRPr="00FE064E">
        <w:t xml:space="preserve">The Government’s forecast revenues, expenses and borrowings are predicated on a series of assumptions, including those related to the global recovery. If these assumptions do not eventuate, the actual financial outcomes may differ from the Government’s </w:t>
      </w:r>
      <w:r>
        <w:t>revised estimates</w:t>
      </w:r>
      <w:r w:rsidRPr="00FE064E">
        <w:t xml:space="preserve">. </w:t>
      </w:r>
    </w:p>
    <w:p w14:paraId="2656EB6D" w14:textId="77777777" w:rsidR="00C424E5" w:rsidRPr="00FE064E" w:rsidRDefault="00C424E5" w:rsidP="007C73B2">
      <w:pPr>
        <w:ind w:right="-16"/>
      </w:pPr>
      <w:r w:rsidRPr="00FE064E">
        <w:t xml:space="preserve">Appendix </w:t>
      </w:r>
      <w:r>
        <w:t>B</w:t>
      </w:r>
      <w:r w:rsidRPr="00FE064E">
        <w:t xml:space="preserve"> </w:t>
      </w:r>
      <w:r w:rsidRPr="00FE064E">
        <w:rPr>
          <w:i/>
          <w:iCs/>
        </w:rPr>
        <w:t>Sensitivity analysis</w:t>
      </w:r>
      <w:r w:rsidRPr="00FE064E">
        <w:t xml:space="preserve"> contains information on the impact of variations in the macroeconomic outlook on the Government’s key fiscal aggregates. This includes a scenario of a renewed global downturn resulting from the emergence of a vaccine-resistant COVID-19 strain, leading to renewed outbreaks and restrictions in major economies outside Australia.</w:t>
      </w:r>
    </w:p>
    <w:p w14:paraId="6F927050" w14:textId="77777777" w:rsidR="00C424E5" w:rsidRDefault="00C424E5" w:rsidP="006448B4">
      <w:pPr>
        <w:pStyle w:val="Heading30"/>
        <w:rPr>
          <w:rFonts w:eastAsiaTheme="minorHAnsi"/>
        </w:rPr>
      </w:pPr>
      <w:r>
        <w:rPr>
          <w:rFonts w:eastAsiaTheme="minorHAnsi"/>
        </w:rPr>
        <w:t>National Partnership on COVID-19 Response</w:t>
      </w:r>
    </w:p>
    <w:p w14:paraId="5FEBA459" w14:textId="77777777" w:rsidR="00C424E5" w:rsidRDefault="00C424E5" w:rsidP="006448B4">
      <w:r w:rsidRPr="00FE064E">
        <w:t>To support the national and coordinated health response to the COVID-19 pandemic, in April 2020 the Commonwealth</w:t>
      </w:r>
      <w:r>
        <w:t>,</w:t>
      </w:r>
      <w:r w:rsidRPr="00FE064E">
        <w:t xml:space="preserve"> </w:t>
      </w:r>
      <w:r>
        <w:t>S</w:t>
      </w:r>
      <w:r w:rsidRPr="00FE064E">
        <w:t>tates</w:t>
      </w:r>
      <w:r>
        <w:t xml:space="preserve"> and Territories</w:t>
      </w:r>
      <w:r w:rsidRPr="00FE064E">
        <w:t xml:space="preserve"> agreed shared funding arrangements via a new National Partnership Agreement. The Agreement does not have a clear sunset date for budget purposes. The Commonwealth has only committed funding until 2022-23 despite ongoing impacts on the health system from the COVID-19 pandemic. As such, if</w:t>
      </w:r>
      <w:r>
        <w:t> </w:t>
      </w:r>
      <w:r w:rsidRPr="00FE064E">
        <w:t xml:space="preserve">the Agreement is terminated before the COVID-19 pandemic response ends, the </w:t>
      </w:r>
      <w:r>
        <w:t>S</w:t>
      </w:r>
      <w:r w:rsidRPr="00FE064E">
        <w:t>tate may bear increased costs without Commonwealth contributions, particularly if there are future outbreaks of COVID-19.</w:t>
      </w:r>
    </w:p>
    <w:p w14:paraId="7BCB9246" w14:textId="77777777" w:rsidR="00C424E5" w:rsidRPr="00C203E5" w:rsidRDefault="00C424E5" w:rsidP="008B48BC">
      <w:pPr>
        <w:pStyle w:val="Heading30"/>
        <w:pageBreakBefore/>
      </w:pPr>
      <w:r w:rsidRPr="00C203E5">
        <w:rPr>
          <w:rFonts w:eastAsiaTheme="minorHAnsi"/>
        </w:rPr>
        <w:lastRenderedPageBreak/>
        <w:t>State taxes</w:t>
      </w:r>
    </w:p>
    <w:p w14:paraId="4BB775F3" w14:textId="77777777" w:rsidR="00C424E5" w:rsidRPr="00FE064E" w:rsidRDefault="00C424E5" w:rsidP="006448B4">
      <w:r w:rsidRPr="00FE064E">
        <w:t xml:space="preserve">State tax forecasts are primarily modelled on the relationships between taxation revenue and projected economic variables. As a result, the main source of uncertainty to state taxation estimates is unforeseen changes in the economic outlook. </w:t>
      </w:r>
    </w:p>
    <w:p w14:paraId="5834C21E" w14:textId="77777777" w:rsidR="00C424E5" w:rsidRPr="00FE064E" w:rsidRDefault="00C424E5" w:rsidP="006448B4">
      <w:r w:rsidRPr="00FE064E">
        <w:t xml:space="preserve">Pressure on some households is growing in response to higher interest rates and inflation, and declining housing prices. </w:t>
      </w:r>
      <w:r>
        <w:t>Rising i</w:t>
      </w:r>
      <w:r w:rsidRPr="00FE064E">
        <w:t>nterest rates, inflation and slowing economic growth will also put pressure on business balance sheets. Each of these are sources of risk to the state taxation outlook.</w:t>
      </w:r>
    </w:p>
    <w:p w14:paraId="7B07E6BD" w14:textId="77777777" w:rsidR="00C424E5" w:rsidRPr="00FE064E" w:rsidRDefault="00C424E5" w:rsidP="006448B4">
      <w:r w:rsidRPr="00FE064E">
        <w:t>Revenue from property-based taxes, such as land tax and land transfer duty, is subject to unique risks and historically has been volatile</w:t>
      </w:r>
      <w:r>
        <w:t>,</w:t>
      </w:r>
      <w:r w:rsidRPr="00FE064E">
        <w:t xml:space="preserve"> as property markets can exhibit large cycles typically related to changes in interest rates and/or changes in sentiment. Both dwelling price and transaction volume movements are key risks to property-based tax collections.</w:t>
      </w:r>
    </w:p>
    <w:p w14:paraId="792BEBCD" w14:textId="77777777" w:rsidR="00C424E5" w:rsidRPr="00C203E5" w:rsidRDefault="00C424E5" w:rsidP="006448B4">
      <w:pPr>
        <w:pStyle w:val="Heading30"/>
        <w:rPr>
          <w:rFonts w:eastAsiaTheme="minorHAnsi"/>
        </w:rPr>
      </w:pPr>
      <w:r w:rsidRPr="00C203E5">
        <w:rPr>
          <w:rFonts w:eastAsiaTheme="minorHAnsi"/>
        </w:rPr>
        <w:t>Employee expenses</w:t>
      </w:r>
    </w:p>
    <w:p w14:paraId="2501FD27" w14:textId="77777777" w:rsidR="00C424E5" w:rsidRDefault="00C424E5" w:rsidP="006448B4">
      <w:r w:rsidRPr="00FE064E">
        <w:t xml:space="preserve">Employee expenses are the </w:t>
      </w:r>
      <w:r>
        <w:t>S</w:t>
      </w:r>
      <w:r w:rsidRPr="00FE064E">
        <w:t>tate’s largest expense. Two important determinants of employee expenses are wages growth and the number of employees. Wages growth is primarily driven by enterprise bargaining agreements, the outcomes of which are moderated by application of the Government’s wages policy. Other factors contributing to projected employee expenses include the anticipated composition and profile of the workforce.</w:t>
      </w:r>
    </w:p>
    <w:p w14:paraId="58598760" w14:textId="77777777" w:rsidR="00C424E5" w:rsidRPr="004D7222" w:rsidRDefault="00C424E5" w:rsidP="006448B4">
      <w:pPr>
        <w:pStyle w:val="Heading30"/>
        <w:rPr>
          <w:rFonts w:eastAsiaTheme="minorHAnsi"/>
        </w:rPr>
      </w:pPr>
      <w:r w:rsidRPr="00C203E5">
        <w:rPr>
          <w:rFonts w:eastAsiaTheme="minorHAnsi"/>
        </w:rPr>
        <w:t xml:space="preserve">Demand </w:t>
      </w:r>
      <w:r>
        <w:rPr>
          <w:rFonts w:eastAsiaTheme="minorHAnsi"/>
        </w:rPr>
        <w:t>for government services</w:t>
      </w:r>
    </w:p>
    <w:p w14:paraId="7DAB4F47" w14:textId="77777777" w:rsidR="00C424E5" w:rsidRDefault="00C424E5" w:rsidP="006448B4">
      <w:r>
        <w:t xml:space="preserve">Another key uncertainty is whether growth in demand for government services will exceed or be lower than current projections. This can occur, for example, as a result of higher than forecast population growth or expenditure in response to unforeseen events such as natural disasters, including bushfires and floods. </w:t>
      </w:r>
    </w:p>
    <w:p w14:paraId="300D5C17" w14:textId="77777777" w:rsidR="00C424E5" w:rsidRDefault="00C424E5" w:rsidP="006448B4">
      <w:r>
        <w:t xml:space="preserve">The estimates incorporate contingency provisions to mitigate the impact of expenditure risks that may be realised during the next four years. The contingency provisions are sized to allow for the likely growth in Victoria’s population and the derived increased demand for government services. </w:t>
      </w:r>
    </w:p>
    <w:p w14:paraId="0B92BD98" w14:textId="77777777" w:rsidR="00C424E5" w:rsidRDefault="00C424E5" w:rsidP="006448B4">
      <w:r w:rsidRPr="00126B79">
        <w:t xml:space="preserve">Note 3.3.5 and Note 3.3.6 of Chapter 3 </w:t>
      </w:r>
      <w:r w:rsidRPr="00126B79">
        <w:rPr>
          <w:i/>
          <w:iCs/>
        </w:rPr>
        <w:t>Estimated Financial Statements and Notes</w:t>
      </w:r>
      <w:r w:rsidRPr="00126B79">
        <w:t xml:space="preserve"> discloses</w:t>
      </w:r>
      <w:r>
        <w:t xml:space="preserve"> general government output and asset contingencies not allocated to departments.</w:t>
      </w:r>
    </w:p>
    <w:p w14:paraId="17801E87" w14:textId="77777777" w:rsidR="00C424E5" w:rsidRPr="004D7222" w:rsidRDefault="00C424E5" w:rsidP="004321C6">
      <w:pPr>
        <w:pStyle w:val="Heading30"/>
        <w:pageBreakBefore/>
        <w:rPr>
          <w:rFonts w:eastAsiaTheme="minorHAnsi"/>
        </w:rPr>
      </w:pPr>
      <w:r>
        <w:rPr>
          <w:rFonts w:eastAsiaTheme="minorHAnsi"/>
        </w:rPr>
        <w:lastRenderedPageBreak/>
        <w:t>Capital program risks</w:t>
      </w:r>
    </w:p>
    <w:p w14:paraId="291FDE43" w14:textId="77777777" w:rsidR="00C424E5" w:rsidRDefault="00C424E5" w:rsidP="006448B4">
      <w:r>
        <w:t xml:space="preserve">The Government is delivering a historically large program of capital investments aimed at supporting jobs and improving productivity and the quality of public service delivery. The Government’s project pipeline will continue to support elevated levels of activity in the construction sector over the medium term, with several committed major projects in the planning and procurement phase complementing the large volume of existing projects in delivery. </w:t>
      </w:r>
    </w:p>
    <w:p w14:paraId="469E732D" w14:textId="77777777" w:rsidR="00C424E5" w:rsidRDefault="00C424E5" w:rsidP="006448B4">
      <w:r w:rsidRPr="00341777">
        <w:t xml:space="preserve">Victoria’s Big Build coincides with a period of unprecedented growth in construction across Victoria and nationally. The high level of demand for skills and resources is placing significant pressure on the construction market and supply chain, resulting in capacity challenges and escalation in the price of materials and labour. The Government also continues to manage the effects of the COVID-19 pandemic on the </w:t>
      </w:r>
      <w:r>
        <w:t>S</w:t>
      </w:r>
      <w:r w:rsidRPr="00341777">
        <w:t>tate’s capital program.</w:t>
      </w:r>
      <w:r>
        <w:t xml:space="preserve"> </w:t>
      </w:r>
    </w:p>
    <w:p w14:paraId="47B56016" w14:textId="77777777" w:rsidR="00C424E5" w:rsidRPr="00C203E5" w:rsidRDefault="00C424E5" w:rsidP="006448B4">
      <w:pPr>
        <w:pStyle w:val="Heading20"/>
      </w:pPr>
      <w:r w:rsidRPr="00C203E5">
        <w:rPr>
          <w:rFonts w:eastAsiaTheme="minorHAnsi"/>
        </w:rPr>
        <w:t>Specific fiscal risks</w:t>
      </w:r>
    </w:p>
    <w:p w14:paraId="1434048F" w14:textId="77777777" w:rsidR="00C424E5" w:rsidRPr="004D7222" w:rsidRDefault="00C424E5" w:rsidP="006448B4">
      <w:pPr>
        <w:pStyle w:val="Heading30"/>
        <w:spacing w:before="180"/>
        <w:rPr>
          <w:rFonts w:eastAsiaTheme="minorHAnsi"/>
        </w:rPr>
      </w:pPr>
      <w:r w:rsidRPr="004D7222">
        <w:rPr>
          <w:rFonts w:eastAsiaTheme="minorHAnsi"/>
        </w:rPr>
        <w:t>Commonwealth schools funding</w:t>
      </w:r>
    </w:p>
    <w:p w14:paraId="2A9FB040" w14:textId="77777777" w:rsidR="00C424E5" w:rsidRPr="00FE064E" w:rsidRDefault="00C424E5" w:rsidP="006448B4">
      <w:r w:rsidRPr="00FE064E">
        <w:t xml:space="preserve">In June 2017, the </w:t>
      </w:r>
      <w:r>
        <w:t xml:space="preserve">former </w:t>
      </w:r>
      <w:r w:rsidRPr="00FE064E">
        <w:t xml:space="preserve">Commonwealth Government passed amendments to the </w:t>
      </w:r>
      <w:r w:rsidRPr="00FE064E">
        <w:rPr>
          <w:i/>
          <w:iCs/>
        </w:rPr>
        <w:t>Australian Education Act 2013</w:t>
      </w:r>
      <w:r w:rsidRPr="00FE064E">
        <w:t xml:space="preserve"> to implement a new national school funding model. In mid</w:t>
      </w:r>
      <w:r>
        <w:noBreakHyphen/>
      </w:r>
      <w:r w:rsidRPr="00FE064E">
        <w:t>2019, Victoria signed the National School Reform Agreement and an accompanying bilateral agreement, which expire on 31 December 2023. Estimates of funding required to acquit the Schooling Resource Standard target in a given year are based on student number and profile projections for that year. Expenditure targets are finalised towards the end of or after each school year based on actual student data, creating a risk that the Victorian and Commonwealth targets differ from the funding allocated that year.</w:t>
      </w:r>
    </w:p>
    <w:p w14:paraId="4B3959F8" w14:textId="77777777" w:rsidR="00C424E5" w:rsidRPr="004D7222" w:rsidRDefault="00C424E5" w:rsidP="006448B4">
      <w:pPr>
        <w:pStyle w:val="Heading30"/>
        <w:spacing w:before="180"/>
        <w:rPr>
          <w:rFonts w:eastAsiaTheme="minorHAnsi"/>
        </w:rPr>
      </w:pPr>
      <w:r>
        <w:rPr>
          <w:rFonts w:eastAsiaTheme="minorHAnsi"/>
        </w:rPr>
        <w:t>National Health Reform Agreement Funding Cap</w:t>
      </w:r>
    </w:p>
    <w:p w14:paraId="723D6D4F" w14:textId="77777777" w:rsidR="00C424E5" w:rsidRPr="00FE064E" w:rsidRDefault="00C424E5" w:rsidP="007769DB">
      <w:pPr>
        <w:ind w:right="-100"/>
      </w:pPr>
      <w:r w:rsidRPr="00FE064E">
        <w:t>Under the 2020-25 Addendum to the National Health Reform Agreement (NHRA),</w:t>
      </w:r>
      <w:r>
        <w:t xml:space="preserve"> </w:t>
      </w:r>
      <w:r w:rsidRPr="00FE064E">
        <w:t>the</w:t>
      </w:r>
      <w:r>
        <w:t xml:space="preserve"> </w:t>
      </w:r>
      <w:r w:rsidRPr="00FE064E">
        <w:t>Commonwealth co-funds public hospitals by contributing 45 per cent of the cost of eligible activity, with the Commonwealth’s contribution capped at a growth rate of 6.5</w:t>
      </w:r>
      <w:r>
        <w:t> </w:t>
      </w:r>
      <w:r w:rsidRPr="00FE064E">
        <w:t>per</w:t>
      </w:r>
      <w:r>
        <w:t> </w:t>
      </w:r>
      <w:r w:rsidRPr="00FE064E">
        <w:t xml:space="preserve">cent compared to the previous year’s contribution. </w:t>
      </w:r>
    </w:p>
    <w:p w14:paraId="39977752" w14:textId="77777777" w:rsidR="00C424E5" w:rsidRPr="00FE064E" w:rsidRDefault="00C424E5" w:rsidP="006448B4">
      <w:r w:rsidRPr="00FE064E">
        <w:t>This is a ‘soft cap’ that applies at a national level, with states entitled to receive Commonwealth contributions beyond the cap until the growth rate of national expenditure reaches 6.5 per cent. Uncertainty around expenditure growth in other states and territories may create a fiscal risk to the State if the Commonwealth does not fund 45</w:t>
      </w:r>
      <w:r>
        <w:t> </w:t>
      </w:r>
      <w:r w:rsidRPr="00FE064E">
        <w:t>per cent of additional eligible hospital spending.</w:t>
      </w:r>
    </w:p>
    <w:p w14:paraId="02C955F1" w14:textId="77777777" w:rsidR="00C424E5" w:rsidRDefault="00C424E5" w:rsidP="006448B4">
      <w:r w:rsidRPr="00FE064E">
        <w:t>In addition, should the Commonwealth’s participation in the National Partnership on COVID-19 Response not be extended beyond the current commitment, additional hospital activity and costs relating to the COVID-19 response could fall instead under the NHRA, which would increase the risk of breaching the 6.5 per cent cap for annual efficient growth in Commonwealth funding.</w:t>
      </w:r>
    </w:p>
    <w:p w14:paraId="00F2A72B" w14:textId="77777777" w:rsidR="00C424E5" w:rsidRDefault="00C424E5" w:rsidP="006448B4">
      <w:pPr>
        <w:keepLines w:val="0"/>
      </w:pPr>
    </w:p>
    <w:p w14:paraId="7803BAF7" w14:textId="77777777" w:rsidR="00C424E5" w:rsidRPr="00C203E5" w:rsidRDefault="00C424E5" w:rsidP="006448B4">
      <w:pPr>
        <w:pStyle w:val="Heading30"/>
        <w:spacing w:before="180"/>
        <w:rPr>
          <w:rFonts w:eastAsiaTheme="minorHAnsi"/>
        </w:rPr>
      </w:pPr>
      <w:r w:rsidRPr="00C203E5">
        <w:rPr>
          <w:rFonts w:eastAsiaTheme="minorHAnsi"/>
        </w:rPr>
        <w:lastRenderedPageBreak/>
        <w:t>Victoria’s GST revenue</w:t>
      </w:r>
    </w:p>
    <w:p w14:paraId="42289C39" w14:textId="77777777" w:rsidR="00C424E5" w:rsidRPr="00FE064E" w:rsidRDefault="00C424E5" w:rsidP="006448B4">
      <w:r w:rsidRPr="00FE064E">
        <w:t xml:space="preserve">Victoria’s GST revenue is broadly determined by three key factors: </w:t>
      </w:r>
    </w:p>
    <w:p w14:paraId="2AFDFF2A" w14:textId="77777777" w:rsidR="00C424E5" w:rsidRPr="00FE064E" w:rsidRDefault="00C424E5" w:rsidP="006448B4">
      <w:pPr>
        <w:pStyle w:val="ListBullet"/>
        <w:numPr>
          <w:ilvl w:val="0"/>
          <w:numId w:val="45"/>
        </w:numPr>
      </w:pPr>
      <w:r w:rsidRPr="00FE064E">
        <w:t xml:space="preserve">the amount of GST collected by the Commonwealth (the national GST pool) </w:t>
      </w:r>
    </w:p>
    <w:p w14:paraId="6D32BA88" w14:textId="77777777" w:rsidR="00C424E5" w:rsidRPr="00FE064E" w:rsidRDefault="00C424E5" w:rsidP="006448B4">
      <w:pPr>
        <w:pStyle w:val="ListBullet"/>
        <w:numPr>
          <w:ilvl w:val="0"/>
          <w:numId w:val="45"/>
        </w:numPr>
      </w:pPr>
      <w:r w:rsidRPr="00FE064E">
        <w:t xml:space="preserve">Victoria’s GST relativity </w:t>
      </w:r>
    </w:p>
    <w:p w14:paraId="4E2AF029" w14:textId="77777777" w:rsidR="00C424E5" w:rsidRPr="00FE064E" w:rsidRDefault="00C424E5" w:rsidP="006448B4">
      <w:pPr>
        <w:pStyle w:val="ListBullet"/>
        <w:numPr>
          <w:ilvl w:val="0"/>
          <w:numId w:val="45"/>
        </w:numPr>
      </w:pPr>
      <w:r w:rsidRPr="00FE064E">
        <w:t>Victoria’s share of the national population.</w:t>
      </w:r>
    </w:p>
    <w:p w14:paraId="604C3F5E" w14:textId="77777777" w:rsidR="00C424E5" w:rsidRPr="00C203E5" w:rsidRDefault="00C424E5" w:rsidP="006448B4">
      <w:pPr>
        <w:pStyle w:val="Heading4"/>
        <w:spacing w:before="160"/>
        <w:rPr>
          <w:rFonts w:eastAsiaTheme="minorHAnsi"/>
        </w:rPr>
      </w:pPr>
      <w:r>
        <w:rPr>
          <w:rFonts w:eastAsiaTheme="minorHAnsi"/>
        </w:rPr>
        <w:t>National GST Pool</w:t>
      </w:r>
    </w:p>
    <w:p w14:paraId="6827D742" w14:textId="77777777" w:rsidR="00C424E5" w:rsidRPr="00FE064E" w:rsidRDefault="00C424E5" w:rsidP="006448B4">
      <w:pPr>
        <w:rPr>
          <w:strike/>
        </w:rPr>
      </w:pPr>
      <w:r w:rsidRPr="00FE064E">
        <w:t xml:space="preserve">The outlook for the national GST pool has continued its strong recovery following the pandemic but is expected to be impacted by </w:t>
      </w:r>
      <w:r>
        <w:t xml:space="preserve">an anticipated </w:t>
      </w:r>
      <w:r w:rsidRPr="00FE064E">
        <w:t xml:space="preserve">slowing </w:t>
      </w:r>
      <w:r>
        <w:t xml:space="preserve">of </w:t>
      </w:r>
      <w:r w:rsidRPr="00FE064E">
        <w:t>consumption following interest rate</w:t>
      </w:r>
      <w:r>
        <w:t> </w:t>
      </w:r>
      <w:r w:rsidRPr="00FE064E">
        <w:t>rises.</w:t>
      </w:r>
    </w:p>
    <w:p w14:paraId="5B79DE36" w14:textId="77777777" w:rsidR="00C424E5" w:rsidRPr="004D7222" w:rsidRDefault="00C424E5" w:rsidP="006448B4">
      <w:pPr>
        <w:rPr>
          <w:strike/>
        </w:rPr>
      </w:pPr>
      <w:r w:rsidRPr="00FE064E">
        <w:t xml:space="preserve">A greater decline in consumption or dwelling investment could further slow growth in </w:t>
      </w:r>
      <w:r>
        <w:t xml:space="preserve">the </w:t>
      </w:r>
      <w:r w:rsidRPr="00FE064E">
        <w:t>GST pool. Key risks to the profile are largely around consumption and population growth. Further sources of uncertainty include the emergence of new variants of COVID</w:t>
      </w:r>
      <w:r>
        <w:noBreakHyphen/>
      </w:r>
      <w:r w:rsidRPr="00FE064E">
        <w:t>19, the outlook for inflation and interest rates and the prospects for global economic growth against a backdrop of elevated uncertainty.</w:t>
      </w:r>
    </w:p>
    <w:p w14:paraId="6D4E9249" w14:textId="77777777" w:rsidR="00C424E5" w:rsidRPr="00C203E5" w:rsidRDefault="00C424E5" w:rsidP="006448B4">
      <w:pPr>
        <w:pStyle w:val="Heading4"/>
        <w:spacing w:before="120"/>
        <w:rPr>
          <w:rFonts w:eastAsiaTheme="minorHAnsi"/>
        </w:rPr>
      </w:pPr>
      <w:r>
        <w:rPr>
          <w:rFonts w:eastAsiaTheme="minorHAnsi"/>
        </w:rPr>
        <w:t>GST relativities</w:t>
      </w:r>
    </w:p>
    <w:p w14:paraId="7A4EDE19" w14:textId="77777777" w:rsidR="00C424E5" w:rsidRPr="00FE064E" w:rsidRDefault="00C424E5" w:rsidP="006448B4">
      <w:pPr>
        <w:spacing w:before="80"/>
      </w:pPr>
      <w:r w:rsidRPr="00FE064E">
        <w:t xml:space="preserve">The national GST pool is shared between states and territories based on relativities determined annually by the Commonwealth Treasurer, which are informed by the recommendations of the Commonwealth Grants Commission. </w:t>
      </w:r>
    </w:p>
    <w:p w14:paraId="3EAB4E5B" w14:textId="77777777" w:rsidR="00C424E5" w:rsidRPr="00FE064E" w:rsidRDefault="00C424E5" w:rsidP="006448B4">
      <w:pPr>
        <w:spacing w:before="80"/>
      </w:pPr>
      <w:r w:rsidRPr="00FE064E">
        <w:t>These relativities are based on the relative fiscal capacity of each jurisdiction and are influenced by differences in revenue bases and costs of delivering services. Relativities are sensitive to a broad range of factors, including demographics, infrastructure needs, developments in property markets and global commodity prices (particularly for iron ore and coal). Uncertainty in these factors represent risks for Victoria’s GST revenue.</w:t>
      </w:r>
    </w:p>
    <w:p w14:paraId="4CE9DAD7" w14:textId="77777777" w:rsidR="00C424E5" w:rsidRDefault="00C424E5" w:rsidP="006448B4">
      <w:pPr>
        <w:spacing w:before="80"/>
        <w:rPr>
          <w:rFonts w:asciiTheme="majorHAnsi" w:hAnsiTheme="majorHAnsi" w:cstheme="majorBidi"/>
          <w:i/>
          <w:iCs/>
          <w:sz w:val="23"/>
          <w:szCs w:val="24"/>
        </w:rPr>
      </w:pPr>
      <w:r w:rsidRPr="00FE064E">
        <w:t>In addition, the Commonwealth Grants Commission has not been allowed to account for the impacts of the COVID-19 pandemic on the GST distribution for 2022-23, and it is unclear if it will be allowed in future. This puts at risk Victoria’s capacity to support recovery from the pandemic and fully fund essential services.</w:t>
      </w:r>
    </w:p>
    <w:p w14:paraId="427D4585" w14:textId="77777777" w:rsidR="00C424E5" w:rsidRPr="00C203E5" w:rsidRDefault="00C424E5" w:rsidP="006448B4">
      <w:pPr>
        <w:pStyle w:val="Heading4"/>
        <w:spacing w:before="120"/>
        <w:rPr>
          <w:rFonts w:eastAsiaTheme="minorHAnsi"/>
        </w:rPr>
      </w:pPr>
      <w:r>
        <w:rPr>
          <w:rFonts w:eastAsiaTheme="minorHAnsi"/>
        </w:rPr>
        <w:t>Population</w:t>
      </w:r>
    </w:p>
    <w:p w14:paraId="5AE0C9DE" w14:textId="77777777" w:rsidR="00C424E5" w:rsidRPr="00FE064E" w:rsidRDefault="00C424E5" w:rsidP="006448B4">
      <w:pPr>
        <w:spacing w:before="80"/>
      </w:pPr>
      <w:r w:rsidRPr="00FE064E">
        <w:t xml:space="preserve">The 2021 Census results were utilised by the ABS to inform population statistics for the 2016 to 2021 period. Victoria’s population share has decreased </w:t>
      </w:r>
      <w:r>
        <w:t>over this period</w:t>
      </w:r>
      <w:r w:rsidRPr="00FE064E">
        <w:t xml:space="preserve"> due </w:t>
      </w:r>
      <w:r>
        <w:t xml:space="preserve">to the impacts of </w:t>
      </w:r>
      <w:r w:rsidRPr="00FE064E">
        <w:t>the COVID-19 pandemic and interstate migration flows.</w:t>
      </w:r>
    </w:p>
    <w:p w14:paraId="7CAD3F95" w14:textId="77777777" w:rsidR="00C424E5" w:rsidRPr="00FE064E" w:rsidRDefault="00C424E5" w:rsidP="006448B4">
      <w:pPr>
        <w:spacing w:before="80"/>
      </w:pPr>
      <w:r w:rsidRPr="00FE064E">
        <w:t xml:space="preserve">Victoria’s population share expectations have been amended for the 2021 Census results but are subject to greater risk around interstate and overseas migration as the </w:t>
      </w:r>
      <w:r>
        <w:t xml:space="preserve">ongoing effects of the </w:t>
      </w:r>
      <w:r w:rsidRPr="00FE064E">
        <w:t>COVID-19 migration flows are assessed.</w:t>
      </w:r>
    </w:p>
    <w:p w14:paraId="1D6D3396" w14:textId="77777777" w:rsidR="00C424E5" w:rsidRDefault="00C424E5" w:rsidP="006448B4">
      <w:pPr>
        <w:spacing w:before="80"/>
      </w:pPr>
      <w:r w:rsidRPr="00FE064E">
        <w:t xml:space="preserve">Victoria’s GST revenue </w:t>
      </w:r>
      <w:r>
        <w:t xml:space="preserve">is </w:t>
      </w:r>
      <w:r w:rsidRPr="00FE064E">
        <w:t>subject to Victoria’s population share and population share growth and may be materially affected by changes.</w:t>
      </w:r>
    </w:p>
    <w:p w14:paraId="0160D019" w14:textId="77777777" w:rsidR="00C424E5" w:rsidRPr="00C203E5" w:rsidRDefault="00C424E5" w:rsidP="006448B4">
      <w:pPr>
        <w:pStyle w:val="Heading4"/>
        <w:spacing w:before="120"/>
        <w:rPr>
          <w:rFonts w:eastAsiaTheme="minorHAnsi"/>
        </w:rPr>
      </w:pPr>
      <w:r>
        <w:rPr>
          <w:rFonts w:eastAsiaTheme="minorHAnsi"/>
        </w:rPr>
        <w:lastRenderedPageBreak/>
        <w:t>Commonwealth no-worse-off guarantee for GST entitlement</w:t>
      </w:r>
    </w:p>
    <w:p w14:paraId="7A1BF0F2" w14:textId="77777777" w:rsidR="00C424E5" w:rsidRDefault="00C424E5" w:rsidP="006448B4">
      <w:pPr>
        <w:keepNext/>
        <w:keepLines w:val="0"/>
        <w:spacing w:before="80"/>
      </w:pPr>
      <w:r>
        <w:t xml:space="preserve">In 2018, the former </w:t>
      </w:r>
      <w:r w:rsidRPr="00FE064E">
        <w:t xml:space="preserve">Commonwealth Government </w:t>
      </w:r>
      <w:r>
        <w:t xml:space="preserve">legislated a change in the system of horizontal fiscal equalisation (HFE), which introduced: </w:t>
      </w:r>
    </w:p>
    <w:p w14:paraId="1CF77804" w14:textId="77777777" w:rsidR="00C424E5" w:rsidRDefault="00C424E5" w:rsidP="006448B4">
      <w:pPr>
        <w:pStyle w:val="ListBullet"/>
        <w:numPr>
          <w:ilvl w:val="0"/>
          <w:numId w:val="45"/>
        </w:numPr>
        <w:spacing w:before="40"/>
      </w:pPr>
      <w:r>
        <w:t>a minimum GST revenue sharing relativity (relativity floor) of 0.70 commencing in 2019</w:t>
      </w:r>
      <w:r>
        <w:noBreakHyphen/>
        <w:t xml:space="preserve">20, supported by transition payments from the Commonwealth and facilitated within the GST distribution from 2022-23, rising to 0.75 from 2024-25 </w:t>
      </w:r>
    </w:p>
    <w:p w14:paraId="5CC3F975" w14:textId="77777777" w:rsidR="00C424E5" w:rsidRDefault="00C424E5" w:rsidP="006448B4">
      <w:pPr>
        <w:pStyle w:val="ListBullet"/>
        <w:numPr>
          <w:ilvl w:val="0"/>
          <w:numId w:val="45"/>
        </w:numPr>
        <w:spacing w:before="40"/>
      </w:pPr>
      <w:r>
        <w:t xml:space="preserve">a small boost to the GST revenue pool from 2021-22 with additional Commonwealth financial assistance </w:t>
      </w:r>
    </w:p>
    <w:p w14:paraId="6545ECB2" w14:textId="77777777" w:rsidR="00C424E5" w:rsidRDefault="00C424E5" w:rsidP="006448B4">
      <w:pPr>
        <w:pStyle w:val="ListBullet"/>
        <w:numPr>
          <w:ilvl w:val="0"/>
          <w:numId w:val="45"/>
        </w:numPr>
        <w:spacing w:before="40"/>
      </w:pPr>
      <w:r>
        <w:t xml:space="preserve">the transition of the HFE system from full equalisation (so called equalising to the strongest state) to ‘reasonable’ equalisation, based upon the fiscal capacity of the stronger of New South Wales or Victoria. </w:t>
      </w:r>
    </w:p>
    <w:p w14:paraId="469657C8" w14:textId="77777777" w:rsidR="00C424E5" w:rsidRDefault="00C424E5" w:rsidP="006448B4">
      <w:pPr>
        <w:spacing w:before="80"/>
        <w:ind w:right="-128"/>
      </w:pPr>
      <w:r>
        <w:t>During the six-year transition period commencing in 2021-22, each state and territory is entitled to receive additional Commonwealth financial assistance to ensure it is no worse off compared to its GST entitlement had full equalisation been maintained. The no</w:t>
      </w:r>
      <w:r>
        <w:noBreakHyphen/>
        <w:t>worse</w:t>
      </w:r>
      <w:r>
        <w:noBreakHyphen/>
        <w:t xml:space="preserve">off guarantee is currently only legislated until the end of the transition period in 2026-27, which poses a fiscal risk to states and territories. </w:t>
      </w:r>
    </w:p>
    <w:p w14:paraId="10B27BCF" w14:textId="77777777" w:rsidR="00C424E5" w:rsidRDefault="00C424E5" w:rsidP="006448B4">
      <w:pPr>
        <w:spacing w:before="80"/>
      </w:pPr>
      <w:r>
        <w:t>Victoria continues to work with other state governments and the Commonwealth to ensure Victoria receives its fair share of GST.</w:t>
      </w:r>
    </w:p>
    <w:p w14:paraId="67304838" w14:textId="77777777" w:rsidR="000D54DB" w:rsidRPr="00387283" w:rsidRDefault="000D54DB" w:rsidP="00A513E2"/>
    <w:p w14:paraId="0497C146" w14:textId="4CDE5BD8" w:rsidR="00C424E5" w:rsidRDefault="00C424E5" w:rsidP="000C2241"/>
    <w:p w14:paraId="09764DE5" w14:textId="77777777" w:rsidR="00C424E5" w:rsidRDefault="00C424E5" w:rsidP="000C2241"/>
    <w:p w14:paraId="03079033" w14:textId="6DE0E18E" w:rsidR="00406935" w:rsidRDefault="00406935" w:rsidP="003610AD">
      <w:pPr>
        <w:sectPr w:rsidR="00406935" w:rsidSect="00DD54EA">
          <w:footerReference w:type="even" r:id="rId34"/>
          <w:footerReference w:type="default" r:id="rId35"/>
          <w:footerReference w:type="first" r:id="rId36"/>
          <w:pgSz w:w="9979" w:h="14175" w:code="9"/>
          <w:pgMar w:top="1134" w:right="1134" w:bottom="1134" w:left="1134" w:header="624" w:footer="567" w:gutter="0"/>
          <w:cols w:space="708"/>
          <w:docGrid w:linePitch="360"/>
        </w:sectPr>
      </w:pPr>
    </w:p>
    <w:p w14:paraId="50892163" w14:textId="6676E705" w:rsidR="008D6F13" w:rsidRPr="00AC196B" w:rsidRDefault="00AC196B" w:rsidP="00AC196B">
      <w:pPr>
        <w:pStyle w:val="ChapterHeading"/>
      </w:pPr>
      <w:bookmarkStart w:id="44" w:name="_Toc117586248"/>
      <w:r w:rsidRPr="00AC196B">
        <w:lastRenderedPageBreak/>
        <w:t>Chapter 3 – Estimated financial statements and notes</w:t>
      </w:r>
      <w:bookmarkEnd w:id="44"/>
    </w:p>
    <w:p w14:paraId="7305A3E4" w14:textId="77777777" w:rsidR="00C424E5" w:rsidRDefault="00C424E5" w:rsidP="006206EF">
      <w:pPr>
        <w:pStyle w:val="Heading10"/>
      </w:pPr>
      <w:bookmarkStart w:id="45" w:name="_Toc117586249"/>
      <w:r>
        <w:t xml:space="preserve">Estimated </w:t>
      </w:r>
      <w:r w:rsidRPr="00AC196B">
        <w:t>consolidated</w:t>
      </w:r>
      <w:r>
        <w:rPr>
          <w:caps w:val="0"/>
        </w:rPr>
        <w:t xml:space="preserve"> </w:t>
      </w:r>
      <w:r>
        <w:t>general government sector</w:t>
      </w:r>
      <w:r>
        <w:br/>
        <w:t>comprehensive operating statement</w:t>
      </w:r>
      <w:bookmarkEnd w:id="45"/>
    </w:p>
    <w:p w14:paraId="3A6D6567" w14:textId="77777777" w:rsidR="00C424E5" w:rsidRDefault="00C424E5" w:rsidP="006206EF">
      <w:pPr>
        <w:pStyle w:val="TableHeading"/>
      </w:pPr>
      <w:r>
        <w:t>For the financial year ended 30 June</w:t>
      </w:r>
      <w:r>
        <w:tab/>
        <w:t>($ million)</w:t>
      </w:r>
    </w:p>
    <w:tbl>
      <w:tblPr>
        <w:tblStyle w:val="DTFTableNumeric"/>
        <w:tblW w:w="7710" w:type="dxa"/>
        <w:tblLayout w:type="fixed"/>
        <w:tblLook w:val="06A0" w:firstRow="1" w:lastRow="0" w:firstColumn="1" w:lastColumn="0" w:noHBand="1" w:noVBand="1"/>
      </w:tblPr>
      <w:tblGrid>
        <w:gridCol w:w="3173"/>
        <w:gridCol w:w="201"/>
        <w:gridCol w:w="366"/>
        <w:gridCol w:w="794"/>
        <w:gridCol w:w="794"/>
        <w:gridCol w:w="794"/>
        <w:gridCol w:w="794"/>
        <w:gridCol w:w="794"/>
      </w:tblGrid>
      <w:tr w:rsidR="00925B88" w14:paraId="4CA8905B" w14:textId="77777777" w:rsidTr="00A836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73" w:type="dxa"/>
          </w:tcPr>
          <w:p w14:paraId="11D7F8C3" w14:textId="0D4D640B" w:rsidR="00925B88" w:rsidRDefault="00925B88" w:rsidP="000D54DB">
            <w:pPr>
              <w:spacing w:after="0"/>
            </w:pPr>
          </w:p>
        </w:tc>
        <w:tc>
          <w:tcPr>
            <w:tcW w:w="567" w:type="dxa"/>
            <w:gridSpan w:val="2"/>
          </w:tcPr>
          <w:p w14:paraId="256F0A3D" w14:textId="170A79FD" w:rsidR="00925B88" w:rsidRDefault="00925B88" w:rsidP="000D54DB">
            <w:pPr>
              <w:spacing w:after="0"/>
              <w:jc w:val="center"/>
              <w:cnfStyle w:val="100000000000" w:firstRow="1" w:lastRow="0" w:firstColumn="0" w:lastColumn="0" w:oddVBand="0" w:evenVBand="0" w:oddHBand="0" w:evenHBand="0" w:firstRowFirstColumn="0" w:firstRowLastColumn="0" w:lastRowFirstColumn="0" w:lastRowLastColumn="0"/>
            </w:pPr>
            <w:r>
              <w:t>Notes</w:t>
            </w:r>
          </w:p>
        </w:tc>
        <w:tc>
          <w:tcPr>
            <w:tcW w:w="794" w:type="dxa"/>
          </w:tcPr>
          <w:p w14:paraId="2FE87EE2" w14:textId="68813939" w:rsidR="00925B88" w:rsidRDefault="00925B88" w:rsidP="000D54DB">
            <w:pPr>
              <w:spacing w:after="0"/>
              <w:cnfStyle w:val="100000000000" w:firstRow="1" w:lastRow="0" w:firstColumn="0" w:lastColumn="0" w:oddVBand="0" w:evenVBand="0" w:oddHBand="0" w:evenHBand="0" w:firstRowFirstColumn="0" w:firstRowLastColumn="0" w:lastRowFirstColumn="0" w:lastRowLastColumn="0"/>
            </w:pPr>
            <w:r>
              <w:t>2022</w:t>
            </w:r>
            <w:r>
              <w:noBreakHyphen/>
              <w:t>23</w:t>
            </w:r>
            <w:r w:rsidR="00F70B1C">
              <w:rPr>
                <w:i w:val="0"/>
              </w:rPr>
              <w:br/>
            </w:r>
            <w:r>
              <w:t>budget</w:t>
            </w:r>
          </w:p>
        </w:tc>
        <w:tc>
          <w:tcPr>
            <w:tcW w:w="794" w:type="dxa"/>
          </w:tcPr>
          <w:p w14:paraId="05586AD6" w14:textId="203A7D1F" w:rsidR="00925B88" w:rsidRDefault="00925B88" w:rsidP="000D54DB">
            <w:pPr>
              <w:spacing w:after="0"/>
              <w:cnfStyle w:val="100000000000" w:firstRow="1" w:lastRow="0" w:firstColumn="0" w:lastColumn="0" w:oddVBand="0" w:evenVBand="0" w:oddHBand="0" w:evenHBand="0" w:firstRowFirstColumn="0" w:firstRowLastColumn="0" w:lastRowFirstColumn="0" w:lastRowLastColumn="0"/>
            </w:pPr>
            <w:r>
              <w:t>2022</w:t>
            </w:r>
            <w:r>
              <w:noBreakHyphen/>
              <w:t>23</w:t>
            </w:r>
            <w:r w:rsidR="00F70B1C">
              <w:rPr>
                <w:i w:val="0"/>
              </w:rPr>
              <w:br/>
            </w:r>
            <w:r>
              <w:t>revised</w:t>
            </w:r>
          </w:p>
        </w:tc>
        <w:tc>
          <w:tcPr>
            <w:tcW w:w="794" w:type="dxa"/>
          </w:tcPr>
          <w:p w14:paraId="2C075934" w14:textId="43A9D699" w:rsidR="00925B88" w:rsidRDefault="00925B88" w:rsidP="000D54DB">
            <w:pPr>
              <w:spacing w:after="0"/>
              <w:cnfStyle w:val="100000000000" w:firstRow="1" w:lastRow="0" w:firstColumn="0" w:lastColumn="0" w:oddVBand="0" w:evenVBand="0" w:oddHBand="0" w:evenHBand="0" w:firstRowFirstColumn="0" w:firstRowLastColumn="0" w:lastRowFirstColumn="0" w:lastRowLastColumn="0"/>
            </w:pPr>
            <w:r>
              <w:t>2023</w:t>
            </w:r>
            <w:r>
              <w:noBreakHyphen/>
              <w:t>24</w:t>
            </w:r>
            <w:r w:rsidR="00F70B1C">
              <w:rPr>
                <w:i w:val="0"/>
              </w:rPr>
              <w:br/>
            </w:r>
            <w:r>
              <w:t>estimate</w:t>
            </w:r>
          </w:p>
        </w:tc>
        <w:tc>
          <w:tcPr>
            <w:tcW w:w="794" w:type="dxa"/>
          </w:tcPr>
          <w:p w14:paraId="30F5E1FB" w14:textId="746A8CFD" w:rsidR="00925B88" w:rsidRDefault="00925B88" w:rsidP="000D54DB">
            <w:pPr>
              <w:spacing w:after="0"/>
              <w:cnfStyle w:val="100000000000" w:firstRow="1" w:lastRow="0" w:firstColumn="0" w:lastColumn="0" w:oddVBand="0" w:evenVBand="0" w:oddHBand="0" w:evenHBand="0" w:firstRowFirstColumn="0" w:firstRowLastColumn="0" w:lastRowFirstColumn="0" w:lastRowLastColumn="0"/>
            </w:pPr>
            <w:r>
              <w:t>2024</w:t>
            </w:r>
            <w:r>
              <w:noBreakHyphen/>
              <w:t>25</w:t>
            </w:r>
            <w:r w:rsidR="00F70B1C">
              <w:rPr>
                <w:i w:val="0"/>
              </w:rPr>
              <w:br/>
            </w:r>
            <w:r>
              <w:t>estimate</w:t>
            </w:r>
          </w:p>
        </w:tc>
        <w:tc>
          <w:tcPr>
            <w:tcW w:w="794" w:type="dxa"/>
          </w:tcPr>
          <w:p w14:paraId="63EB159A" w14:textId="0FC61E7E" w:rsidR="00925B88" w:rsidRDefault="00925B88" w:rsidP="000D54DB">
            <w:pPr>
              <w:spacing w:after="0"/>
              <w:cnfStyle w:val="100000000000" w:firstRow="1" w:lastRow="0" w:firstColumn="0" w:lastColumn="0" w:oddVBand="0" w:evenVBand="0" w:oddHBand="0" w:evenHBand="0" w:firstRowFirstColumn="0" w:firstRowLastColumn="0" w:lastRowFirstColumn="0" w:lastRowLastColumn="0"/>
            </w:pPr>
            <w:r>
              <w:t>2025</w:t>
            </w:r>
            <w:r>
              <w:noBreakHyphen/>
              <w:t>26</w:t>
            </w:r>
            <w:r w:rsidR="00F70B1C">
              <w:rPr>
                <w:i w:val="0"/>
              </w:rPr>
              <w:br/>
            </w:r>
            <w:r>
              <w:t>estimate</w:t>
            </w:r>
          </w:p>
        </w:tc>
      </w:tr>
      <w:tr w:rsidR="00C424E5" w14:paraId="0BD6D9BE" w14:textId="77777777">
        <w:tc>
          <w:tcPr>
            <w:cnfStyle w:val="001000000000" w:firstRow="0" w:lastRow="0" w:firstColumn="1" w:lastColumn="0" w:oddVBand="0" w:evenVBand="0" w:oddHBand="0" w:evenHBand="0" w:firstRowFirstColumn="0" w:firstRowLastColumn="0" w:lastRowFirstColumn="0" w:lastRowLastColumn="0"/>
            <w:tcW w:w="3173" w:type="dxa"/>
          </w:tcPr>
          <w:p w14:paraId="5CE6FC46" w14:textId="77777777" w:rsidR="00C424E5" w:rsidRDefault="00C424E5" w:rsidP="000D54DB">
            <w:pPr>
              <w:spacing w:after="0"/>
            </w:pPr>
            <w:r>
              <w:rPr>
                <w:b/>
              </w:rPr>
              <w:t>Revenue and income from transactions</w:t>
            </w:r>
          </w:p>
        </w:tc>
        <w:tc>
          <w:tcPr>
            <w:tcW w:w="567" w:type="dxa"/>
            <w:gridSpan w:val="2"/>
          </w:tcPr>
          <w:p w14:paraId="2468EAEA" w14:textId="77777777" w:rsidR="00C424E5" w:rsidRDefault="00C424E5" w:rsidP="000D54DB">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6808D28B"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35821FE6"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5C0E88A1"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349C6CAB"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7001B056"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p>
        </w:tc>
      </w:tr>
      <w:tr w:rsidR="00C424E5" w14:paraId="3CBB0310" w14:textId="77777777">
        <w:tc>
          <w:tcPr>
            <w:cnfStyle w:val="001000000000" w:firstRow="0" w:lastRow="0" w:firstColumn="1" w:lastColumn="0" w:oddVBand="0" w:evenVBand="0" w:oddHBand="0" w:evenHBand="0" w:firstRowFirstColumn="0" w:firstRowLastColumn="0" w:lastRowFirstColumn="0" w:lastRowLastColumn="0"/>
            <w:tcW w:w="3173" w:type="dxa"/>
          </w:tcPr>
          <w:p w14:paraId="4C6C034C" w14:textId="77777777" w:rsidR="00C424E5" w:rsidRDefault="00C424E5" w:rsidP="000D54DB">
            <w:pPr>
              <w:spacing w:after="0"/>
            </w:pPr>
            <w:r>
              <w:t>Taxation</w:t>
            </w:r>
          </w:p>
        </w:tc>
        <w:tc>
          <w:tcPr>
            <w:tcW w:w="567" w:type="dxa"/>
            <w:gridSpan w:val="2"/>
          </w:tcPr>
          <w:p w14:paraId="66C75A11" w14:textId="77777777" w:rsidR="00C424E5" w:rsidRDefault="00C424E5" w:rsidP="000D54DB">
            <w:pPr>
              <w:spacing w:after="0"/>
              <w:jc w:val="center"/>
              <w:cnfStyle w:val="000000000000" w:firstRow="0" w:lastRow="0" w:firstColumn="0" w:lastColumn="0" w:oddVBand="0" w:evenVBand="0" w:oddHBand="0" w:evenHBand="0" w:firstRowFirstColumn="0" w:firstRowLastColumn="0" w:lastRowFirstColumn="0" w:lastRowLastColumn="0"/>
            </w:pPr>
            <w:r>
              <w:t>3.2.1</w:t>
            </w:r>
          </w:p>
        </w:tc>
        <w:tc>
          <w:tcPr>
            <w:tcW w:w="794" w:type="dxa"/>
          </w:tcPr>
          <w:p w14:paraId="08D727C1"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30 488</w:t>
            </w:r>
          </w:p>
        </w:tc>
        <w:tc>
          <w:tcPr>
            <w:tcW w:w="794" w:type="dxa"/>
          </w:tcPr>
          <w:p w14:paraId="411CC7F7"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31 166</w:t>
            </w:r>
          </w:p>
        </w:tc>
        <w:tc>
          <w:tcPr>
            <w:tcW w:w="794" w:type="dxa"/>
          </w:tcPr>
          <w:p w14:paraId="0830390F"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32 686</w:t>
            </w:r>
          </w:p>
        </w:tc>
        <w:tc>
          <w:tcPr>
            <w:tcW w:w="794" w:type="dxa"/>
          </w:tcPr>
          <w:p w14:paraId="3D099E42"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33 802</w:t>
            </w:r>
          </w:p>
        </w:tc>
        <w:tc>
          <w:tcPr>
            <w:tcW w:w="794" w:type="dxa"/>
          </w:tcPr>
          <w:p w14:paraId="35093174"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35 554</w:t>
            </w:r>
          </w:p>
        </w:tc>
      </w:tr>
      <w:tr w:rsidR="00C424E5" w14:paraId="7FA3CE10" w14:textId="77777777">
        <w:tc>
          <w:tcPr>
            <w:cnfStyle w:val="001000000000" w:firstRow="0" w:lastRow="0" w:firstColumn="1" w:lastColumn="0" w:oddVBand="0" w:evenVBand="0" w:oddHBand="0" w:evenHBand="0" w:firstRowFirstColumn="0" w:firstRowLastColumn="0" w:lastRowFirstColumn="0" w:lastRowLastColumn="0"/>
            <w:tcW w:w="3173" w:type="dxa"/>
          </w:tcPr>
          <w:p w14:paraId="6D714112" w14:textId="77777777" w:rsidR="00C424E5" w:rsidRDefault="00C424E5" w:rsidP="000D54DB">
            <w:pPr>
              <w:spacing w:after="0"/>
            </w:pPr>
            <w:r>
              <w:t>Interest income</w:t>
            </w:r>
          </w:p>
        </w:tc>
        <w:tc>
          <w:tcPr>
            <w:tcW w:w="567" w:type="dxa"/>
            <w:gridSpan w:val="2"/>
          </w:tcPr>
          <w:p w14:paraId="2CDA3B96" w14:textId="77777777" w:rsidR="00C424E5" w:rsidRDefault="00C424E5" w:rsidP="000D54DB">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4B2CC0A2"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715</w:t>
            </w:r>
          </w:p>
        </w:tc>
        <w:tc>
          <w:tcPr>
            <w:tcW w:w="794" w:type="dxa"/>
          </w:tcPr>
          <w:p w14:paraId="0EE6EA36"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831</w:t>
            </w:r>
          </w:p>
        </w:tc>
        <w:tc>
          <w:tcPr>
            <w:tcW w:w="794" w:type="dxa"/>
          </w:tcPr>
          <w:p w14:paraId="4BB3C78C"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884</w:t>
            </w:r>
          </w:p>
        </w:tc>
        <w:tc>
          <w:tcPr>
            <w:tcW w:w="794" w:type="dxa"/>
          </w:tcPr>
          <w:p w14:paraId="4AFB2CF6"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942</w:t>
            </w:r>
          </w:p>
        </w:tc>
        <w:tc>
          <w:tcPr>
            <w:tcW w:w="794" w:type="dxa"/>
          </w:tcPr>
          <w:p w14:paraId="20F8B0D0"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979</w:t>
            </w:r>
          </w:p>
        </w:tc>
      </w:tr>
      <w:tr w:rsidR="00C424E5" w14:paraId="599A5E5E" w14:textId="77777777">
        <w:tc>
          <w:tcPr>
            <w:cnfStyle w:val="001000000000" w:firstRow="0" w:lastRow="0" w:firstColumn="1" w:lastColumn="0" w:oddVBand="0" w:evenVBand="0" w:oddHBand="0" w:evenHBand="0" w:firstRowFirstColumn="0" w:firstRowLastColumn="0" w:lastRowFirstColumn="0" w:lastRowLastColumn="0"/>
            <w:tcW w:w="3173" w:type="dxa"/>
          </w:tcPr>
          <w:p w14:paraId="4A2525FC" w14:textId="77777777" w:rsidR="00C424E5" w:rsidRDefault="00C424E5" w:rsidP="000D54DB">
            <w:pPr>
              <w:spacing w:after="0"/>
            </w:pPr>
            <w:r>
              <w:t>Dividends, income tax equivalent and rate equivalent income</w:t>
            </w:r>
          </w:p>
        </w:tc>
        <w:tc>
          <w:tcPr>
            <w:tcW w:w="567" w:type="dxa"/>
            <w:gridSpan w:val="2"/>
          </w:tcPr>
          <w:p w14:paraId="0E2F1D3A" w14:textId="77777777" w:rsidR="00C424E5" w:rsidRDefault="00C424E5" w:rsidP="000D54DB">
            <w:pPr>
              <w:spacing w:after="0"/>
              <w:jc w:val="center"/>
              <w:cnfStyle w:val="000000000000" w:firstRow="0" w:lastRow="0" w:firstColumn="0" w:lastColumn="0" w:oddVBand="0" w:evenVBand="0" w:oddHBand="0" w:evenHBand="0" w:firstRowFirstColumn="0" w:firstRowLastColumn="0" w:lastRowFirstColumn="0" w:lastRowLastColumn="0"/>
            </w:pPr>
            <w:r>
              <w:t>3.2.2</w:t>
            </w:r>
          </w:p>
        </w:tc>
        <w:tc>
          <w:tcPr>
            <w:tcW w:w="794" w:type="dxa"/>
          </w:tcPr>
          <w:p w14:paraId="4080E408"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602</w:t>
            </w:r>
          </w:p>
        </w:tc>
        <w:tc>
          <w:tcPr>
            <w:tcW w:w="794" w:type="dxa"/>
          </w:tcPr>
          <w:p w14:paraId="2BB8D5F5"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559</w:t>
            </w:r>
          </w:p>
        </w:tc>
        <w:tc>
          <w:tcPr>
            <w:tcW w:w="794" w:type="dxa"/>
          </w:tcPr>
          <w:p w14:paraId="6CF4E3AE"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831</w:t>
            </w:r>
          </w:p>
        </w:tc>
        <w:tc>
          <w:tcPr>
            <w:tcW w:w="794" w:type="dxa"/>
          </w:tcPr>
          <w:p w14:paraId="09CF7596"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877</w:t>
            </w:r>
          </w:p>
        </w:tc>
        <w:tc>
          <w:tcPr>
            <w:tcW w:w="794" w:type="dxa"/>
          </w:tcPr>
          <w:p w14:paraId="76DEBA34"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1 056</w:t>
            </w:r>
          </w:p>
        </w:tc>
      </w:tr>
      <w:tr w:rsidR="00C424E5" w14:paraId="6A2ED314" w14:textId="77777777">
        <w:tc>
          <w:tcPr>
            <w:cnfStyle w:val="001000000000" w:firstRow="0" w:lastRow="0" w:firstColumn="1" w:lastColumn="0" w:oddVBand="0" w:evenVBand="0" w:oddHBand="0" w:evenHBand="0" w:firstRowFirstColumn="0" w:firstRowLastColumn="0" w:lastRowFirstColumn="0" w:lastRowLastColumn="0"/>
            <w:tcW w:w="3173" w:type="dxa"/>
          </w:tcPr>
          <w:p w14:paraId="12231132" w14:textId="77777777" w:rsidR="00C424E5" w:rsidRDefault="00C424E5" w:rsidP="000D54DB">
            <w:pPr>
              <w:spacing w:after="0"/>
            </w:pPr>
            <w:r>
              <w:t>Sales of goods and services</w:t>
            </w:r>
          </w:p>
        </w:tc>
        <w:tc>
          <w:tcPr>
            <w:tcW w:w="567" w:type="dxa"/>
            <w:gridSpan w:val="2"/>
          </w:tcPr>
          <w:p w14:paraId="665764DB" w14:textId="77777777" w:rsidR="00C424E5" w:rsidRDefault="00C424E5" w:rsidP="000D54DB">
            <w:pPr>
              <w:spacing w:after="0"/>
              <w:jc w:val="center"/>
              <w:cnfStyle w:val="000000000000" w:firstRow="0" w:lastRow="0" w:firstColumn="0" w:lastColumn="0" w:oddVBand="0" w:evenVBand="0" w:oddHBand="0" w:evenHBand="0" w:firstRowFirstColumn="0" w:firstRowLastColumn="0" w:lastRowFirstColumn="0" w:lastRowLastColumn="0"/>
            </w:pPr>
            <w:r>
              <w:t>3.2.3</w:t>
            </w:r>
          </w:p>
        </w:tc>
        <w:tc>
          <w:tcPr>
            <w:tcW w:w="794" w:type="dxa"/>
          </w:tcPr>
          <w:p w14:paraId="41C52084"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6 366</w:t>
            </w:r>
          </w:p>
        </w:tc>
        <w:tc>
          <w:tcPr>
            <w:tcW w:w="794" w:type="dxa"/>
          </w:tcPr>
          <w:p w14:paraId="427D4491"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6 067</w:t>
            </w:r>
          </w:p>
        </w:tc>
        <w:tc>
          <w:tcPr>
            <w:tcW w:w="794" w:type="dxa"/>
          </w:tcPr>
          <w:p w14:paraId="5ABC35A2"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6 238</w:t>
            </w:r>
          </w:p>
        </w:tc>
        <w:tc>
          <w:tcPr>
            <w:tcW w:w="794" w:type="dxa"/>
          </w:tcPr>
          <w:p w14:paraId="01626238"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6 535</w:t>
            </w:r>
          </w:p>
        </w:tc>
        <w:tc>
          <w:tcPr>
            <w:tcW w:w="794" w:type="dxa"/>
          </w:tcPr>
          <w:p w14:paraId="365EB411"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6 500</w:t>
            </w:r>
          </w:p>
        </w:tc>
      </w:tr>
      <w:tr w:rsidR="00C424E5" w14:paraId="479627B6" w14:textId="77777777">
        <w:tc>
          <w:tcPr>
            <w:cnfStyle w:val="001000000000" w:firstRow="0" w:lastRow="0" w:firstColumn="1" w:lastColumn="0" w:oddVBand="0" w:evenVBand="0" w:oddHBand="0" w:evenHBand="0" w:firstRowFirstColumn="0" w:firstRowLastColumn="0" w:lastRowFirstColumn="0" w:lastRowLastColumn="0"/>
            <w:tcW w:w="3173" w:type="dxa"/>
          </w:tcPr>
          <w:p w14:paraId="2164A8F1" w14:textId="77777777" w:rsidR="00C424E5" w:rsidRDefault="00C424E5" w:rsidP="000D54DB">
            <w:pPr>
              <w:spacing w:after="0"/>
            </w:pPr>
            <w:r>
              <w:t>Grants</w:t>
            </w:r>
          </w:p>
        </w:tc>
        <w:tc>
          <w:tcPr>
            <w:tcW w:w="567" w:type="dxa"/>
            <w:gridSpan w:val="2"/>
          </w:tcPr>
          <w:p w14:paraId="2DB1F700" w14:textId="77777777" w:rsidR="00C424E5" w:rsidRDefault="00C424E5" w:rsidP="000D54DB">
            <w:pPr>
              <w:spacing w:after="0"/>
              <w:jc w:val="center"/>
              <w:cnfStyle w:val="000000000000" w:firstRow="0" w:lastRow="0" w:firstColumn="0" w:lastColumn="0" w:oddVBand="0" w:evenVBand="0" w:oddHBand="0" w:evenHBand="0" w:firstRowFirstColumn="0" w:firstRowLastColumn="0" w:lastRowFirstColumn="0" w:lastRowLastColumn="0"/>
            </w:pPr>
            <w:r>
              <w:t>3.2.4</w:t>
            </w:r>
          </w:p>
        </w:tc>
        <w:tc>
          <w:tcPr>
            <w:tcW w:w="794" w:type="dxa"/>
          </w:tcPr>
          <w:p w14:paraId="1F5D7F7D"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40 351</w:t>
            </w:r>
          </w:p>
        </w:tc>
        <w:tc>
          <w:tcPr>
            <w:tcW w:w="794" w:type="dxa"/>
          </w:tcPr>
          <w:p w14:paraId="60F092A2"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39 204</w:t>
            </w:r>
          </w:p>
        </w:tc>
        <w:tc>
          <w:tcPr>
            <w:tcW w:w="794" w:type="dxa"/>
          </w:tcPr>
          <w:p w14:paraId="083641D9"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40 335</w:t>
            </w:r>
          </w:p>
        </w:tc>
        <w:tc>
          <w:tcPr>
            <w:tcW w:w="794" w:type="dxa"/>
          </w:tcPr>
          <w:p w14:paraId="2488D203"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43 024</w:t>
            </w:r>
          </w:p>
        </w:tc>
        <w:tc>
          <w:tcPr>
            <w:tcW w:w="794" w:type="dxa"/>
          </w:tcPr>
          <w:p w14:paraId="2FED8F10"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45 893</w:t>
            </w:r>
          </w:p>
        </w:tc>
      </w:tr>
      <w:tr w:rsidR="00C424E5" w14:paraId="1E5458D7" w14:textId="77777777" w:rsidTr="00EE0584">
        <w:tc>
          <w:tcPr>
            <w:cnfStyle w:val="001000000000" w:firstRow="0" w:lastRow="0" w:firstColumn="1" w:lastColumn="0" w:oddVBand="0" w:evenVBand="0" w:oddHBand="0" w:evenHBand="0" w:firstRowFirstColumn="0" w:firstRowLastColumn="0" w:lastRowFirstColumn="0" w:lastRowLastColumn="0"/>
            <w:tcW w:w="3173" w:type="dxa"/>
            <w:tcBorders>
              <w:bottom w:val="single" w:sz="6" w:space="0" w:color="auto"/>
            </w:tcBorders>
          </w:tcPr>
          <w:p w14:paraId="667E5538" w14:textId="77777777" w:rsidR="00C424E5" w:rsidRDefault="00C424E5" w:rsidP="000D54DB">
            <w:pPr>
              <w:spacing w:after="0"/>
            </w:pPr>
            <w:r>
              <w:t>Other revenue and income</w:t>
            </w:r>
          </w:p>
        </w:tc>
        <w:tc>
          <w:tcPr>
            <w:tcW w:w="567" w:type="dxa"/>
            <w:gridSpan w:val="2"/>
            <w:tcBorders>
              <w:bottom w:val="single" w:sz="6" w:space="0" w:color="auto"/>
            </w:tcBorders>
          </w:tcPr>
          <w:p w14:paraId="179838F6" w14:textId="77777777" w:rsidR="00C424E5" w:rsidRDefault="00C424E5" w:rsidP="000D54DB">
            <w:pPr>
              <w:spacing w:after="0"/>
              <w:jc w:val="center"/>
              <w:cnfStyle w:val="000000000000" w:firstRow="0" w:lastRow="0" w:firstColumn="0" w:lastColumn="0" w:oddVBand="0" w:evenVBand="0" w:oddHBand="0" w:evenHBand="0" w:firstRowFirstColumn="0" w:firstRowLastColumn="0" w:lastRowFirstColumn="0" w:lastRowLastColumn="0"/>
            </w:pPr>
            <w:r>
              <w:t>3.2.5</w:t>
            </w:r>
          </w:p>
        </w:tc>
        <w:tc>
          <w:tcPr>
            <w:tcW w:w="794" w:type="dxa"/>
            <w:tcBorders>
              <w:bottom w:val="single" w:sz="6" w:space="0" w:color="auto"/>
            </w:tcBorders>
          </w:tcPr>
          <w:p w14:paraId="45CDF342"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3 459</w:t>
            </w:r>
          </w:p>
        </w:tc>
        <w:tc>
          <w:tcPr>
            <w:tcW w:w="794" w:type="dxa"/>
            <w:tcBorders>
              <w:bottom w:val="single" w:sz="6" w:space="0" w:color="auto"/>
            </w:tcBorders>
          </w:tcPr>
          <w:p w14:paraId="08FA062B"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3 547</w:t>
            </w:r>
          </w:p>
        </w:tc>
        <w:tc>
          <w:tcPr>
            <w:tcW w:w="794" w:type="dxa"/>
            <w:tcBorders>
              <w:bottom w:val="single" w:sz="6" w:space="0" w:color="auto"/>
            </w:tcBorders>
          </w:tcPr>
          <w:p w14:paraId="7ACB5544"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3 639</w:t>
            </w:r>
          </w:p>
        </w:tc>
        <w:tc>
          <w:tcPr>
            <w:tcW w:w="794" w:type="dxa"/>
            <w:tcBorders>
              <w:bottom w:val="single" w:sz="6" w:space="0" w:color="auto"/>
            </w:tcBorders>
          </w:tcPr>
          <w:p w14:paraId="65931400"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3 210</w:t>
            </w:r>
          </w:p>
        </w:tc>
        <w:tc>
          <w:tcPr>
            <w:tcW w:w="794" w:type="dxa"/>
            <w:tcBorders>
              <w:bottom w:val="single" w:sz="6" w:space="0" w:color="auto"/>
            </w:tcBorders>
          </w:tcPr>
          <w:p w14:paraId="56733F68"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3 432</w:t>
            </w:r>
          </w:p>
        </w:tc>
      </w:tr>
      <w:tr w:rsidR="00C424E5" w14:paraId="11397C59" w14:textId="77777777" w:rsidTr="00EE058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tcBorders>
          </w:tcPr>
          <w:p w14:paraId="24E104B4" w14:textId="77777777" w:rsidR="00C424E5" w:rsidRDefault="00C424E5" w:rsidP="000D54DB">
            <w:pPr>
              <w:spacing w:after="0"/>
            </w:pPr>
            <w:r>
              <w:rPr>
                <w:b/>
              </w:rPr>
              <w:t>Total revenue and income from transactions</w:t>
            </w:r>
          </w:p>
        </w:tc>
        <w:tc>
          <w:tcPr>
            <w:tcW w:w="567" w:type="dxa"/>
            <w:gridSpan w:val="2"/>
            <w:tcBorders>
              <w:top w:val="single" w:sz="6" w:space="0" w:color="auto"/>
            </w:tcBorders>
          </w:tcPr>
          <w:p w14:paraId="677E23A3" w14:textId="77777777" w:rsidR="00C424E5" w:rsidRDefault="00C424E5" w:rsidP="000D54DB">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6D2A1188"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rPr>
                <w:b/>
              </w:rPr>
              <w:t>81 980</w:t>
            </w:r>
          </w:p>
        </w:tc>
        <w:tc>
          <w:tcPr>
            <w:tcW w:w="794" w:type="dxa"/>
            <w:tcBorders>
              <w:top w:val="single" w:sz="6" w:space="0" w:color="auto"/>
            </w:tcBorders>
          </w:tcPr>
          <w:p w14:paraId="01EF8F23"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rPr>
                <w:b/>
              </w:rPr>
              <w:t>81 373</w:t>
            </w:r>
          </w:p>
        </w:tc>
        <w:tc>
          <w:tcPr>
            <w:tcW w:w="794" w:type="dxa"/>
            <w:tcBorders>
              <w:top w:val="single" w:sz="6" w:space="0" w:color="auto"/>
            </w:tcBorders>
          </w:tcPr>
          <w:p w14:paraId="5E52E796"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rPr>
                <w:b/>
              </w:rPr>
              <w:t>84 615</w:t>
            </w:r>
          </w:p>
        </w:tc>
        <w:tc>
          <w:tcPr>
            <w:tcW w:w="794" w:type="dxa"/>
            <w:tcBorders>
              <w:top w:val="single" w:sz="6" w:space="0" w:color="auto"/>
            </w:tcBorders>
          </w:tcPr>
          <w:p w14:paraId="2D8B5657"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rPr>
                <w:b/>
              </w:rPr>
              <w:t>88 390</w:t>
            </w:r>
          </w:p>
        </w:tc>
        <w:tc>
          <w:tcPr>
            <w:tcW w:w="794" w:type="dxa"/>
            <w:tcBorders>
              <w:top w:val="single" w:sz="6" w:space="0" w:color="auto"/>
            </w:tcBorders>
          </w:tcPr>
          <w:p w14:paraId="557C00DA"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rPr>
                <w:b/>
              </w:rPr>
              <w:t>93 415</w:t>
            </w:r>
          </w:p>
        </w:tc>
      </w:tr>
      <w:tr w:rsidR="00C424E5" w14:paraId="1882C669" w14:textId="77777777">
        <w:tc>
          <w:tcPr>
            <w:cnfStyle w:val="001000000000" w:firstRow="0" w:lastRow="0" w:firstColumn="1" w:lastColumn="0" w:oddVBand="0" w:evenVBand="0" w:oddHBand="0" w:evenHBand="0" w:firstRowFirstColumn="0" w:firstRowLastColumn="0" w:lastRowFirstColumn="0" w:lastRowLastColumn="0"/>
            <w:tcW w:w="3173" w:type="dxa"/>
          </w:tcPr>
          <w:p w14:paraId="65640AF1" w14:textId="77777777" w:rsidR="00C424E5" w:rsidRDefault="00C424E5" w:rsidP="000D54DB">
            <w:pPr>
              <w:spacing w:after="0"/>
            </w:pPr>
            <w:r>
              <w:rPr>
                <w:b/>
              </w:rPr>
              <w:t>Expenses from transactions</w:t>
            </w:r>
          </w:p>
        </w:tc>
        <w:tc>
          <w:tcPr>
            <w:tcW w:w="567" w:type="dxa"/>
            <w:gridSpan w:val="2"/>
          </w:tcPr>
          <w:p w14:paraId="4A04AA9F" w14:textId="77777777" w:rsidR="00C424E5" w:rsidRDefault="00C424E5" w:rsidP="000D54DB">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30128542"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518EF33E"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74166930"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1ACE4436"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761B8323"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p>
        </w:tc>
      </w:tr>
      <w:tr w:rsidR="00C424E5" w14:paraId="6E334AE1" w14:textId="77777777">
        <w:tc>
          <w:tcPr>
            <w:cnfStyle w:val="001000000000" w:firstRow="0" w:lastRow="0" w:firstColumn="1" w:lastColumn="0" w:oddVBand="0" w:evenVBand="0" w:oddHBand="0" w:evenHBand="0" w:firstRowFirstColumn="0" w:firstRowLastColumn="0" w:lastRowFirstColumn="0" w:lastRowLastColumn="0"/>
            <w:tcW w:w="3173" w:type="dxa"/>
          </w:tcPr>
          <w:p w14:paraId="6C0264D0" w14:textId="77777777" w:rsidR="00C424E5" w:rsidRDefault="00C424E5" w:rsidP="000D54DB">
            <w:pPr>
              <w:spacing w:after="0"/>
            </w:pPr>
            <w:r>
              <w:t>Employee expenses</w:t>
            </w:r>
          </w:p>
        </w:tc>
        <w:tc>
          <w:tcPr>
            <w:tcW w:w="567" w:type="dxa"/>
            <w:gridSpan w:val="2"/>
          </w:tcPr>
          <w:p w14:paraId="32E26205" w14:textId="77777777" w:rsidR="00C424E5" w:rsidRDefault="00C424E5" w:rsidP="000D54DB">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31D7275E"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33 087</w:t>
            </w:r>
          </w:p>
        </w:tc>
        <w:tc>
          <w:tcPr>
            <w:tcW w:w="794" w:type="dxa"/>
          </w:tcPr>
          <w:p w14:paraId="260E1AEA"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33 485</w:t>
            </w:r>
          </w:p>
        </w:tc>
        <w:tc>
          <w:tcPr>
            <w:tcW w:w="794" w:type="dxa"/>
          </w:tcPr>
          <w:p w14:paraId="062B4DB7"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34 170</w:t>
            </w:r>
          </w:p>
        </w:tc>
        <w:tc>
          <w:tcPr>
            <w:tcW w:w="794" w:type="dxa"/>
          </w:tcPr>
          <w:p w14:paraId="46511CA1"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34 727</w:t>
            </w:r>
          </w:p>
        </w:tc>
        <w:tc>
          <w:tcPr>
            <w:tcW w:w="794" w:type="dxa"/>
          </w:tcPr>
          <w:p w14:paraId="30C41A57"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35 762</w:t>
            </w:r>
          </w:p>
        </w:tc>
      </w:tr>
      <w:tr w:rsidR="00C424E5" w14:paraId="1EF7DFC8" w14:textId="77777777">
        <w:tc>
          <w:tcPr>
            <w:cnfStyle w:val="001000000000" w:firstRow="0" w:lastRow="0" w:firstColumn="1" w:lastColumn="0" w:oddVBand="0" w:evenVBand="0" w:oddHBand="0" w:evenHBand="0" w:firstRowFirstColumn="0" w:firstRowLastColumn="0" w:lastRowFirstColumn="0" w:lastRowLastColumn="0"/>
            <w:tcW w:w="3173" w:type="dxa"/>
          </w:tcPr>
          <w:p w14:paraId="40CC7A52" w14:textId="77777777" w:rsidR="00C424E5" w:rsidRDefault="00C424E5" w:rsidP="000D54DB">
            <w:pPr>
              <w:spacing w:after="0"/>
            </w:pPr>
            <w:r>
              <w:t>Net superannuation interest expense</w:t>
            </w:r>
          </w:p>
        </w:tc>
        <w:tc>
          <w:tcPr>
            <w:tcW w:w="567" w:type="dxa"/>
            <w:gridSpan w:val="2"/>
          </w:tcPr>
          <w:p w14:paraId="7F7D7ADF" w14:textId="77777777" w:rsidR="00C424E5" w:rsidRDefault="00C424E5" w:rsidP="000D54DB">
            <w:pPr>
              <w:spacing w:after="0"/>
              <w:jc w:val="center"/>
              <w:cnfStyle w:val="000000000000" w:firstRow="0" w:lastRow="0" w:firstColumn="0" w:lastColumn="0" w:oddVBand="0" w:evenVBand="0" w:oddHBand="0" w:evenHBand="0" w:firstRowFirstColumn="0" w:firstRowLastColumn="0" w:lastRowFirstColumn="0" w:lastRowLastColumn="0"/>
            </w:pPr>
            <w:r>
              <w:t>3.3.2</w:t>
            </w:r>
          </w:p>
        </w:tc>
        <w:tc>
          <w:tcPr>
            <w:tcW w:w="794" w:type="dxa"/>
          </w:tcPr>
          <w:p w14:paraId="0BDFAA1C"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682</w:t>
            </w:r>
          </w:p>
        </w:tc>
        <w:tc>
          <w:tcPr>
            <w:tcW w:w="794" w:type="dxa"/>
          </w:tcPr>
          <w:p w14:paraId="1E8DB9A2"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719</w:t>
            </w:r>
          </w:p>
        </w:tc>
        <w:tc>
          <w:tcPr>
            <w:tcW w:w="794" w:type="dxa"/>
          </w:tcPr>
          <w:p w14:paraId="3E173DF0"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716</w:t>
            </w:r>
          </w:p>
        </w:tc>
        <w:tc>
          <w:tcPr>
            <w:tcW w:w="794" w:type="dxa"/>
          </w:tcPr>
          <w:p w14:paraId="1CB001F9"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690</w:t>
            </w:r>
          </w:p>
        </w:tc>
        <w:tc>
          <w:tcPr>
            <w:tcW w:w="794" w:type="dxa"/>
          </w:tcPr>
          <w:p w14:paraId="27486282"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668</w:t>
            </w:r>
          </w:p>
        </w:tc>
      </w:tr>
      <w:tr w:rsidR="00C424E5" w14:paraId="5B90575B" w14:textId="77777777">
        <w:tc>
          <w:tcPr>
            <w:cnfStyle w:val="001000000000" w:firstRow="0" w:lastRow="0" w:firstColumn="1" w:lastColumn="0" w:oddVBand="0" w:evenVBand="0" w:oddHBand="0" w:evenHBand="0" w:firstRowFirstColumn="0" w:firstRowLastColumn="0" w:lastRowFirstColumn="0" w:lastRowLastColumn="0"/>
            <w:tcW w:w="3173" w:type="dxa"/>
          </w:tcPr>
          <w:p w14:paraId="2650CB3B" w14:textId="77777777" w:rsidR="00C424E5" w:rsidRDefault="00C424E5" w:rsidP="000D54DB">
            <w:pPr>
              <w:spacing w:after="0"/>
            </w:pPr>
            <w:r>
              <w:t>Other superannuation</w:t>
            </w:r>
          </w:p>
        </w:tc>
        <w:tc>
          <w:tcPr>
            <w:tcW w:w="567" w:type="dxa"/>
            <w:gridSpan w:val="2"/>
          </w:tcPr>
          <w:p w14:paraId="04916C88" w14:textId="77777777" w:rsidR="00C424E5" w:rsidRDefault="00C424E5" w:rsidP="000D54DB">
            <w:pPr>
              <w:spacing w:after="0"/>
              <w:jc w:val="center"/>
              <w:cnfStyle w:val="000000000000" w:firstRow="0" w:lastRow="0" w:firstColumn="0" w:lastColumn="0" w:oddVBand="0" w:evenVBand="0" w:oddHBand="0" w:evenHBand="0" w:firstRowFirstColumn="0" w:firstRowLastColumn="0" w:lastRowFirstColumn="0" w:lastRowLastColumn="0"/>
            </w:pPr>
            <w:r>
              <w:t>3.3.2</w:t>
            </w:r>
          </w:p>
        </w:tc>
        <w:tc>
          <w:tcPr>
            <w:tcW w:w="794" w:type="dxa"/>
          </w:tcPr>
          <w:p w14:paraId="59FD4591"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3 768</w:t>
            </w:r>
          </w:p>
        </w:tc>
        <w:tc>
          <w:tcPr>
            <w:tcW w:w="794" w:type="dxa"/>
          </w:tcPr>
          <w:p w14:paraId="6462B34D"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3 413</w:t>
            </w:r>
          </w:p>
        </w:tc>
        <w:tc>
          <w:tcPr>
            <w:tcW w:w="794" w:type="dxa"/>
          </w:tcPr>
          <w:p w14:paraId="398572D4"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3 527</w:t>
            </w:r>
          </w:p>
        </w:tc>
        <w:tc>
          <w:tcPr>
            <w:tcW w:w="794" w:type="dxa"/>
          </w:tcPr>
          <w:p w14:paraId="4F931165"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3 618</w:t>
            </w:r>
          </w:p>
        </w:tc>
        <w:tc>
          <w:tcPr>
            <w:tcW w:w="794" w:type="dxa"/>
          </w:tcPr>
          <w:p w14:paraId="580F3C7C"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3 652</w:t>
            </w:r>
          </w:p>
        </w:tc>
      </w:tr>
      <w:tr w:rsidR="00C424E5" w14:paraId="553F705C" w14:textId="77777777">
        <w:tc>
          <w:tcPr>
            <w:cnfStyle w:val="001000000000" w:firstRow="0" w:lastRow="0" w:firstColumn="1" w:lastColumn="0" w:oddVBand="0" w:evenVBand="0" w:oddHBand="0" w:evenHBand="0" w:firstRowFirstColumn="0" w:firstRowLastColumn="0" w:lastRowFirstColumn="0" w:lastRowLastColumn="0"/>
            <w:tcW w:w="3173" w:type="dxa"/>
          </w:tcPr>
          <w:p w14:paraId="4B7436FE" w14:textId="77777777" w:rsidR="00C424E5" w:rsidRDefault="00C424E5" w:rsidP="000D54DB">
            <w:pPr>
              <w:spacing w:after="0"/>
            </w:pPr>
            <w:r>
              <w:t>Depreciation</w:t>
            </w:r>
          </w:p>
        </w:tc>
        <w:tc>
          <w:tcPr>
            <w:tcW w:w="567" w:type="dxa"/>
            <w:gridSpan w:val="2"/>
          </w:tcPr>
          <w:p w14:paraId="446E8E8E" w14:textId="77777777" w:rsidR="00C424E5" w:rsidRDefault="00C424E5" w:rsidP="000D54DB">
            <w:pPr>
              <w:spacing w:after="0"/>
              <w:jc w:val="center"/>
              <w:cnfStyle w:val="000000000000" w:firstRow="0" w:lastRow="0" w:firstColumn="0" w:lastColumn="0" w:oddVBand="0" w:evenVBand="0" w:oddHBand="0" w:evenHBand="0" w:firstRowFirstColumn="0" w:firstRowLastColumn="0" w:lastRowFirstColumn="0" w:lastRowLastColumn="0"/>
            </w:pPr>
            <w:r>
              <w:t>3.4.2</w:t>
            </w:r>
          </w:p>
        </w:tc>
        <w:tc>
          <w:tcPr>
            <w:tcW w:w="794" w:type="dxa"/>
          </w:tcPr>
          <w:p w14:paraId="605FC715"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4 650</w:t>
            </w:r>
          </w:p>
        </w:tc>
        <w:tc>
          <w:tcPr>
            <w:tcW w:w="794" w:type="dxa"/>
          </w:tcPr>
          <w:p w14:paraId="5565673D"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4 712</w:t>
            </w:r>
          </w:p>
        </w:tc>
        <w:tc>
          <w:tcPr>
            <w:tcW w:w="794" w:type="dxa"/>
          </w:tcPr>
          <w:p w14:paraId="2E367D9B"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4 712</w:t>
            </w:r>
          </w:p>
        </w:tc>
        <w:tc>
          <w:tcPr>
            <w:tcW w:w="794" w:type="dxa"/>
          </w:tcPr>
          <w:p w14:paraId="7B7D731B"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4 826</w:t>
            </w:r>
          </w:p>
        </w:tc>
        <w:tc>
          <w:tcPr>
            <w:tcW w:w="794" w:type="dxa"/>
          </w:tcPr>
          <w:p w14:paraId="16B5BDCF"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5 090</w:t>
            </w:r>
          </w:p>
        </w:tc>
      </w:tr>
      <w:tr w:rsidR="00C424E5" w14:paraId="5CFC7482" w14:textId="77777777">
        <w:tc>
          <w:tcPr>
            <w:cnfStyle w:val="001000000000" w:firstRow="0" w:lastRow="0" w:firstColumn="1" w:lastColumn="0" w:oddVBand="0" w:evenVBand="0" w:oddHBand="0" w:evenHBand="0" w:firstRowFirstColumn="0" w:firstRowLastColumn="0" w:lastRowFirstColumn="0" w:lastRowLastColumn="0"/>
            <w:tcW w:w="3173" w:type="dxa"/>
          </w:tcPr>
          <w:p w14:paraId="7DC6622B" w14:textId="77777777" w:rsidR="00C424E5" w:rsidRDefault="00C424E5" w:rsidP="000D54DB">
            <w:pPr>
              <w:spacing w:after="0"/>
            </w:pPr>
            <w:r>
              <w:t>Interest expense</w:t>
            </w:r>
          </w:p>
        </w:tc>
        <w:tc>
          <w:tcPr>
            <w:tcW w:w="567" w:type="dxa"/>
            <w:gridSpan w:val="2"/>
          </w:tcPr>
          <w:p w14:paraId="3EB10947" w14:textId="77777777" w:rsidR="00C424E5" w:rsidRDefault="00C424E5" w:rsidP="000D54DB">
            <w:pPr>
              <w:spacing w:after="0"/>
              <w:jc w:val="center"/>
              <w:cnfStyle w:val="000000000000" w:firstRow="0" w:lastRow="0" w:firstColumn="0" w:lastColumn="0" w:oddVBand="0" w:evenVBand="0" w:oddHBand="0" w:evenHBand="0" w:firstRowFirstColumn="0" w:firstRowLastColumn="0" w:lastRowFirstColumn="0" w:lastRowLastColumn="0"/>
            </w:pPr>
            <w:r>
              <w:t>3.5.3</w:t>
            </w:r>
          </w:p>
        </w:tc>
        <w:tc>
          <w:tcPr>
            <w:tcW w:w="794" w:type="dxa"/>
          </w:tcPr>
          <w:p w14:paraId="28BDB3CC"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3 899</w:t>
            </w:r>
          </w:p>
        </w:tc>
        <w:tc>
          <w:tcPr>
            <w:tcW w:w="794" w:type="dxa"/>
          </w:tcPr>
          <w:p w14:paraId="10A76C22"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3 857</w:t>
            </w:r>
          </w:p>
        </w:tc>
        <w:tc>
          <w:tcPr>
            <w:tcW w:w="794" w:type="dxa"/>
          </w:tcPr>
          <w:p w14:paraId="01EC11B9"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5 120</w:t>
            </w:r>
          </w:p>
        </w:tc>
        <w:tc>
          <w:tcPr>
            <w:tcW w:w="794" w:type="dxa"/>
          </w:tcPr>
          <w:p w14:paraId="5870909E"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6 254</w:t>
            </w:r>
          </w:p>
        </w:tc>
        <w:tc>
          <w:tcPr>
            <w:tcW w:w="794" w:type="dxa"/>
          </w:tcPr>
          <w:p w14:paraId="7168CFE5"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7 318</w:t>
            </w:r>
          </w:p>
        </w:tc>
      </w:tr>
      <w:tr w:rsidR="00C424E5" w14:paraId="58CD9FBA" w14:textId="77777777">
        <w:tc>
          <w:tcPr>
            <w:cnfStyle w:val="001000000000" w:firstRow="0" w:lastRow="0" w:firstColumn="1" w:lastColumn="0" w:oddVBand="0" w:evenVBand="0" w:oddHBand="0" w:evenHBand="0" w:firstRowFirstColumn="0" w:firstRowLastColumn="0" w:lastRowFirstColumn="0" w:lastRowLastColumn="0"/>
            <w:tcW w:w="3173" w:type="dxa"/>
          </w:tcPr>
          <w:p w14:paraId="5C0E83DB" w14:textId="77777777" w:rsidR="00C424E5" w:rsidRDefault="00C424E5" w:rsidP="000D54DB">
            <w:pPr>
              <w:spacing w:after="0"/>
            </w:pPr>
            <w:r>
              <w:t>Grant expense</w:t>
            </w:r>
          </w:p>
        </w:tc>
        <w:tc>
          <w:tcPr>
            <w:tcW w:w="567" w:type="dxa"/>
            <w:gridSpan w:val="2"/>
          </w:tcPr>
          <w:p w14:paraId="33E5403A" w14:textId="77777777" w:rsidR="00C424E5" w:rsidRDefault="00C424E5" w:rsidP="000D54DB">
            <w:pPr>
              <w:spacing w:after="0"/>
              <w:jc w:val="center"/>
              <w:cnfStyle w:val="000000000000" w:firstRow="0" w:lastRow="0" w:firstColumn="0" w:lastColumn="0" w:oddVBand="0" w:evenVBand="0" w:oddHBand="0" w:evenHBand="0" w:firstRowFirstColumn="0" w:firstRowLastColumn="0" w:lastRowFirstColumn="0" w:lastRowLastColumn="0"/>
            </w:pPr>
            <w:r>
              <w:t>3.3.3</w:t>
            </w:r>
          </w:p>
        </w:tc>
        <w:tc>
          <w:tcPr>
            <w:tcW w:w="794" w:type="dxa"/>
          </w:tcPr>
          <w:p w14:paraId="7CDDB879"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17 391</w:t>
            </w:r>
          </w:p>
        </w:tc>
        <w:tc>
          <w:tcPr>
            <w:tcW w:w="794" w:type="dxa"/>
          </w:tcPr>
          <w:p w14:paraId="60FAFE21"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18 185</w:t>
            </w:r>
          </w:p>
        </w:tc>
        <w:tc>
          <w:tcPr>
            <w:tcW w:w="794" w:type="dxa"/>
          </w:tcPr>
          <w:p w14:paraId="17F421B7"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15 744</w:t>
            </w:r>
          </w:p>
        </w:tc>
        <w:tc>
          <w:tcPr>
            <w:tcW w:w="794" w:type="dxa"/>
          </w:tcPr>
          <w:p w14:paraId="0BBE2846"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15 219</w:t>
            </w:r>
          </w:p>
        </w:tc>
        <w:tc>
          <w:tcPr>
            <w:tcW w:w="794" w:type="dxa"/>
          </w:tcPr>
          <w:p w14:paraId="191BC126"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15 678</w:t>
            </w:r>
          </w:p>
        </w:tc>
      </w:tr>
      <w:tr w:rsidR="00C424E5" w14:paraId="16E0F9FF" w14:textId="77777777" w:rsidTr="00EE0584">
        <w:tc>
          <w:tcPr>
            <w:cnfStyle w:val="001000000000" w:firstRow="0" w:lastRow="0" w:firstColumn="1" w:lastColumn="0" w:oddVBand="0" w:evenVBand="0" w:oddHBand="0" w:evenHBand="0" w:firstRowFirstColumn="0" w:firstRowLastColumn="0" w:lastRowFirstColumn="0" w:lastRowLastColumn="0"/>
            <w:tcW w:w="3173" w:type="dxa"/>
            <w:tcBorders>
              <w:bottom w:val="single" w:sz="6" w:space="0" w:color="auto"/>
            </w:tcBorders>
          </w:tcPr>
          <w:p w14:paraId="63758300" w14:textId="77777777" w:rsidR="00C424E5" w:rsidRDefault="00C424E5" w:rsidP="000D54DB">
            <w:pPr>
              <w:spacing w:after="0"/>
            </w:pPr>
            <w:r>
              <w:t>Other operating expenses</w:t>
            </w:r>
          </w:p>
        </w:tc>
        <w:tc>
          <w:tcPr>
            <w:tcW w:w="567" w:type="dxa"/>
            <w:gridSpan w:val="2"/>
            <w:tcBorders>
              <w:bottom w:val="single" w:sz="6" w:space="0" w:color="auto"/>
            </w:tcBorders>
          </w:tcPr>
          <w:p w14:paraId="2E2F8E70" w14:textId="77777777" w:rsidR="00C424E5" w:rsidRDefault="00C424E5" w:rsidP="000D54DB">
            <w:pPr>
              <w:spacing w:after="0"/>
              <w:jc w:val="center"/>
              <w:cnfStyle w:val="000000000000" w:firstRow="0" w:lastRow="0" w:firstColumn="0" w:lastColumn="0" w:oddVBand="0" w:evenVBand="0" w:oddHBand="0" w:evenHBand="0" w:firstRowFirstColumn="0" w:firstRowLastColumn="0" w:lastRowFirstColumn="0" w:lastRowLastColumn="0"/>
            </w:pPr>
            <w:r>
              <w:t>3.3.4</w:t>
            </w:r>
          </w:p>
        </w:tc>
        <w:tc>
          <w:tcPr>
            <w:tcW w:w="794" w:type="dxa"/>
            <w:tcBorders>
              <w:bottom w:val="single" w:sz="6" w:space="0" w:color="auto"/>
            </w:tcBorders>
          </w:tcPr>
          <w:p w14:paraId="717826B1"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26 367</w:t>
            </w:r>
          </w:p>
        </w:tc>
        <w:tc>
          <w:tcPr>
            <w:tcW w:w="794" w:type="dxa"/>
            <w:tcBorders>
              <w:bottom w:val="single" w:sz="6" w:space="0" w:color="auto"/>
            </w:tcBorders>
          </w:tcPr>
          <w:p w14:paraId="2971437F"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26 690</w:t>
            </w:r>
          </w:p>
        </w:tc>
        <w:tc>
          <w:tcPr>
            <w:tcW w:w="794" w:type="dxa"/>
            <w:tcBorders>
              <w:bottom w:val="single" w:sz="6" w:space="0" w:color="auto"/>
            </w:tcBorders>
          </w:tcPr>
          <w:p w14:paraId="793727E4"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24 237</w:t>
            </w:r>
          </w:p>
        </w:tc>
        <w:tc>
          <w:tcPr>
            <w:tcW w:w="794" w:type="dxa"/>
            <w:tcBorders>
              <w:bottom w:val="single" w:sz="6" w:space="0" w:color="auto"/>
            </w:tcBorders>
          </w:tcPr>
          <w:p w14:paraId="54023DFA"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23 758</w:t>
            </w:r>
          </w:p>
        </w:tc>
        <w:tc>
          <w:tcPr>
            <w:tcW w:w="794" w:type="dxa"/>
            <w:tcBorders>
              <w:bottom w:val="single" w:sz="6" w:space="0" w:color="auto"/>
            </w:tcBorders>
          </w:tcPr>
          <w:p w14:paraId="75108C3D"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24 353</w:t>
            </w:r>
          </w:p>
        </w:tc>
      </w:tr>
      <w:tr w:rsidR="00C424E5" w14:paraId="0C7683F2" w14:textId="77777777" w:rsidTr="00EE058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bottom w:val="single" w:sz="6" w:space="0" w:color="auto"/>
            </w:tcBorders>
          </w:tcPr>
          <w:p w14:paraId="4FE36C99" w14:textId="77777777" w:rsidR="00C424E5" w:rsidRDefault="00C424E5" w:rsidP="000D54DB">
            <w:pPr>
              <w:spacing w:after="0"/>
            </w:pPr>
            <w:r>
              <w:rPr>
                <w:b/>
              </w:rPr>
              <w:t>Total expenses from transactions</w:t>
            </w:r>
          </w:p>
        </w:tc>
        <w:tc>
          <w:tcPr>
            <w:tcW w:w="567" w:type="dxa"/>
            <w:gridSpan w:val="2"/>
            <w:tcBorders>
              <w:top w:val="single" w:sz="6" w:space="0" w:color="auto"/>
              <w:bottom w:val="single" w:sz="6" w:space="0" w:color="auto"/>
            </w:tcBorders>
          </w:tcPr>
          <w:p w14:paraId="62CA15ED" w14:textId="77777777" w:rsidR="00C424E5" w:rsidRDefault="00C424E5" w:rsidP="000D54DB">
            <w:pPr>
              <w:spacing w:after="0"/>
              <w:jc w:val="center"/>
              <w:cnfStyle w:val="000000000000" w:firstRow="0" w:lastRow="0" w:firstColumn="0" w:lastColumn="0" w:oddVBand="0" w:evenVBand="0" w:oddHBand="0" w:evenHBand="0" w:firstRowFirstColumn="0" w:firstRowLastColumn="0" w:lastRowFirstColumn="0" w:lastRowLastColumn="0"/>
            </w:pPr>
            <w:r>
              <w:t>3.3.5</w:t>
            </w:r>
          </w:p>
        </w:tc>
        <w:tc>
          <w:tcPr>
            <w:tcW w:w="794" w:type="dxa"/>
            <w:tcBorders>
              <w:top w:val="single" w:sz="6" w:space="0" w:color="auto"/>
              <w:bottom w:val="single" w:sz="6" w:space="0" w:color="auto"/>
            </w:tcBorders>
          </w:tcPr>
          <w:p w14:paraId="7DB817F6"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rPr>
                <w:b/>
              </w:rPr>
              <w:t>89 844</w:t>
            </w:r>
          </w:p>
        </w:tc>
        <w:tc>
          <w:tcPr>
            <w:tcW w:w="794" w:type="dxa"/>
            <w:tcBorders>
              <w:top w:val="single" w:sz="6" w:space="0" w:color="auto"/>
              <w:bottom w:val="single" w:sz="6" w:space="0" w:color="auto"/>
            </w:tcBorders>
          </w:tcPr>
          <w:p w14:paraId="1A7C23AB"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rPr>
                <w:b/>
              </w:rPr>
              <w:t>91 061</w:t>
            </w:r>
          </w:p>
        </w:tc>
        <w:tc>
          <w:tcPr>
            <w:tcW w:w="794" w:type="dxa"/>
            <w:tcBorders>
              <w:top w:val="single" w:sz="6" w:space="0" w:color="auto"/>
              <w:bottom w:val="single" w:sz="6" w:space="0" w:color="auto"/>
            </w:tcBorders>
          </w:tcPr>
          <w:p w14:paraId="27710ECB"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rPr>
                <w:b/>
              </w:rPr>
              <w:t>88 227</w:t>
            </w:r>
          </w:p>
        </w:tc>
        <w:tc>
          <w:tcPr>
            <w:tcW w:w="794" w:type="dxa"/>
            <w:tcBorders>
              <w:top w:val="single" w:sz="6" w:space="0" w:color="auto"/>
              <w:bottom w:val="single" w:sz="6" w:space="0" w:color="auto"/>
            </w:tcBorders>
          </w:tcPr>
          <w:p w14:paraId="37515A03"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rPr>
                <w:b/>
              </w:rPr>
              <w:t>89 091</w:t>
            </w:r>
          </w:p>
        </w:tc>
        <w:tc>
          <w:tcPr>
            <w:tcW w:w="794" w:type="dxa"/>
            <w:tcBorders>
              <w:top w:val="single" w:sz="6" w:space="0" w:color="auto"/>
              <w:bottom w:val="single" w:sz="6" w:space="0" w:color="auto"/>
            </w:tcBorders>
          </w:tcPr>
          <w:p w14:paraId="46F6FDE1"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rPr>
                <w:b/>
              </w:rPr>
              <w:t>92 521</w:t>
            </w:r>
          </w:p>
        </w:tc>
      </w:tr>
      <w:tr w:rsidR="00C424E5" w14:paraId="2ACAF03C" w14:textId="77777777" w:rsidTr="00EE058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bottom w:val="single" w:sz="12" w:space="0" w:color="auto"/>
            </w:tcBorders>
          </w:tcPr>
          <w:p w14:paraId="39B0A146" w14:textId="1A92AE54" w:rsidR="00C424E5" w:rsidRDefault="00C424E5" w:rsidP="000D54DB">
            <w:pPr>
              <w:spacing w:after="0"/>
            </w:pPr>
            <w:r>
              <w:rPr>
                <w:b/>
              </w:rPr>
              <w:t xml:space="preserve">Net result from transactions – </w:t>
            </w:r>
            <w:r w:rsidR="002E4CB0">
              <w:rPr>
                <w:b/>
              </w:rPr>
              <w:br/>
            </w:r>
            <w:r>
              <w:rPr>
                <w:b/>
              </w:rPr>
              <w:t>net operating balance</w:t>
            </w:r>
          </w:p>
        </w:tc>
        <w:tc>
          <w:tcPr>
            <w:tcW w:w="567" w:type="dxa"/>
            <w:gridSpan w:val="2"/>
            <w:tcBorders>
              <w:top w:val="single" w:sz="6" w:space="0" w:color="auto"/>
              <w:bottom w:val="single" w:sz="12" w:space="0" w:color="auto"/>
            </w:tcBorders>
          </w:tcPr>
          <w:p w14:paraId="4827C369" w14:textId="77777777" w:rsidR="00C424E5" w:rsidRDefault="00C424E5" w:rsidP="000D54DB">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bottom w:val="single" w:sz="12" w:space="0" w:color="auto"/>
            </w:tcBorders>
          </w:tcPr>
          <w:p w14:paraId="388069D6"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rPr>
                <w:b/>
              </w:rPr>
              <w:t>(7 864)</w:t>
            </w:r>
          </w:p>
        </w:tc>
        <w:tc>
          <w:tcPr>
            <w:tcW w:w="794" w:type="dxa"/>
            <w:tcBorders>
              <w:top w:val="single" w:sz="6" w:space="0" w:color="auto"/>
              <w:bottom w:val="single" w:sz="12" w:space="0" w:color="auto"/>
            </w:tcBorders>
          </w:tcPr>
          <w:p w14:paraId="316916A7"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rPr>
                <w:b/>
              </w:rPr>
              <w:t>(9 688)</w:t>
            </w:r>
          </w:p>
        </w:tc>
        <w:tc>
          <w:tcPr>
            <w:tcW w:w="794" w:type="dxa"/>
            <w:tcBorders>
              <w:top w:val="single" w:sz="6" w:space="0" w:color="auto"/>
              <w:bottom w:val="single" w:sz="12" w:space="0" w:color="auto"/>
            </w:tcBorders>
          </w:tcPr>
          <w:p w14:paraId="2796CB54"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rPr>
                <w:b/>
              </w:rPr>
              <w:t>(3 612)</w:t>
            </w:r>
          </w:p>
        </w:tc>
        <w:tc>
          <w:tcPr>
            <w:tcW w:w="794" w:type="dxa"/>
            <w:tcBorders>
              <w:top w:val="single" w:sz="6" w:space="0" w:color="auto"/>
              <w:bottom w:val="single" w:sz="12" w:space="0" w:color="auto"/>
            </w:tcBorders>
          </w:tcPr>
          <w:p w14:paraId="5F031401"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rPr>
                <w:b/>
              </w:rPr>
              <w:t>(701)</w:t>
            </w:r>
          </w:p>
        </w:tc>
        <w:tc>
          <w:tcPr>
            <w:tcW w:w="794" w:type="dxa"/>
            <w:tcBorders>
              <w:top w:val="single" w:sz="6" w:space="0" w:color="auto"/>
              <w:bottom w:val="single" w:sz="12" w:space="0" w:color="auto"/>
            </w:tcBorders>
          </w:tcPr>
          <w:p w14:paraId="142356F0"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rPr>
                <w:b/>
              </w:rPr>
              <w:t>894</w:t>
            </w:r>
          </w:p>
        </w:tc>
      </w:tr>
      <w:tr w:rsidR="00C424E5" w14:paraId="21B730EC" w14:textId="77777777" w:rsidTr="000D54DB">
        <w:tc>
          <w:tcPr>
            <w:cnfStyle w:val="001000000000" w:firstRow="0" w:lastRow="0" w:firstColumn="1" w:lastColumn="0" w:oddVBand="0" w:evenVBand="0" w:oddHBand="0" w:evenHBand="0" w:firstRowFirstColumn="0" w:firstRowLastColumn="0" w:lastRowFirstColumn="0" w:lastRowLastColumn="0"/>
            <w:tcW w:w="3374" w:type="dxa"/>
            <w:gridSpan w:val="2"/>
            <w:tcBorders>
              <w:top w:val="single" w:sz="6" w:space="0" w:color="auto"/>
            </w:tcBorders>
          </w:tcPr>
          <w:p w14:paraId="466EE65E" w14:textId="77777777" w:rsidR="00C424E5" w:rsidRDefault="00C424E5" w:rsidP="000D54DB">
            <w:pPr>
              <w:spacing w:after="0"/>
            </w:pPr>
            <w:r>
              <w:rPr>
                <w:b/>
              </w:rPr>
              <w:t>Other economic flows included in net result</w:t>
            </w:r>
          </w:p>
        </w:tc>
        <w:tc>
          <w:tcPr>
            <w:tcW w:w="366" w:type="dxa"/>
            <w:tcBorders>
              <w:top w:val="single" w:sz="6" w:space="0" w:color="auto"/>
            </w:tcBorders>
          </w:tcPr>
          <w:p w14:paraId="2788834F" w14:textId="77777777" w:rsidR="00C424E5" w:rsidRDefault="00C424E5" w:rsidP="000D54DB">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B223B67"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2B4D9FC2"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5BF697F0"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1E2FB073"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2690F296"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p>
        </w:tc>
      </w:tr>
      <w:tr w:rsidR="00C424E5" w14:paraId="2C7EC1D0" w14:textId="77777777">
        <w:tc>
          <w:tcPr>
            <w:cnfStyle w:val="001000000000" w:firstRow="0" w:lastRow="0" w:firstColumn="1" w:lastColumn="0" w:oddVBand="0" w:evenVBand="0" w:oddHBand="0" w:evenHBand="0" w:firstRowFirstColumn="0" w:firstRowLastColumn="0" w:lastRowFirstColumn="0" w:lastRowLastColumn="0"/>
            <w:tcW w:w="3173" w:type="dxa"/>
          </w:tcPr>
          <w:p w14:paraId="0BDC8BB4" w14:textId="77777777" w:rsidR="00C424E5" w:rsidRDefault="00C424E5" w:rsidP="000D54DB">
            <w:pPr>
              <w:spacing w:after="0"/>
            </w:pPr>
            <w:r>
              <w:t>Net gain/(loss) on disposal of non</w:t>
            </w:r>
            <w:r>
              <w:noBreakHyphen/>
              <w:t>financial assets</w:t>
            </w:r>
          </w:p>
        </w:tc>
        <w:tc>
          <w:tcPr>
            <w:tcW w:w="567" w:type="dxa"/>
            <w:gridSpan w:val="2"/>
          </w:tcPr>
          <w:p w14:paraId="26E8342F" w14:textId="77777777" w:rsidR="00C424E5" w:rsidRDefault="00C424E5" w:rsidP="000D54DB">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3526C6F7"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52</w:t>
            </w:r>
          </w:p>
        </w:tc>
        <w:tc>
          <w:tcPr>
            <w:tcW w:w="794" w:type="dxa"/>
          </w:tcPr>
          <w:p w14:paraId="2BABCE0B"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54</w:t>
            </w:r>
          </w:p>
        </w:tc>
        <w:tc>
          <w:tcPr>
            <w:tcW w:w="794" w:type="dxa"/>
          </w:tcPr>
          <w:p w14:paraId="790C4D71"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31</w:t>
            </w:r>
          </w:p>
        </w:tc>
        <w:tc>
          <w:tcPr>
            <w:tcW w:w="794" w:type="dxa"/>
          </w:tcPr>
          <w:p w14:paraId="6803D2E5"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32</w:t>
            </w:r>
          </w:p>
        </w:tc>
        <w:tc>
          <w:tcPr>
            <w:tcW w:w="794" w:type="dxa"/>
          </w:tcPr>
          <w:p w14:paraId="75BE9C4A"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25</w:t>
            </w:r>
          </w:p>
        </w:tc>
      </w:tr>
      <w:tr w:rsidR="00C424E5" w14:paraId="52F81C8B" w14:textId="77777777">
        <w:tc>
          <w:tcPr>
            <w:cnfStyle w:val="001000000000" w:firstRow="0" w:lastRow="0" w:firstColumn="1" w:lastColumn="0" w:oddVBand="0" w:evenVBand="0" w:oddHBand="0" w:evenHBand="0" w:firstRowFirstColumn="0" w:firstRowLastColumn="0" w:lastRowFirstColumn="0" w:lastRowLastColumn="0"/>
            <w:tcW w:w="3173" w:type="dxa"/>
          </w:tcPr>
          <w:p w14:paraId="15DE1704" w14:textId="77777777" w:rsidR="00C424E5" w:rsidRDefault="00C424E5" w:rsidP="000D54DB">
            <w:pPr>
              <w:spacing w:after="0"/>
            </w:pPr>
            <w:r>
              <w:t>Net gain/(loss) on financial assets or liabilities at fair value</w:t>
            </w:r>
          </w:p>
        </w:tc>
        <w:tc>
          <w:tcPr>
            <w:tcW w:w="567" w:type="dxa"/>
            <w:gridSpan w:val="2"/>
          </w:tcPr>
          <w:p w14:paraId="0425AEC0" w14:textId="77777777" w:rsidR="00C424E5" w:rsidRDefault="00C424E5" w:rsidP="000D54DB">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34ADBB5D"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76</w:t>
            </w:r>
          </w:p>
        </w:tc>
        <w:tc>
          <w:tcPr>
            <w:tcW w:w="794" w:type="dxa"/>
          </w:tcPr>
          <w:p w14:paraId="07F9C0CC"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60</w:t>
            </w:r>
          </w:p>
        </w:tc>
        <w:tc>
          <w:tcPr>
            <w:tcW w:w="794" w:type="dxa"/>
          </w:tcPr>
          <w:p w14:paraId="1365F5B4"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54</w:t>
            </w:r>
          </w:p>
        </w:tc>
        <w:tc>
          <w:tcPr>
            <w:tcW w:w="794" w:type="dxa"/>
          </w:tcPr>
          <w:p w14:paraId="498FB895"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91</w:t>
            </w:r>
          </w:p>
        </w:tc>
        <w:tc>
          <w:tcPr>
            <w:tcW w:w="794" w:type="dxa"/>
          </w:tcPr>
          <w:p w14:paraId="29A8FCD4"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199</w:t>
            </w:r>
          </w:p>
        </w:tc>
      </w:tr>
      <w:tr w:rsidR="00C424E5" w14:paraId="3E1A0CC5" w14:textId="77777777">
        <w:tc>
          <w:tcPr>
            <w:cnfStyle w:val="001000000000" w:firstRow="0" w:lastRow="0" w:firstColumn="1" w:lastColumn="0" w:oddVBand="0" w:evenVBand="0" w:oddHBand="0" w:evenHBand="0" w:firstRowFirstColumn="0" w:firstRowLastColumn="0" w:lastRowFirstColumn="0" w:lastRowLastColumn="0"/>
            <w:tcW w:w="3173" w:type="dxa"/>
          </w:tcPr>
          <w:p w14:paraId="136BDDEF" w14:textId="77777777" w:rsidR="00C424E5" w:rsidRDefault="00C424E5" w:rsidP="000D54DB">
            <w:pPr>
              <w:spacing w:after="0"/>
            </w:pPr>
            <w:r>
              <w:t>Share of net profit/(loss) from associates/joint venture entities</w:t>
            </w:r>
          </w:p>
        </w:tc>
        <w:tc>
          <w:tcPr>
            <w:tcW w:w="567" w:type="dxa"/>
            <w:gridSpan w:val="2"/>
          </w:tcPr>
          <w:p w14:paraId="2C2DE0B5" w14:textId="77777777" w:rsidR="00C424E5" w:rsidRDefault="00C424E5" w:rsidP="000D54DB">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77125325"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4</w:t>
            </w:r>
          </w:p>
        </w:tc>
        <w:tc>
          <w:tcPr>
            <w:tcW w:w="794" w:type="dxa"/>
          </w:tcPr>
          <w:p w14:paraId="150CB904"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26</w:t>
            </w:r>
          </w:p>
        </w:tc>
        <w:tc>
          <w:tcPr>
            <w:tcW w:w="794" w:type="dxa"/>
          </w:tcPr>
          <w:p w14:paraId="24228A9F"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30</w:t>
            </w:r>
          </w:p>
        </w:tc>
        <w:tc>
          <w:tcPr>
            <w:tcW w:w="794" w:type="dxa"/>
          </w:tcPr>
          <w:p w14:paraId="5C2CCA21"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32</w:t>
            </w:r>
          </w:p>
        </w:tc>
        <w:tc>
          <w:tcPr>
            <w:tcW w:w="794" w:type="dxa"/>
          </w:tcPr>
          <w:p w14:paraId="3D53420F"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36</w:t>
            </w:r>
          </w:p>
        </w:tc>
      </w:tr>
      <w:tr w:rsidR="00C424E5" w14:paraId="5FDF3D8D" w14:textId="77777777" w:rsidTr="00EE0584">
        <w:tc>
          <w:tcPr>
            <w:cnfStyle w:val="001000000000" w:firstRow="0" w:lastRow="0" w:firstColumn="1" w:lastColumn="0" w:oddVBand="0" w:evenVBand="0" w:oddHBand="0" w:evenHBand="0" w:firstRowFirstColumn="0" w:firstRowLastColumn="0" w:lastRowFirstColumn="0" w:lastRowLastColumn="0"/>
            <w:tcW w:w="3173" w:type="dxa"/>
            <w:tcBorders>
              <w:bottom w:val="single" w:sz="6" w:space="0" w:color="auto"/>
            </w:tcBorders>
          </w:tcPr>
          <w:p w14:paraId="0868BACF" w14:textId="77777777" w:rsidR="00C424E5" w:rsidRDefault="00C424E5" w:rsidP="000D54DB">
            <w:pPr>
              <w:spacing w:after="0"/>
            </w:pPr>
            <w:r>
              <w:t>Other gains/(losses) from other economic flows</w:t>
            </w:r>
          </w:p>
        </w:tc>
        <w:tc>
          <w:tcPr>
            <w:tcW w:w="567" w:type="dxa"/>
            <w:gridSpan w:val="2"/>
            <w:tcBorders>
              <w:bottom w:val="single" w:sz="6" w:space="0" w:color="auto"/>
            </w:tcBorders>
          </w:tcPr>
          <w:p w14:paraId="34D3577D" w14:textId="77777777" w:rsidR="00C424E5" w:rsidRDefault="00C424E5" w:rsidP="000D54DB">
            <w:pPr>
              <w:spacing w:after="0"/>
              <w:jc w:val="center"/>
              <w:cnfStyle w:val="000000000000" w:firstRow="0" w:lastRow="0" w:firstColumn="0" w:lastColumn="0" w:oddVBand="0" w:evenVBand="0" w:oddHBand="0" w:evenHBand="0" w:firstRowFirstColumn="0" w:firstRowLastColumn="0" w:lastRowFirstColumn="0" w:lastRowLastColumn="0"/>
            </w:pPr>
            <w:r>
              <w:t>3.7.1</w:t>
            </w:r>
          </w:p>
        </w:tc>
        <w:tc>
          <w:tcPr>
            <w:tcW w:w="794" w:type="dxa"/>
            <w:tcBorders>
              <w:bottom w:val="single" w:sz="6" w:space="0" w:color="auto"/>
            </w:tcBorders>
          </w:tcPr>
          <w:p w14:paraId="2AD02A68"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(479)</w:t>
            </w:r>
          </w:p>
        </w:tc>
        <w:tc>
          <w:tcPr>
            <w:tcW w:w="794" w:type="dxa"/>
            <w:tcBorders>
              <w:bottom w:val="single" w:sz="6" w:space="0" w:color="auto"/>
            </w:tcBorders>
          </w:tcPr>
          <w:p w14:paraId="0EF7A303"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(479)</w:t>
            </w:r>
          </w:p>
        </w:tc>
        <w:tc>
          <w:tcPr>
            <w:tcW w:w="794" w:type="dxa"/>
            <w:tcBorders>
              <w:bottom w:val="single" w:sz="6" w:space="0" w:color="auto"/>
            </w:tcBorders>
          </w:tcPr>
          <w:p w14:paraId="4D356BA7"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(455)</w:t>
            </w:r>
          </w:p>
        </w:tc>
        <w:tc>
          <w:tcPr>
            <w:tcW w:w="794" w:type="dxa"/>
            <w:tcBorders>
              <w:bottom w:val="single" w:sz="6" w:space="0" w:color="auto"/>
            </w:tcBorders>
          </w:tcPr>
          <w:p w14:paraId="156FBD0A"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(419)</w:t>
            </w:r>
          </w:p>
        </w:tc>
        <w:tc>
          <w:tcPr>
            <w:tcW w:w="794" w:type="dxa"/>
            <w:tcBorders>
              <w:bottom w:val="single" w:sz="6" w:space="0" w:color="auto"/>
            </w:tcBorders>
          </w:tcPr>
          <w:p w14:paraId="7AB3D42A"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(408)</w:t>
            </w:r>
          </w:p>
        </w:tc>
      </w:tr>
      <w:tr w:rsidR="00C424E5" w14:paraId="4FD883B2" w14:textId="77777777" w:rsidTr="00EE058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bottom w:val="single" w:sz="6" w:space="0" w:color="auto"/>
            </w:tcBorders>
          </w:tcPr>
          <w:p w14:paraId="12493273" w14:textId="08369CEB" w:rsidR="00C424E5" w:rsidRDefault="00C424E5" w:rsidP="000D54DB">
            <w:pPr>
              <w:spacing w:after="0"/>
            </w:pPr>
            <w:r>
              <w:rPr>
                <w:b/>
              </w:rPr>
              <w:t xml:space="preserve">Total other economic flows included in </w:t>
            </w:r>
            <w:r w:rsidR="002E4CB0">
              <w:rPr>
                <w:b/>
              </w:rPr>
              <w:br/>
            </w:r>
            <w:r>
              <w:rPr>
                <w:b/>
              </w:rPr>
              <w:t>net result</w:t>
            </w:r>
          </w:p>
        </w:tc>
        <w:tc>
          <w:tcPr>
            <w:tcW w:w="567" w:type="dxa"/>
            <w:gridSpan w:val="2"/>
            <w:tcBorders>
              <w:top w:val="single" w:sz="6" w:space="0" w:color="auto"/>
              <w:bottom w:val="single" w:sz="6" w:space="0" w:color="auto"/>
            </w:tcBorders>
          </w:tcPr>
          <w:p w14:paraId="1D2132A8" w14:textId="77777777" w:rsidR="00C424E5" w:rsidRDefault="00C424E5" w:rsidP="000D54DB">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bottom w:val="single" w:sz="6" w:space="0" w:color="auto"/>
            </w:tcBorders>
          </w:tcPr>
          <w:p w14:paraId="1DA11872"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rPr>
                <w:b/>
              </w:rPr>
              <w:t>(347)</w:t>
            </w:r>
          </w:p>
        </w:tc>
        <w:tc>
          <w:tcPr>
            <w:tcW w:w="794" w:type="dxa"/>
            <w:tcBorders>
              <w:top w:val="single" w:sz="6" w:space="0" w:color="auto"/>
              <w:bottom w:val="single" w:sz="6" w:space="0" w:color="auto"/>
            </w:tcBorders>
          </w:tcPr>
          <w:p w14:paraId="483396D8"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rPr>
                <w:b/>
              </w:rPr>
              <w:t>(339)</w:t>
            </w:r>
          </w:p>
        </w:tc>
        <w:tc>
          <w:tcPr>
            <w:tcW w:w="794" w:type="dxa"/>
            <w:tcBorders>
              <w:top w:val="single" w:sz="6" w:space="0" w:color="auto"/>
              <w:bottom w:val="single" w:sz="6" w:space="0" w:color="auto"/>
            </w:tcBorders>
          </w:tcPr>
          <w:p w14:paraId="7E2EB69B"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rPr>
                <w:b/>
              </w:rPr>
              <w:t>(339)</w:t>
            </w:r>
          </w:p>
        </w:tc>
        <w:tc>
          <w:tcPr>
            <w:tcW w:w="794" w:type="dxa"/>
            <w:tcBorders>
              <w:top w:val="single" w:sz="6" w:space="0" w:color="auto"/>
              <w:bottom w:val="single" w:sz="6" w:space="0" w:color="auto"/>
            </w:tcBorders>
          </w:tcPr>
          <w:p w14:paraId="612045DA"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rPr>
                <w:b/>
              </w:rPr>
              <w:t>(265)</w:t>
            </w:r>
          </w:p>
        </w:tc>
        <w:tc>
          <w:tcPr>
            <w:tcW w:w="794" w:type="dxa"/>
            <w:tcBorders>
              <w:top w:val="single" w:sz="6" w:space="0" w:color="auto"/>
              <w:bottom w:val="single" w:sz="6" w:space="0" w:color="auto"/>
            </w:tcBorders>
          </w:tcPr>
          <w:p w14:paraId="2E24AB9D"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rPr>
                <w:b/>
              </w:rPr>
              <w:t>(147)</w:t>
            </w:r>
          </w:p>
        </w:tc>
      </w:tr>
      <w:tr w:rsidR="00C424E5" w14:paraId="4079F7FD" w14:textId="77777777" w:rsidTr="00EE058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bottom w:val="single" w:sz="12" w:space="0" w:color="auto"/>
            </w:tcBorders>
          </w:tcPr>
          <w:p w14:paraId="40411F74" w14:textId="77777777" w:rsidR="00C424E5" w:rsidRDefault="00C424E5" w:rsidP="000D54DB">
            <w:pPr>
              <w:spacing w:after="0"/>
            </w:pPr>
            <w:r>
              <w:rPr>
                <w:b/>
              </w:rPr>
              <w:t>Net result</w:t>
            </w:r>
          </w:p>
        </w:tc>
        <w:tc>
          <w:tcPr>
            <w:tcW w:w="567" w:type="dxa"/>
            <w:gridSpan w:val="2"/>
            <w:tcBorders>
              <w:top w:val="single" w:sz="6" w:space="0" w:color="auto"/>
              <w:bottom w:val="single" w:sz="12" w:space="0" w:color="auto"/>
            </w:tcBorders>
          </w:tcPr>
          <w:p w14:paraId="1D606C2D" w14:textId="77777777" w:rsidR="00C424E5" w:rsidRDefault="00C424E5" w:rsidP="000D54DB">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bottom w:val="single" w:sz="12" w:space="0" w:color="auto"/>
            </w:tcBorders>
          </w:tcPr>
          <w:p w14:paraId="1722B552"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rPr>
                <w:b/>
              </w:rPr>
              <w:t>(8 212)</w:t>
            </w:r>
          </w:p>
        </w:tc>
        <w:tc>
          <w:tcPr>
            <w:tcW w:w="794" w:type="dxa"/>
            <w:tcBorders>
              <w:top w:val="single" w:sz="6" w:space="0" w:color="auto"/>
              <w:bottom w:val="single" w:sz="12" w:space="0" w:color="auto"/>
            </w:tcBorders>
          </w:tcPr>
          <w:p w14:paraId="2992BC65"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rPr>
                <w:b/>
              </w:rPr>
              <w:t>(10 027)</w:t>
            </w:r>
          </w:p>
        </w:tc>
        <w:tc>
          <w:tcPr>
            <w:tcW w:w="794" w:type="dxa"/>
            <w:tcBorders>
              <w:top w:val="single" w:sz="6" w:space="0" w:color="auto"/>
              <w:bottom w:val="single" w:sz="12" w:space="0" w:color="auto"/>
            </w:tcBorders>
          </w:tcPr>
          <w:p w14:paraId="7D522B9B"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rPr>
                <w:b/>
              </w:rPr>
              <w:t>(3 952)</w:t>
            </w:r>
          </w:p>
        </w:tc>
        <w:tc>
          <w:tcPr>
            <w:tcW w:w="794" w:type="dxa"/>
            <w:tcBorders>
              <w:top w:val="single" w:sz="6" w:space="0" w:color="auto"/>
              <w:bottom w:val="single" w:sz="12" w:space="0" w:color="auto"/>
            </w:tcBorders>
          </w:tcPr>
          <w:p w14:paraId="545FCCFF"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rPr>
                <w:b/>
              </w:rPr>
              <w:t>(966)</w:t>
            </w:r>
          </w:p>
        </w:tc>
        <w:tc>
          <w:tcPr>
            <w:tcW w:w="794" w:type="dxa"/>
            <w:tcBorders>
              <w:top w:val="single" w:sz="6" w:space="0" w:color="auto"/>
              <w:bottom w:val="single" w:sz="12" w:space="0" w:color="auto"/>
            </w:tcBorders>
          </w:tcPr>
          <w:p w14:paraId="7A483DDB"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rPr>
                <w:b/>
              </w:rPr>
              <w:t>747</w:t>
            </w:r>
          </w:p>
        </w:tc>
      </w:tr>
    </w:tbl>
    <w:p w14:paraId="38B791EE" w14:textId="2543FD84" w:rsidR="00A8365C" w:rsidRDefault="00A8365C" w:rsidP="00A8365C">
      <w:pPr>
        <w:pStyle w:val="Heading1Non-TOC"/>
      </w:pPr>
      <w:r>
        <w:lastRenderedPageBreak/>
        <w:t xml:space="preserve">Estimated </w:t>
      </w:r>
      <w:r w:rsidRPr="00AC196B">
        <w:t>consolidated</w:t>
      </w:r>
      <w:r>
        <w:t xml:space="preserve"> general government sector</w:t>
      </w:r>
      <w:r>
        <w:br/>
        <w:t xml:space="preserve">comprehensive operating statement </w:t>
      </w:r>
      <w:r w:rsidRPr="002E4CB0">
        <w:rPr>
          <w:sz w:val="22"/>
          <w:szCs w:val="24"/>
        </w:rPr>
        <w:t>(Continued)</w:t>
      </w:r>
    </w:p>
    <w:p w14:paraId="756631AC" w14:textId="77777777" w:rsidR="00A8365C" w:rsidRDefault="00A8365C" w:rsidP="00A8365C">
      <w:pPr>
        <w:pStyle w:val="TableHeading"/>
      </w:pPr>
      <w:r>
        <w:t>For the financial year ended 30 June</w:t>
      </w:r>
      <w:r>
        <w:tab/>
        <w:t>($ million)</w:t>
      </w:r>
    </w:p>
    <w:tbl>
      <w:tblPr>
        <w:tblStyle w:val="DTFTableNumeric"/>
        <w:tblW w:w="7710" w:type="dxa"/>
        <w:tblLayout w:type="fixed"/>
        <w:tblLook w:val="06A0" w:firstRow="1" w:lastRow="0" w:firstColumn="1" w:lastColumn="0" w:noHBand="1" w:noVBand="1"/>
      </w:tblPr>
      <w:tblGrid>
        <w:gridCol w:w="3173"/>
        <w:gridCol w:w="567"/>
        <w:gridCol w:w="794"/>
        <w:gridCol w:w="794"/>
        <w:gridCol w:w="794"/>
        <w:gridCol w:w="794"/>
        <w:gridCol w:w="794"/>
      </w:tblGrid>
      <w:tr w:rsidR="00A8365C" w14:paraId="30F93DE7" w14:textId="77777777" w:rsidTr="007160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73" w:type="dxa"/>
          </w:tcPr>
          <w:p w14:paraId="6C8C87FF" w14:textId="77777777" w:rsidR="00A8365C" w:rsidRDefault="00A8365C" w:rsidP="00716078">
            <w:pPr>
              <w:spacing w:after="0"/>
            </w:pPr>
          </w:p>
        </w:tc>
        <w:tc>
          <w:tcPr>
            <w:tcW w:w="567" w:type="dxa"/>
          </w:tcPr>
          <w:p w14:paraId="664A2CDB" w14:textId="77777777" w:rsidR="00A8365C" w:rsidRDefault="00A8365C" w:rsidP="00716078">
            <w:pPr>
              <w:spacing w:after="0"/>
              <w:jc w:val="center"/>
              <w:cnfStyle w:val="100000000000" w:firstRow="1" w:lastRow="0" w:firstColumn="0" w:lastColumn="0" w:oddVBand="0" w:evenVBand="0" w:oddHBand="0" w:evenHBand="0" w:firstRowFirstColumn="0" w:firstRowLastColumn="0" w:lastRowFirstColumn="0" w:lastRowLastColumn="0"/>
            </w:pPr>
            <w:r>
              <w:t>Notes</w:t>
            </w:r>
          </w:p>
        </w:tc>
        <w:tc>
          <w:tcPr>
            <w:tcW w:w="794" w:type="dxa"/>
          </w:tcPr>
          <w:p w14:paraId="46A7CB10" w14:textId="77777777" w:rsidR="00A8365C" w:rsidRDefault="00A8365C" w:rsidP="00716078">
            <w:pPr>
              <w:spacing w:after="0"/>
              <w:cnfStyle w:val="100000000000" w:firstRow="1" w:lastRow="0" w:firstColumn="0" w:lastColumn="0" w:oddVBand="0" w:evenVBand="0" w:oddHBand="0" w:evenHBand="0" w:firstRowFirstColumn="0" w:firstRowLastColumn="0" w:lastRowFirstColumn="0" w:lastRowLastColumn="0"/>
            </w:pPr>
            <w:r>
              <w:t>2022</w:t>
            </w:r>
            <w:r>
              <w:noBreakHyphen/>
              <w:t>23</w:t>
            </w:r>
            <w:r>
              <w:rPr>
                <w:i w:val="0"/>
              </w:rPr>
              <w:br/>
            </w:r>
            <w:r>
              <w:t>budget</w:t>
            </w:r>
          </w:p>
        </w:tc>
        <w:tc>
          <w:tcPr>
            <w:tcW w:w="794" w:type="dxa"/>
          </w:tcPr>
          <w:p w14:paraId="2E26082B" w14:textId="77777777" w:rsidR="00A8365C" w:rsidRDefault="00A8365C" w:rsidP="00716078">
            <w:pPr>
              <w:spacing w:after="0"/>
              <w:cnfStyle w:val="100000000000" w:firstRow="1" w:lastRow="0" w:firstColumn="0" w:lastColumn="0" w:oddVBand="0" w:evenVBand="0" w:oddHBand="0" w:evenHBand="0" w:firstRowFirstColumn="0" w:firstRowLastColumn="0" w:lastRowFirstColumn="0" w:lastRowLastColumn="0"/>
            </w:pPr>
            <w:r>
              <w:t>2022</w:t>
            </w:r>
            <w:r>
              <w:noBreakHyphen/>
              <w:t>23</w:t>
            </w:r>
            <w:r>
              <w:rPr>
                <w:i w:val="0"/>
              </w:rPr>
              <w:br/>
            </w:r>
            <w:r>
              <w:t>revised</w:t>
            </w:r>
          </w:p>
        </w:tc>
        <w:tc>
          <w:tcPr>
            <w:tcW w:w="794" w:type="dxa"/>
          </w:tcPr>
          <w:p w14:paraId="04142DEB" w14:textId="77777777" w:rsidR="00A8365C" w:rsidRDefault="00A8365C" w:rsidP="00716078">
            <w:pPr>
              <w:spacing w:after="0"/>
              <w:cnfStyle w:val="100000000000" w:firstRow="1" w:lastRow="0" w:firstColumn="0" w:lastColumn="0" w:oddVBand="0" w:evenVBand="0" w:oddHBand="0" w:evenHBand="0" w:firstRowFirstColumn="0" w:firstRowLastColumn="0" w:lastRowFirstColumn="0" w:lastRowLastColumn="0"/>
            </w:pPr>
            <w:r>
              <w:t>2023</w:t>
            </w:r>
            <w:r>
              <w:noBreakHyphen/>
              <w:t>24</w:t>
            </w:r>
            <w:r>
              <w:rPr>
                <w:i w:val="0"/>
              </w:rPr>
              <w:br/>
            </w:r>
            <w:r>
              <w:t>estimate</w:t>
            </w:r>
          </w:p>
        </w:tc>
        <w:tc>
          <w:tcPr>
            <w:tcW w:w="794" w:type="dxa"/>
          </w:tcPr>
          <w:p w14:paraId="1532511D" w14:textId="77777777" w:rsidR="00A8365C" w:rsidRDefault="00A8365C" w:rsidP="00716078">
            <w:pPr>
              <w:spacing w:after="0"/>
              <w:cnfStyle w:val="100000000000" w:firstRow="1" w:lastRow="0" w:firstColumn="0" w:lastColumn="0" w:oddVBand="0" w:evenVBand="0" w:oddHBand="0" w:evenHBand="0" w:firstRowFirstColumn="0" w:firstRowLastColumn="0" w:lastRowFirstColumn="0" w:lastRowLastColumn="0"/>
            </w:pPr>
            <w:r>
              <w:t>2024</w:t>
            </w:r>
            <w:r>
              <w:noBreakHyphen/>
              <w:t>25</w:t>
            </w:r>
            <w:r>
              <w:rPr>
                <w:i w:val="0"/>
              </w:rPr>
              <w:br/>
            </w:r>
            <w:r>
              <w:t>estimate</w:t>
            </w:r>
          </w:p>
        </w:tc>
        <w:tc>
          <w:tcPr>
            <w:tcW w:w="794" w:type="dxa"/>
          </w:tcPr>
          <w:p w14:paraId="465E769D" w14:textId="77777777" w:rsidR="00A8365C" w:rsidRDefault="00A8365C" w:rsidP="00716078">
            <w:pPr>
              <w:spacing w:after="0"/>
              <w:cnfStyle w:val="100000000000" w:firstRow="1" w:lastRow="0" w:firstColumn="0" w:lastColumn="0" w:oddVBand="0" w:evenVBand="0" w:oddHBand="0" w:evenHBand="0" w:firstRowFirstColumn="0" w:firstRowLastColumn="0" w:lastRowFirstColumn="0" w:lastRowLastColumn="0"/>
            </w:pPr>
            <w:r>
              <w:t>2025</w:t>
            </w:r>
            <w:r>
              <w:noBreakHyphen/>
              <w:t>26</w:t>
            </w:r>
            <w:r>
              <w:rPr>
                <w:i w:val="0"/>
              </w:rPr>
              <w:br/>
            </w:r>
            <w:r>
              <w:t>estimate</w:t>
            </w:r>
          </w:p>
        </w:tc>
      </w:tr>
      <w:tr w:rsidR="00C424E5" w14:paraId="4873FBE8" w14:textId="77777777" w:rsidTr="00EE058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tcBorders>
          </w:tcPr>
          <w:p w14:paraId="222B8173" w14:textId="469AD7DC" w:rsidR="00C424E5" w:rsidRDefault="00C424E5" w:rsidP="000D54DB">
            <w:pPr>
              <w:spacing w:after="0"/>
            </w:pPr>
            <w:r>
              <w:rPr>
                <w:b/>
              </w:rPr>
              <w:t xml:space="preserve">Other economic flows – </w:t>
            </w:r>
            <w:r w:rsidR="002E4CB0">
              <w:rPr>
                <w:b/>
              </w:rPr>
              <w:br/>
            </w:r>
            <w:r>
              <w:rPr>
                <w:b/>
              </w:rPr>
              <w:t>other comprehensive income</w:t>
            </w:r>
          </w:p>
        </w:tc>
        <w:tc>
          <w:tcPr>
            <w:tcW w:w="567" w:type="dxa"/>
            <w:tcBorders>
              <w:top w:val="single" w:sz="6" w:space="0" w:color="auto"/>
            </w:tcBorders>
          </w:tcPr>
          <w:p w14:paraId="7A11D8C3" w14:textId="77777777" w:rsidR="00C424E5" w:rsidRDefault="00C424E5" w:rsidP="000D54DB">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19B5B5B1"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6B07FCB9"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2C77329B"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3DD1F46"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0505BEC3"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p>
        </w:tc>
      </w:tr>
      <w:tr w:rsidR="00C424E5" w14:paraId="771BB0D5" w14:textId="77777777">
        <w:tc>
          <w:tcPr>
            <w:cnfStyle w:val="001000000000" w:firstRow="0" w:lastRow="0" w:firstColumn="1" w:lastColumn="0" w:oddVBand="0" w:evenVBand="0" w:oddHBand="0" w:evenHBand="0" w:firstRowFirstColumn="0" w:firstRowLastColumn="0" w:lastRowFirstColumn="0" w:lastRowLastColumn="0"/>
            <w:tcW w:w="3173" w:type="dxa"/>
          </w:tcPr>
          <w:p w14:paraId="2493CE8C" w14:textId="77777777" w:rsidR="00C424E5" w:rsidRDefault="00C424E5" w:rsidP="000D54DB">
            <w:pPr>
              <w:spacing w:after="0"/>
            </w:pPr>
            <w:r>
              <w:rPr>
                <w:b/>
              </w:rPr>
              <w:t>Items that will not be reclassified to net result</w:t>
            </w:r>
          </w:p>
        </w:tc>
        <w:tc>
          <w:tcPr>
            <w:tcW w:w="567" w:type="dxa"/>
          </w:tcPr>
          <w:p w14:paraId="55678D7A" w14:textId="77777777" w:rsidR="00C424E5" w:rsidRDefault="00C424E5" w:rsidP="000D54DB">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00AB5924"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4887690F"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0DD63A06"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6E7CA163"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3E484F6C"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p>
        </w:tc>
      </w:tr>
      <w:tr w:rsidR="00C424E5" w14:paraId="5D051B7F" w14:textId="77777777">
        <w:tc>
          <w:tcPr>
            <w:cnfStyle w:val="001000000000" w:firstRow="0" w:lastRow="0" w:firstColumn="1" w:lastColumn="0" w:oddVBand="0" w:evenVBand="0" w:oddHBand="0" w:evenHBand="0" w:firstRowFirstColumn="0" w:firstRowLastColumn="0" w:lastRowFirstColumn="0" w:lastRowLastColumn="0"/>
            <w:tcW w:w="3173" w:type="dxa"/>
          </w:tcPr>
          <w:p w14:paraId="7C5BC9F8" w14:textId="77777777" w:rsidR="00C424E5" w:rsidRDefault="00C424E5" w:rsidP="000D54DB">
            <w:pPr>
              <w:spacing w:after="0"/>
            </w:pPr>
            <w:r>
              <w:t>Changes in non</w:t>
            </w:r>
            <w:r>
              <w:noBreakHyphen/>
              <w:t>financial assets revaluation surplus</w:t>
            </w:r>
          </w:p>
        </w:tc>
        <w:tc>
          <w:tcPr>
            <w:tcW w:w="567" w:type="dxa"/>
          </w:tcPr>
          <w:p w14:paraId="68603331" w14:textId="77777777" w:rsidR="00C424E5" w:rsidRDefault="00C424E5" w:rsidP="000D54DB">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4D98C1A1"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5 940</w:t>
            </w:r>
          </w:p>
        </w:tc>
        <w:tc>
          <w:tcPr>
            <w:tcW w:w="794" w:type="dxa"/>
          </w:tcPr>
          <w:p w14:paraId="78492DBA"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6 154</w:t>
            </w:r>
          </w:p>
        </w:tc>
        <w:tc>
          <w:tcPr>
            <w:tcW w:w="794" w:type="dxa"/>
          </w:tcPr>
          <w:p w14:paraId="2A6C3C85"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5 718</w:t>
            </w:r>
          </w:p>
        </w:tc>
        <w:tc>
          <w:tcPr>
            <w:tcW w:w="794" w:type="dxa"/>
          </w:tcPr>
          <w:p w14:paraId="155A8F37"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10 343</w:t>
            </w:r>
          </w:p>
        </w:tc>
        <w:tc>
          <w:tcPr>
            <w:tcW w:w="794" w:type="dxa"/>
          </w:tcPr>
          <w:p w14:paraId="4E34DCBD"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1 689</w:t>
            </w:r>
          </w:p>
        </w:tc>
      </w:tr>
      <w:tr w:rsidR="00C424E5" w14:paraId="6A7BE89E" w14:textId="77777777">
        <w:tc>
          <w:tcPr>
            <w:cnfStyle w:val="001000000000" w:firstRow="0" w:lastRow="0" w:firstColumn="1" w:lastColumn="0" w:oddVBand="0" w:evenVBand="0" w:oddHBand="0" w:evenHBand="0" w:firstRowFirstColumn="0" w:firstRowLastColumn="0" w:lastRowFirstColumn="0" w:lastRowLastColumn="0"/>
            <w:tcW w:w="3173" w:type="dxa"/>
          </w:tcPr>
          <w:p w14:paraId="27FCB300" w14:textId="77777777" w:rsidR="00C424E5" w:rsidRDefault="00C424E5" w:rsidP="000D54DB">
            <w:pPr>
              <w:spacing w:after="0"/>
            </w:pPr>
            <w:r>
              <w:t>Remeasurement of superannuation defined benefit plans</w:t>
            </w:r>
          </w:p>
        </w:tc>
        <w:tc>
          <w:tcPr>
            <w:tcW w:w="567" w:type="dxa"/>
          </w:tcPr>
          <w:p w14:paraId="246BD501" w14:textId="77777777" w:rsidR="00C424E5" w:rsidRDefault="00C424E5" w:rsidP="000D54DB">
            <w:pPr>
              <w:spacing w:after="0"/>
              <w:jc w:val="center"/>
              <w:cnfStyle w:val="000000000000" w:firstRow="0" w:lastRow="0" w:firstColumn="0" w:lastColumn="0" w:oddVBand="0" w:evenVBand="0" w:oddHBand="0" w:evenHBand="0" w:firstRowFirstColumn="0" w:firstRowLastColumn="0" w:lastRowFirstColumn="0" w:lastRowLastColumn="0"/>
            </w:pPr>
            <w:r>
              <w:t>3.3.2</w:t>
            </w:r>
          </w:p>
        </w:tc>
        <w:tc>
          <w:tcPr>
            <w:tcW w:w="794" w:type="dxa"/>
          </w:tcPr>
          <w:p w14:paraId="57D73E36"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984</w:t>
            </w:r>
          </w:p>
        </w:tc>
        <w:tc>
          <w:tcPr>
            <w:tcW w:w="794" w:type="dxa"/>
          </w:tcPr>
          <w:p w14:paraId="777A75F4"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1 872</w:t>
            </w:r>
          </w:p>
        </w:tc>
        <w:tc>
          <w:tcPr>
            <w:tcW w:w="794" w:type="dxa"/>
          </w:tcPr>
          <w:p w14:paraId="300C17C3"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672</w:t>
            </w:r>
          </w:p>
        </w:tc>
        <w:tc>
          <w:tcPr>
            <w:tcW w:w="794" w:type="dxa"/>
          </w:tcPr>
          <w:p w14:paraId="5AF87313"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676</w:t>
            </w:r>
          </w:p>
        </w:tc>
        <w:tc>
          <w:tcPr>
            <w:tcW w:w="794" w:type="dxa"/>
          </w:tcPr>
          <w:p w14:paraId="08637493"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677</w:t>
            </w:r>
          </w:p>
        </w:tc>
      </w:tr>
      <w:tr w:rsidR="00C424E5" w14:paraId="046579A6" w14:textId="77777777">
        <w:tc>
          <w:tcPr>
            <w:cnfStyle w:val="001000000000" w:firstRow="0" w:lastRow="0" w:firstColumn="1" w:lastColumn="0" w:oddVBand="0" w:evenVBand="0" w:oddHBand="0" w:evenHBand="0" w:firstRowFirstColumn="0" w:firstRowLastColumn="0" w:lastRowFirstColumn="0" w:lastRowLastColumn="0"/>
            <w:tcW w:w="3173" w:type="dxa"/>
          </w:tcPr>
          <w:p w14:paraId="2E97DE99" w14:textId="77777777" w:rsidR="00C424E5" w:rsidRDefault="00C424E5" w:rsidP="000D54DB">
            <w:pPr>
              <w:spacing w:after="0"/>
            </w:pPr>
            <w:r>
              <w:t>Other movements in equity</w:t>
            </w:r>
          </w:p>
        </w:tc>
        <w:tc>
          <w:tcPr>
            <w:tcW w:w="567" w:type="dxa"/>
          </w:tcPr>
          <w:p w14:paraId="13436E53" w14:textId="77777777" w:rsidR="00C424E5" w:rsidRDefault="00C424E5" w:rsidP="000D54DB">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1CEC185B"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46</w:t>
            </w:r>
          </w:p>
        </w:tc>
        <w:tc>
          <w:tcPr>
            <w:tcW w:w="794" w:type="dxa"/>
          </w:tcPr>
          <w:p w14:paraId="286F295C"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21</w:t>
            </w:r>
          </w:p>
        </w:tc>
        <w:tc>
          <w:tcPr>
            <w:tcW w:w="794" w:type="dxa"/>
          </w:tcPr>
          <w:p w14:paraId="4B928124"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27</w:t>
            </w:r>
          </w:p>
        </w:tc>
        <w:tc>
          <w:tcPr>
            <w:tcW w:w="794" w:type="dxa"/>
          </w:tcPr>
          <w:p w14:paraId="4E71304C"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33</w:t>
            </w:r>
          </w:p>
        </w:tc>
        <w:tc>
          <w:tcPr>
            <w:tcW w:w="794" w:type="dxa"/>
          </w:tcPr>
          <w:p w14:paraId="6756B4DD"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18</w:t>
            </w:r>
          </w:p>
        </w:tc>
      </w:tr>
      <w:tr w:rsidR="00C424E5" w14:paraId="1D9E60E5" w14:textId="77777777">
        <w:tc>
          <w:tcPr>
            <w:cnfStyle w:val="001000000000" w:firstRow="0" w:lastRow="0" w:firstColumn="1" w:lastColumn="0" w:oddVBand="0" w:evenVBand="0" w:oddHBand="0" w:evenHBand="0" w:firstRowFirstColumn="0" w:firstRowLastColumn="0" w:lastRowFirstColumn="0" w:lastRowLastColumn="0"/>
            <w:tcW w:w="3173" w:type="dxa"/>
          </w:tcPr>
          <w:p w14:paraId="43F89658" w14:textId="77777777" w:rsidR="00C424E5" w:rsidRDefault="00C424E5" w:rsidP="000D54DB">
            <w:pPr>
              <w:spacing w:after="0"/>
            </w:pPr>
            <w:r>
              <w:rPr>
                <w:b/>
              </w:rPr>
              <w:t>Items that may be reclassified subsequently to net result</w:t>
            </w:r>
          </w:p>
        </w:tc>
        <w:tc>
          <w:tcPr>
            <w:tcW w:w="567" w:type="dxa"/>
          </w:tcPr>
          <w:p w14:paraId="32AC7AEC" w14:textId="77777777" w:rsidR="00C424E5" w:rsidRDefault="00C424E5" w:rsidP="000D54DB">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1DF4781E"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46B0DC35"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09FCB7C5"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3F22C43A"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33CEBFBC"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p>
        </w:tc>
      </w:tr>
      <w:tr w:rsidR="00C424E5" w14:paraId="09A0ADAE" w14:textId="77777777">
        <w:tc>
          <w:tcPr>
            <w:cnfStyle w:val="001000000000" w:firstRow="0" w:lastRow="0" w:firstColumn="1" w:lastColumn="0" w:oddVBand="0" w:evenVBand="0" w:oddHBand="0" w:evenHBand="0" w:firstRowFirstColumn="0" w:firstRowLastColumn="0" w:lastRowFirstColumn="0" w:lastRowLastColumn="0"/>
            <w:tcW w:w="3173" w:type="dxa"/>
          </w:tcPr>
          <w:p w14:paraId="5FF8039C" w14:textId="77777777" w:rsidR="00C424E5" w:rsidRDefault="00C424E5" w:rsidP="000D54DB">
            <w:pPr>
              <w:spacing w:after="0"/>
            </w:pPr>
            <w:r>
              <w:t>Net gain/(loss) on financial assets at fair value</w:t>
            </w:r>
          </w:p>
        </w:tc>
        <w:tc>
          <w:tcPr>
            <w:tcW w:w="567" w:type="dxa"/>
          </w:tcPr>
          <w:p w14:paraId="48AF7062" w14:textId="77777777" w:rsidR="00C424E5" w:rsidRDefault="00C424E5" w:rsidP="000D54DB">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0D772AFC"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3</w:t>
            </w:r>
          </w:p>
        </w:tc>
        <w:tc>
          <w:tcPr>
            <w:tcW w:w="794" w:type="dxa"/>
          </w:tcPr>
          <w:p w14:paraId="2FB8AEAF"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95</w:t>
            </w:r>
          </w:p>
        </w:tc>
        <w:tc>
          <w:tcPr>
            <w:tcW w:w="794" w:type="dxa"/>
          </w:tcPr>
          <w:p w14:paraId="5B123EB2"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58</w:t>
            </w:r>
          </w:p>
        </w:tc>
        <w:tc>
          <w:tcPr>
            <w:tcW w:w="794" w:type="dxa"/>
          </w:tcPr>
          <w:p w14:paraId="65FC2BAC"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57</w:t>
            </w:r>
          </w:p>
        </w:tc>
        <w:tc>
          <w:tcPr>
            <w:tcW w:w="794" w:type="dxa"/>
          </w:tcPr>
          <w:p w14:paraId="16244CBD"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92</w:t>
            </w:r>
          </w:p>
        </w:tc>
      </w:tr>
      <w:tr w:rsidR="00C424E5" w14:paraId="16F29B94" w14:textId="77777777" w:rsidTr="00EE0584">
        <w:tc>
          <w:tcPr>
            <w:cnfStyle w:val="001000000000" w:firstRow="0" w:lastRow="0" w:firstColumn="1" w:lastColumn="0" w:oddVBand="0" w:evenVBand="0" w:oddHBand="0" w:evenHBand="0" w:firstRowFirstColumn="0" w:firstRowLastColumn="0" w:lastRowFirstColumn="0" w:lastRowLastColumn="0"/>
            <w:tcW w:w="3173" w:type="dxa"/>
            <w:tcBorders>
              <w:bottom w:val="single" w:sz="6" w:space="0" w:color="auto"/>
            </w:tcBorders>
          </w:tcPr>
          <w:p w14:paraId="74339678" w14:textId="77777777" w:rsidR="00C424E5" w:rsidRDefault="00C424E5" w:rsidP="000D54DB">
            <w:pPr>
              <w:spacing w:after="0"/>
            </w:pPr>
            <w:r>
              <w:t>Net gain/(loss) on equity investments in other sector entities at proportional share of the carrying amount of net assets</w:t>
            </w:r>
          </w:p>
        </w:tc>
        <w:tc>
          <w:tcPr>
            <w:tcW w:w="567" w:type="dxa"/>
            <w:tcBorders>
              <w:bottom w:val="single" w:sz="6" w:space="0" w:color="auto"/>
            </w:tcBorders>
          </w:tcPr>
          <w:p w14:paraId="7A206483" w14:textId="77777777" w:rsidR="00C424E5" w:rsidRDefault="00C424E5" w:rsidP="000D54DB">
            <w:pPr>
              <w:spacing w:after="0"/>
              <w:jc w:val="center"/>
              <w:cnfStyle w:val="000000000000" w:firstRow="0" w:lastRow="0" w:firstColumn="0" w:lastColumn="0" w:oddVBand="0" w:evenVBand="0" w:oddHBand="0" w:evenHBand="0" w:firstRowFirstColumn="0" w:firstRowLastColumn="0" w:lastRowFirstColumn="0" w:lastRowLastColumn="0"/>
            </w:pPr>
            <w:r>
              <w:t>3.6.1</w:t>
            </w:r>
          </w:p>
        </w:tc>
        <w:tc>
          <w:tcPr>
            <w:tcW w:w="794" w:type="dxa"/>
            <w:tcBorders>
              <w:bottom w:val="single" w:sz="6" w:space="0" w:color="auto"/>
            </w:tcBorders>
          </w:tcPr>
          <w:p w14:paraId="47BCFD96"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(3 869)</w:t>
            </w:r>
          </w:p>
        </w:tc>
        <w:tc>
          <w:tcPr>
            <w:tcW w:w="794" w:type="dxa"/>
            <w:tcBorders>
              <w:bottom w:val="single" w:sz="6" w:space="0" w:color="auto"/>
            </w:tcBorders>
          </w:tcPr>
          <w:p w14:paraId="3859310B"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(3 869)</w:t>
            </w:r>
          </w:p>
        </w:tc>
        <w:tc>
          <w:tcPr>
            <w:tcW w:w="794" w:type="dxa"/>
            <w:tcBorders>
              <w:bottom w:val="single" w:sz="6" w:space="0" w:color="auto"/>
            </w:tcBorders>
          </w:tcPr>
          <w:p w14:paraId="50BB4CC2"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(4 837)</w:t>
            </w:r>
          </w:p>
        </w:tc>
        <w:tc>
          <w:tcPr>
            <w:tcW w:w="794" w:type="dxa"/>
            <w:tcBorders>
              <w:bottom w:val="single" w:sz="6" w:space="0" w:color="auto"/>
            </w:tcBorders>
          </w:tcPr>
          <w:p w14:paraId="3C7C9F8B"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(4 590)</w:t>
            </w:r>
          </w:p>
        </w:tc>
        <w:tc>
          <w:tcPr>
            <w:tcW w:w="794" w:type="dxa"/>
            <w:tcBorders>
              <w:bottom w:val="single" w:sz="6" w:space="0" w:color="auto"/>
            </w:tcBorders>
          </w:tcPr>
          <w:p w14:paraId="14017502"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(14 209)</w:t>
            </w:r>
          </w:p>
        </w:tc>
      </w:tr>
      <w:tr w:rsidR="00C424E5" w14:paraId="7F68F93C" w14:textId="77777777" w:rsidTr="00EE058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bottom w:val="single" w:sz="6" w:space="0" w:color="auto"/>
            </w:tcBorders>
          </w:tcPr>
          <w:p w14:paraId="74474C09" w14:textId="19C3C639" w:rsidR="00C424E5" w:rsidRDefault="00C424E5" w:rsidP="000D54DB">
            <w:pPr>
              <w:spacing w:after="0"/>
            </w:pPr>
            <w:r>
              <w:rPr>
                <w:b/>
              </w:rPr>
              <w:t xml:space="preserve">Total other economic flows – </w:t>
            </w:r>
            <w:r w:rsidR="002E4CB0">
              <w:rPr>
                <w:b/>
              </w:rPr>
              <w:br/>
            </w:r>
            <w:r>
              <w:rPr>
                <w:b/>
              </w:rPr>
              <w:t>other comprehensive income</w:t>
            </w:r>
          </w:p>
        </w:tc>
        <w:tc>
          <w:tcPr>
            <w:tcW w:w="567" w:type="dxa"/>
            <w:tcBorders>
              <w:top w:val="single" w:sz="6" w:space="0" w:color="auto"/>
              <w:bottom w:val="single" w:sz="6" w:space="0" w:color="auto"/>
            </w:tcBorders>
          </w:tcPr>
          <w:p w14:paraId="6E3CFC37" w14:textId="77777777" w:rsidR="00C424E5" w:rsidRDefault="00C424E5" w:rsidP="000D54DB">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bottom w:val="single" w:sz="6" w:space="0" w:color="auto"/>
            </w:tcBorders>
          </w:tcPr>
          <w:p w14:paraId="34A4A911"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rPr>
                <w:b/>
              </w:rPr>
              <w:t>3 105</w:t>
            </w:r>
          </w:p>
        </w:tc>
        <w:tc>
          <w:tcPr>
            <w:tcW w:w="794" w:type="dxa"/>
            <w:tcBorders>
              <w:top w:val="single" w:sz="6" w:space="0" w:color="auto"/>
              <w:bottom w:val="single" w:sz="6" w:space="0" w:color="auto"/>
            </w:tcBorders>
          </w:tcPr>
          <w:p w14:paraId="2BF6B7FC"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rPr>
                <w:b/>
              </w:rPr>
              <w:t>4 274</w:t>
            </w:r>
          </w:p>
        </w:tc>
        <w:tc>
          <w:tcPr>
            <w:tcW w:w="794" w:type="dxa"/>
            <w:tcBorders>
              <w:top w:val="single" w:sz="6" w:space="0" w:color="auto"/>
              <w:bottom w:val="single" w:sz="6" w:space="0" w:color="auto"/>
            </w:tcBorders>
          </w:tcPr>
          <w:p w14:paraId="32FD0AFA"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rPr>
                <w:b/>
              </w:rPr>
              <w:t>1 638</w:t>
            </w:r>
          </w:p>
        </w:tc>
        <w:tc>
          <w:tcPr>
            <w:tcW w:w="794" w:type="dxa"/>
            <w:tcBorders>
              <w:top w:val="single" w:sz="6" w:space="0" w:color="auto"/>
              <w:bottom w:val="single" w:sz="6" w:space="0" w:color="auto"/>
            </w:tcBorders>
          </w:tcPr>
          <w:p w14:paraId="309AD6CA"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rPr>
                <w:b/>
              </w:rPr>
              <w:t>6 519</w:t>
            </w:r>
          </w:p>
        </w:tc>
        <w:tc>
          <w:tcPr>
            <w:tcW w:w="794" w:type="dxa"/>
            <w:tcBorders>
              <w:top w:val="single" w:sz="6" w:space="0" w:color="auto"/>
              <w:bottom w:val="single" w:sz="6" w:space="0" w:color="auto"/>
            </w:tcBorders>
          </w:tcPr>
          <w:p w14:paraId="3F2EBF2D"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rPr>
                <w:b/>
              </w:rPr>
              <w:t>(11 733)</w:t>
            </w:r>
          </w:p>
        </w:tc>
      </w:tr>
      <w:tr w:rsidR="00C424E5" w14:paraId="15A829C7" w14:textId="77777777" w:rsidTr="00EE058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bottom w:val="single" w:sz="12" w:space="0" w:color="auto"/>
            </w:tcBorders>
          </w:tcPr>
          <w:p w14:paraId="792E7578" w14:textId="069844C3" w:rsidR="00C424E5" w:rsidRDefault="00C424E5" w:rsidP="000D54DB">
            <w:pPr>
              <w:spacing w:after="0"/>
            </w:pPr>
            <w:r>
              <w:rPr>
                <w:b/>
              </w:rPr>
              <w:t xml:space="preserve">Comprehensive result – </w:t>
            </w:r>
            <w:r w:rsidR="002E4CB0">
              <w:rPr>
                <w:b/>
              </w:rPr>
              <w:br/>
            </w:r>
            <w:r>
              <w:rPr>
                <w:b/>
              </w:rPr>
              <w:t>total change in net worth</w:t>
            </w:r>
          </w:p>
        </w:tc>
        <w:tc>
          <w:tcPr>
            <w:tcW w:w="567" w:type="dxa"/>
            <w:tcBorders>
              <w:top w:val="single" w:sz="6" w:space="0" w:color="auto"/>
              <w:bottom w:val="single" w:sz="12" w:space="0" w:color="auto"/>
            </w:tcBorders>
          </w:tcPr>
          <w:p w14:paraId="065D7468" w14:textId="77777777" w:rsidR="00C424E5" w:rsidRDefault="00C424E5" w:rsidP="000D54DB">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bottom w:val="single" w:sz="12" w:space="0" w:color="auto"/>
            </w:tcBorders>
          </w:tcPr>
          <w:p w14:paraId="4A477E57"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rPr>
                <w:b/>
              </w:rPr>
              <w:t>(5 107)</w:t>
            </w:r>
          </w:p>
        </w:tc>
        <w:tc>
          <w:tcPr>
            <w:tcW w:w="794" w:type="dxa"/>
            <w:tcBorders>
              <w:top w:val="single" w:sz="6" w:space="0" w:color="auto"/>
              <w:bottom w:val="single" w:sz="12" w:space="0" w:color="auto"/>
            </w:tcBorders>
          </w:tcPr>
          <w:p w14:paraId="33C6B12A"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rPr>
                <w:b/>
              </w:rPr>
              <w:t>(5 753)</w:t>
            </w:r>
          </w:p>
        </w:tc>
        <w:tc>
          <w:tcPr>
            <w:tcW w:w="794" w:type="dxa"/>
            <w:tcBorders>
              <w:top w:val="single" w:sz="6" w:space="0" w:color="auto"/>
              <w:bottom w:val="single" w:sz="12" w:space="0" w:color="auto"/>
            </w:tcBorders>
          </w:tcPr>
          <w:p w14:paraId="68875EC3"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rPr>
                <w:b/>
              </w:rPr>
              <w:t>(2 313)</w:t>
            </w:r>
          </w:p>
        </w:tc>
        <w:tc>
          <w:tcPr>
            <w:tcW w:w="794" w:type="dxa"/>
            <w:tcBorders>
              <w:top w:val="single" w:sz="6" w:space="0" w:color="auto"/>
              <w:bottom w:val="single" w:sz="12" w:space="0" w:color="auto"/>
            </w:tcBorders>
          </w:tcPr>
          <w:p w14:paraId="2C4B5C1F"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rPr>
                <w:b/>
              </w:rPr>
              <w:t>5 552</w:t>
            </w:r>
          </w:p>
        </w:tc>
        <w:tc>
          <w:tcPr>
            <w:tcW w:w="794" w:type="dxa"/>
            <w:tcBorders>
              <w:top w:val="single" w:sz="6" w:space="0" w:color="auto"/>
              <w:bottom w:val="single" w:sz="12" w:space="0" w:color="auto"/>
            </w:tcBorders>
          </w:tcPr>
          <w:p w14:paraId="6219DFB6"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rPr>
                <w:b/>
              </w:rPr>
              <w:t>(10 986)</w:t>
            </w:r>
          </w:p>
        </w:tc>
      </w:tr>
      <w:tr w:rsidR="00C424E5" w14:paraId="657A281B" w14:textId="77777777">
        <w:tc>
          <w:tcPr>
            <w:cnfStyle w:val="001000000000" w:firstRow="0" w:lastRow="0" w:firstColumn="1" w:lastColumn="0" w:oddVBand="0" w:evenVBand="0" w:oddHBand="0" w:evenHBand="0" w:firstRowFirstColumn="0" w:firstRowLastColumn="0" w:lastRowFirstColumn="0" w:lastRowLastColumn="0"/>
            <w:tcW w:w="3173" w:type="dxa"/>
          </w:tcPr>
          <w:p w14:paraId="6F5776E8" w14:textId="77777777" w:rsidR="00C424E5" w:rsidRDefault="00C424E5" w:rsidP="002E4CB0">
            <w:pPr>
              <w:spacing w:before="120" w:after="0"/>
            </w:pPr>
            <w:r>
              <w:rPr>
                <w:b/>
              </w:rPr>
              <w:t>KEY FISCAL AGGREGATES</w:t>
            </w:r>
          </w:p>
        </w:tc>
        <w:tc>
          <w:tcPr>
            <w:tcW w:w="567" w:type="dxa"/>
          </w:tcPr>
          <w:p w14:paraId="0979844B" w14:textId="77777777" w:rsidR="00C424E5" w:rsidRDefault="00C424E5" w:rsidP="002E4CB0">
            <w:pPr>
              <w:spacing w:before="120"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15D4D4D7" w14:textId="77777777" w:rsidR="00C424E5" w:rsidRDefault="00C424E5" w:rsidP="002E4CB0">
            <w:pPr>
              <w:spacing w:before="120" w:after="0"/>
              <w:cnfStyle w:val="000000000000" w:firstRow="0" w:lastRow="0" w:firstColumn="0" w:lastColumn="0" w:oddVBand="0" w:evenVBand="0" w:oddHBand="0" w:evenHBand="0" w:firstRowFirstColumn="0" w:firstRowLastColumn="0" w:lastRowFirstColumn="0" w:lastRowLastColumn="0"/>
            </w:pPr>
          </w:p>
        </w:tc>
        <w:tc>
          <w:tcPr>
            <w:tcW w:w="794" w:type="dxa"/>
          </w:tcPr>
          <w:p w14:paraId="20F5FA4C" w14:textId="77777777" w:rsidR="00C424E5" w:rsidRDefault="00C424E5" w:rsidP="002E4CB0">
            <w:pPr>
              <w:spacing w:before="120" w:after="0"/>
              <w:cnfStyle w:val="000000000000" w:firstRow="0" w:lastRow="0" w:firstColumn="0" w:lastColumn="0" w:oddVBand="0" w:evenVBand="0" w:oddHBand="0" w:evenHBand="0" w:firstRowFirstColumn="0" w:firstRowLastColumn="0" w:lastRowFirstColumn="0" w:lastRowLastColumn="0"/>
            </w:pPr>
          </w:p>
        </w:tc>
        <w:tc>
          <w:tcPr>
            <w:tcW w:w="794" w:type="dxa"/>
          </w:tcPr>
          <w:p w14:paraId="1790064F" w14:textId="77777777" w:rsidR="00C424E5" w:rsidRDefault="00C424E5" w:rsidP="002E4CB0">
            <w:pPr>
              <w:spacing w:before="120" w:after="0"/>
              <w:cnfStyle w:val="000000000000" w:firstRow="0" w:lastRow="0" w:firstColumn="0" w:lastColumn="0" w:oddVBand="0" w:evenVBand="0" w:oddHBand="0" w:evenHBand="0" w:firstRowFirstColumn="0" w:firstRowLastColumn="0" w:lastRowFirstColumn="0" w:lastRowLastColumn="0"/>
            </w:pPr>
          </w:p>
        </w:tc>
        <w:tc>
          <w:tcPr>
            <w:tcW w:w="794" w:type="dxa"/>
          </w:tcPr>
          <w:p w14:paraId="0B4ED03B" w14:textId="77777777" w:rsidR="00C424E5" w:rsidRDefault="00C424E5" w:rsidP="002E4CB0">
            <w:pPr>
              <w:spacing w:before="120" w:after="0"/>
              <w:cnfStyle w:val="000000000000" w:firstRow="0" w:lastRow="0" w:firstColumn="0" w:lastColumn="0" w:oddVBand="0" w:evenVBand="0" w:oddHBand="0" w:evenHBand="0" w:firstRowFirstColumn="0" w:firstRowLastColumn="0" w:lastRowFirstColumn="0" w:lastRowLastColumn="0"/>
            </w:pPr>
          </w:p>
        </w:tc>
        <w:tc>
          <w:tcPr>
            <w:tcW w:w="794" w:type="dxa"/>
          </w:tcPr>
          <w:p w14:paraId="69971E81" w14:textId="77777777" w:rsidR="00C424E5" w:rsidRDefault="00C424E5" w:rsidP="002E4CB0">
            <w:pPr>
              <w:spacing w:before="120" w:after="0"/>
              <w:cnfStyle w:val="000000000000" w:firstRow="0" w:lastRow="0" w:firstColumn="0" w:lastColumn="0" w:oddVBand="0" w:evenVBand="0" w:oddHBand="0" w:evenHBand="0" w:firstRowFirstColumn="0" w:firstRowLastColumn="0" w:lastRowFirstColumn="0" w:lastRowLastColumn="0"/>
            </w:pPr>
          </w:p>
        </w:tc>
      </w:tr>
      <w:tr w:rsidR="00C424E5" w14:paraId="65DA2757" w14:textId="77777777">
        <w:tc>
          <w:tcPr>
            <w:cnfStyle w:val="001000000000" w:firstRow="0" w:lastRow="0" w:firstColumn="1" w:lastColumn="0" w:oddVBand="0" w:evenVBand="0" w:oddHBand="0" w:evenHBand="0" w:firstRowFirstColumn="0" w:firstRowLastColumn="0" w:lastRowFirstColumn="0" w:lastRowLastColumn="0"/>
            <w:tcW w:w="3173" w:type="dxa"/>
          </w:tcPr>
          <w:p w14:paraId="1A618D92" w14:textId="77777777" w:rsidR="00C424E5" w:rsidRDefault="00C424E5" w:rsidP="000D54DB">
            <w:pPr>
              <w:spacing w:after="0"/>
            </w:pPr>
            <w:r>
              <w:rPr>
                <w:b/>
              </w:rPr>
              <w:t>Net operating balance</w:t>
            </w:r>
          </w:p>
        </w:tc>
        <w:tc>
          <w:tcPr>
            <w:tcW w:w="567" w:type="dxa"/>
          </w:tcPr>
          <w:p w14:paraId="2B80D3E3" w14:textId="77777777" w:rsidR="00C424E5" w:rsidRDefault="00C424E5" w:rsidP="000D54DB">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084D67A3"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rPr>
                <w:b/>
              </w:rPr>
              <w:t>(7 864)</w:t>
            </w:r>
          </w:p>
        </w:tc>
        <w:tc>
          <w:tcPr>
            <w:tcW w:w="794" w:type="dxa"/>
          </w:tcPr>
          <w:p w14:paraId="1C8D8639"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rPr>
                <w:b/>
              </w:rPr>
              <w:t>(9 688)</w:t>
            </w:r>
          </w:p>
        </w:tc>
        <w:tc>
          <w:tcPr>
            <w:tcW w:w="794" w:type="dxa"/>
          </w:tcPr>
          <w:p w14:paraId="7C630069"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rPr>
                <w:b/>
              </w:rPr>
              <w:t>(3 612)</w:t>
            </w:r>
          </w:p>
        </w:tc>
        <w:tc>
          <w:tcPr>
            <w:tcW w:w="794" w:type="dxa"/>
          </w:tcPr>
          <w:p w14:paraId="7D13B5D3"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rPr>
                <w:b/>
              </w:rPr>
              <w:t>(701)</w:t>
            </w:r>
          </w:p>
        </w:tc>
        <w:tc>
          <w:tcPr>
            <w:tcW w:w="794" w:type="dxa"/>
          </w:tcPr>
          <w:p w14:paraId="78335F41"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rPr>
                <w:b/>
              </w:rPr>
              <w:t>894</w:t>
            </w:r>
          </w:p>
        </w:tc>
      </w:tr>
      <w:tr w:rsidR="00C424E5" w14:paraId="01C2B6B7" w14:textId="77777777" w:rsidTr="00EE0584">
        <w:tc>
          <w:tcPr>
            <w:cnfStyle w:val="001000000000" w:firstRow="0" w:lastRow="0" w:firstColumn="1" w:lastColumn="0" w:oddVBand="0" w:evenVBand="0" w:oddHBand="0" w:evenHBand="0" w:firstRowFirstColumn="0" w:firstRowLastColumn="0" w:lastRowFirstColumn="0" w:lastRowLastColumn="0"/>
            <w:tcW w:w="3173" w:type="dxa"/>
            <w:tcBorders>
              <w:bottom w:val="single" w:sz="6" w:space="0" w:color="auto"/>
            </w:tcBorders>
          </w:tcPr>
          <w:p w14:paraId="7D240FA4" w14:textId="77777777" w:rsidR="00C424E5" w:rsidRDefault="00C424E5" w:rsidP="000D54DB">
            <w:pPr>
              <w:spacing w:after="0"/>
            </w:pPr>
            <w:r>
              <w:t>Less: Net acquisition of non</w:t>
            </w:r>
            <w:r>
              <w:noBreakHyphen/>
              <w:t>financial assets from transactions</w:t>
            </w:r>
          </w:p>
        </w:tc>
        <w:tc>
          <w:tcPr>
            <w:tcW w:w="567" w:type="dxa"/>
            <w:tcBorders>
              <w:bottom w:val="single" w:sz="6" w:space="0" w:color="auto"/>
            </w:tcBorders>
          </w:tcPr>
          <w:p w14:paraId="6B78FB04" w14:textId="77777777" w:rsidR="00C424E5" w:rsidRDefault="00C424E5" w:rsidP="000D54DB">
            <w:pPr>
              <w:spacing w:after="0"/>
              <w:jc w:val="center"/>
              <w:cnfStyle w:val="000000000000" w:firstRow="0" w:lastRow="0" w:firstColumn="0" w:lastColumn="0" w:oddVBand="0" w:evenVBand="0" w:oddHBand="0" w:evenHBand="0" w:firstRowFirstColumn="0" w:firstRowLastColumn="0" w:lastRowFirstColumn="0" w:lastRowLastColumn="0"/>
            </w:pPr>
            <w:r>
              <w:t>3.3.7</w:t>
            </w:r>
          </w:p>
        </w:tc>
        <w:tc>
          <w:tcPr>
            <w:tcW w:w="794" w:type="dxa"/>
            <w:tcBorders>
              <w:bottom w:val="single" w:sz="6" w:space="0" w:color="auto"/>
            </w:tcBorders>
          </w:tcPr>
          <w:p w14:paraId="1B42ACC9"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6 504</w:t>
            </w:r>
          </w:p>
        </w:tc>
        <w:tc>
          <w:tcPr>
            <w:tcW w:w="794" w:type="dxa"/>
            <w:tcBorders>
              <w:bottom w:val="single" w:sz="6" w:space="0" w:color="auto"/>
            </w:tcBorders>
          </w:tcPr>
          <w:p w14:paraId="67EB56E3"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7 046</w:t>
            </w:r>
          </w:p>
        </w:tc>
        <w:tc>
          <w:tcPr>
            <w:tcW w:w="794" w:type="dxa"/>
            <w:tcBorders>
              <w:bottom w:val="single" w:sz="6" w:space="0" w:color="auto"/>
            </w:tcBorders>
          </w:tcPr>
          <w:p w14:paraId="4A712153"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7 964</w:t>
            </w:r>
          </w:p>
        </w:tc>
        <w:tc>
          <w:tcPr>
            <w:tcW w:w="794" w:type="dxa"/>
            <w:tcBorders>
              <w:bottom w:val="single" w:sz="6" w:space="0" w:color="auto"/>
            </w:tcBorders>
          </w:tcPr>
          <w:p w14:paraId="71184557"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6 432</w:t>
            </w:r>
          </w:p>
        </w:tc>
        <w:tc>
          <w:tcPr>
            <w:tcW w:w="794" w:type="dxa"/>
            <w:tcBorders>
              <w:bottom w:val="single" w:sz="6" w:space="0" w:color="auto"/>
            </w:tcBorders>
          </w:tcPr>
          <w:p w14:paraId="4B2912CA"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t>(3 028)</w:t>
            </w:r>
          </w:p>
        </w:tc>
      </w:tr>
      <w:tr w:rsidR="00C424E5" w14:paraId="7E9CB98F" w14:textId="77777777" w:rsidTr="00EE058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bottom w:val="single" w:sz="12" w:space="0" w:color="auto"/>
            </w:tcBorders>
          </w:tcPr>
          <w:p w14:paraId="25E82A1A" w14:textId="77777777" w:rsidR="00C424E5" w:rsidRDefault="00C424E5" w:rsidP="000D54DB">
            <w:pPr>
              <w:spacing w:after="0"/>
            </w:pPr>
            <w:r>
              <w:rPr>
                <w:b/>
              </w:rPr>
              <w:t>Net lending/(borrowing)</w:t>
            </w:r>
          </w:p>
        </w:tc>
        <w:tc>
          <w:tcPr>
            <w:tcW w:w="567" w:type="dxa"/>
            <w:tcBorders>
              <w:top w:val="single" w:sz="6" w:space="0" w:color="auto"/>
              <w:bottom w:val="single" w:sz="12" w:space="0" w:color="auto"/>
            </w:tcBorders>
          </w:tcPr>
          <w:p w14:paraId="56A3F3F3" w14:textId="77777777" w:rsidR="00C424E5" w:rsidRDefault="00C424E5" w:rsidP="000D54DB">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bottom w:val="single" w:sz="12" w:space="0" w:color="auto"/>
            </w:tcBorders>
          </w:tcPr>
          <w:p w14:paraId="6AD28D36"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rPr>
                <w:b/>
              </w:rPr>
              <w:t>(14 368)</w:t>
            </w:r>
          </w:p>
        </w:tc>
        <w:tc>
          <w:tcPr>
            <w:tcW w:w="794" w:type="dxa"/>
            <w:tcBorders>
              <w:top w:val="single" w:sz="6" w:space="0" w:color="auto"/>
              <w:bottom w:val="single" w:sz="12" w:space="0" w:color="auto"/>
            </w:tcBorders>
          </w:tcPr>
          <w:p w14:paraId="2A804BF3"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rPr>
                <w:b/>
              </w:rPr>
              <w:t>(16 734)</w:t>
            </w:r>
          </w:p>
        </w:tc>
        <w:tc>
          <w:tcPr>
            <w:tcW w:w="794" w:type="dxa"/>
            <w:tcBorders>
              <w:top w:val="single" w:sz="6" w:space="0" w:color="auto"/>
              <w:bottom w:val="single" w:sz="12" w:space="0" w:color="auto"/>
            </w:tcBorders>
          </w:tcPr>
          <w:p w14:paraId="16EE8285"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rPr>
                <w:b/>
              </w:rPr>
              <w:t>(11 576)</w:t>
            </w:r>
          </w:p>
        </w:tc>
        <w:tc>
          <w:tcPr>
            <w:tcW w:w="794" w:type="dxa"/>
            <w:tcBorders>
              <w:top w:val="single" w:sz="6" w:space="0" w:color="auto"/>
              <w:bottom w:val="single" w:sz="12" w:space="0" w:color="auto"/>
            </w:tcBorders>
          </w:tcPr>
          <w:p w14:paraId="5711E89B" w14:textId="77777777"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rPr>
                <w:b/>
              </w:rPr>
              <w:t>(7 133)</w:t>
            </w:r>
          </w:p>
        </w:tc>
        <w:tc>
          <w:tcPr>
            <w:tcW w:w="794" w:type="dxa"/>
            <w:tcBorders>
              <w:top w:val="single" w:sz="6" w:space="0" w:color="auto"/>
              <w:bottom w:val="single" w:sz="12" w:space="0" w:color="auto"/>
            </w:tcBorders>
          </w:tcPr>
          <w:p w14:paraId="6515564D" w14:textId="284C2C54" w:rsidR="00C424E5" w:rsidRDefault="00C424E5" w:rsidP="000D54DB">
            <w:pPr>
              <w:spacing w:after="0"/>
              <w:cnfStyle w:val="000000000000" w:firstRow="0" w:lastRow="0" w:firstColumn="0" w:lastColumn="0" w:oddVBand="0" w:evenVBand="0" w:oddHBand="0" w:evenHBand="0" w:firstRowFirstColumn="0" w:firstRowLastColumn="0" w:lastRowFirstColumn="0" w:lastRowLastColumn="0"/>
            </w:pPr>
            <w:r>
              <w:rPr>
                <w:b/>
              </w:rPr>
              <w:t>3 923</w:t>
            </w:r>
          </w:p>
        </w:tc>
      </w:tr>
    </w:tbl>
    <w:p w14:paraId="5D87B13D" w14:textId="77777777" w:rsidR="00C424E5" w:rsidRDefault="00C424E5" w:rsidP="006206EF">
      <w:pPr>
        <w:pStyle w:val="Source"/>
        <w:ind w:left="0" w:firstLine="0"/>
      </w:pPr>
      <w:r w:rsidRPr="00416984">
        <w:t>The accompanying notes form part of these Estimated Financial Statements.</w:t>
      </w:r>
    </w:p>
    <w:p w14:paraId="39A7489A" w14:textId="77777777" w:rsidR="00C424E5" w:rsidRPr="00510877" w:rsidRDefault="00C424E5" w:rsidP="006206EF"/>
    <w:p w14:paraId="619914CF" w14:textId="77777777" w:rsidR="00C424E5" w:rsidRDefault="00C424E5" w:rsidP="006206EF">
      <w:pPr>
        <w:pStyle w:val="Heading10"/>
        <w:pageBreakBefore/>
      </w:pPr>
      <w:bookmarkStart w:id="46" w:name="_Toc117586250"/>
      <w:r>
        <w:lastRenderedPageBreak/>
        <w:t xml:space="preserve">Estimated </w:t>
      </w:r>
      <w:r w:rsidRPr="00AC196B">
        <w:t>consolidated</w:t>
      </w:r>
      <w:r>
        <w:rPr>
          <w:caps w:val="0"/>
        </w:rPr>
        <w:t xml:space="preserve"> </w:t>
      </w:r>
      <w:r>
        <w:t>general government sector</w:t>
      </w:r>
      <w:r>
        <w:br/>
      </w:r>
      <w:r w:rsidRPr="007E0B75">
        <w:t>balance</w:t>
      </w:r>
      <w:r>
        <w:rPr>
          <w:caps w:val="0"/>
        </w:rPr>
        <w:t xml:space="preserve"> </w:t>
      </w:r>
      <w:r>
        <w:t>sheet</w:t>
      </w:r>
      <w:bookmarkEnd w:id="46"/>
      <w:r>
        <w:t xml:space="preserve"> </w:t>
      </w:r>
    </w:p>
    <w:p w14:paraId="48C0335F" w14:textId="77777777" w:rsidR="00C424E5" w:rsidRDefault="00C424E5" w:rsidP="006206EF">
      <w:pPr>
        <w:pStyle w:val="TableHeading"/>
      </w:pPr>
      <w:r>
        <w:t>As at 30 June</w:t>
      </w:r>
      <w:r>
        <w:tab/>
        <w:t>($ million)</w:t>
      </w:r>
    </w:p>
    <w:tbl>
      <w:tblPr>
        <w:tblStyle w:val="DTFTableNumeric"/>
        <w:tblW w:w="7710" w:type="dxa"/>
        <w:tblLayout w:type="fixed"/>
        <w:tblLook w:val="06A0" w:firstRow="1" w:lastRow="0" w:firstColumn="1" w:lastColumn="0" w:noHBand="1" w:noVBand="1"/>
      </w:tblPr>
      <w:tblGrid>
        <w:gridCol w:w="3119"/>
        <w:gridCol w:w="567"/>
        <w:gridCol w:w="848"/>
        <w:gridCol w:w="794"/>
        <w:gridCol w:w="794"/>
        <w:gridCol w:w="794"/>
        <w:gridCol w:w="794"/>
      </w:tblGrid>
      <w:tr w:rsidR="00925B88" w14:paraId="7006EDA3" w14:textId="77777777" w:rsidTr="00A836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tcPr>
          <w:p w14:paraId="107FAC1D" w14:textId="3EFAE576" w:rsidR="00925B88" w:rsidRDefault="00925B88"/>
        </w:tc>
        <w:tc>
          <w:tcPr>
            <w:tcW w:w="567" w:type="dxa"/>
          </w:tcPr>
          <w:p w14:paraId="0CFA9DE5" w14:textId="640435C2" w:rsidR="00925B88" w:rsidRDefault="00925B88" w:rsidP="00BE23E3">
            <w:pPr>
              <w:jc w:val="center"/>
              <w:cnfStyle w:val="100000000000" w:firstRow="1" w:lastRow="0" w:firstColumn="0" w:lastColumn="0" w:oddVBand="0" w:evenVBand="0" w:oddHBand="0" w:evenHBand="0" w:firstRowFirstColumn="0" w:firstRowLastColumn="0" w:lastRowFirstColumn="0" w:lastRowLastColumn="0"/>
            </w:pPr>
            <w:r>
              <w:t>Notes</w:t>
            </w:r>
          </w:p>
        </w:tc>
        <w:tc>
          <w:tcPr>
            <w:tcW w:w="848" w:type="dxa"/>
          </w:tcPr>
          <w:p w14:paraId="05880701" w14:textId="30412253" w:rsidR="00925B88" w:rsidRDefault="00925B88" w:rsidP="00FA0EC9">
            <w:pPr>
              <w:cnfStyle w:val="100000000000" w:firstRow="1" w:lastRow="0" w:firstColumn="0" w:lastColumn="0" w:oddVBand="0" w:evenVBand="0" w:oddHBand="0" w:evenHBand="0" w:firstRowFirstColumn="0" w:firstRowLastColumn="0" w:lastRowFirstColumn="0" w:lastRowLastColumn="0"/>
            </w:pPr>
            <w:r>
              <w:t>2023</w:t>
            </w:r>
            <w:r w:rsidR="00F70B1C">
              <w:rPr>
                <w:i w:val="0"/>
              </w:rPr>
              <w:br/>
            </w:r>
            <w:r>
              <w:t>budget</w:t>
            </w:r>
            <w:r>
              <w:rPr>
                <w:vertAlign w:val="superscript"/>
              </w:rPr>
              <w:t xml:space="preserve"> (a)</w:t>
            </w:r>
          </w:p>
        </w:tc>
        <w:tc>
          <w:tcPr>
            <w:tcW w:w="794" w:type="dxa"/>
          </w:tcPr>
          <w:p w14:paraId="4E81564D" w14:textId="0BBDF5B7" w:rsidR="00925B88" w:rsidRDefault="00925B88" w:rsidP="003E5708">
            <w:pPr>
              <w:cnfStyle w:val="100000000000" w:firstRow="1" w:lastRow="0" w:firstColumn="0" w:lastColumn="0" w:oddVBand="0" w:evenVBand="0" w:oddHBand="0" w:evenHBand="0" w:firstRowFirstColumn="0" w:firstRowLastColumn="0" w:lastRowFirstColumn="0" w:lastRowLastColumn="0"/>
            </w:pPr>
            <w:r>
              <w:t>2023</w:t>
            </w:r>
            <w:r w:rsidR="00F70B1C">
              <w:rPr>
                <w:i w:val="0"/>
              </w:rPr>
              <w:br/>
            </w:r>
            <w:r>
              <w:t>revised</w:t>
            </w:r>
          </w:p>
        </w:tc>
        <w:tc>
          <w:tcPr>
            <w:tcW w:w="794" w:type="dxa"/>
          </w:tcPr>
          <w:p w14:paraId="52D8B6DE" w14:textId="3022B4A2" w:rsidR="00925B88" w:rsidRDefault="00925B88" w:rsidP="0002007B">
            <w:pPr>
              <w:cnfStyle w:val="100000000000" w:firstRow="1" w:lastRow="0" w:firstColumn="0" w:lastColumn="0" w:oddVBand="0" w:evenVBand="0" w:oddHBand="0" w:evenHBand="0" w:firstRowFirstColumn="0" w:firstRowLastColumn="0" w:lastRowFirstColumn="0" w:lastRowLastColumn="0"/>
            </w:pPr>
            <w:r>
              <w:t>2024</w:t>
            </w:r>
            <w:r w:rsidR="00F70B1C">
              <w:rPr>
                <w:i w:val="0"/>
              </w:rPr>
              <w:br/>
            </w:r>
            <w:r>
              <w:t>estimate</w:t>
            </w:r>
          </w:p>
        </w:tc>
        <w:tc>
          <w:tcPr>
            <w:tcW w:w="794" w:type="dxa"/>
          </w:tcPr>
          <w:p w14:paraId="5EEC35E4" w14:textId="2CB8D7D1" w:rsidR="00925B88" w:rsidRDefault="00925B88" w:rsidP="00C826EF">
            <w:pPr>
              <w:cnfStyle w:val="100000000000" w:firstRow="1" w:lastRow="0" w:firstColumn="0" w:lastColumn="0" w:oddVBand="0" w:evenVBand="0" w:oddHBand="0" w:evenHBand="0" w:firstRowFirstColumn="0" w:firstRowLastColumn="0" w:lastRowFirstColumn="0" w:lastRowLastColumn="0"/>
            </w:pPr>
            <w:r>
              <w:t>2025</w:t>
            </w:r>
            <w:r w:rsidR="00F70B1C">
              <w:rPr>
                <w:i w:val="0"/>
              </w:rPr>
              <w:br/>
            </w:r>
            <w:r>
              <w:t>estimate</w:t>
            </w:r>
          </w:p>
        </w:tc>
        <w:tc>
          <w:tcPr>
            <w:tcW w:w="794" w:type="dxa"/>
          </w:tcPr>
          <w:p w14:paraId="26DC6477" w14:textId="0206E653" w:rsidR="00925B88" w:rsidRDefault="00925B88" w:rsidP="00B81EB1">
            <w:pPr>
              <w:cnfStyle w:val="100000000000" w:firstRow="1" w:lastRow="0" w:firstColumn="0" w:lastColumn="0" w:oddVBand="0" w:evenVBand="0" w:oddHBand="0" w:evenHBand="0" w:firstRowFirstColumn="0" w:firstRowLastColumn="0" w:lastRowFirstColumn="0" w:lastRowLastColumn="0"/>
            </w:pPr>
            <w:r>
              <w:t>2026</w:t>
            </w:r>
            <w:r w:rsidR="00F70B1C">
              <w:rPr>
                <w:i w:val="0"/>
              </w:rPr>
              <w:br/>
            </w:r>
            <w:r>
              <w:t>estimate</w:t>
            </w:r>
          </w:p>
        </w:tc>
      </w:tr>
      <w:tr w:rsidR="00C424E5" w14:paraId="5FA310F6" w14:textId="77777777" w:rsidTr="00D53200">
        <w:tc>
          <w:tcPr>
            <w:cnfStyle w:val="001000000000" w:firstRow="0" w:lastRow="0" w:firstColumn="1" w:lastColumn="0" w:oddVBand="0" w:evenVBand="0" w:oddHBand="0" w:evenHBand="0" w:firstRowFirstColumn="0" w:firstRowLastColumn="0" w:lastRowFirstColumn="0" w:lastRowLastColumn="0"/>
            <w:tcW w:w="3119" w:type="dxa"/>
          </w:tcPr>
          <w:p w14:paraId="6F203CF5" w14:textId="77777777" w:rsidR="00C424E5" w:rsidRDefault="00C424E5">
            <w:r>
              <w:rPr>
                <w:b/>
              </w:rPr>
              <w:t>Assets</w:t>
            </w:r>
          </w:p>
        </w:tc>
        <w:tc>
          <w:tcPr>
            <w:tcW w:w="567" w:type="dxa"/>
          </w:tcPr>
          <w:p w14:paraId="42CF7B90"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848" w:type="dxa"/>
          </w:tcPr>
          <w:p w14:paraId="2CC42732"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7C206182"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0149A8D9"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01DF409D"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6CBE67DA"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4D644D4C" w14:textId="77777777" w:rsidTr="00D53200">
        <w:tc>
          <w:tcPr>
            <w:cnfStyle w:val="001000000000" w:firstRow="0" w:lastRow="0" w:firstColumn="1" w:lastColumn="0" w:oddVBand="0" w:evenVBand="0" w:oddHBand="0" w:evenHBand="0" w:firstRowFirstColumn="0" w:firstRowLastColumn="0" w:lastRowFirstColumn="0" w:lastRowLastColumn="0"/>
            <w:tcW w:w="3119" w:type="dxa"/>
          </w:tcPr>
          <w:p w14:paraId="0DCE9B24" w14:textId="77777777" w:rsidR="00C424E5" w:rsidRDefault="00C424E5">
            <w:r>
              <w:rPr>
                <w:b/>
              </w:rPr>
              <w:t>Financial assets</w:t>
            </w:r>
          </w:p>
        </w:tc>
        <w:tc>
          <w:tcPr>
            <w:tcW w:w="567" w:type="dxa"/>
          </w:tcPr>
          <w:p w14:paraId="4A226B86"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848" w:type="dxa"/>
          </w:tcPr>
          <w:p w14:paraId="2583DD68"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4ED19D92"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5A96CC1E"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6621922F"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30F1F582"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21D596EB" w14:textId="77777777" w:rsidTr="00D53200">
        <w:tc>
          <w:tcPr>
            <w:cnfStyle w:val="001000000000" w:firstRow="0" w:lastRow="0" w:firstColumn="1" w:lastColumn="0" w:oddVBand="0" w:evenVBand="0" w:oddHBand="0" w:evenHBand="0" w:firstRowFirstColumn="0" w:firstRowLastColumn="0" w:lastRowFirstColumn="0" w:lastRowLastColumn="0"/>
            <w:tcW w:w="3119" w:type="dxa"/>
          </w:tcPr>
          <w:p w14:paraId="1BF64AFB" w14:textId="77777777" w:rsidR="00C424E5" w:rsidRDefault="00C424E5">
            <w:r>
              <w:t>Cash and deposits</w:t>
            </w:r>
          </w:p>
        </w:tc>
        <w:tc>
          <w:tcPr>
            <w:tcW w:w="567" w:type="dxa"/>
          </w:tcPr>
          <w:p w14:paraId="52A74803"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848" w:type="dxa"/>
          </w:tcPr>
          <w:p w14:paraId="76828A35" w14:textId="77777777" w:rsidR="00C424E5" w:rsidRDefault="00C424E5">
            <w:pPr>
              <w:cnfStyle w:val="000000000000" w:firstRow="0" w:lastRow="0" w:firstColumn="0" w:lastColumn="0" w:oddVBand="0" w:evenVBand="0" w:oddHBand="0" w:evenHBand="0" w:firstRowFirstColumn="0" w:firstRowLastColumn="0" w:lastRowFirstColumn="0" w:lastRowLastColumn="0"/>
            </w:pPr>
            <w:r>
              <w:t>10 932</w:t>
            </w:r>
          </w:p>
        </w:tc>
        <w:tc>
          <w:tcPr>
            <w:tcW w:w="794" w:type="dxa"/>
          </w:tcPr>
          <w:p w14:paraId="08FCFB68" w14:textId="77777777" w:rsidR="00C424E5" w:rsidRDefault="00C424E5">
            <w:pPr>
              <w:cnfStyle w:val="000000000000" w:firstRow="0" w:lastRow="0" w:firstColumn="0" w:lastColumn="0" w:oddVBand="0" w:evenVBand="0" w:oddHBand="0" w:evenHBand="0" w:firstRowFirstColumn="0" w:firstRowLastColumn="0" w:lastRowFirstColumn="0" w:lastRowLastColumn="0"/>
            </w:pPr>
            <w:r>
              <w:t>11 118</w:t>
            </w:r>
          </w:p>
        </w:tc>
        <w:tc>
          <w:tcPr>
            <w:tcW w:w="794" w:type="dxa"/>
          </w:tcPr>
          <w:p w14:paraId="6C458AD6" w14:textId="77777777" w:rsidR="00C424E5" w:rsidRDefault="00C424E5">
            <w:pPr>
              <w:cnfStyle w:val="000000000000" w:firstRow="0" w:lastRow="0" w:firstColumn="0" w:lastColumn="0" w:oddVBand="0" w:evenVBand="0" w:oddHBand="0" w:evenHBand="0" w:firstRowFirstColumn="0" w:firstRowLastColumn="0" w:lastRowFirstColumn="0" w:lastRowLastColumn="0"/>
            </w:pPr>
            <w:r>
              <w:t>11 426</w:t>
            </w:r>
          </w:p>
        </w:tc>
        <w:tc>
          <w:tcPr>
            <w:tcW w:w="794" w:type="dxa"/>
          </w:tcPr>
          <w:p w14:paraId="42EC2D93" w14:textId="77777777" w:rsidR="00C424E5" w:rsidRDefault="00C424E5">
            <w:pPr>
              <w:cnfStyle w:val="000000000000" w:firstRow="0" w:lastRow="0" w:firstColumn="0" w:lastColumn="0" w:oddVBand="0" w:evenVBand="0" w:oddHBand="0" w:evenHBand="0" w:firstRowFirstColumn="0" w:firstRowLastColumn="0" w:lastRowFirstColumn="0" w:lastRowLastColumn="0"/>
            </w:pPr>
            <w:r>
              <w:t>11 880</w:t>
            </w:r>
          </w:p>
        </w:tc>
        <w:tc>
          <w:tcPr>
            <w:tcW w:w="794" w:type="dxa"/>
          </w:tcPr>
          <w:p w14:paraId="799D47BA" w14:textId="77777777" w:rsidR="00C424E5" w:rsidRDefault="00C424E5">
            <w:pPr>
              <w:cnfStyle w:val="000000000000" w:firstRow="0" w:lastRow="0" w:firstColumn="0" w:lastColumn="0" w:oddVBand="0" w:evenVBand="0" w:oddHBand="0" w:evenHBand="0" w:firstRowFirstColumn="0" w:firstRowLastColumn="0" w:lastRowFirstColumn="0" w:lastRowLastColumn="0"/>
            </w:pPr>
            <w:r>
              <w:t>12 388</w:t>
            </w:r>
          </w:p>
        </w:tc>
      </w:tr>
      <w:tr w:rsidR="00C424E5" w14:paraId="344DB45F" w14:textId="77777777" w:rsidTr="00D53200">
        <w:tc>
          <w:tcPr>
            <w:cnfStyle w:val="001000000000" w:firstRow="0" w:lastRow="0" w:firstColumn="1" w:lastColumn="0" w:oddVBand="0" w:evenVBand="0" w:oddHBand="0" w:evenHBand="0" w:firstRowFirstColumn="0" w:firstRowLastColumn="0" w:lastRowFirstColumn="0" w:lastRowLastColumn="0"/>
            <w:tcW w:w="3119" w:type="dxa"/>
          </w:tcPr>
          <w:p w14:paraId="1A0B8206" w14:textId="77777777" w:rsidR="00C424E5" w:rsidRDefault="00C424E5">
            <w:r>
              <w:t>Advances paid</w:t>
            </w:r>
          </w:p>
        </w:tc>
        <w:tc>
          <w:tcPr>
            <w:tcW w:w="567" w:type="dxa"/>
          </w:tcPr>
          <w:p w14:paraId="4687F30D"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r>
              <w:t>3.5.2</w:t>
            </w:r>
          </w:p>
        </w:tc>
        <w:tc>
          <w:tcPr>
            <w:tcW w:w="848" w:type="dxa"/>
          </w:tcPr>
          <w:p w14:paraId="68840F83" w14:textId="77777777" w:rsidR="00C424E5" w:rsidRDefault="00C424E5">
            <w:pPr>
              <w:cnfStyle w:val="000000000000" w:firstRow="0" w:lastRow="0" w:firstColumn="0" w:lastColumn="0" w:oddVBand="0" w:evenVBand="0" w:oddHBand="0" w:evenHBand="0" w:firstRowFirstColumn="0" w:firstRowLastColumn="0" w:lastRowFirstColumn="0" w:lastRowLastColumn="0"/>
            </w:pPr>
            <w:r>
              <w:t>5 066</w:t>
            </w:r>
          </w:p>
        </w:tc>
        <w:tc>
          <w:tcPr>
            <w:tcW w:w="794" w:type="dxa"/>
          </w:tcPr>
          <w:p w14:paraId="2D5413F8" w14:textId="77777777" w:rsidR="00C424E5" w:rsidRDefault="00C424E5">
            <w:pPr>
              <w:cnfStyle w:val="000000000000" w:firstRow="0" w:lastRow="0" w:firstColumn="0" w:lastColumn="0" w:oddVBand="0" w:evenVBand="0" w:oddHBand="0" w:evenHBand="0" w:firstRowFirstColumn="0" w:firstRowLastColumn="0" w:lastRowFirstColumn="0" w:lastRowLastColumn="0"/>
            </w:pPr>
            <w:r>
              <w:t>5 110</w:t>
            </w:r>
          </w:p>
        </w:tc>
        <w:tc>
          <w:tcPr>
            <w:tcW w:w="794" w:type="dxa"/>
          </w:tcPr>
          <w:p w14:paraId="0D8EE2D8" w14:textId="77777777" w:rsidR="00C424E5" w:rsidRDefault="00C424E5">
            <w:pPr>
              <w:cnfStyle w:val="000000000000" w:firstRow="0" w:lastRow="0" w:firstColumn="0" w:lastColumn="0" w:oddVBand="0" w:evenVBand="0" w:oddHBand="0" w:evenHBand="0" w:firstRowFirstColumn="0" w:firstRowLastColumn="0" w:lastRowFirstColumn="0" w:lastRowLastColumn="0"/>
            </w:pPr>
            <w:r>
              <w:t>6 426</w:t>
            </w:r>
          </w:p>
        </w:tc>
        <w:tc>
          <w:tcPr>
            <w:tcW w:w="794" w:type="dxa"/>
          </w:tcPr>
          <w:p w14:paraId="3DA13277" w14:textId="77777777" w:rsidR="00C424E5" w:rsidRDefault="00C424E5">
            <w:pPr>
              <w:cnfStyle w:val="000000000000" w:firstRow="0" w:lastRow="0" w:firstColumn="0" w:lastColumn="0" w:oddVBand="0" w:evenVBand="0" w:oddHBand="0" w:evenHBand="0" w:firstRowFirstColumn="0" w:firstRowLastColumn="0" w:lastRowFirstColumn="0" w:lastRowLastColumn="0"/>
            </w:pPr>
            <w:r>
              <w:t>6 328</w:t>
            </w:r>
          </w:p>
        </w:tc>
        <w:tc>
          <w:tcPr>
            <w:tcW w:w="794" w:type="dxa"/>
          </w:tcPr>
          <w:p w14:paraId="6C19C955" w14:textId="77777777" w:rsidR="00C424E5" w:rsidRDefault="00C424E5">
            <w:pPr>
              <w:cnfStyle w:val="000000000000" w:firstRow="0" w:lastRow="0" w:firstColumn="0" w:lastColumn="0" w:oddVBand="0" w:evenVBand="0" w:oddHBand="0" w:evenHBand="0" w:firstRowFirstColumn="0" w:firstRowLastColumn="0" w:lastRowFirstColumn="0" w:lastRowLastColumn="0"/>
            </w:pPr>
            <w:r>
              <w:t>6 336</w:t>
            </w:r>
          </w:p>
        </w:tc>
      </w:tr>
      <w:tr w:rsidR="00C424E5" w14:paraId="089846A2" w14:textId="77777777" w:rsidTr="00D53200">
        <w:tc>
          <w:tcPr>
            <w:cnfStyle w:val="001000000000" w:firstRow="0" w:lastRow="0" w:firstColumn="1" w:lastColumn="0" w:oddVBand="0" w:evenVBand="0" w:oddHBand="0" w:evenHBand="0" w:firstRowFirstColumn="0" w:firstRowLastColumn="0" w:lastRowFirstColumn="0" w:lastRowLastColumn="0"/>
            <w:tcW w:w="3119" w:type="dxa"/>
          </w:tcPr>
          <w:p w14:paraId="240D68F8" w14:textId="77777777" w:rsidR="00C424E5" w:rsidRDefault="00C424E5">
            <w:r>
              <w:t>Receivables and contract assets</w:t>
            </w:r>
          </w:p>
        </w:tc>
        <w:tc>
          <w:tcPr>
            <w:tcW w:w="567" w:type="dxa"/>
          </w:tcPr>
          <w:p w14:paraId="3180BE5F"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848" w:type="dxa"/>
          </w:tcPr>
          <w:p w14:paraId="331418E8" w14:textId="77777777" w:rsidR="00C424E5" w:rsidRDefault="00C424E5">
            <w:pPr>
              <w:cnfStyle w:val="000000000000" w:firstRow="0" w:lastRow="0" w:firstColumn="0" w:lastColumn="0" w:oddVBand="0" w:evenVBand="0" w:oddHBand="0" w:evenHBand="0" w:firstRowFirstColumn="0" w:firstRowLastColumn="0" w:lastRowFirstColumn="0" w:lastRowLastColumn="0"/>
            </w:pPr>
            <w:r>
              <w:t>8 615</w:t>
            </w:r>
          </w:p>
        </w:tc>
        <w:tc>
          <w:tcPr>
            <w:tcW w:w="794" w:type="dxa"/>
          </w:tcPr>
          <w:p w14:paraId="250C4051" w14:textId="77777777" w:rsidR="00C424E5" w:rsidRDefault="00C424E5">
            <w:pPr>
              <w:cnfStyle w:val="000000000000" w:firstRow="0" w:lastRow="0" w:firstColumn="0" w:lastColumn="0" w:oddVBand="0" w:evenVBand="0" w:oddHBand="0" w:evenHBand="0" w:firstRowFirstColumn="0" w:firstRowLastColumn="0" w:lastRowFirstColumn="0" w:lastRowLastColumn="0"/>
            </w:pPr>
            <w:r>
              <w:t>7 918</w:t>
            </w:r>
          </w:p>
        </w:tc>
        <w:tc>
          <w:tcPr>
            <w:tcW w:w="794" w:type="dxa"/>
          </w:tcPr>
          <w:p w14:paraId="620C3A91" w14:textId="77777777" w:rsidR="00C424E5" w:rsidRDefault="00C424E5">
            <w:pPr>
              <w:cnfStyle w:val="000000000000" w:firstRow="0" w:lastRow="0" w:firstColumn="0" w:lastColumn="0" w:oddVBand="0" w:evenVBand="0" w:oddHBand="0" w:evenHBand="0" w:firstRowFirstColumn="0" w:firstRowLastColumn="0" w:lastRowFirstColumn="0" w:lastRowLastColumn="0"/>
            </w:pPr>
            <w:r>
              <w:t>8 220</w:t>
            </w:r>
          </w:p>
        </w:tc>
        <w:tc>
          <w:tcPr>
            <w:tcW w:w="794" w:type="dxa"/>
          </w:tcPr>
          <w:p w14:paraId="0A2FB009" w14:textId="77777777" w:rsidR="00C424E5" w:rsidRDefault="00C424E5">
            <w:pPr>
              <w:cnfStyle w:val="000000000000" w:firstRow="0" w:lastRow="0" w:firstColumn="0" w:lastColumn="0" w:oddVBand="0" w:evenVBand="0" w:oddHBand="0" w:evenHBand="0" w:firstRowFirstColumn="0" w:firstRowLastColumn="0" w:lastRowFirstColumn="0" w:lastRowLastColumn="0"/>
            </w:pPr>
            <w:r>
              <w:t>8 508</w:t>
            </w:r>
          </w:p>
        </w:tc>
        <w:tc>
          <w:tcPr>
            <w:tcW w:w="794" w:type="dxa"/>
          </w:tcPr>
          <w:p w14:paraId="6280F733" w14:textId="77777777" w:rsidR="00C424E5" w:rsidRDefault="00C424E5">
            <w:pPr>
              <w:cnfStyle w:val="000000000000" w:firstRow="0" w:lastRow="0" w:firstColumn="0" w:lastColumn="0" w:oddVBand="0" w:evenVBand="0" w:oddHBand="0" w:evenHBand="0" w:firstRowFirstColumn="0" w:firstRowLastColumn="0" w:lastRowFirstColumn="0" w:lastRowLastColumn="0"/>
            </w:pPr>
            <w:r>
              <w:t>8 868</w:t>
            </w:r>
          </w:p>
        </w:tc>
      </w:tr>
      <w:tr w:rsidR="00C424E5" w14:paraId="72170AC1" w14:textId="77777777" w:rsidTr="00D53200">
        <w:tc>
          <w:tcPr>
            <w:cnfStyle w:val="001000000000" w:firstRow="0" w:lastRow="0" w:firstColumn="1" w:lastColumn="0" w:oddVBand="0" w:evenVBand="0" w:oddHBand="0" w:evenHBand="0" w:firstRowFirstColumn="0" w:firstRowLastColumn="0" w:lastRowFirstColumn="0" w:lastRowLastColumn="0"/>
            <w:tcW w:w="3119" w:type="dxa"/>
          </w:tcPr>
          <w:p w14:paraId="54DA65EE" w14:textId="77777777" w:rsidR="00C424E5" w:rsidRDefault="00C424E5">
            <w:r>
              <w:t>Investments, loans and placements</w:t>
            </w:r>
          </w:p>
        </w:tc>
        <w:tc>
          <w:tcPr>
            <w:tcW w:w="567" w:type="dxa"/>
          </w:tcPr>
          <w:p w14:paraId="59853453"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r>
              <w:t>3.5.2</w:t>
            </w:r>
          </w:p>
        </w:tc>
        <w:tc>
          <w:tcPr>
            <w:tcW w:w="848" w:type="dxa"/>
          </w:tcPr>
          <w:p w14:paraId="66353E53" w14:textId="77777777" w:rsidR="00C424E5" w:rsidRDefault="00C424E5">
            <w:pPr>
              <w:cnfStyle w:val="000000000000" w:firstRow="0" w:lastRow="0" w:firstColumn="0" w:lastColumn="0" w:oddVBand="0" w:evenVBand="0" w:oddHBand="0" w:evenHBand="0" w:firstRowFirstColumn="0" w:firstRowLastColumn="0" w:lastRowFirstColumn="0" w:lastRowLastColumn="0"/>
            </w:pPr>
            <w:r>
              <w:t>9 651</w:t>
            </w:r>
          </w:p>
        </w:tc>
        <w:tc>
          <w:tcPr>
            <w:tcW w:w="794" w:type="dxa"/>
          </w:tcPr>
          <w:p w14:paraId="23A4DEC1" w14:textId="77777777" w:rsidR="00C424E5" w:rsidRDefault="00C424E5">
            <w:pPr>
              <w:cnfStyle w:val="000000000000" w:firstRow="0" w:lastRow="0" w:firstColumn="0" w:lastColumn="0" w:oddVBand="0" w:evenVBand="0" w:oddHBand="0" w:evenHBand="0" w:firstRowFirstColumn="0" w:firstRowLastColumn="0" w:lastRowFirstColumn="0" w:lastRowLastColumn="0"/>
            </w:pPr>
            <w:r>
              <w:t>12 549</w:t>
            </w:r>
          </w:p>
        </w:tc>
        <w:tc>
          <w:tcPr>
            <w:tcW w:w="794" w:type="dxa"/>
          </w:tcPr>
          <w:p w14:paraId="07025B79" w14:textId="77777777" w:rsidR="00C424E5" w:rsidRDefault="00C424E5">
            <w:pPr>
              <w:cnfStyle w:val="000000000000" w:firstRow="0" w:lastRow="0" w:firstColumn="0" w:lastColumn="0" w:oddVBand="0" w:evenVBand="0" w:oddHBand="0" w:evenHBand="0" w:firstRowFirstColumn="0" w:firstRowLastColumn="0" w:lastRowFirstColumn="0" w:lastRowLastColumn="0"/>
            </w:pPr>
            <w:r>
              <w:t>13 844</w:t>
            </w:r>
          </w:p>
        </w:tc>
        <w:tc>
          <w:tcPr>
            <w:tcW w:w="794" w:type="dxa"/>
          </w:tcPr>
          <w:p w14:paraId="007BDDC5" w14:textId="77777777" w:rsidR="00C424E5" w:rsidRDefault="00C424E5">
            <w:pPr>
              <w:cnfStyle w:val="000000000000" w:firstRow="0" w:lastRow="0" w:firstColumn="0" w:lastColumn="0" w:oddVBand="0" w:evenVBand="0" w:oddHBand="0" w:evenHBand="0" w:firstRowFirstColumn="0" w:firstRowLastColumn="0" w:lastRowFirstColumn="0" w:lastRowLastColumn="0"/>
            </w:pPr>
            <w:r>
              <w:t>15 443</w:t>
            </w:r>
          </w:p>
        </w:tc>
        <w:tc>
          <w:tcPr>
            <w:tcW w:w="794" w:type="dxa"/>
          </w:tcPr>
          <w:p w14:paraId="2AF77382" w14:textId="77777777" w:rsidR="00C424E5" w:rsidRDefault="00C424E5">
            <w:pPr>
              <w:cnfStyle w:val="000000000000" w:firstRow="0" w:lastRow="0" w:firstColumn="0" w:lastColumn="0" w:oddVBand="0" w:evenVBand="0" w:oddHBand="0" w:evenHBand="0" w:firstRowFirstColumn="0" w:firstRowLastColumn="0" w:lastRowFirstColumn="0" w:lastRowLastColumn="0"/>
            </w:pPr>
            <w:r>
              <w:t>17 411</w:t>
            </w:r>
          </w:p>
        </w:tc>
      </w:tr>
      <w:tr w:rsidR="00C424E5" w14:paraId="4642FAA7" w14:textId="77777777" w:rsidTr="00D53200">
        <w:tc>
          <w:tcPr>
            <w:cnfStyle w:val="001000000000" w:firstRow="0" w:lastRow="0" w:firstColumn="1" w:lastColumn="0" w:oddVBand="0" w:evenVBand="0" w:oddHBand="0" w:evenHBand="0" w:firstRowFirstColumn="0" w:firstRowLastColumn="0" w:lastRowFirstColumn="0" w:lastRowLastColumn="0"/>
            <w:tcW w:w="3119" w:type="dxa"/>
          </w:tcPr>
          <w:p w14:paraId="79049338" w14:textId="77777777" w:rsidR="00C424E5" w:rsidRDefault="00C424E5">
            <w:r>
              <w:t>Investments accounted for using equity method</w:t>
            </w:r>
          </w:p>
        </w:tc>
        <w:tc>
          <w:tcPr>
            <w:tcW w:w="567" w:type="dxa"/>
          </w:tcPr>
          <w:p w14:paraId="3F90D2BD"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848" w:type="dxa"/>
          </w:tcPr>
          <w:p w14:paraId="31F17F31" w14:textId="77777777" w:rsidR="00C424E5" w:rsidRDefault="00C424E5">
            <w:pPr>
              <w:cnfStyle w:val="000000000000" w:firstRow="0" w:lastRow="0" w:firstColumn="0" w:lastColumn="0" w:oddVBand="0" w:evenVBand="0" w:oddHBand="0" w:evenHBand="0" w:firstRowFirstColumn="0" w:firstRowLastColumn="0" w:lastRowFirstColumn="0" w:lastRowLastColumn="0"/>
            </w:pPr>
            <w:r>
              <w:t>10</w:t>
            </w:r>
          </w:p>
        </w:tc>
        <w:tc>
          <w:tcPr>
            <w:tcW w:w="794" w:type="dxa"/>
          </w:tcPr>
          <w:p w14:paraId="18A94F2C" w14:textId="77777777" w:rsidR="00C424E5" w:rsidRDefault="00C424E5">
            <w:pPr>
              <w:cnfStyle w:val="000000000000" w:firstRow="0" w:lastRow="0" w:firstColumn="0" w:lastColumn="0" w:oddVBand="0" w:evenVBand="0" w:oddHBand="0" w:evenHBand="0" w:firstRowFirstColumn="0" w:firstRowLastColumn="0" w:lastRowFirstColumn="0" w:lastRowLastColumn="0"/>
            </w:pPr>
            <w:r>
              <w:t>1 219</w:t>
            </w:r>
          </w:p>
        </w:tc>
        <w:tc>
          <w:tcPr>
            <w:tcW w:w="794" w:type="dxa"/>
          </w:tcPr>
          <w:p w14:paraId="324F12B1" w14:textId="77777777" w:rsidR="00C424E5" w:rsidRDefault="00C424E5">
            <w:pPr>
              <w:cnfStyle w:val="000000000000" w:firstRow="0" w:lastRow="0" w:firstColumn="0" w:lastColumn="0" w:oddVBand="0" w:evenVBand="0" w:oddHBand="0" w:evenHBand="0" w:firstRowFirstColumn="0" w:firstRowLastColumn="0" w:lastRowFirstColumn="0" w:lastRowLastColumn="0"/>
            </w:pPr>
            <w:r>
              <w:t>1 219</w:t>
            </w:r>
          </w:p>
        </w:tc>
        <w:tc>
          <w:tcPr>
            <w:tcW w:w="794" w:type="dxa"/>
          </w:tcPr>
          <w:p w14:paraId="1E8CE3A0" w14:textId="77777777" w:rsidR="00C424E5" w:rsidRDefault="00C424E5">
            <w:pPr>
              <w:cnfStyle w:val="000000000000" w:firstRow="0" w:lastRow="0" w:firstColumn="0" w:lastColumn="0" w:oddVBand="0" w:evenVBand="0" w:oddHBand="0" w:evenHBand="0" w:firstRowFirstColumn="0" w:firstRowLastColumn="0" w:lastRowFirstColumn="0" w:lastRowLastColumn="0"/>
            </w:pPr>
            <w:r>
              <w:t>1 428</w:t>
            </w:r>
          </w:p>
        </w:tc>
        <w:tc>
          <w:tcPr>
            <w:tcW w:w="794" w:type="dxa"/>
          </w:tcPr>
          <w:p w14:paraId="1E052401" w14:textId="77777777" w:rsidR="00C424E5" w:rsidRDefault="00C424E5">
            <w:pPr>
              <w:cnfStyle w:val="000000000000" w:firstRow="0" w:lastRow="0" w:firstColumn="0" w:lastColumn="0" w:oddVBand="0" w:evenVBand="0" w:oddHBand="0" w:evenHBand="0" w:firstRowFirstColumn="0" w:firstRowLastColumn="0" w:lastRowFirstColumn="0" w:lastRowLastColumn="0"/>
            </w:pPr>
            <w:r>
              <w:t>1 428</w:t>
            </w:r>
          </w:p>
        </w:tc>
      </w:tr>
      <w:tr w:rsidR="00C424E5" w14:paraId="159C4012" w14:textId="77777777" w:rsidTr="00D53200">
        <w:tc>
          <w:tcPr>
            <w:cnfStyle w:val="001000000000" w:firstRow="0" w:lastRow="0" w:firstColumn="1" w:lastColumn="0" w:oddVBand="0" w:evenVBand="0" w:oddHBand="0" w:evenHBand="0" w:firstRowFirstColumn="0" w:firstRowLastColumn="0" w:lastRowFirstColumn="0" w:lastRowLastColumn="0"/>
            <w:tcW w:w="3119" w:type="dxa"/>
            <w:tcBorders>
              <w:bottom w:val="single" w:sz="6" w:space="0" w:color="auto"/>
            </w:tcBorders>
          </w:tcPr>
          <w:p w14:paraId="1296ACAA" w14:textId="77777777" w:rsidR="00C424E5" w:rsidRDefault="00C424E5">
            <w:r>
              <w:t>Investments in other sector entities</w:t>
            </w:r>
          </w:p>
        </w:tc>
        <w:tc>
          <w:tcPr>
            <w:tcW w:w="567" w:type="dxa"/>
            <w:tcBorders>
              <w:bottom w:val="single" w:sz="6" w:space="0" w:color="auto"/>
            </w:tcBorders>
          </w:tcPr>
          <w:p w14:paraId="396AC0FD"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r>
              <w:t>3.6.1</w:t>
            </w:r>
          </w:p>
        </w:tc>
        <w:tc>
          <w:tcPr>
            <w:tcW w:w="848" w:type="dxa"/>
            <w:tcBorders>
              <w:bottom w:val="single" w:sz="6" w:space="0" w:color="auto"/>
            </w:tcBorders>
          </w:tcPr>
          <w:p w14:paraId="4F7A6B79" w14:textId="77777777" w:rsidR="00C424E5" w:rsidRDefault="00C424E5">
            <w:pPr>
              <w:cnfStyle w:val="000000000000" w:firstRow="0" w:lastRow="0" w:firstColumn="0" w:lastColumn="0" w:oddVBand="0" w:evenVBand="0" w:oddHBand="0" w:evenHBand="0" w:firstRowFirstColumn="0" w:firstRowLastColumn="0" w:lastRowFirstColumn="0" w:lastRowLastColumn="0"/>
            </w:pPr>
            <w:r>
              <w:t>92 092</w:t>
            </w:r>
          </w:p>
        </w:tc>
        <w:tc>
          <w:tcPr>
            <w:tcW w:w="794" w:type="dxa"/>
            <w:tcBorders>
              <w:bottom w:val="single" w:sz="6" w:space="0" w:color="auto"/>
            </w:tcBorders>
          </w:tcPr>
          <w:p w14:paraId="2679D853" w14:textId="77777777" w:rsidR="00C424E5" w:rsidRDefault="00C424E5">
            <w:pPr>
              <w:cnfStyle w:val="000000000000" w:firstRow="0" w:lastRow="0" w:firstColumn="0" w:lastColumn="0" w:oddVBand="0" w:evenVBand="0" w:oddHBand="0" w:evenHBand="0" w:firstRowFirstColumn="0" w:firstRowLastColumn="0" w:lastRowFirstColumn="0" w:lastRowLastColumn="0"/>
            </w:pPr>
            <w:r>
              <w:t>91 378</w:t>
            </w:r>
          </w:p>
        </w:tc>
        <w:tc>
          <w:tcPr>
            <w:tcW w:w="794" w:type="dxa"/>
            <w:tcBorders>
              <w:bottom w:val="single" w:sz="6" w:space="0" w:color="auto"/>
            </w:tcBorders>
          </w:tcPr>
          <w:p w14:paraId="2B6CBA0D" w14:textId="77777777" w:rsidR="00C424E5" w:rsidRDefault="00C424E5">
            <w:pPr>
              <w:cnfStyle w:val="000000000000" w:firstRow="0" w:lastRow="0" w:firstColumn="0" w:lastColumn="0" w:oddVBand="0" w:evenVBand="0" w:oddHBand="0" w:evenHBand="0" w:firstRowFirstColumn="0" w:firstRowLastColumn="0" w:lastRowFirstColumn="0" w:lastRowLastColumn="0"/>
            </w:pPr>
            <w:r>
              <w:t>93 338</w:t>
            </w:r>
          </w:p>
        </w:tc>
        <w:tc>
          <w:tcPr>
            <w:tcW w:w="794" w:type="dxa"/>
            <w:tcBorders>
              <w:bottom w:val="single" w:sz="6" w:space="0" w:color="auto"/>
            </w:tcBorders>
          </w:tcPr>
          <w:p w14:paraId="052A4CA8" w14:textId="77777777" w:rsidR="00C424E5" w:rsidRDefault="00C424E5">
            <w:pPr>
              <w:cnfStyle w:val="000000000000" w:firstRow="0" w:lastRow="0" w:firstColumn="0" w:lastColumn="0" w:oddVBand="0" w:evenVBand="0" w:oddHBand="0" w:evenHBand="0" w:firstRowFirstColumn="0" w:firstRowLastColumn="0" w:lastRowFirstColumn="0" w:lastRowLastColumn="0"/>
            </w:pPr>
            <w:r>
              <w:t>98 559</w:t>
            </w:r>
          </w:p>
        </w:tc>
        <w:tc>
          <w:tcPr>
            <w:tcW w:w="794" w:type="dxa"/>
            <w:tcBorders>
              <w:bottom w:val="single" w:sz="6" w:space="0" w:color="auto"/>
            </w:tcBorders>
          </w:tcPr>
          <w:p w14:paraId="42CB8AE5" w14:textId="77777777" w:rsidR="00C424E5" w:rsidRDefault="00C424E5">
            <w:pPr>
              <w:cnfStyle w:val="000000000000" w:firstRow="0" w:lastRow="0" w:firstColumn="0" w:lastColumn="0" w:oddVBand="0" w:evenVBand="0" w:oddHBand="0" w:evenHBand="0" w:firstRowFirstColumn="0" w:firstRowLastColumn="0" w:lastRowFirstColumn="0" w:lastRowLastColumn="0"/>
            </w:pPr>
            <w:r>
              <w:t>101 851</w:t>
            </w:r>
          </w:p>
        </w:tc>
      </w:tr>
      <w:tr w:rsidR="00C424E5" w14:paraId="4E8F29C3" w14:textId="77777777" w:rsidTr="00D53200">
        <w:tc>
          <w:tcPr>
            <w:cnfStyle w:val="001000000000" w:firstRow="0" w:lastRow="0" w:firstColumn="1" w:lastColumn="0" w:oddVBand="0" w:evenVBand="0" w:oddHBand="0" w:evenHBand="0" w:firstRowFirstColumn="0" w:firstRowLastColumn="0" w:lastRowFirstColumn="0" w:lastRowLastColumn="0"/>
            <w:tcW w:w="3119" w:type="dxa"/>
            <w:tcBorders>
              <w:top w:val="single" w:sz="6" w:space="0" w:color="auto"/>
              <w:bottom w:val="single" w:sz="6" w:space="0" w:color="auto"/>
            </w:tcBorders>
          </w:tcPr>
          <w:p w14:paraId="2652B3F4" w14:textId="77777777" w:rsidR="00C424E5" w:rsidRDefault="00C424E5">
            <w:r>
              <w:rPr>
                <w:b/>
              </w:rPr>
              <w:t>Total financial assets</w:t>
            </w:r>
          </w:p>
        </w:tc>
        <w:tc>
          <w:tcPr>
            <w:tcW w:w="567" w:type="dxa"/>
            <w:tcBorders>
              <w:top w:val="single" w:sz="6" w:space="0" w:color="auto"/>
              <w:bottom w:val="single" w:sz="6" w:space="0" w:color="auto"/>
            </w:tcBorders>
          </w:tcPr>
          <w:p w14:paraId="4DCE6112"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848" w:type="dxa"/>
            <w:tcBorders>
              <w:top w:val="single" w:sz="6" w:space="0" w:color="auto"/>
              <w:bottom w:val="single" w:sz="6" w:space="0" w:color="auto"/>
            </w:tcBorders>
          </w:tcPr>
          <w:p w14:paraId="016EC9AF"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126 366</w:t>
            </w:r>
          </w:p>
        </w:tc>
        <w:tc>
          <w:tcPr>
            <w:tcW w:w="794" w:type="dxa"/>
            <w:tcBorders>
              <w:top w:val="single" w:sz="6" w:space="0" w:color="auto"/>
              <w:bottom w:val="single" w:sz="6" w:space="0" w:color="auto"/>
            </w:tcBorders>
          </w:tcPr>
          <w:p w14:paraId="123BDF65"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129 292</w:t>
            </w:r>
          </w:p>
        </w:tc>
        <w:tc>
          <w:tcPr>
            <w:tcW w:w="794" w:type="dxa"/>
            <w:tcBorders>
              <w:top w:val="single" w:sz="6" w:space="0" w:color="auto"/>
              <w:bottom w:val="single" w:sz="6" w:space="0" w:color="auto"/>
            </w:tcBorders>
          </w:tcPr>
          <w:p w14:paraId="1DF5EE9A"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134 472</w:t>
            </w:r>
          </w:p>
        </w:tc>
        <w:tc>
          <w:tcPr>
            <w:tcW w:w="794" w:type="dxa"/>
            <w:tcBorders>
              <w:top w:val="single" w:sz="6" w:space="0" w:color="auto"/>
              <w:bottom w:val="single" w:sz="6" w:space="0" w:color="auto"/>
            </w:tcBorders>
          </w:tcPr>
          <w:p w14:paraId="7ECF3ECE"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142 146</w:t>
            </w:r>
          </w:p>
        </w:tc>
        <w:tc>
          <w:tcPr>
            <w:tcW w:w="794" w:type="dxa"/>
            <w:tcBorders>
              <w:top w:val="single" w:sz="6" w:space="0" w:color="auto"/>
              <w:bottom w:val="single" w:sz="6" w:space="0" w:color="auto"/>
            </w:tcBorders>
          </w:tcPr>
          <w:p w14:paraId="6FA95783"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148 281</w:t>
            </w:r>
          </w:p>
        </w:tc>
      </w:tr>
      <w:tr w:rsidR="00C424E5" w14:paraId="07E1F45F" w14:textId="77777777" w:rsidTr="00D53200">
        <w:tc>
          <w:tcPr>
            <w:cnfStyle w:val="001000000000" w:firstRow="0" w:lastRow="0" w:firstColumn="1" w:lastColumn="0" w:oddVBand="0" w:evenVBand="0" w:oddHBand="0" w:evenHBand="0" w:firstRowFirstColumn="0" w:firstRowLastColumn="0" w:lastRowFirstColumn="0" w:lastRowLastColumn="0"/>
            <w:tcW w:w="3119" w:type="dxa"/>
            <w:tcBorders>
              <w:top w:val="single" w:sz="6" w:space="0" w:color="auto"/>
            </w:tcBorders>
          </w:tcPr>
          <w:p w14:paraId="6541EA57" w14:textId="77777777" w:rsidR="00C424E5" w:rsidRDefault="00C424E5">
            <w:r>
              <w:rPr>
                <w:b/>
              </w:rPr>
              <w:t>Non</w:t>
            </w:r>
            <w:r>
              <w:rPr>
                <w:b/>
              </w:rPr>
              <w:noBreakHyphen/>
              <w:t>financial assets</w:t>
            </w:r>
          </w:p>
        </w:tc>
        <w:tc>
          <w:tcPr>
            <w:tcW w:w="567" w:type="dxa"/>
            <w:tcBorders>
              <w:top w:val="single" w:sz="6" w:space="0" w:color="auto"/>
            </w:tcBorders>
          </w:tcPr>
          <w:p w14:paraId="2CC7F6E7"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848" w:type="dxa"/>
            <w:tcBorders>
              <w:top w:val="single" w:sz="6" w:space="0" w:color="auto"/>
            </w:tcBorders>
          </w:tcPr>
          <w:p w14:paraId="0E57D9F5"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5B513DE8"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56C0C612"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C7B83BF"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6979FCBE"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0BD80CFF" w14:textId="77777777" w:rsidTr="00D53200">
        <w:tc>
          <w:tcPr>
            <w:cnfStyle w:val="001000000000" w:firstRow="0" w:lastRow="0" w:firstColumn="1" w:lastColumn="0" w:oddVBand="0" w:evenVBand="0" w:oddHBand="0" w:evenHBand="0" w:firstRowFirstColumn="0" w:firstRowLastColumn="0" w:lastRowFirstColumn="0" w:lastRowLastColumn="0"/>
            <w:tcW w:w="3119" w:type="dxa"/>
          </w:tcPr>
          <w:p w14:paraId="026890D8" w14:textId="77777777" w:rsidR="00C424E5" w:rsidRDefault="00C424E5">
            <w:r>
              <w:t>Inventories</w:t>
            </w:r>
          </w:p>
        </w:tc>
        <w:tc>
          <w:tcPr>
            <w:tcW w:w="567" w:type="dxa"/>
          </w:tcPr>
          <w:p w14:paraId="00896805"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848" w:type="dxa"/>
          </w:tcPr>
          <w:p w14:paraId="3268281D" w14:textId="77777777" w:rsidR="00C424E5" w:rsidRDefault="00C424E5">
            <w:pPr>
              <w:cnfStyle w:val="000000000000" w:firstRow="0" w:lastRow="0" w:firstColumn="0" w:lastColumn="0" w:oddVBand="0" w:evenVBand="0" w:oddHBand="0" w:evenHBand="0" w:firstRowFirstColumn="0" w:firstRowLastColumn="0" w:lastRowFirstColumn="0" w:lastRowLastColumn="0"/>
            </w:pPr>
            <w:r>
              <w:t>870</w:t>
            </w:r>
          </w:p>
        </w:tc>
        <w:tc>
          <w:tcPr>
            <w:tcW w:w="794" w:type="dxa"/>
          </w:tcPr>
          <w:p w14:paraId="60D7B605" w14:textId="77777777" w:rsidR="00C424E5" w:rsidRDefault="00C424E5">
            <w:pPr>
              <w:cnfStyle w:val="000000000000" w:firstRow="0" w:lastRow="0" w:firstColumn="0" w:lastColumn="0" w:oddVBand="0" w:evenVBand="0" w:oddHBand="0" w:evenHBand="0" w:firstRowFirstColumn="0" w:firstRowLastColumn="0" w:lastRowFirstColumn="0" w:lastRowLastColumn="0"/>
            </w:pPr>
            <w:r>
              <w:t>753</w:t>
            </w:r>
          </w:p>
        </w:tc>
        <w:tc>
          <w:tcPr>
            <w:tcW w:w="794" w:type="dxa"/>
          </w:tcPr>
          <w:p w14:paraId="4E6ED48A" w14:textId="77777777" w:rsidR="00C424E5" w:rsidRDefault="00C424E5">
            <w:pPr>
              <w:cnfStyle w:val="000000000000" w:firstRow="0" w:lastRow="0" w:firstColumn="0" w:lastColumn="0" w:oddVBand="0" w:evenVBand="0" w:oddHBand="0" w:evenHBand="0" w:firstRowFirstColumn="0" w:firstRowLastColumn="0" w:lastRowFirstColumn="0" w:lastRowLastColumn="0"/>
            </w:pPr>
            <w:r>
              <w:t>476</w:t>
            </w:r>
          </w:p>
        </w:tc>
        <w:tc>
          <w:tcPr>
            <w:tcW w:w="794" w:type="dxa"/>
          </w:tcPr>
          <w:p w14:paraId="0CDC97E4" w14:textId="77777777" w:rsidR="00C424E5" w:rsidRDefault="00C424E5">
            <w:pPr>
              <w:cnfStyle w:val="000000000000" w:firstRow="0" w:lastRow="0" w:firstColumn="0" w:lastColumn="0" w:oddVBand="0" w:evenVBand="0" w:oddHBand="0" w:evenHBand="0" w:firstRowFirstColumn="0" w:firstRowLastColumn="0" w:lastRowFirstColumn="0" w:lastRowLastColumn="0"/>
            </w:pPr>
            <w:r>
              <w:t>252</w:t>
            </w:r>
          </w:p>
        </w:tc>
        <w:tc>
          <w:tcPr>
            <w:tcW w:w="794" w:type="dxa"/>
          </w:tcPr>
          <w:p w14:paraId="05BBAC92" w14:textId="77777777" w:rsidR="00C424E5" w:rsidRDefault="00C424E5">
            <w:pPr>
              <w:cnfStyle w:val="000000000000" w:firstRow="0" w:lastRow="0" w:firstColumn="0" w:lastColumn="0" w:oddVBand="0" w:evenVBand="0" w:oddHBand="0" w:evenHBand="0" w:firstRowFirstColumn="0" w:firstRowLastColumn="0" w:lastRowFirstColumn="0" w:lastRowLastColumn="0"/>
            </w:pPr>
            <w:r>
              <w:t>256</w:t>
            </w:r>
          </w:p>
        </w:tc>
      </w:tr>
      <w:tr w:rsidR="00C424E5" w14:paraId="007EDCC2" w14:textId="77777777" w:rsidTr="00D53200">
        <w:tc>
          <w:tcPr>
            <w:cnfStyle w:val="001000000000" w:firstRow="0" w:lastRow="0" w:firstColumn="1" w:lastColumn="0" w:oddVBand="0" w:evenVBand="0" w:oddHBand="0" w:evenHBand="0" w:firstRowFirstColumn="0" w:firstRowLastColumn="0" w:lastRowFirstColumn="0" w:lastRowLastColumn="0"/>
            <w:tcW w:w="3119" w:type="dxa"/>
          </w:tcPr>
          <w:p w14:paraId="7A774FB3" w14:textId="77777777" w:rsidR="00C424E5" w:rsidRDefault="00C424E5">
            <w:r>
              <w:t>Non</w:t>
            </w:r>
            <w:r>
              <w:noBreakHyphen/>
              <w:t>financial assets held for sale</w:t>
            </w:r>
          </w:p>
        </w:tc>
        <w:tc>
          <w:tcPr>
            <w:tcW w:w="567" w:type="dxa"/>
          </w:tcPr>
          <w:p w14:paraId="4E3987A7"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848" w:type="dxa"/>
          </w:tcPr>
          <w:p w14:paraId="1015F4CD" w14:textId="77777777" w:rsidR="00C424E5" w:rsidRDefault="00C424E5">
            <w:pPr>
              <w:cnfStyle w:val="000000000000" w:firstRow="0" w:lastRow="0" w:firstColumn="0" w:lastColumn="0" w:oddVBand="0" w:evenVBand="0" w:oddHBand="0" w:evenHBand="0" w:firstRowFirstColumn="0" w:firstRowLastColumn="0" w:lastRowFirstColumn="0" w:lastRowLastColumn="0"/>
            </w:pPr>
            <w:r>
              <w:t>159</w:t>
            </w:r>
          </w:p>
        </w:tc>
        <w:tc>
          <w:tcPr>
            <w:tcW w:w="794" w:type="dxa"/>
          </w:tcPr>
          <w:p w14:paraId="355D1BDD" w14:textId="77777777" w:rsidR="00C424E5" w:rsidRDefault="00C424E5">
            <w:pPr>
              <w:cnfStyle w:val="000000000000" w:firstRow="0" w:lastRow="0" w:firstColumn="0" w:lastColumn="0" w:oddVBand="0" w:evenVBand="0" w:oddHBand="0" w:evenHBand="0" w:firstRowFirstColumn="0" w:firstRowLastColumn="0" w:lastRowFirstColumn="0" w:lastRowLastColumn="0"/>
            </w:pPr>
            <w:r>
              <w:t>187</w:t>
            </w:r>
          </w:p>
        </w:tc>
        <w:tc>
          <w:tcPr>
            <w:tcW w:w="794" w:type="dxa"/>
          </w:tcPr>
          <w:p w14:paraId="5002BA63" w14:textId="77777777" w:rsidR="00C424E5" w:rsidRDefault="00C424E5">
            <w:pPr>
              <w:cnfStyle w:val="000000000000" w:firstRow="0" w:lastRow="0" w:firstColumn="0" w:lastColumn="0" w:oddVBand="0" w:evenVBand="0" w:oddHBand="0" w:evenHBand="0" w:firstRowFirstColumn="0" w:firstRowLastColumn="0" w:lastRowFirstColumn="0" w:lastRowLastColumn="0"/>
            </w:pPr>
            <w:r>
              <w:t>161</w:t>
            </w:r>
          </w:p>
        </w:tc>
        <w:tc>
          <w:tcPr>
            <w:tcW w:w="794" w:type="dxa"/>
          </w:tcPr>
          <w:p w14:paraId="13B53E49" w14:textId="77777777" w:rsidR="00C424E5" w:rsidRDefault="00C424E5">
            <w:pPr>
              <w:cnfStyle w:val="000000000000" w:firstRow="0" w:lastRow="0" w:firstColumn="0" w:lastColumn="0" w:oddVBand="0" w:evenVBand="0" w:oddHBand="0" w:evenHBand="0" w:firstRowFirstColumn="0" w:firstRowLastColumn="0" w:lastRowFirstColumn="0" w:lastRowLastColumn="0"/>
            </w:pPr>
            <w:r>
              <w:t>133</w:t>
            </w:r>
          </w:p>
        </w:tc>
        <w:tc>
          <w:tcPr>
            <w:tcW w:w="794" w:type="dxa"/>
          </w:tcPr>
          <w:p w14:paraId="2B233396" w14:textId="77777777" w:rsidR="00C424E5" w:rsidRDefault="00C424E5">
            <w:pPr>
              <w:cnfStyle w:val="000000000000" w:firstRow="0" w:lastRow="0" w:firstColumn="0" w:lastColumn="0" w:oddVBand="0" w:evenVBand="0" w:oddHBand="0" w:evenHBand="0" w:firstRowFirstColumn="0" w:firstRowLastColumn="0" w:lastRowFirstColumn="0" w:lastRowLastColumn="0"/>
            </w:pPr>
            <w:r>
              <w:t>127</w:t>
            </w:r>
          </w:p>
        </w:tc>
      </w:tr>
      <w:tr w:rsidR="00C424E5" w14:paraId="148EA546" w14:textId="77777777" w:rsidTr="00D53200">
        <w:tc>
          <w:tcPr>
            <w:cnfStyle w:val="001000000000" w:firstRow="0" w:lastRow="0" w:firstColumn="1" w:lastColumn="0" w:oddVBand="0" w:evenVBand="0" w:oddHBand="0" w:evenHBand="0" w:firstRowFirstColumn="0" w:firstRowLastColumn="0" w:lastRowFirstColumn="0" w:lastRowLastColumn="0"/>
            <w:tcW w:w="3119" w:type="dxa"/>
          </w:tcPr>
          <w:p w14:paraId="1DE7BB19" w14:textId="77777777" w:rsidR="00C424E5" w:rsidRDefault="00C424E5">
            <w:r>
              <w:t>Land, buildings, infrastructure, plant and equipment</w:t>
            </w:r>
          </w:p>
        </w:tc>
        <w:tc>
          <w:tcPr>
            <w:tcW w:w="567" w:type="dxa"/>
          </w:tcPr>
          <w:p w14:paraId="5E015F89"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r>
              <w:t>3.4.1</w:t>
            </w:r>
          </w:p>
        </w:tc>
        <w:tc>
          <w:tcPr>
            <w:tcW w:w="848" w:type="dxa"/>
          </w:tcPr>
          <w:p w14:paraId="75BAEB9D" w14:textId="77777777" w:rsidR="00C424E5" w:rsidRDefault="00C424E5">
            <w:pPr>
              <w:cnfStyle w:val="000000000000" w:firstRow="0" w:lastRow="0" w:firstColumn="0" w:lastColumn="0" w:oddVBand="0" w:evenVBand="0" w:oddHBand="0" w:evenHBand="0" w:firstRowFirstColumn="0" w:firstRowLastColumn="0" w:lastRowFirstColumn="0" w:lastRowLastColumn="0"/>
            </w:pPr>
            <w:r>
              <w:t>235 585</w:t>
            </w:r>
          </w:p>
        </w:tc>
        <w:tc>
          <w:tcPr>
            <w:tcW w:w="794" w:type="dxa"/>
          </w:tcPr>
          <w:p w14:paraId="1EEDCA4B" w14:textId="77777777" w:rsidR="00C424E5" w:rsidRDefault="00C424E5">
            <w:pPr>
              <w:cnfStyle w:val="000000000000" w:firstRow="0" w:lastRow="0" w:firstColumn="0" w:lastColumn="0" w:oddVBand="0" w:evenVBand="0" w:oddHBand="0" w:evenHBand="0" w:firstRowFirstColumn="0" w:firstRowLastColumn="0" w:lastRowFirstColumn="0" w:lastRowLastColumn="0"/>
            </w:pPr>
            <w:r>
              <w:t>235 982</w:t>
            </w:r>
          </w:p>
        </w:tc>
        <w:tc>
          <w:tcPr>
            <w:tcW w:w="794" w:type="dxa"/>
          </w:tcPr>
          <w:p w14:paraId="23765439" w14:textId="77777777" w:rsidR="00C424E5" w:rsidRDefault="00C424E5">
            <w:pPr>
              <w:cnfStyle w:val="000000000000" w:firstRow="0" w:lastRow="0" w:firstColumn="0" w:lastColumn="0" w:oddVBand="0" w:evenVBand="0" w:oddHBand="0" w:evenHBand="0" w:firstRowFirstColumn="0" w:firstRowLastColumn="0" w:lastRowFirstColumn="0" w:lastRowLastColumn="0"/>
            </w:pPr>
            <w:r>
              <w:t>250 701</w:t>
            </w:r>
          </w:p>
        </w:tc>
        <w:tc>
          <w:tcPr>
            <w:tcW w:w="794" w:type="dxa"/>
          </w:tcPr>
          <w:p w14:paraId="0D89D24C" w14:textId="77777777" w:rsidR="00C424E5" w:rsidRDefault="00C424E5">
            <w:pPr>
              <w:cnfStyle w:val="000000000000" w:firstRow="0" w:lastRow="0" w:firstColumn="0" w:lastColumn="0" w:oddVBand="0" w:evenVBand="0" w:oddHBand="0" w:evenHBand="0" w:firstRowFirstColumn="0" w:firstRowLastColumn="0" w:lastRowFirstColumn="0" w:lastRowLastColumn="0"/>
            </w:pPr>
            <w:r>
              <w:t>267 826</w:t>
            </w:r>
          </w:p>
        </w:tc>
        <w:tc>
          <w:tcPr>
            <w:tcW w:w="794" w:type="dxa"/>
          </w:tcPr>
          <w:p w14:paraId="7B555AF0" w14:textId="77777777" w:rsidR="00C424E5" w:rsidRDefault="00C424E5">
            <w:pPr>
              <w:cnfStyle w:val="000000000000" w:firstRow="0" w:lastRow="0" w:firstColumn="0" w:lastColumn="0" w:oddVBand="0" w:evenVBand="0" w:oddHBand="0" w:evenHBand="0" w:firstRowFirstColumn="0" w:firstRowLastColumn="0" w:lastRowFirstColumn="0" w:lastRowLastColumn="0"/>
            </w:pPr>
            <w:r>
              <w:t>266 872</w:t>
            </w:r>
          </w:p>
        </w:tc>
      </w:tr>
      <w:tr w:rsidR="00C424E5" w14:paraId="051F24CF" w14:textId="77777777" w:rsidTr="00D53200">
        <w:tc>
          <w:tcPr>
            <w:cnfStyle w:val="001000000000" w:firstRow="0" w:lastRow="0" w:firstColumn="1" w:lastColumn="0" w:oddVBand="0" w:evenVBand="0" w:oddHBand="0" w:evenHBand="0" w:firstRowFirstColumn="0" w:firstRowLastColumn="0" w:lastRowFirstColumn="0" w:lastRowLastColumn="0"/>
            <w:tcW w:w="3119" w:type="dxa"/>
            <w:tcBorders>
              <w:bottom w:val="single" w:sz="6" w:space="0" w:color="auto"/>
            </w:tcBorders>
          </w:tcPr>
          <w:p w14:paraId="3F671A1D" w14:textId="77777777" w:rsidR="00C424E5" w:rsidRDefault="00C424E5">
            <w:r>
              <w:t>Other non</w:t>
            </w:r>
            <w:r>
              <w:noBreakHyphen/>
              <w:t>financial assets</w:t>
            </w:r>
          </w:p>
        </w:tc>
        <w:tc>
          <w:tcPr>
            <w:tcW w:w="567" w:type="dxa"/>
            <w:tcBorders>
              <w:bottom w:val="single" w:sz="6" w:space="0" w:color="auto"/>
            </w:tcBorders>
          </w:tcPr>
          <w:p w14:paraId="7161A066"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r>
              <w:t>3.4.4</w:t>
            </w:r>
          </w:p>
        </w:tc>
        <w:tc>
          <w:tcPr>
            <w:tcW w:w="848" w:type="dxa"/>
            <w:tcBorders>
              <w:bottom w:val="single" w:sz="6" w:space="0" w:color="auto"/>
            </w:tcBorders>
          </w:tcPr>
          <w:p w14:paraId="49536F67" w14:textId="77777777" w:rsidR="00C424E5" w:rsidRDefault="00C424E5">
            <w:pPr>
              <w:cnfStyle w:val="000000000000" w:firstRow="0" w:lastRow="0" w:firstColumn="0" w:lastColumn="0" w:oddVBand="0" w:evenVBand="0" w:oddHBand="0" w:evenHBand="0" w:firstRowFirstColumn="0" w:firstRowLastColumn="0" w:lastRowFirstColumn="0" w:lastRowLastColumn="0"/>
            </w:pPr>
            <w:r>
              <w:t>7 178</w:t>
            </w:r>
          </w:p>
        </w:tc>
        <w:tc>
          <w:tcPr>
            <w:tcW w:w="794" w:type="dxa"/>
            <w:tcBorders>
              <w:bottom w:val="single" w:sz="6" w:space="0" w:color="auto"/>
            </w:tcBorders>
          </w:tcPr>
          <w:p w14:paraId="20E5901F" w14:textId="77777777" w:rsidR="00C424E5" w:rsidRDefault="00C424E5">
            <w:pPr>
              <w:cnfStyle w:val="000000000000" w:firstRow="0" w:lastRow="0" w:firstColumn="0" w:lastColumn="0" w:oddVBand="0" w:evenVBand="0" w:oddHBand="0" w:evenHBand="0" w:firstRowFirstColumn="0" w:firstRowLastColumn="0" w:lastRowFirstColumn="0" w:lastRowLastColumn="0"/>
            </w:pPr>
            <w:r>
              <w:t>7 342</w:t>
            </w:r>
          </w:p>
        </w:tc>
        <w:tc>
          <w:tcPr>
            <w:tcW w:w="794" w:type="dxa"/>
            <w:tcBorders>
              <w:bottom w:val="single" w:sz="6" w:space="0" w:color="auto"/>
            </w:tcBorders>
          </w:tcPr>
          <w:p w14:paraId="21D6B69A" w14:textId="77777777" w:rsidR="00C424E5" w:rsidRDefault="00C424E5">
            <w:pPr>
              <w:cnfStyle w:val="000000000000" w:firstRow="0" w:lastRow="0" w:firstColumn="0" w:lastColumn="0" w:oddVBand="0" w:evenVBand="0" w:oddHBand="0" w:evenHBand="0" w:firstRowFirstColumn="0" w:firstRowLastColumn="0" w:lastRowFirstColumn="0" w:lastRowLastColumn="0"/>
            </w:pPr>
            <w:r>
              <w:t>7 140</w:t>
            </w:r>
          </w:p>
        </w:tc>
        <w:tc>
          <w:tcPr>
            <w:tcW w:w="794" w:type="dxa"/>
            <w:tcBorders>
              <w:bottom w:val="single" w:sz="6" w:space="0" w:color="auto"/>
            </w:tcBorders>
          </w:tcPr>
          <w:p w14:paraId="4527F468" w14:textId="77777777" w:rsidR="00C424E5" w:rsidRDefault="00C424E5">
            <w:pPr>
              <w:cnfStyle w:val="000000000000" w:firstRow="0" w:lastRow="0" w:firstColumn="0" w:lastColumn="0" w:oddVBand="0" w:evenVBand="0" w:oddHBand="0" w:evenHBand="0" w:firstRowFirstColumn="0" w:firstRowLastColumn="0" w:lastRowFirstColumn="0" w:lastRowLastColumn="0"/>
            </w:pPr>
            <w:r>
              <w:t>6 917</w:t>
            </w:r>
          </w:p>
        </w:tc>
        <w:tc>
          <w:tcPr>
            <w:tcW w:w="794" w:type="dxa"/>
            <w:tcBorders>
              <w:bottom w:val="single" w:sz="6" w:space="0" w:color="auto"/>
            </w:tcBorders>
          </w:tcPr>
          <w:p w14:paraId="28D8180B" w14:textId="77777777" w:rsidR="00C424E5" w:rsidRDefault="00C424E5">
            <w:pPr>
              <w:cnfStyle w:val="000000000000" w:firstRow="0" w:lastRow="0" w:firstColumn="0" w:lastColumn="0" w:oddVBand="0" w:evenVBand="0" w:oddHBand="0" w:evenHBand="0" w:firstRowFirstColumn="0" w:firstRowLastColumn="0" w:lastRowFirstColumn="0" w:lastRowLastColumn="0"/>
            </w:pPr>
            <w:r>
              <w:t>6 669</w:t>
            </w:r>
          </w:p>
        </w:tc>
      </w:tr>
      <w:tr w:rsidR="00C424E5" w14:paraId="2506514F" w14:textId="77777777" w:rsidTr="00D53200">
        <w:tc>
          <w:tcPr>
            <w:cnfStyle w:val="001000000000" w:firstRow="0" w:lastRow="0" w:firstColumn="1" w:lastColumn="0" w:oddVBand="0" w:evenVBand="0" w:oddHBand="0" w:evenHBand="0" w:firstRowFirstColumn="0" w:firstRowLastColumn="0" w:lastRowFirstColumn="0" w:lastRowLastColumn="0"/>
            <w:tcW w:w="3119" w:type="dxa"/>
            <w:tcBorders>
              <w:top w:val="single" w:sz="6" w:space="0" w:color="auto"/>
              <w:bottom w:val="single" w:sz="6" w:space="0" w:color="auto"/>
            </w:tcBorders>
          </w:tcPr>
          <w:p w14:paraId="16D3BF44" w14:textId="77777777" w:rsidR="00C424E5" w:rsidRDefault="00C424E5">
            <w:r>
              <w:rPr>
                <w:b/>
              </w:rPr>
              <w:t>Total non</w:t>
            </w:r>
            <w:r>
              <w:rPr>
                <w:b/>
              </w:rPr>
              <w:noBreakHyphen/>
              <w:t>financial assets</w:t>
            </w:r>
          </w:p>
        </w:tc>
        <w:tc>
          <w:tcPr>
            <w:tcW w:w="567" w:type="dxa"/>
            <w:tcBorders>
              <w:top w:val="single" w:sz="6" w:space="0" w:color="auto"/>
              <w:bottom w:val="single" w:sz="6" w:space="0" w:color="auto"/>
            </w:tcBorders>
          </w:tcPr>
          <w:p w14:paraId="545D51AB"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848" w:type="dxa"/>
            <w:tcBorders>
              <w:top w:val="single" w:sz="6" w:space="0" w:color="auto"/>
              <w:bottom w:val="single" w:sz="6" w:space="0" w:color="auto"/>
            </w:tcBorders>
          </w:tcPr>
          <w:p w14:paraId="1B12EF48"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243 792</w:t>
            </w:r>
          </w:p>
        </w:tc>
        <w:tc>
          <w:tcPr>
            <w:tcW w:w="794" w:type="dxa"/>
            <w:tcBorders>
              <w:top w:val="single" w:sz="6" w:space="0" w:color="auto"/>
              <w:bottom w:val="single" w:sz="6" w:space="0" w:color="auto"/>
            </w:tcBorders>
          </w:tcPr>
          <w:p w14:paraId="40724EAF"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244 264</w:t>
            </w:r>
          </w:p>
        </w:tc>
        <w:tc>
          <w:tcPr>
            <w:tcW w:w="794" w:type="dxa"/>
            <w:tcBorders>
              <w:top w:val="single" w:sz="6" w:space="0" w:color="auto"/>
              <w:bottom w:val="single" w:sz="6" w:space="0" w:color="auto"/>
            </w:tcBorders>
          </w:tcPr>
          <w:p w14:paraId="7C416BE2"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258 478</w:t>
            </w:r>
          </w:p>
        </w:tc>
        <w:tc>
          <w:tcPr>
            <w:tcW w:w="794" w:type="dxa"/>
            <w:tcBorders>
              <w:top w:val="single" w:sz="6" w:space="0" w:color="auto"/>
              <w:bottom w:val="single" w:sz="6" w:space="0" w:color="auto"/>
            </w:tcBorders>
          </w:tcPr>
          <w:p w14:paraId="74D4B4E9"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275 128</w:t>
            </w:r>
          </w:p>
        </w:tc>
        <w:tc>
          <w:tcPr>
            <w:tcW w:w="794" w:type="dxa"/>
            <w:tcBorders>
              <w:top w:val="single" w:sz="6" w:space="0" w:color="auto"/>
              <w:bottom w:val="single" w:sz="6" w:space="0" w:color="auto"/>
            </w:tcBorders>
          </w:tcPr>
          <w:p w14:paraId="1F2D3992"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273 923</w:t>
            </w:r>
          </w:p>
        </w:tc>
      </w:tr>
      <w:tr w:rsidR="00C424E5" w14:paraId="3E0DFE52" w14:textId="77777777" w:rsidTr="00D53200">
        <w:tc>
          <w:tcPr>
            <w:cnfStyle w:val="001000000000" w:firstRow="0" w:lastRow="0" w:firstColumn="1" w:lastColumn="0" w:oddVBand="0" w:evenVBand="0" w:oddHBand="0" w:evenHBand="0" w:firstRowFirstColumn="0" w:firstRowLastColumn="0" w:lastRowFirstColumn="0" w:lastRowLastColumn="0"/>
            <w:tcW w:w="3119" w:type="dxa"/>
            <w:tcBorders>
              <w:top w:val="single" w:sz="6" w:space="0" w:color="auto"/>
            </w:tcBorders>
          </w:tcPr>
          <w:p w14:paraId="7E6A112C" w14:textId="77777777" w:rsidR="00C424E5" w:rsidRDefault="00C424E5">
            <w:r>
              <w:rPr>
                <w:b/>
              </w:rPr>
              <w:t>Total assets</w:t>
            </w:r>
          </w:p>
        </w:tc>
        <w:tc>
          <w:tcPr>
            <w:tcW w:w="567" w:type="dxa"/>
            <w:tcBorders>
              <w:top w:val="single" w:sz="6" w:space="0" w:color="auto"/>
            </w:tcBorders>
          </w:tcPr>
          <w:p w14:paraId="4621BE25"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r>
              <w:t>3.4.5</w:t>
            </w:r>
          </w:p>
        </w:tc>
        <w:tc>
          <w:tcPr>
            <w:tcW w:w="848" w:type="dxa"/>
            <w:tcBorders>
              <w:top w:val="single" w:sz="6" w:space="0" w:color="auto"/>
            </w:tcBorders>
          </w:tcPr>
          <w:p w14:paraId="17886058"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370 157</w:t>
            </w:r>
          </w:p>
        </w:tc>
        <w:tc>
          <w:tcPr>
            <w:tcW w:w="794" w:type="dxa"/>
            <w:tcBorders>
              <w:top w:val="single" w:sz="6" w:space="0" w:color="auto"/>
            </w:tcBorders>
          </w:tcPr>
          <w:p w14:paraId="65E4CDB5"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373 556</w:t>
            </w:r>
          </w:p>
        </w:tc>
        <w:tc>
          <w:tcPr>
            <w:tcW w:w="794" w:type="dxa"/>
            <w:tcBorders>
              <w:top w:val="single" w:sz="6" w:space="0" w:color="auto"/>
            </w:tcBorders>
          </w:tcPr>
          <w:p w14:paraId="15B48C5F"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392 949</w:t>
            </w:r>
          </w:p>
        </w:tc>
        <w:tc>
          <w:tcPr>
            <w:tcW w:w="794" w:type="dxa"/>
            <w:tcBorders>
              <w:top w:val="single" w:sz="6" w:space="0" w:color="auto"/>
            </w:tcBorders>
          </w:tcPr>
          <w:p w14:paraId="4A79D667"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417 274</w:t>
            </w:r>
          </w:p>
        </w:tc>
        <w:tc>
          <w:tcPr>
            <w:tcW w:w="794" w:type="dxa"/>
            <w:tcBorders>
              <w:top w:val="single" w:sz="6" w:space="0" w:color="auto"/>
            </w:tcBorders>
          </w:tcPr>
          <w:p w14:paraId="3F23089B"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422 205</w:t>
            </w:r>
          </w:p>
        </w:tc>
      </w:tr>
      <w:tr w:rsidR="00C424E5" w14:paraId="47527076" w14:textId="77777777" w:rsidTr="00D53200">
        <w:tc>
          <w:tcPr>
            <w:cnfStyle w:val="001000000000" w:firstRow="0" w:lastRow="0" w:firstColumn="1" w:lastColumn="0" w:oddVBand="0" w:evenVBand="0" w:oddHBand="0" w:evenHBand="0" w:firstRowFirstColumn="0" w:firstRowLastColumn="0" w:lastRowFirstColumn="0" w:lastRowLastColumn="0"/>
            <w:tcW w:w="3119" w:type="dxa"/>
          </w:tcPr>
          <w:p w14:paraId="39E26BBA" w14:textId="77777777" w:rsidR="00C424E5" w:rsidRDefault="00C424E5">
            <w:r>
              <w:rPr>
                <w:b/>
              </w:rPr>
              <w:t>Liabilities</w:t>
            </w:r>
          </w:p>
        </w:tc>
        <w:tc>
          <w:tcPr>
            <w:tcW w:w="567" w:type="dxa"/>
          </w:tcPr>
          <w:p w14:paraId="3E4B938A"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848" w:type="dxa"/>
          </w:tcPr>
          <w:p w14:paraId="7467EE38"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522AD96C"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50E3E078"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51274C6F"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6BAC2D4A"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72EC4F3F" w14:textId="77777777" w:rsidTr="00D53200">
        <w:tc>
          <w:tcPr>
            <w:cnfStyle w:val="001000000000" w:firstRow="0" w:lastRow="0" w:firstColumn="1" w:lastColumn="0" w:oddVBand="0" w:evenVBand="0" w:oddHBand="0" w:evenHBand="0" w:firstRowFirstColumn="0" w:firstRowLastColumn="0" w:lastRowFirstColumn="0" w:lastRowLastColumn="0"/>
            <w:tcW w:w="3119" w:type="dxa"/>
          </w:tcPr>
          <w:p w14:paraId="40B12D05" w14:textId="77777777" w:rsidR="00C424E5" w:rsidRDefault="00C424E5">
            <w:r>
              <w:t>Deposits held and advances received</w:t>
            </w:r>
          </w:p>
        </w:tc>
        <w:tc>
          <w:tcPr>
            <w:tcW w:w="567" w:type="dxa"/>
          </w:tcPr>
          <w:p w14:paraId="6818DD99"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848" w:type="dxa"/>
          </w:tcPr>
          <w:p w14:paraId="1CFA2D0C" w14:textId="77777777" w:rsidR="00C424E5" w:rsidRDefault="00C424E5">
            <w:pPr>
              <w:cnfStyle w:val="000000000000" w:firstRow="0" w:lastRow="0" w:firstColumn="0" w:lastColumn="0" w:oddVBand="0" w:evenVBand="0" w:oddHBand="0" w:evenHBand="0" w:firstRowFirstColumn="0" w:firstRowLastColumn="0" w:lastRowFirstColumn="0" w:lastRowLastColumn="0"/>
            </w:pPr>
            <w:r>
              <w:t>1 383</w:t>
            </w:r>
          </w:p>
        </w:tc>
        <w:tc>
          <w:tcPr>
            <w:tcW w:w="794" w:type="dxa"/>
          </w:tcPr>
          <w:p w14:paraId="449EDF81" w14:textId="77777777" w:rsidR="00C424E5" w:rsidRDefault="00C424E5">
            <w:pPr>
              <w:cnfStyle w:val="000000000000" w:firstRow="0" w:lastRow="0" w:firstColumn="0" w:lastColumn="0" w:oddVBand="0" w:evenVBand="0" w:oddHBand="0" w:evenHBand="0" w:firstRowFirstColumn="0" w:firstRowLastColumn="0" w:lastRowFirstColumn="0" w:lastRowLastColumn="0"/>
            </w:pPr>
            <w:r>
              <w:t>1 386</w:t>
            </w:r>
          </w:p>
        </w:tc>
        <w:tc>
          <w:tcPr>
            <w:tcW w:w="794" w:type="dxa"/>
          </w:tcPr>
          <w:p w14:paraId="1DF12FE8" w14:textId="77777777" w:rsidR="00C424E5" w:rsidRDefault="00C424E5">
            <w:pPr>
              <w:cnfStyle w:val="000000000000" w:firstRow="0" w:lastRow="0" w:firstColumn="0" w:lastColumn="0" w:oddVBand="0" w:evenVBand="0" w:oddHBand="0" w:evenHBand="0" w:firstRowFirstColumn="0" w:firstRowLastColumn="0" w:lastRowFirstColumn="0" w:lastRowLastColumn="0"/>
            </w:pPr>
            <w:r>
              <w:t>1 402</w:t>
            </w:r>
          </w:p>
        </w:tc>
        <w:tc>
          <w:tcPr>
            <w:tcW w:w="794" w:type="dxa"/>
          </w:tcPr>
          <w:p w14:paraId="48C79B2B" w14:textId="77777777" w:rsidR="00C424E5" w:rsidRDefault="00C424E5">
            <w:pPr>
              <w:cnfStyle w:val="000000000000" w:firstRow="0" w:lastRow="0" w:firstColumn="0" w:lastColumn="0" w:oddVBand="0" w:evenVBand="0" w:oddHBand="0" w:evenHBand="0" w:firstRowFirstColumn="0" w:firstRowLastColumn="0" w:lastRowFirstColumn="0" w:lastRowLastColumn="0"/>
            </w:pPr>
            <w:r>
              <w:t>1 410</w:t>
            </w:r>
          </w:p>
        </w:tc>
        <w:tc>
          <w:tcPr>
            <w:tcW w:w="794" w:type="dxa"/>
          </w:tcPr>
          <w:p w14:paraId="2C9889D4" w14:textId="77777777" w:rsidR="00C424E5" w:rsidRDefault="00C424E5">
            <w:pPr>
              <w:cnfStyle w:val="000000000000" w:firstRow="0" w:lastRow="0" w:firstColumn="0" w:lastColumn="0" w:oddVBand="0" w:evenVBand="0" w:oddHBand="0" w:evenHBand="0" w:firstRowFirstColumn="0" w:firstRowLastColumn="0" w:lastRowFirstColumn="0" w:lastRowLastColumn="0"/>
            </w:pPr>
            <w:r>
              <w:t>1 362</w:t>
            </w:r>
          </w:p>
        </w:tc>
      </w:tr>
      <w:tr w:rsidR="00C424E5" w14:paraId="7CC98D50" w14:textId="77777777" w:rsidTr="00D53200">
        <w:tc>
          <w:tcPr>
            <w:cnfStyle w:val="001000000000" w:firstRow="0" w:lastRow="0" w:firstColumn="1" w:lastColumn="0" w:oddVBand="0" w:evenVBand="0" w:oddHBand="0" w:evenHBand="0" w:firstRowFirstColumn="0" w:firstRowLastColumn="0" w:lastRowFirstColumn="0" w:lastRowLastColumn="0"/>
            <w:tcW w:w="3119" w:type="dxa"/>
          </w:tcPr>
          <w:p w14:paraId="6EA91DCB" w14:textId="77777777" w:rsidR="00C424E5" w:rsidRDefault="00C424E5">
            <w:r>
              <w:t>Payables</w:t>
            </w:r>
          </w:p>
        </w:tc>
        <w:tc>
          <w:tcPr>
            <w:tcW w:w="567" w:type="dxa"/>
          </w:tcPr>
          <w:p w14:paraId="68E8E2F7"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r>
              <w:t>3.6.2</w:t>
            </w:r>
          </w:p>
        </w:tc>
        <w:tc>
          <w:tcPr>
            <w:tcW w:w="848" w:type="dxa"/>
          </w:tcPr>
          <w:p w14:paraId="4957FF10" w14:textId="77777777" w:rsidR="00C424E5" w:rsidRDefault="00C424E5">
            <w:pPr>
              <w:cnfStyle w:val="000000000000" w:firstRow="0" w:lastRow="0" w:firstColumn="0" w:lastColumn="0" w:oddVBand="0" w:evenVBand="0" w:oddHBand="0" w:evenHBand="0" w:firstRowFirstColumn="0" w:firstRowLastColumn="0" w:lastRowFirstColumn="0" w:lastRowLastColumn="0"/>
            </w:pPr>
            <w:r>
              <w:t>22 729</w:t>
            </w:r>
          </w:p>
        </w:tc>
        <w:tc>
          <w:tcPr>
            <w:tcW w:w="794" w:type="dxa"/>
          </w:tcPr>
          <w:p w14:paraId="4FE0E0C7" w14:textId="77777777" w:rsidR="00C424E5" w:rsidRDefault="00C424E5">
            <w:pPr>
              <w:cnfStyle w:val="000000000000" w:firstRow="0" w:lastRow="0" w:firstColumn="0" w:lastColumn="0" w:oddVBand="0" w:evenVBand="0" w:oddHBand="0" w:evenHBand="0" w:firstRowFirstColumn="0" w:firstRowLastColumn="0" w:lastRowFirstColumn="0" w:lastRowLastColumn="0"/>
            </w:pPr>
            <w:r>
              <w:t>26 416</w:t>
            </w:r>
          </w:p>
        </w:tc>
        <w:tc>
          <w:tcPr>
            <w:tcW w:w="794" w:type="dxa"/>
          </w:tcPr>
          <w:p w14:paraId="011C1594" w14:textId="77777777" w:rsidR="00C424E5" w:rsidRDefault="00C424E5">
            <w:pPr>
              <w:cnfStyle w:val="000000000000" w:firstRow="0" w:lastRow="0" w:firstColumn="0" w:lastColumn="0" w:oddVBand="0" w:evenVBand="0" w:oddHBand="0" w:evenHBand="0" w:firstRowFirstColumn="0" w:firstRowLastColumn="0" w:lastRowFirstColumn="0" w:lastRowLastColumn="0"/>
            </w:pPr>
            <w:r>
              <w:t>26 642</w:t>
            </w:r>
          </w:p>
        </w:tc>
        <w:tc>
          <w:tcPr>
            <w:tcW w:w="794" w:type="dxa"/>
          </w:tcPr>
          <w:p w14:paraId="2D7475BB" w14:textId="77777777" w:rsidR="00C424E5" w:rsidRDefault="00C424E5">
            <w:pPr>
              <w:cnfStyle w:val="000000000000" w:firstRow="0" w:lastRow="0" w:firstColumn="0" w:lastColumn="0" w:oddVBand="0" w:evenVBand="0" w:oddHBand="0" w:evenHBand="0" w:firstRowFirstColumn="0" w:firstRowLastColumn="0" w:lastRowFirstColumn="0" w:lastRowLastColumn="0"/>
            </w:pPr>
            <w:r>
              <w:t>26 110</w:t>
            </w:r>
          </w:p>
        </w:tc>
        <w:tc>
          <w:tcPr>
            <w:tcW w:w="794" w:type="dxa"/>
          </w:tcPr>
          <w:p w14:paraId="67D54BCB" w14:textId="77777777" w:rsidR="00C424E5" w:rsidRDefault="00C424E5">
            <w:pPr>
              <w:cnfStyle w:val="000000000000" w:firstRow="0" w:lastRow="0" w:firstColumn="0" w:lastColumn="0" w:oddVBand="0" w:evenVBand="0" w:oddHBand="0" w:evenHBand="0" w:firstRowFirstColumn="0" w:firstRowLastColumn="0" w:lastRowFirstColumn="0" w:lastRowLastColumn="0"/>
            </w:pPr>
            <w:r>
              <w:t>25 465</w:t>
            </w:r>
          </w:p>
        </w:tc>
      </w:tr>
      <w:tr w:rsidR="00C424E5" w14:paraId="638A73BE" w14:textId="77777777" w:rsidTr="00D53200">
        <w:tc>
          <w:tcPr>
            <w:cnfStyle w:val="001000000000" w:firstRow="0" w:lastRow="0" w:firstColumn="1" w:lastColumn="0" w:oddVBand="0" w:evenVBand="0" w:oddHBand="0" w:evenHBand="0" w:firstRowFirstColumn="0" w:firstRowLastColumn="0" w:lastRowFirstColumn="0" w:lastRowLastColumn="0"/>
            <w:tcW w:w="3119" w:type="dxa"/>
          </w:tcPr>
          <w:p w14:paraId="5B3F210F" w14:textId="77777777" w:rsidR="00C424E5" w:rsidRDefault="00C424E5">
            <w:r>
              <w:t>Contract liabilities</w:t>
            </w:r>
          </w:p>
        </w:tc>
        <w:tc>
          <w:tcPr>
            <w:tcW w:w="567" w:type="dxa"/>
          </w:tcPr>
          <w:p w14:paraId="1FE424FA"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r>
              <w:t>3.6.2</w:t>
            </w:r>
          </w:p>
        </w:tc>
        <w:tc>
          <w:tcPr>
            <w:tcW w:w="848" w:type="dxa"/>
          </w:tcPr>
          <w:p w14:paraId="0E6B4D36" w14:textId="77777777" w:rsidR="00C424E5" w:rsidRDefault="00C424E5">
            <w:pPr>
              <w:cnfStyle w:val="000000000000" w:firstRow="0" w:lastRow="0" w:firstColumn="0" w:lastColumn="0" w:oddVBand="0" w:evenVBand="0" w:oddHBand="0" w:evenHBand="0" w:firstRowFirstColumn="0" w:firstRowLastColumn="0" w:lastRowFirstColumn="0" w:lastRowLastColumn="0"/>
            </w:pPr>
            <w:r>
              <w:t>304</w:t>
            </w:r>
          </w:p>
        </w:tc>
        <w:tc>
          <w:tcPr>
            <w:tcW w:w="794" w:type="dxa"/>
          </w:tcPr>
          <w:p w14:paraId="457DC18C" w14:textId="77777777" w:rsidR="00C424E5" w:rsidRDefault="00C424E5">
            <w:pPr>
              <w:cnfStyle w:val="000000000000" w:firstRow="0" w:lastRow="0" w:firstColumn="0" w:lastColumn="0" w:oddVBand="0" w:evenVBand="0" w:oddHBand="0" w:evenHBand="0" w:firstRowFirstColumn="0" w:firstRowLastColumn="0" w:lastRowFirstColumn="0" w:lastRowLastColumn="0"/>
            </w:pPr>
            <w:r>
              <w:t>338</w:t>
            </w:r>
          </w:p>
        </w:tc>
        <w:tc>
          <w:tcPr>
            <w:tcW w:w="794" w:type="dxa"/>
          </w:tcPr>
          <w:p w14:paraId="0476E2CB" w14:textId="77777777" w:rsidR="00C424E5" w:rsidRDefault="00C424E5">
            <w:pPr>
              <w:cnfStyle w:val="000000000000" w:firstRow="0" w:lastRow="0" w:firstColumn="0" w:lastColumn="0" w:oddVBand="0" w:evenVBand="0" w:oddHBand="0" w:evenHBand="0" w:firstRowFirstColumn="0" w:firstRowLastColumn="0" w:lastRowFirstColumn="0" w:lastRowLastColumn="0"/>
            </w:pPr>
            <w:r>
              <w:t>310</w:t>
            </w:r>
          </w:p>
        </w:tc>
        <w:tc>
          <w:tcPr>
            <w:tcW w:w="794" w:type="dxa"/>
          </w:tcPr>
          <w:p w14:paraId="5FE72B6F" w14:textId="77777777" w:rsidR="00C424E5" w:rsidRDefault="00C424E5">
            <w:pPr>
              <w:cnfStyle w:val="000000000000" w:firstRow="0" w:lastRow="0" w:firstColumn="0" w:lastColumn="0" w:oddVBand="0" w:evenVBand="0" w:oddHBand="0" w:evenHBand="0" w:firstRowFirstColumn="0" w:firstRowLastColumn="0" w:lastRowFirstColumn="0" w:lastRowLastColumn="0"/>
            </w:pPr>
            <w:r>
              <w:t>297</w:t>
            </w:r>
          </w:p>
        </w:tc>
        <w:tc>
          <w:tcPr>
            <w:tcW w:w="794" w:type="dxa"/>
          </w:tcPr>
          <w:p w14:paraId="427A292D" w14:textId="77777777" w:rsidR="00C424E5" w:rsidRDefault="00C424E5">
            <w:pPr>
              <w:cnfStyle w:val="000000000000" w:firstRow="0" w:lastRow="0" w:firstColumn="0" w:lastColumn="0" w:oddVBand="0" w:evenVBand="0" w:oddHBand="0" w:evenHBand="0" w:firstRowFirstColumn="0" w:firstRowLastColumn="0" w:lastRowFirstColumn="0" w:lastRowLastColumn="0"/>
            </w:pPr>
            <w:r>
              <w:t>293</w:t>
            </w:r>
          </w:p>
        </w:tc>
      </w:tr>
      <w:tr w:rsidR="00C424E5" w14:paraId="39BAE516" w14:textId="77777777" w:rsidTr="00D53200">
        <w:tc>
          <w:tcPr>
            <w:cnfStyle w:val="001000000000" w:firstRow="0" w:lastRow="0" w:firstColumn="1" w:lastColumn="0" w:oddVBand="0" w:evenVBand="0" w:oddHBand="0" w:evenHBand="0" w:firstRowFirstColumn="0" w:firstRowLastColumn="0" w:lastRowFirstColumn="0" w:lastRowLastColumn="0"/>
            <w:tcW w:w="3119" w:type="dxa"/>
          </w:tcPr>
          <w:p w14:paraId="51873C67" w14:textId="77777777" w:rsidR="00C424E5" w:rsidRDefault="00C424E5">
            <w:r>
              <w:t>Borrowings</w:t>
            </w:r>
          </w:p>
        </w:tc>
        <w:tc>
          <w:tcPr>
            <w:tcW w:w="567" w:type="dxa"/>
          </w:tcPr>
          <w:p w14:paraId="4C252956"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r>
              <w:t>3.5.1</w:t>
            </w:r>
          </w:p>
        </w:tc>
        <w:tc>
          <w:tcPr>
            <w:tcW w:w="848" w:type="dxa"/>
          </w:tcPr>
          <w:p w14:paraId="48AFB3FD" w14:textId="77777777" w:rsidR="00C424E5" w:rsidRDefault="00C424E5">
            <w:pPr>
              <w:cnfStyle w:val="000000000000" w:firstRow="0" w:lastRow="0" w:firstColumn="0" w:lastColumn="0" w:oddVBand="0" w:evenVBand="0" w:oddHBand="0" w:evenHBand="0" w:firstRowFirstColumn="0" w:firstRowLastColumn="0" w:lastRowFirstColumn="0" w:lastRowLastColumn="0"/>
            </w:pPr>
            <w:r>
              <w:t>140 808</w:t>
            </w:r>
          </w:p>
        </w:tc>
        <w:tc>
          <w:tcPr>
            <w:tcW w:w="794" w:type="dxa"/>
          </w:tcPr>
          <w:p w14:paraId="1798D265" w14:textId="77777777" w:rsidR="00C424E5" w:rsidRDefault="00C424E5">
            <w:pPr>
              <w:cnfStyle w:val="000000000000" w:firstRow="0" w:lastRow="0" w:firstColumn="0" w:lastColumn="0" w:oddVBand="0" w:evenVBand="0" w:oddHBand="0" w:evenHBand="0" w:firstRowFirstColumn="0" w:firstRowLastColumn="0" w:lastRowFirstColumn="0" w:lastRowLastColumn="0"/>
            </w:pPr>
            <w:r>
              <w:t>142 988</w:t>
            </w:r>
          </w:p>
        </w:tc>
        <w:tc>
          <w:tcPr>
            <w:tcW w:w="794" w:type="dxa"/>
          </w:tcPr>
          <w:p w14:paraId="5CCC2C3B" w14:textId="77777777" w:rsidR="00C424E5" w:rsidRDefault="00C424E5">
            <w:pPr>
              <w:cnfStyle w:val="000000000000" w:firstRow="0" w:lastRow="0" w:firstColumn="0" w:lastColumn="0" w:oddVBand="0" w:evenVBand="0" w:oddHBand="0" w:evenHBand="0" w:firstRowFirstColumn="0" w:firstRowLastColumn="0" w:lastRowFirstColumn="0" w:lastRowLastColumn="0"/>
            </w:pPr>
            <w:r>
              <w:t>164 246</w:t>
            </w:r>
          </w:p>
        </w:tc>
        <w:tc>
          <w:tcPr>
            <w:tcW w:w="794" w:type="dxa"/>
          </w:tcPr>
          <w:p w14:paraId="1FC9AE79" w14:textId="77777777" w:rsidR="00C424E5" w:rsidRDefault="00C424E5">
            <w:pPr>
              <w:cnfStyle w:val="000000000000" w:firstRow="0" w:lastRow="0" w:firstColumn="0" w:lastColumn="0" w:oddVBand="0" w:evenVBand="0" w:oddHBand="0" w:evenHBand="0" w:firstRowFirstColumn="0" w:firstRowLastColumn="0" w:lastRowFirstColumn="0" w:lastRowLastColumn="0"/>
            </w:pPr>
            <w:r>
              <w:t>183 681</w:t>
            </w:r>
          </w:p>
        </w:tc>
        <w:tc>
          <w:tcPr>
            <w:tcW w:w="794" w:type="dxa"/>
          </w:tcPr>
          <w:p w14:paraId="17372609" w14:textId="77777777" w:rsidR="00C424E5" w:rsidRDefault="00C424E5">
            <w:pPr>
              <w:cnfStyle w:val="000000000000" w:firstRow="0" w:lastRow="0" w:firstColumn="0" w:lastColumn="0" w:oddVBand="0" w:evenVBand="0" w:oddHBand="0" w:evenHBand="0" w:firstRowFirstColumn="0" w:firstRowLastColumn="0" w:lastRowFirstColumn="0" w:lastRowLastColumn="0"/>
            </w:pPr>
            <w:r>
              <w:t>200 158</w:t>
            </w:r>
          </w:p>
        </w:tc>
      </w:tr>
      <w:tr w:rsidR="00C424E5" w14:paraId="45285D96" w14:textId="77777777" w:rsidTr="00D53200">
        <w:tc>
          <w:tcPr>
            <w:cnfStyle w:val="001000000000" w:firstRow="0" w:lastRow="0" w:firstColumn="1" w:lastColumn="0" w:oddVBand="0" w:evenVBand="0" w:oddHBand="0" w:evenHBand="0" w:firstRowFirstColumn="0" w:firstRowLastColumn="0" w:lastRowFirstColumn="0" w:lastRowLastColumn="0"/>
            <w:tcW w:w="3119" w:type="dxa"/>
          </w:tcPr>
          <w:p w14:paraId="51F35136" w14:textId="77777777" w:rsidR="00C424E5" w:rsidRDefault="00C424E5">
            <w:r>
              <w:t>Employee benefits</w:t>
            </w:r>
          </w:p>
        </w:tc>
        <w:tc>
          <w:tcPr>
            <w:tcW w:w="567" w:type="dxa"/>
          </w:tcPr>
          <w:p w14:paraId="7E7F64BF"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r>
              <w:t>3.3.1</w:t>
            </w:r>
          </w:p>
        </w:tc>
        <w:tc>
          <w:tcPr>
            <w:tcW w:w="848" w:type="dxa"/>
          </w:tcPr>
          <w:p w14:paraId="7848F54F" w14:textId="77777777" w:rsidR="00C424E5" w:rsidRDefault="00C424E5">
            <w:pPr>
              <w:cnfStyle w:val="000000000000" w:firstRow="0" w:lastRow="0" w:firstColumn="0" w:lastColumn="0" w:oddVBand="0" w:evenVBand="0" w:oddHBand="0" w:evenHBand="0" w:firstRowFirstColumn="0" w:firstRowLastColumn="0" w:lastRowFirstColumn="0" w:lastRowLastColumn="0"/>
            </w:pPr>
            <w:r>
              <w:t>10 179</w:t>
            </w:r>
          </w:p>
        </w:tc>
        <w:tc>
          <w:tcPr>
            <w:tcW w:w="794" w:type="dxa"/>
          </w:tcPr>
          <w:p w14:paraId="21F7D6B4" w14:textId="77777777" w:rsidR="00C424E5" w:rsidRDefault="00C424E5">
            <w:pPr>
              <w:cnfStyle w:val="000000000000" w:firstRow="0" w:lastRow="0" w:firstColumn="0" w:lastColumn="0" w:oddVBand="0" w:evenVBand="0" w:oddHBand="0" w:evenHBand="0" w:firstRowFirstColumn="0" w:firstRowLastColumn="0" w:lastRowFirstColumn="0" w:lastRowLastColumn="0"/>
            </w:pPr>
            <w:r>
              <w:t>10 099</w:t>
            </w:r>
          </w:p>
        </w:tc>
        <w:tc>
          <w:tcPr>
            <w:tcW w:w="794" w:type="dxa"/>
          </w:tcPr>
          <w:p w14:paraId="3BF48CBC" w14:textId="77777777" w:rsidR="00C424E5" w:rsidRDefault="00C424E5">
            <w:pPr>
              <w:cnfStyle w:val="000000000000" w:firstRow="0" w:lastRow="0" w:firstColumn="0" w:lastColumn="0" w:oddVBand="0" w:evenVBand="0" w:oddHBand="0" w:evenHBand="0" w:firstRowFirstColumn="0" w:firstRowLastColumn="0" w:lastRowFirstColumn="0" w:lastRowLastColumn="0"/>
            </w:pPr>
            <w:r>
              <w:t>10 429</w:t>
            </w:r>
          </w:p>
        </w:tc>
        <w:tc>
          <w:tcPr>
            <w:tcW w:w="794" w:type="dxa"/>
          </w:tcPr>
          <w:p w14:paraId="2FC7DDDE" w14:textId="77777777" w:rsidR="00C424E5" w:rsidRDefault="00C424E5">
            <w:pPr>
              <w:cnfStyle w:val="000000000000" w:firstRow="0" w:lastRow="0" w:firstColumn="0" w:lastColumn="0" w:oddVBand="0" w:evenVBand="0" w:oddHBand="0" w:evenHBand="0" w:firstRowFirstColumn="0" w:firstRowLastColumn="0" w:lastRowFirstColumn="0" w:lastRowLastColumn="0"/>
            </w:pPr>
            <w:r>
              <w:t>10 766</w:t>
            </w:r>
          </w:p>
        </w:tc>
        <w:tc>
          <w:tcPr>
            <w:tcW w:w="794" w:type="dxa"/>
          </w:tcPr>
          <w:p w14:paraId="219751C3" w14:textId="77777777" w:rsidR="00C424E5" w:rsidRDefault="00C424E5">
            <w:pPr>
              <w:cnfStyle w:val="000000000000" w:firstRow="0" w:lastRow="0" w:firstColumn="0" w:lastColumn="0" w:oddVBand="0" w:evenVBand="0" w:oddHBand="0" w:evenHBand="0" w:firstRowFirstColumn="0" w:firstRowLastColumn="0" w:lastRowFirstColumn="0" w:lastRowLastColumn="0"/>
            </w:pPr>
            <w:r>
              <w:t>11 109</w:t>
            </w:r>
          </w:p>
        </w:tc>
      </w:tr>
      <w:tr w:rsidR="00C424E5" w14:paraId="409F72D8" w14:textId="77777777" w:rsidTr="00D53200">
        <w:tc>
          <w:tcPr>
            <w:cnfStyle w:val="001000000000" w:firstRow="0" w:lastRow="0" w:firstColumn="1" w:lastColumn="0" w:oddVBand="0" w:evenVBand="0" w:oddHBand="0" w:evenHBand="0" w:firstRowFirstColumn="0" w:firstRowLastColumn="0" w:lastRowFirstColumn="0" w:lastRowLastColumn="0"/>
            <w:tcW w:w="3119" w:type="dxa"/>
          </w:tcPr>
          <w:p w14:paraId="389B22BA" w14:textId="77777777" w:rsidR="00C424E5" w:rsidRDefault="00C424E5">
            <w:r>
              <w:t>Superannuation</w:t>
            </w:r>
          </w:p>
        </w:tc>
        <w:tc>
          <w:tcPr>
            <w:tcW w:w="567" w:type="dxa"/>
          </w:tcPr>
          <w:p w14:paraId="32900E3E"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r>
              <w:t>3.6.3</w:t>
            </w:r>
          </w:p>
        </w:tc>
        <w:tc>
          <w:tcPr>
            <w:tcW w:w="848" w:type="dxa"/>
          </w:tcPr>
          <w:p w14:paraId="5B7F1DBD" w14:textId="77777777" w:rsidR="00C424E5" w:rsidRDefault="00C424E5">
            <w:pPr>
              <w:cnfStyle w:val="000000000000" w:firstRow="0" w:lastRow="0" w:firstColumn="0" w:lastColumn="0" w:oddVBand="0" w:evenVBand="0" w:oddHBand="0" w:evenHBand="0" w:firstRowFirstColumn="0" w:firstRowLastColumn="0" w:lastRowFirstColumn="0" w:lastRowLastColumn="0"/>
            </w:pPr>
            <w:r>
              <w:t>19 244</w:t>
            </w:r>
          </w:p>
        </w:tc>
        <w:tc>
          <w:tcPr>
            <w:tcW w:w="794" w:type="dxa"/>
          </w:tcPr>
          <w:p w14:paraId="36A4C4DC" w14:textId="77777777" w:rsidR="00C424E5" w:rsidRDefault="00C424E5">
            <w:pPr>
              <w:cnfStyle w:val="000000000000" w:firstRow="0" w:lastRow="0" w:firstColumn="0" w:lastColumn="0" w:oddVBand="0" w:evenVBand="0" w:oddHBand="0" w:evenHBand="0" w:firstRowFirstColumn="0" w:firstRowLastColumn="0" w:lastRowFirstColumn="0" w:lastRowLastColumn="0"/>
            </w:pPr>
            <w:r>
              <w:t>17 461</w:t>
            </w:r>
          </w:p>
        </w:tc>
        <w:tc>
          <w:tcPr>
            <w:tcW w:w="794" w:type="dxa"/>
          </w:tcPr>
          <w:p w14:paraId="6A2106A8" w14:textId="77777777" w:rsidR="00C424E5" w:rsidRDefault="00C424E5">
            <w:pPr>
              <w:cnfStyle w:val="000000000000" w:firstRow="0" w:lastRow="0" w:firstColumn="0" w:lastColumn="0" w:oddVBand="0" w:evenVBand="0" w:oddHBand="0" w:evenHBand="0" w:firstRowFirstColumn="0" w:firstRowLastColumn="0" w:lastRowFirstColumn="0" w:lastRowLastColumn="0"/>
            </w:pPr>
            <w:r>
              <w:t>17 336</w:t>
            </w:r>
          </w:p>
        </w:tc>
        <w:tc>
          <w:tcPr>
            <w:tcW w:w="794" w:type="dxa"/>
          </w:tcPr>
          <w:p w14:paraId="100959F7" w14:textId="77777777" w:rsidR="00C424E5" w:rsidRDefault="00C424E5">
            <w:pPr>
              <w:cnfStyle w:val="000000000000" w:firstRow="0" w:lastRow="0" w:firstColumn="0" w:lastColumn="0" w:oddVBand="0" w:evenVBand="0" w:oddHBand="0" w:evenHBand="0" w:firstRowFirstColumn="0" w:firstRowLastColumn="0" w:lastRowFirstColumn="0" w:lastRowLastColumn="0"/>
            </w:pPr>
            <w:r>
              <w:t>16 789</w:t>
            </w:r>
          </w:p>
        </w:tc>
        <w:tc>
          <w:tcPr>
            <w:tcW w:w="794" w:type="dxa"/>
          </w:tcPr>
          <w:p w14:paraId="51CD00AB" w14:textId="77777777" w:rsidR="00C424E5" w:rsidRDefault="00C424E5">
            <w:pPr>
              <w:cnfStyle w:val="000000000000" w:firstRow="0" w:lastRow="0" w:firstColumn="0" w:lastColumn="0" w:oddVBand="0" w:evenVBand="0" w:oddHBand="0" w:evenHBand="0" w:firstRowFirstColumn="0" w:firstRowLastColumn="0" w:lastRowFirstColumn="0" w:lastRowLastColumn="0"/>
            </w:pPr>
            <w:r>
              <w:t>16 421</w:t>
            </w:r>
          </w:p>
        </w:tc>
      </w:tr>
      <w:tr w:rsidR="00C424E5" w14:paraId="474AC157" w14:textId="77777777" w:rsidTr="00D53200">
        <w:tc>
          <w:tcPr>
            <w:cnfStyle w:val="001000000000" w:firstRow="0" w:lastRow="0" w:firstColumn="1" w:lastColumn="0" w:oddVBand="0" w:evenVBand="0" w:oddHBand="0" w:evenHBand="0" w:firstRowFirstColumn="0" w:firstRowLastColumn="0" w:lastRowFirstColumn="0" w:lastRowLastColumn="0"/>
            <w:tcW w:w="3119" w:type="dxa"/>
            <w:tcBorders>
              <w:bottom w:val="single" w:sz="6" w:space="0" w:color="auto"/>
            </w:tcBorders>
          </w:tcPr>
          <w:p w14:paraId="40059053" w14:textId="77777777" w:rsidR="00C424E5" w:rsidRDefault="00C424E5">
            <w:r>
              <w:t>Other provisions</w:t>
            </w:r>
          </w:p>
        </w:tc>
        <w:tc>
          <w:tcPr>
            <w:tcW w:w="567" w:type="dxa"/>
            <w:tcBorders>
              <w:bottom w:val="single" w:sz="6" w:space="0" w:color="auto"/>
            </w:tcBorders>
          </w:tcPr>
          <w:p w14:paraId="307EA169"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848" w:type="dxa"/>
            <w:tcBorders>
              <w:bottom w:val="single" w:sz="6" w:space="0" w:color="auto"/>
            </w:tcBorders>
          </w:tcPr>
          <w:p w14:paraId="05030A25" w14:textId="77777777" w:rsidR="00C424E5" w:rsidRDefault="00C424E5">
            <w:pPr>
              <w:cnfStyle w:val="000000000000" w:firstRow="0" w:lastRow="0" w:firstColumn="0" w:lastColumn="0" w:oddVBand="0" w:evenVBand="0" w:oddHBand="0" w:evenHBand="0" w:firstRowFirstColumn="0" w:firstRowLastColumn="0" w:lastRowFirstColumn="0" w:lastRowLastColumn="0"/>
            </w:pPr>
            <w:r>
              <w:t>2 090</w:t>
            </w:r>
          </w:p>
        </w:tc>
        <w:tc>
          <w:tcPr>
            <w:tcW w:w="794" w:type="dxa"/>
            <w:tcBorders>
              <w:bottom w:val="single" w:sz="6" w:space="0" w:color="auto"/>
            </w:tcBorders>
          </w:tcPr>
          <w:p w14:paraId="60A8EE7A" w14:textId="77777777" w:rsidR="00C424E5" w:rsidRDefault="00C424E5">
            <w:pPr>
              <w:cnfStyle w:val="000000000000" w:firstRow="0" w:lastRow="0" w:firstColumn="0" w:lastColumn="0" w:oddVBand="0" w:evenVBand="0" w:oddHBand="0" w:evenHBand="0" w:firstRowFirstColumn="0" w:firstRowLastColumn="0" w:lastRowFirstColumn="0" w:lastRowLastColumn="0"/>
            </w:pPr>
            <w:r>
              <w:t>2 090</w:t>
            </w:r>
          </w:p>
        </w:tc>
        <w:tc>
          <w:tcPr>
            <w:tcW w:w="794" w:type="dxa"/>
            <w:tcBorders>
              <w:bottom w:val="single" w:sz="6" w:space="0" w:color="auto"/>
            </w:tcBorders>
          </w:tcPr>
          <w:p w14:paraId="4BD1B1A2" w14:textId="77777777" w:rsidR="00C424E5" w:rsidRDefault="00C424E5">
            <w:pPr>
              <w:cnfStyle w:val="000000000000" w:firstRow="0" w:lastRow="0" w:firstColumn="0" w:lastColumn="0" w:oddVBand="0" w:evenVBand="0" w:oddHBand="0" w:evenHBand="0" w:firstRowFirstColumn="0" w:firstRowLastColumn="0" w:lastRowFirstColumn="0" w:lastRowLastColumn="0"/>
            </w:pPr>
            <w:r>
              <w:t>2 121</w:t>
            </w:r>
          </w:p>
        </w:tc>
        <w:tc>
          <w:tcPr>
            <w:tcW w:w="794" w:type="dxa"/>
            <w:tcBorders>
              <w:bottom w:val="single" w:sz="6" w:space="0" w:color="auto"/>
            </w:tcBorders>
          </w:tcPr>
          <w:p w14:paraId="46988298" w14:textId="77777777" w:rsidR="00C424E5" w:rsidRDefault="00C424E5">
            <w:pPr>
              <w:cnfStyle w:val="000000000000" w:firstRow="0" w:lastRow="0" w:firstColumn="0" w:lastColumn="0" w:oddVBand="0" w:evenVBand="0" w:oddHBand="0" w:evenHBand="0" w:firstRowFirstColumn="0" w:firstRowLastColumn="0" w:lastRowFirstColumn="0" w:lastRowLastColumn="0"/>
            </w:pPr>
            <w:r>
              <w:t>2 204</w:t>
            </w:r>
          </w:p>
        </w:tc>
        <w:tc>
          <w:tcPr>
            <w:tcW w:w="794" w:type="dxa"/>
            <w:tcBorders>
              <w:bottom w:val="single" w:sz="6" w:space="0" w:color="auto"/>
            </w:tcBorders>
          </w:tcPr>
          <w:p w14:paraId="63D6ECE4" w14:textId="77777777" w:rsidR="00C424E5" w:rsidRDefault="00C424E5">
            <w:pPr>
              <w:cnfStyle w:val="000000000000" w:firstRow="0" w:lastRow="0" w:firstColumn="0" w:lastColumn="0" w:oddVBand="0" w:evenVBand="0" w:oddHBand="0" w:evenHBand="0" w:firstRowFirstColumn="0" w:firstRowLastColumn="0" w:lastRowFirstColumn="0" w:lastRowLastColumn="0"/>
            </w:pPr>
            <w:r>
              <w:t>2 366</w:t>
            </w:r>
          </w:p>
        </w:tc>
      </w:tr>
      <w:tr w:rsidR="00C424E5" w14:paraId="68F623AA" w14:textId="77777777" w:rsidTr="00D53200">
        <w:tc>
          <w:tcPr>
            <w:cnfStyle w:val="001000000000" w:firstRow="0" w:lastRow="0" w:firstColumn="1" w:lastColumn="0" w:oddVBand="0" w:evenVBand="0" w:oddHBand="0" w:evenHBand="0" w:firstRowFirstColumn="0" w:firstRowLastColumn="0" w:lastRowFirstColumn="0" w:lastRowLastColumn="0"/>
            <w:tcW w:w="3119" w:type="dxa"/>
            <w:tcBorders>
              <w:top w:val="single" w:sz="6" w:space="0" w:color="auto"/>
              <w:bottom w:val="single" w:sz="6" w:space="0" w:color="auto"/>
            </w:tcBorders>
          </w:tcPr>
          <w:p w14:paraId="19E810A2" w14:textId="77777777" w:rsidR="00C424E5" w:rsidRDefault="00C424E5">
            <w:r>
              <w:rPr>
                <w:b/>
              </w:rPr>
              <w:t>Total liabilities</w:t>
            </w:r>
          </w:p>
        </w:tc>
        <w:tc>
          <w:tcPr>
            <w:tcW w:w="567" w:type="dxa"/>
            <w:tcBorders>
              <w:top w:val="single" w:sz="6" w:space="0" w:color="auto"/>
              <w:bottom w:val="single" w:sz="6" w:space="0" w:color="auto"/>
            </w:tcBorders>
          </w:tcPr>
          <w:p w14:paraId="76D2CB26"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848" w:type="dxa"/>
            <w:tcBorders>
              <w:top w:val="single" w:sz="6" w:space="0" w:color="auto"/>
              <w:bottom w:val="single" w:sz="6" w:space="0" w:color="auto"/>
            </w:tcBorders>
          </w:tcPr>
          <w:p w14:paraId="0FC868C5"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196 736</w:t>
            </w:r>
          </w:p>
        </w:tc>
        <w:tc>
          <w:tcPr>
            <w:tcW w:w="794" w:type="dxa"/>
            <w:tcBorders>
              <w:top w:val="single" w:sz="6" w:space="0" w:color="auto"/>
              <w:bottom w:val="single" w:sz="6" w:space="0" w:color="auto"/>
            </w:tcBorders>
          </w:tcPr>
          <w:p w14:paraId="1667F9B4"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200 778</w:t>
            </w:r>
          </w:p>
        </w:tc>
        <w:tc>
          <w:tcPr>
            <w:tcW w:w="794" w:type="dxa"/>
            <w:tcBorders>
              <w:top w:val="single" w:sz="6" w:space="0" w:color="auto"/>
              <w:bottom w:val="single" w:sz="6" w:space="0" w:color="auto"/>
            </w:tcBorders>
          </w:tcPr>
          <w:p w14:paraId="2DE32158"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222 485</w:t>
            </w:r>
          </w:p>
        </w:tc>
        <w:tc>
          <w:tcPr>
            <w:tcW w:w="794" w:type="dxa"/>
            <w:tcBorders>
              <w:top w:val="single" w:sz="6" w:space="0" w:color="auto"/>
              <w:bottom w:val="single" w:sz="6" w:space="0" w:color="auto"/>
            </w:tcBorders>
          </w:tcPr>
          <w:p w14:paraId="7D82F439"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241 257</w:t>
            </w:r>
          </w:p>
        </w:tc>
        <w:tc>
          <w:tcPr>
            <w:tcW w:w="794" w:type="dxa"/>
            <w:tcBorders>
              <w:top w:val="single" w:sz="6" w:space="0" w:color="auto"/>
              <w:bottom w:val="single" w:sz="6" w:space="0" w:color="auto"/>
            </w:tcBorders>
          </w:tcPr>
          <w:p w14:paraId="23E024F2"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257 174</w:t>
            </w:r>
          </w:p>
        </w:tc>
      </w:tr>
      <w:tr w:rsidR="00C424E5" w14:paraId="71BE04AE" w14:textId="77777777" w:rsidTr="00D53200">
        <w:tc>
          <w:tcPr>
            <w:cnfStyle w:val="001000000000" w:firstRow="0" w:lastRow="0" w:firstColumn="1" w:lastColumn="0" w:oddVBand="0" w:evenVBand="0" w:oddHBand="0" w:evenHBand="0" w:firstRowFirstColumn="0" w:firstRowLastColumn="0" w:lastRowFirstColumn="0" w:lastRowLastColumn="0"/>
            <w:tcW w:w="3119" w:type="dxa"/>
            <w:tcBorders>
              <w:top w:val="single" w:sz="6" w:space="0" w:color="auto"/>
              <w:bottom w:val="single" w:sz="12" w:space="0" w:color="auto"/>
            </w:tcBorders>
          </w:tcPr>
          <w:p w14:paraId="45C32319" w14:textId="77777777" w:rsidR="00C424E5" w:rsidRDefault="00C424E5">
            <w:r>
              <w:rPr>
                <w:b/>
              </w:rPr>
              <w:t>Net assets</w:t>
            </w:r>
          </w:p>
        </w:tc>
        <w:tc>
          <w:tcPr>
            <w:tcW w:w="567" w:type="dxa"/>
            <w:tcBorders>
              <w:top w:val="single" w:sz="6" w:space="0" w:color="auto"/>
              <w:bottom w:val="single" w:sz="12" w:space="0" w:color="auto"/>
            </w:tcBorders>
          </w:tcPr>
          <w:p w14:paraId="6A2656F6"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848" w:type="dxa"/>
            <w:tcBorders>
              <w:top w:val="single" w:sz="6" w:space="0" w:color="auto"/>
              <w:bottom w:val="single" w:sz="12" w:space="0" w:color="auto"/>
            </w:tcBorders>
          </w:tcPr>
          <w:p w14:paraId="5BE31640"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173 421</w:t>
            </w:r>
          </w:p>
        </w:tc>
        <w:tc>
          <w:tcPr>
            <w:tcW w:w="794" w:type="dxa"/>
            <w:tcBorders>
              <w:top w:val="single" w:sz="6" w:space="0" w:color="auto"/>
              <w:bottom w:val="single" w:sz="12" w:space="0" w:color="auto"/>
            </w:tcBorders>
          </w:tcPr>
          <w:p w14:paraId="31D96AE5"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172 778</w:t>
            </w:r>
          </w:p>
        </w:tc>
        <w:tc>
          <w:tcPr>
            <w:tcW w:w="794" w:type="dxa"/>
            <w:tcBorders>
              <w:top w:val="single" w:sz="6" w:space="0" w:color="auto"/>
              <w:bottom w:val="single" w:sz="12" w:space="0" w:color="auto"/>
            </w:tcBorders>
          </w:tcPr>
          <w:p w14:paraId="7CE69E44"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170 464</w:t>
            </w:r>
          </w:p>
        </w:tc>
        <w:tc>
          <w:tcPr>
            <w:tcW w:w="794" w:type="dxa"/>
            <w:tcBorders>
              <w:top w:val="single" w:sz="6" w:space="0" w:color="auto"/>
              <w:bottom w:val="single" w:sz="12" w:space="0" w:color="auto"/>
            </w:tcBorders>
          </w:tcPr>
          <w:p w14:paraId="3652970E"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176 017</w:t>
            </w:r>
          </w:p>
        </w:tc>
        <w:tc>
          <w:tcPr>
            <w:tcW w:w="794" w:type="dxa"/>
            <w:tcBorders>
              <w:top w:val="single" w:sz="6" w:space="0" w:color="auto"/>
              <w:bottom w:val="single" w:sz="12" w:space="0" w:color="auto"/>
            </w:tcBorders>
          </w:tcPr>
          <w:p w14:paraId="1979D3C6"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165 031</w:t>
            </w:r>
          </w:p>
        </w:tc>
      </w:tr>
      <w:tr w:rsidR="00C424E5" w14:paraId="68DB8681" w14:textId="77777777" w:rsidTr="00D53200">
        <w:tc>
          <w:tcPr>
            <w:cnfStyle w:val="001000000000" w:firstRow="0" w:lastRow="0" w:firstColumn="1" w:lastColumn="0" w:oddVBand="0" w:evenVBand="0" w:oddHBand="0" w:evenHBand="0" w:firstRowFirstColumn="0" w:firstRowLastColumn="0" w:lastRowFirstColumn="0" w:lastRowLastColumn="0"/>
            <w:tcW w:w="3119" w:type="dxa"/>
            <w:tcBorders>
              <w:top w:val="single" w:sz="6" w:space="0" w:color="auto"/>
            </w:tcBorders>
          </w:tcPr>
          <w:p w14:paraId="21C6786E" w14:textId="77777777" w:rsidR="00C424E5" w:rsidRDefault="00C424E5">
            <w:r>
              <w:t>Accumulated surplus/(deficit)</w:t>
            </w:r>
          </w:p>
        </w:tc>
        <w:tc>
          <w:tcPr>
            <w:tcW w:w="567" w:type="dxa"/>
            <w:tcBorders>
              <w:top w:val="single" w:sz="6" w:space="0" w:color="auto"/>
            </w:tcBorders>
          </w:tcPr>
          <w:p w14:paraId="5606D91E"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848" w:type="dxa"/>
            <w:tcBorders>
              <w:top w:val="single" w:sz="6" w:space="0" w:color="auto"/>
            </w:tcBorders>
          </w:tcPr>
          <w:p w14:paraId="5FC446D6" w14:textId="77777777" w:rsidR="00C424E5" w:rsidRDefault="00C424E5">
            <w:pPr>
              <w:cnfStyle w:val="000000000000" w:firstRow="0" w:lastRow="0" w:firstColumn="0" w:lastColumn="0" w:oddVBand="0" w:evenVBand="0" w:oddHBand="0" w:evenHBand="0" w:firstRowFirstColumn="0" w:firstRowLastColumn="0" w:lastRowFirstColumn="0" w:lastRowLastColumn="0"/>
            </w:pPr>
            <w:r>
              <w:t>45 642</w:t>
            </w:r>
          </w:p>
        </w:tc>
        <w:tc>
          <w:tcPr>
            <w:tcW w:w="794" w:type="dxa"/>
            <w:tcBorders>
              <w:top w:val="single" w:sz="6" w:space="0" w:color="auto"/>
            </w:tcBorders>
          </w:tcPr>
          <w:p w14:paraId="07DE7203" w14:textId="77777777" w:rsidR="00C424E5" w:rsidRDefault="00C424E5">
            <w:pPr>
              <w:cnfStyle w:val="000000000000" w:firstRow="0" w:lastRow="0" w:firstColumn="0" w:lastColumn="0" w:oddVBand="0" w:evenVBand="0" w:oddHBand="0" w:evenHBand="0" w:firstRowFirstColumn="0" w:firstRowLastColumn="0" w:lastRowFirstColumn="0" w:lastRowLastColumn="0"/>
            </w:pPr>
            <w:r>
              <w:t>44 693</w:t>
            </w:r>
          </w:p>
        </w:tc>
        <w:tc>
          <w:tcPr>
            <w:tcW w:w="794" w:type="dxa"/>
            <w:tcBorders>
              <w:top w:val="single" w:sz="6" w:space="0" w:color="auto"/>
            </w:tcBorders>
          </w:tcPr>
          <w:p w14:paraId="7BC890A3" w14:textId="77777777" w:rsidR="00C424E5" w:rsidRDefault="00C424E5">
            <w:pPr>
              <w:cnfStyle w:val="000000000000" w:firstRow="0" w:lastRow="0" w:firstColumn="0" w:lastColumn="0" w:oddVBand="0" w:evenVBand="0" w:oddHBand="0" w:evenHBand="0" w:firstRowFirstColumn="0" w:firstRowLastColumn="0" w:lastRowFirstColumn="0" w:lastRowLastColumn="0"/>
            </w:pPr>
            <w:r>
              <w:t>41 440</w:t>
            </w:r>
          </w:p>
        </w:tc>
        <w:tc>
          <w:tcPr>
            <w:tcW w:w="794" w:type="dxa"/>
            <w:tcBorders>
              <w:top w:val="single" w:sz="6" w:space="0" w:color="auto"/>
            </w:tcBorders>
          </w:tcPr>
          <w:p w14:paraId="5861BC38" w14:textId="77777777" w:rsidR="00C424E5" w:rsidRDefault="00C424E5">
            <w:pPr>
              <w:cnfStyle w:val="000000000000" w:firstRow="0" w:lastRow="0" w:firstColumn="0" w:lastColumn="0" w:oddVBand="0" w:evenVBand="0" w:oddHBand="0" w:evenHBand="0" w:firstRowFirstColumn="0" w:firstRowLastColumn="0" w:lastRowFirstColumn="0" w:lastRowLastColumn="0"/>
            </w:pPr>
            <w:r>
              <w:t>41 183</w:t>
            </w:r>
          </w:p>
        </w:tc>
        <w:tc>
          <w:tcPr>
            <w:tcW w:w="794" w:type="dxa"/>
            <w:tcBorders>
              <w:top w:val="single" w:sz="6" w:space="0" w:color="auto"/>
            </w:tcBorders>
          </w:tcPr>
          <w:p w14:paraId="387E85B0" w14:textId="77777777" w:rsidR="00C424E5" w:rsidRDefault="00C424E5">
            <w:pPr>
              <w:cnfStyle w:val="000000000000" w:firstRow="0" w:lastRow="0" w:firstColumn="0" w:lastColumn="0" w:oddVBand="0" w:evenVBand="0" w:oddHBand="0" w:evenHBand="0" w:firstRowFirstColumn="0" w:firstRowLastColumn="0" w:lastRowFirstColumn="0" w:lastRowLastColumn="0"/>
            </w:pPr>
            <w:r>
              <w:t>42 971</w:t>
            </w:r>
          </w:p>
        </w:tc>
      </w:tr>
      <w:tr w:rsidR="00C424E5" w14:paraId="76FB32FD" w14:textId="77777777" w:rsidTr="00D53200">
        <w:tc>
          <w:tcPr>
            <w:cnfStyle w:val="001000000000" w:firstRow="0" w:lastRow="0" w:firstColumn="1" w:lastColumn="0" w:oddVBand="0" w:evenVBand="0" w:oddHBand="0" w:evenHBand="0" w:firstRowFirstColumn="0" w:firstRowLastColumn="0" w:lastRowFirstColumn="0" w:lastRowLastColumn="0"/>
            <w:tcW w:w="3119" w:type="dxa"/>
            <w:tcBorders>
              <w:bottom w:val="single" w:sz="6" w:space="0" w:color="auto"/>
            </w:tcBorders>
          </w:tcPr>
          <w:p w14:paraId="48C3ED56" w14:textId="77777777" w:rsidR="00C424E5" w:rsidRDefault="00C424E5">
            <w:r>
              <w:t>Reserves</w:t>
            </w:r>
          </w:p>
        </w:tc>
        <w:tc>
          <w:tcPr>
            <w:tcW w:w="567" w:type="dxa"/>
            <w:tcBorders>
              <w:bottom w:val="single" w:sz="6" w:space="0" w:color="auto"/>
            </w:tcBorders>
          </w:tcPr>
          <w:p w14:paraId="1F74DA5B"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848" w:type="dxa"/>
            <w:tcBorders>
              <w:bottom w:val="single" w:sz="6" w:space="0" w:color="auto"/>
            </w:tcBorders>
          </w:tcPr>
          <w:p w14:paraId="60E98DED" w14:textId="77777777" w:rsidR="00C424E5" w:rsidRDefault="00C424E5">
            <w:pPr>
              <w:cnfStyle w:val="000000000000" w:firstRow="0" w:lastRow="0" w:firstColumn="0" w:lastColumn="0" w:oddVBand="0" w:evenVBand="0" w:oddHBand="0" w:evenHBand="0" w:firstRowFirstColumn="0" w:firstRowLastColumn="0" w:lastRowFirstColumn="0" w:lastRowLastColumn="0"/>
            </w:pPr>
            <w:r>
              <w:t>127 779</w:t>
            </w:r>
          </w:p>
        </w:tc>
        <w:tc>
          <w:tcPr>
            <w:tcW w:w="794" w:type="dxa"/>
            <w:tcBorders>
              <w:bottom w:val="single" w:sz="6" w:space="0" w:color="auto"/>
            </w:tcBorders>
          </w:tcPr>
          <w:p w14:paraId="7AF6B820" w14:textId="77777777" w:rsidR="00C424E5" w:rsidRDefault="00C424E5">
            <w:pPr>
              <w:cnfStyle w:val="000000000000" w:firstRow="0" w:lastRow="0" w:firstColumn="0" w:lastColumn="0" w:oddVBand="0" w:evenVBand="0" w:oddHBand="0" w:evenHBand="0" w:firstRowFirstColumn="0" w:firstRowLastColumn="0" w:lastRowFirstColumn="0" w:lastRowLastColumn="0"/>
            </w:pPr>
            <w:r>
              <w:t>128 085</w:t>
            </w:r>
          </w:p>
        </w:tc>
        <w:tc>
          <w:tcPr>
            <w:tcW w:w="794" w:type="dxa"/>
            <w:tcBorders>
              <w:bottom w:val="single" w:sz="6" w:space="0" w:color="auto"/>
            </w:tcBorders>
          </w:tcPr>
          <w:p w14:paraId="6602AD91" w14:textId="77777777" w:rsidR="00C424E5" w:rsidRDefault="00C424E5">
            <w:pPr>
              <w:cnfStyle w:val="000000000000" w:firstRow="0" w:lastRow="0" w:firstColumn="0" w:lastColumn="0" w:oddVBand="0" w:evenVBand="0" w:oddHBand="0" w:evenHBand="0" w:firstRowFirstColumn="0" w:firstRowLastColumn="0" w:lastRowFirstColumn="0" w:lastRowLastColumn="0"/>
            </w:pPr>
            <w:r>
              <w:t>129 024</w:t>
            </w:r>
          </w:p>
        </w:tc>
        <w:tc>
          <w:tcPr>
            <w:tcW w:w="794" w:type="dxa"/>
            <w:tcBorders>
              <w:bottom w:val="single" w:sz="6" w:space="0" w:color="auto"/>
            </w:tcBorders>
          </w:tcPr>
          <w:p w14:paraId="0FC97CF4" w14:textId="77777777" w:rsidR="00C424E5" w:rsidRDefault="00C424E5">
            <w:pPr>
              <w:cnfStyle w:val="000000000000" w:firstRow="0" w:lastRow="0" w:firstColumn="0" w:lastColumn="0" w:oddVBand="0" w:evenVBand="0" w:oddHBand="0" w:evenHBand="0" w:firstRowFirstColumn="0" w:firstRowLastColumn="0" w:lastRowFirstColumn="0" w:lastRowLastColumn="0"/>
            </w:pPr>
            <w:r>
              <w:t>134 834</w:t>
            </w:r>
          </w:p>
        </w:tc>
        <w:tc>
          <w:tcPr>
            <w:tcW w:w="794" w:type="dxa"/>
            <w:tcBorders>
              <w:bottom w:val="single" w:sz="6" w:space="0" w:color="auto"/>
            </w:tcBorders>
          </w:tcPr>
          <w:p w14:paraId="3FCB57FC" w14:textId="77777777" w:rsidR="00C424E5" w:rsidRDefault="00C424E5">
            <w:pPr>
              <w:cnfStyle w:val="000000000000" w:firstRow="0" w:lastRow="0" w:firstColumn="0" w:lastColumn="0" w:oddVBand="0" w:evenVBand="0" w:oddHBand="0" w:evenHBand="0" w:firstRowFirstColumn="0" w:firstRowLastColumn="0" w:lastRowFirstColumn="0" w:lastRowLastColumn="0"/>
            </w:pPr>
            <w:r>
              <w:t>122 060</w:t>
            </w:r>
          </w:p>
        </w:tc>
      </w:tr>
      <w:tr w:rsidR="00C424E5" w14:paraId="6D10A18D" w14:textId="77777777" w:rsidTr="00D53200">
        <w:tc>
          <w:tcPr>
            <w:cnfStyle w:val="001000000000" w:firstRow="0" w:lastRow="0" w:firstColumn="1" w:lastColumn="0" w:oddVBand="0" w:evenVBand="0" w:oddHBand="0" w:evenHBand="0" w:firstRowFirstColumn="0" w:firstRowLastColumn="0" w:lastRowFirstColumn="0" w:lastRowLastColumn="0"/>
            <w:tcW w:w="3119" w:type="dxa"/>
            <w:tcBorders>
              <w:top w:val="single" w:sz="6" w:space="0" w:color="auto"/>
              <w:bottom w:val="single" w:sz="12" w:space="0" w:color="auto"/>
            </w:tcBorders>
          </w:tcPr>
          <w:p w14:paraId="1DE008F3" w14:textId="77777777" w:rsidR="00C424E5" w:rsidRDefault="00C424E5">
            <w:r>
              <w:rPr>
                <w:b/>
              </w:rPr>
              <w:t>Net worth</w:t>
            </w:r>
          </w:p>
        </w:tc>
        <w:tc>
          <w:tcPr>
            <w:tcW w:w="567" w:type="dxa"/>
            <w:tcBorders>
              <w:top w:val="single" w:sz="6" w:space="0" w:color="auto"/>
              <w:bottom w:val="single" w:sz="12" w:space="0" w:color="auto"/>
            </w:tcBorders>
          </w:tcPr>
          <w:p w14:paraId="36C421A1"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848" w:type="dxa"/>
            <w:tcBorders>
              <w:top w:val="single" w:sz="6" w:space="0" w:color="auto"/>
              <w:bottom w:val="single" w:sz="12" w:space="0" w:color="auto"/>
            </w:tcBorders>
          </w:tcPr>
          <w:p w14:paraId="1D4ADEAE"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173 421</w:t>
            </w:r>
          </w:p>
        </w:tc>
        <w:tc>
          <w:tcPr>
            <w:tcW w:w="794" w:type="dxa"/>
            <w:tcBorders>
              <w:top w:val="single" w:sz="6" w:space="0" w:color="auto"/>
              <w:bottom w:val="single" w:sz="12" w:space="0" w:color="auto"/>
            </w:tcBorders>
          </w:tcPr>
          <w:p w14:paraId="5C4D6DBC"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172 778</w:t>
            </w:r>
          </w:p>
        </w:tc>
        <w:tc>
          <w:tcPr>
            <w:tcW w:w="794" w:type="dxa"/>
            <w:tcBorders>
              <w:top w:val="single" w:sz="6" w:space="0" w:color="auto"/>
              <w:bottom w:val="single" w:sz="12" w:space="0" w:color="auto"/>
            </w:tcBorders>
          </w:tcPr>
          <w:p w14:paraId="2177ABCD"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170 464</w:t>
            </w:r>
          </w:p>
        </w:tc>
        <w:tc>
          <w:tcPr>
            <w:tcW w:w="794" w:type="dxa"/>
            <w:tcBorders>
              <w:top w:val="single" w:sz="6" w:space="0" w:color="auto"/>
              <w:bottom w:val="single" w:sz="12" w:space="0" w:color="auto"/>
            </w:tcBorders>
          </w:tcPr>
          <w:p w14:paraId="07069D89"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176 017</w:t>
            </w:r>
          </w:p>
        </w:tc>
        <w:tc>
          <w:tcPr>
            <w:tcW w:w="794" w:type="dxa"/>
            <w:tcBorders>
              <w:top w:val="single" w:sz="6" w:space="0" w:color="auto"/>
              <w:bottom w:val="single" w:sz="12" w:space="0" w:color="auto"/>
            </w:tcBorders>
          </w:tcPr>
          <w:p w14:paraId="23D63DE1"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165 031</w:t>
            </w:r>
          </w:p>
        </w:tc>
      </w:tr>
      <w:tr w:rsidR="00C424E5" w14:paraId="26897B3B" w14:textId="77777777" w:rsidTr="00D53200">
        <w:trPr>
          <w:trHeight w:hRule="exact" w:val="113"/>
        </w:trPr>
        <w:tc>
          <w:tcPr>
            <w:cnfStyle w:val="001000000000" w:firstRow="0" w:lastRow="0" w:firstColumn="1" w:lastColumn="0" w:oddVBand="0" w:evenVBand="0" w:oddHBand="0" w:evenHBand="0" w:firstRowFirstColumn="0" w:firstRowLastColumn="0" w:lastRowFirstColumn="0" w:lastRowLastColumn="0"/>
            <w:tcW w:w="3119" w:type="dxa"/>
            <w:tcBorders>
              <w:top w:val="single" w:sz="6" w:space="0" w:color="auto"/>
            </w:tcBorders>
          </w:tcPr>
          <w:p w14:paraId="32127CA2" w14:textId="77777777" w:rsidR="00C424E5" w:rsidRDefault="00C424E5"/>
        </w:tc>
        <w:tc>
          <w:tcPr>
            <w:tcW w:w="567" w:type="dxa"/>
            <w:tcBorders>
              <w:top w:val="single" w:sz="6" w:space="0" w:color="auto"/>
            </w:tcBorders>
          </w:tcPr>
          <w:p w14:paraId="0A442799"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848" w:type="dxa"/>
            <w:tcBorders>
              <w:top w:val="single" w:sz="6" w:space="0" w:color="auto"/>
            </w:tcBorders>
          </w:tcPr>
          <w:p w14:paraId="73AFDCC4"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CB53048"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0E0A1559"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3E1ACFB"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3B5F51E"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370F8C0C" w14:textId="77777777" w:rsidTr="00D53200">
        <w:tc>
          <w:tcPr>
            <w:cnfStyle w:val="001000000000" w:firstRow="0" w:lastRow="0" w:firstColumn="1" w:lastColumn="0" w:oddVBand="0" w:evenVBand="0" w:oddHBand="0" w:evenHBand="0" w:firstRowFirstColumn="0" w:firstRowLastColumn="0" w:lastRowFirstColumn="0" w:lastRowLastColumn="0"/>
            <w:tcW w:w="3119" w:type="dxa"/>
          </w:tcPr>
          <w:p w14:paraId="03495FAD" w14:textId="77777777" w:rsidR="00C424E5" w:rsidRDefault="00C424E5">
            <w:r>
              <w:rPr>
                <w:b/>
              </w:rPr>
              <w:t>FISCAL AGGREGATES</w:t>
            </w:r>
            <w:r>
              <w:rPr>
                <w:b/>
                <w:vertAlign w:val="superscript"/>
              </w:rPr>
              <w:t xml:space="preserve"> (b)</w:t>
            </w:r>
          </w:p>
        </w:tc>
        <w:tc>
          <w:tcPr>
            <w:tcW w:w="567" w:type="dxa"/>
          </w:tcPr>
          <w:p w14:paraId="30E83023"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848" w:type="dxa"/>
          </w:tcPr>
          <w:p w14:paraId="568B82B6"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41226259"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5F23CF31"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7BD062FD"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04727C19"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702A4B9E" w14:textId="77777777" w:rsidTr="00D53200">
        <w:tc>
          <w:tcPr>
            <w:cnfStyle w:val="001000000000" w:firstRow="0" w:lastRow="0" w:firstColumn="1" w:lastColumn="0" w:oddVBand="0" w:evenVBand="0" w:oddHBand="0" w:evenHBand="0" w:firstRowFirstColumn="0" w:firstRowLastColumn="0" w:lastRowFirstColumn="0" w:lastRowLastColumn="0"/>
            <w:tcW w:w="3119" w:type="dxa"/>
          </w:tcPr>
          <w:p w14:paraId="6A7C6E57" w14:textId="77777777" w:rsidR="00C424E5" w:rsidRDefault="00C424E5">
            <w:r>
              <w:t>Net financial worth</w:t>
            </w:r>
          </w:p>
        </w:tc>
        <w:tc>
          <w:tcPr>
            <w:tcW w:w="567" w:type="dxa"/>
          </w:tcPr>
          <w:p w14:paraId="42A1F278"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848" w:type="dxa"/>
          </w:tcPr>
          <w:p w14:paraId="59DFD0E4" w14:textId="77777777" w:rsidR="00C424E5" w:rsidRDefault="00C424E5">
            <w:pPr>
              <w:cnfStyle w:val="000000000000" w:firstRow="0" w:lastRow="0" w:firstColumn="0" w:lastColumn="0" w:oddVBand="0" w:evenVBand="0" w:oddHBand="0" w:evenHBand="0" w:firstRowFirstColumn="0" w:firstRowLastColumn="0" w:lastRowFirstColumn="0" w:lastRowLastColumn="0"/>
            </w:pPr>
            <w:r>
              <w:t>(70 371)</w:t>
            </w:r>
          </w:p>
        </w:tc>
        <w:tc>
          <w:tcPr>
            <w:tcW w:w="794" w:type="dxa"/>
          </w:tcPr>
          <w:p w14:paraId="7A5D98DC" w14:textId="77777777" w:rsidR="00C424E5" w:rsidRDefault="00C424E5">
            <w:pPr>
              <w:cnfStyle w:val="000000000000" w:firstRow="0" w:lastRow="0" w:firstColumn="0" w:lastColumn="0" w:oddVBand="0" w:evenVBand="0" w:oddHBand="0" w:evenHBand="0" w:firstRowFirstColumn="0" w:firstRowLastColumn="0" w:lastRowFirstColumn="0" w:lastRowLastColumn="0"/>
            </w:pPr>
            <w:r>
              <w:t>(71 487)</w:t>
            </w:r>
          </w:p>
        </w:tc>
        <w:tc>
          <w:tcPr>
            <w:tcW w:w="794" w:type="dxa"/>
          </w:tcPr>
          <w:p w14:paraId="73BE2E8C" w14:textId="77777777" w:rsidR="00C424E5" w:rsidRDefault="00C424E5">
            <w:pPr>
              <w:cnfStyle w:val="000000000000" w:firstRow="0" w:lastRow="0" w:firstColumn="0" w:lastColumn="0" w:oddVBand="0" w:evenVBand="0" w:oddHBand="0" w:evenHBand="0" w:firstRowFirstColumn="0" w:firstRowLastColumn="0" w:lastRowFirstColumn="0" w:lastRowLastColumn="0"/>
            </w:pPr>
            <w:r>
              <w:t>(88 013)</w:t>
            </w:r>
          </w:p>
        </w:tc>
        <w:tc>
          <w:tcPr>
            <w:tcW w:w="794" w:type="dxa"/>
          </w:tcPr>
          <w:p w14:paraId="620CB029" w14:textId="77777777" w:rsidR="00C424E5" w:rsidRDefault="00C424E5">
            <w:pPr>
              <w:cnfStyle w:val="000000000000" w:firstRow="0" w:lastRow="0" w:firstColumn="0" w:lastColumn="0" w:oddVBand="0" w:evenVBand="0" w:oddHBand="0" w:evenHBand="0" w:firstRowFirstColumn="0" w:firstRowLastColumn="0" w:lastRowFirstColumn="0" w:lastRowLastColumn="0"/>
            </w:pPr>
            <w:r>
              <w:t>(99 111)</w:t>
            </w:r>
          </w:p>
        </w:tc>
        <w:tc>
          <w:tcPr>
            <w:tcW w:w="794" w:type="dxa"/>
          </w:tcPr>
          <w:p w14:paraId="1BCF061D" w14:textId="77777777" w:rsidR="00C424E5" w:rsidRDefault="00C424E5">
            <w:pPr>
              <w:cnfStyle w:val="000000000000" w:firstRow="0" w:lastRow="0" w:firstColumn="0" w:lastColumn="0" w:oddVBand="0" w:evenVBand="0" w:oddHBand="0" w:evenHBand="0" w:firstRowFirstColumn="0" w:firstRowLastColumn="0" w:lastRowFirstColumn="0" w:lastRowLastColumn="0"/>
            </w:pPr>
            <w:r>
              <w:t>(108 893)</w:t>
            </w:r>
          </w:p>
        </w:tc>
      </w:tr>
      <w:tr w:rsidR="00C424E5" w14:paraId="7D3ECB3B" w14:textId="77777777" w:rsidTr="00D53200">
        <w:tc>
          <w:tcPr>
            <w:cnfStyle w:val="001000000000" w:firstRow="0" w:lastRow="0" w:firstColumn="1" w:lastColumn="0" w:oddVBand="0" w:evenVBand="0" w:oddHBand="0" w:evenHBand="0" w:firstRowFirstColumn="0" w:firstRowLastColumn="0" w:lastRowFirstColumn="0" w:lastRowLastColumn="0"/>
            <w:tcW w:w="3119" w:type="dxa"/>
          </w:tcPr>
          <w:p w14:paraId="21A3D85F" w14:textId="77777777" w:rsidR="00C424E5" w:rsidRDefault="00C424E5">
            <w:r>
              <w:t>Net financial liabilities</w:t>
            </w:r>
          </w:p>
        </w:tc>
        <w:tc>
          <w:tcPr>
            <w:tcW w:w="567" w:type="dxa"/>
          </w:tcPr>
          <w:p w14:paraId="25B0849D"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848" w:type="dxa"/>
          </w:tcPr>
          <w:p w14:paraId="7FDC352D" w14:textId="77777777" w:rsidR="00C424E5" w:rsidRDefault="00C424E5">
            <w:pPr>
              <w:cnfStyle w:val="000000000000" w:firstRow="0" w:lastRow="0" w:firstColumn="0" w:lastColumn="0" w:oddVBand="0" w:evenVBand="0" w:oddHBand="0" w:evenHBand="0" w:firstRowFirstColumn="0" w:firstRowLastColumn="0" w:lastRowFirstColumn="0" w:lastRowLastColumn="0"/>
            </w:pPr>
            <w:r>
              <w:t>162 463</w:t>
            </w:r>
          </w:p>
        </w:tc>
        <w:tc>
          <w:tcPr>
            <w:tcW w:w="794" w:type="dxa"/>
          </w:tcPr>
          <w:p w14:paraId="3DF0FDC1" w14:textId="77777777" w:rsidR="00C424E5" w:rsidRDefault="00C424E5">
            <w:pPr>
              <w:cnfStyle w:val="000000000000" w:firstRow="0" w:lastRow="0" w:firstColumn="0" w:lastColumn="0" w:oddVBand="0" w:evenVBand="0" w:oddHBand="0" w:evenHBand="0" w:firstRowFirstColumn="0" w:firstRowLastColumn="0" w:lastRowFirstColumn="0" w:lastRowLastColumn="0"/>
            </w:pPr>
            <w:r>
              <w:t>162 864</w:t>
            </w:r>
          </w:p>
        </w:tc>
        <w:tc>
          <w:tcPr>
            <w:tcW w:w="794" w:type="dxa"/>
          </w:tcPr>
          <w:p w14:paraId="61439912" w14:textId="77777777" w:rsidR="00C424E5" w:rsidRDefault="00C424E5">
            <w:pPr>
              <w:cnfStyle w:val="000000000000" w:firstRow="0" w:lastRow="0" w:firstColumn="0" w:lastColumn="0" w:oddVBand="0" w:evenVBand="0" w:oddHBand="0" w:evenHBand="0" w:firstRowFirstColumn="0" w:firstRowLastColumn="0" w:lastRowFirstColumn="0" w:lastRowLastColumn="0"/>
            </w:pPr>
            <w:r>
              <w:t>181 351</w:t>
            </w:r>
          </w:p>
        </w:tc>
        <w:tc>
          <w:tcPr>
            <w:tcW w:w="794" w:type="dxa"/>
          </w:tcPr>
          <w:p w14:paraId="79543E13" w14:textId="77777777" w:rsidR="00C424E5" w:rsidRDefault="00C424E5">
            <w:pPr>
              <w:cnfStyle w:val="000000000000" w:firstRow="0" w:lastRow="0" w:firstColumn="0" w:lastColumn="0" w:oddVBand="0" w:evenVBand="0" w:oddHBand="0" w:evenHBand="0" w:firstRowFirstColumn="0" w:firstRowLastColumn="0" w:lastRowFirstColumn="0" w:lastRowLastColumn="0"/>
            </w:pPr>
            <w:r>
              <w:t>197 670</w:t>
            </w:r>
          </w:p>
        </w:tc>
        <w:tc>
          <w:tcPr>
            <w:tcW w:w="794" w:type="dxa"/>
          </w:tcPr>
          <w:p w14:paraId="2FDE4661" w14:textId="77777777" w:rsidR="00C424E5" w:rsidRDefault="00C424E5">
            <w:pPr>
              <w:cnfStyle w:val="000000000000" w:firstRow="0" w:lastRow="0" w:firstColumn="0" w:lastColumn="0" w:oddVBand="0" w:evenVBand="0" w:oddHBand="0" w:evenHBand="0" w:firstRowFirstColumn="0" w:firstRowLastColumn="0" w:lastRowFirstColumn="0" w:lastRowLastColumn="0"/>
            </w:pPr>
            <w:r>
              <w:t>210 744</w:t>
            </w:r>
          </w:p>
        </w:tc>
      </w:tr>
      <w:tr w:rsidR="00C424E5" w14:paraId="2B016C2E" w14:textId="77777777" w:rsidTr="00D53200">
        <w:tc>
          <w:tcPr>
            <w:cnfStyle w:val="001000000000" w:firstRow="0" w:lastRow="0" w:firstColumn="1" w:lastColumn="0" w:oddVBand="0" w:evenVBand="0" w:oddHBand="0" w:evenHBand="0" w:firstRowFirstColumn="0" w:firstRowLastColumn="0" w:lastRowFirstColumn="0" w:lastRowLastColumn="0"/>
            <w:tcW w:w="3119" w:type="dxa"/>
            <w:tcBorders>
              <w:bottom w:val="single" w:sz="12" w:space="0" w:color="auto"/>
            </w:tcBorders>
          </w:tcPr>
          <w:p w14:paraId="6D078806" w14:textId="77777777" w:rsidR="00C424E5" w:rsidRDefault="00C424E5">
            <w:r>
              <w:t>Net debt</w:t>
            </w:r>
          </w:p>
        </w:tc>
        <w:tc>
          <w:tcPr>
            <w:tcW w:w="567" w:type="dxa"/>
            <w:tcBorders>
              <w:bottom w:val="single" w:sz="12" w:space="0" w:color="auto"/>
            </w:tcBorders>
          </w:tcPr>
          <w:p w14:paraId="54FA361B"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848" w:type="dxa"/>
            <w:tcBorders>
              <w:bottom w:val="single" w:sz="12" w:space="0" w:color="auto"/>
            </w:tcBorders>
          </w:tcPr>
          <w:p w14:paraId="1DFA8141" w14:textId="77777777" w:rsidR="00C424E5" w:rsidRDefault="00C424E5">
            <w:pPr>
              <w:cnfStyle w:val="000000000000" w:firstRow="0" w:lastRow="0" w:firstColumn="0" w:lastColumn="0" w:oddVBand="0" w:evenVBand="0" w:oddHBand="0" w:evenHBand="0" w:firstRowFirstColumn="0" w:firstRowLastColumn="0" w:lastRowFirstColumn="0" w:lastRowLastColumn="0"/>
            </w:pPr>
            <w:r>
              <w:t>116 542</w:t>
            </w:r>
          </w:p>
        </w:tc>
        <w:tc>
          <w:tcPr>
            <w:tcW w:w="794" w:type="dxa"/>
            <w:tcBorders>
              <w:bottom w:val="single" w:sz="12" w:space="0" w:color="auto"/>
            </w:tcBorders>
          </w:tcPr>
          <w:p w14:paraId="2E3D4D1E" w14:textId="77777777" w:rsidR="00C424E5" w:rsidRDefault="00C424E5">
            <w:pPr>
              <w:cnfStyle w:val="000000000000" w:firstRow="0" w:lastRow="0" w:firstColumn="0" w:lastColumn="0" w:oddVBand="0" w:evenVBand="0" w:oddHBand="0" w:evenHBand="0" w:firstRowFirstColumn="0" w:firstRowLastColumn="0" w:lastRowFirstColumn="0" w:lastRowLastColumn="0"/>
            </w:pPr>
            <w:r>
              <w:t>115 597</w:t>
            </w:r>
          </w:p>
        </w:tc>
        <w:tc>
          <w:tcPr>
            <w:tcW w:w="794" w:type="dxa"/>
            <w:tcBorders>
              <w:bottom w:val="single" w:sz="12" w:space="0" w:color="auto"/>
            </w:tcBorders>
          </w:tcPr>
          <w:p w14:paraId="00C43BB6" w14:textId="77777777" w:rsidR="00C424E5" w:rsidRDefault="00C424E5">
            <w:pPr>
              <w:cnfStyle w:val="000000000000" w:firstRow="0" w:lastRow="0" w:firstColumn="0" w:lastColumn="0" w:oddVBand="0" w:evenVBand="0" w:oddHBand="0" w:evenHBand="0" w:firstRowFirstColumn="0" w:firstRowLastColumn="0" w:lastRowFirstColumn="0" w:lastRowLastColumn="0"/>
            </w:pPr>
            <w:r>
              <w:t>133 952</w:t>
            </w:r>
          </w:p>
        </w:tc>
        <w:tc>
          <w:tcPr>
            <w:tcW w:w="794" w:type="dxa"/>
            <w:tcBorders>
              <w:bottom w:val="single" w:sz="12" w:space="0" w:color="auto"/>
            </w:tcBorders>
          </w:tcPr>
          <w:p w14:paraId="0333775C" w14:textId="77777777" w:rsidR="00C424E5" w:rsidRDefault="00C424E5">
            <w:pPr>
              <w:cnfStyle w:val="000000000000" w:firstRow="0" w:lastRow="0" w:firstColumn="0" w:lastColumn="0" w:oddVBand="0" w:evenVBand="0" w:oddHBand="0" w:evenHBand="0" w:firstRowFirstColumn="0" w:firstRowLastColumn="0" w:lastRowFirstColumn="0" w:lastRowLastColumn="0"/>
            </w:pPr>
            <w:r>
              <w:t>151 440</w:t>
            </w:r>
          </w:p>
        </w:tc>
        <w:tc>
          <w:tcPr>
            <w:tcW w:w="794" w:type="dxa"/>
            <w:tcBorders>
              <w:bottom w:val="single" w:sz="12" w:space="0" w:color="auto"/>
            </w:tcBorders>
          </w:tcPr>
          <w:p w14:paraId="6876A76A" w14:textId="6D039F15" w:rsidR="00C424E5" w:rsidRDefault="00C424E5">
            <w:pPr>
              <w:cnfStyle w:val="000000000000" w:firstRow="0" w:lastRow="0" w:firstColumn="0" w:lastColumn="0" w:oddVBand="0" w:evenVBand="0" w:oddHBand="0" w:evenHBand="0" w:firstRowFirstColumn="0" w:firstRowLastColumn="0" w:lastRowFirstColumn="0" w:lastRowLastColumn="0"/>
            </w:pPr>
            <w:r>
              <w:t>165 386</w:t>
            </w:r>
          </w:p>
        </w:tc>
      </w:tr>
    </w:tbl>
    <w:p w14:paraId="709FE3B2" w14:textId="77777777" w:rsidR="00C424E5" w:rsidRDefault="00C424E5" w:rsidP="006206EF">
      <w:pPr>
        <w:pStyle w:val="Source"/>
        <w:ind w:left="0" w:firstLine="0"/>
      </w:pPr>
      <w:r>
        <w:t>The accompanying notes form part of these Estimated Financial Statements.</w:t>
      </w:r>
    </w:p>
    <w:p w14:paraId="40EF0C57" w14:textId="77777777" w:rsidR="00C424E5" w:rsidRPr="00A330B7" w:rsidRDefault="00C424E5" w:rsidP="00A330B7">
      <w:pPr>
        <w:pStyle w:val="Note"/>
      </w:pPr>
      <w:r w:rsidRPr="00A330B7">
        <w:t>Notes:</w:t>
      </w:r>
    </w:p>
    <w:p w14:paraId="2DB93601" w14:textId="77777777" w:rsidR="00C424E5" w:rsidRPr="00A330B7" w:rsidRDefault="00C424E5" w:rsidP="00A330B7">
      <w:pPr>
        <w:pStyle w:val="Note"/>
      </w:pPr>
      <w:r w:rsidRPr="00A330B7">
        <w:t>(a)</w:t>
      </w:r>
      <w:r w:rsidRPr="00A330B7">
        <w:tab/>
        <w:t>Balances represent actual opening balances at 1 July 2022 plus 2022-23 budgeted movements.</w:t>
      </w:r>
    </w:p>
    <w:p w14:paraId="35599A62" w14:textId="77777777" w:rsidR="00C424E5" w:rsidRPr="00A330B7" w:rsidRDefault="00C424E5" w:rsidP="00A330B7">
      <w:pPr>
        <w:pStyle w:val="Note"/>
      </w:pPr>
      <w:r w:rsidRPr="00A330B7">
        <w:t>(b)</w:t>
      </w:r>
      <w:r w:rsidRPr="00A330B7">
        <w:tab/>
        <w:t xml:space="preserve">The fiscal aggregates are defined in Note 9.9 of the </w:t>
      </w:r>
      <w:r w:rsidRPr="002516FD">
        <w:rPr>
          <w:i w:val="0"/>
          <w:iCs/>
        </w:rPr>
        <w:t>2021-22 Financial Report</w:t>
      </w:r>
      <w:r w:rsidRPr="00A330B7">
        <w:t>.</w:t>
      </w:r>
    </w:p>
    <w:p w14:paraId="49846928" w14:textId="77777777" w:rsidR="00C424E5" w:rsidRDefault="00C424E5" w:rsidP="006206EF">
      <w:pPr>
        <w:pStyle w:val="Note"/>
      </w:pPr>
    </w:p>
    <w:p w14:paraId="77C30F46" w14:textId="77777777" w:rsidR="00C424E5" w:rsidRDefault="00C424E5" w:rsidP="006206EF">
      <w:pPr>
        <w:keepLines w:val="0"/>
        <w:rPr>
          <w:rFonts w:asciiTheme="majorHAnsi" w:hAnsiTheme="majorHAnsi"/>
          <w:i/>
          <w:sz w:val="14"/>
        </w:rPr>
      </w:pPr>
      <w:r>
        <w:br w:type="page"/>
      </w:r>
    </w:p>
    <w:p w14:paraId="112DF847" w14:textId="77777777" w:rsidR="00C424E5" w:rsidRDefault="00C424E5" w:rsidP="006206EF">
      <w:pPr>
        <w:pStyle w:val="Heading10"/>
      </w:pPr>
      <w:bookmarkStart w:id="47" w:name="_Toc117586251"/>
      <w:r>
        <w:lastRenderedPageBreak/>
        <w:t xml:space="preserve">Estimated </w:t>
      </w:r>
      <w:r w:rsidRPr="00AC196B">
        <w:t>consolidated</w:t>
      </w:r>
      <w:r>
        <w:rPr>
          <w:caps w:val="0"/>
        </w:rPr>
        <w:t xml:space="preserve"> </w:t>
      </w:r>
      <w:r>
        <w:t>general government sector</w:t>
      </w:r>
      <w:r>
        <w:br/>
      </w:r>
      <w:r w:rsidRPr="007E0B75">
        <w:t>cash</w:t>
      </w:r>
      <w:r>
        <w:rPr>
          <w:caps w:val="0"/>
        </w:rPr>
        <w:t xml:space="preserve"> </w:t>
      </w:r>
      <w:r>
        <w:t>flow statement</w:t>
      </w:r>
      <w:bookmarkEnd w:id="47"/>
    </w:p>
    <w:p w14:paraId="2B9A7B69" w14:textId="77777777" w:rsidR="00C424E5" w:rsidRDefault="00C424E5" w:rsidP="006206EF">
      <w:pPr>
        <w:pStyle w:val="TableHeading"/>
      </w:pPr>
      <w:r>
        <w:t>For the financial year ended 30 June</w:t>
      </w:r>
      <w:r>
        <w:tab/>
        <w:t>($ million)</w:t>
      </w:r>
    </w:p>
    <w:tbl>
      <w:tblPr>
        <w:tblStyle w:val="DTFTableNumeric"/>
        <w:tblW w:w="7710" w:type="dxa"/>
        <w:tblLayout w:type="fixed"/>
        <w:tblLook w:val="06A0" w:firstRow="1" w:lastRow="0" w:firstColumn="1" w:lastColumn="0" w:noHBand="1" w:noVBand="1"/>
      </w:tblPr>
      <w:tblGrid>
        <w:gridCol w:w="3173"/>
        <w:gridCol w:w="567"/>
        <w:gridCol w:w="794"/>
        <w:gridCol w:w="794"/>
        <w:gridCol w:w="794"/>
        <w:gridCol w:w="794"/>
        <w:gridCol w:w="794"/>
      </w:tblGrid>
      <w:tr w:rsidR="00925B88" w14:paraId="1CD36212" w14:textId="77777777" w:rsidTr="00A836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73" w:type="dxa"/>
          </w:tcPr>
          <w:p w14:paraId="607D26C9" w14:textId="044ABFC7" w:rsidR="00925B88" w:rsidRDefault="00925B88"/>
        </w:tc>
        <w:tc>
          <w:tcPr>
            <w:tcW w:w="567" w:type="dxa"/>
          </w:tcPr>
          <w:p w14:paraId="3C45DD56" w14:textId="6B8A4768" w:rsidR="00925B88" w:rsidRDefault="00925B88" w:rsidP="00BE168B">
            <w:pPr>
              <w:jc w:val="center"/>
              <w:cnfStyle w:val="100000000000" w:firstRow="1" w:lastRow="0" w:firstColumn="0" w:lastColumn="0" w:oddVBand="0" w:evenVBand="0" w:oddHBand="0" w:evenHBand="0" w:firstRowFirstColumn="0" w:firstRowLastColumn="0" w:lastRowFirstColumn="0" w:lastRowLastColumn="0"/>
            </w:pPr>
            <w:r>
              <w:t>Notes</w:t>
            </w:r>
          </w:p>
        </w:tc>
        <w:tc>
          <w:tcPr>
            <w:tcW w:w="794" w:type="dxa"/>
          </w:tcPr>
          <w:p w14:paraId="5F4910CB" w14:textId="76442F95" w:rsidR="00925B88" w:rsidRDefault="00925B88" w:rsidP="0019475B">
            <w:pPr>
              <w:cnfStyle w:val="100000000000" w:firstRow="1" w:lastRow="0" w:firstColumn="0" w:lastColumn="0" w:oddVBand="0" w:evenVBand="0" w:oddHBand="0" w:evenHBand="0" w:firstRowFirstColumn="0" w:firstRowLastColumn="0" w:lastRowFirstColumn="0" w:lastRowLastColumn="0"/>
            </w:pPr>
            <w:r>
              <w:t>2022</w:t>
            </w:r>
            <w:r>
              <w:noBreakHyphen/>
              <w:t>23</w:t>
            </w:r>
            <w:r w:rsidR="00F70B1C">
              <w:rPr>
                <w:i w:val="0"/>
              </w:rPr>
              <w:br/>
            </w:r>
            <w:r>
              <w:t>budget</w:t>
            </w:r>
          </w:p>
        </w:tc>
        <w:tc>
          <w:tcPr>
            <w:tcW w:w="794" w:type="dxa"/>
          </w:tcPr>
          <w:p w14:paraId="111632CF" w14:textId="79F62A5D" w:rsidR="00925B88" w:rsidRDefault="00925B88" w:rsidP="00254C15">
            <w:pPr>
              <w:cnfStyle w:val="100000000000" w:firstRow="1" w:lastRow="0" w:firstColumn="0" w:lastColumn="0" w:oddVBand="0" w:evenVBand="0" w:oddHBand="0" w:evenHBand="0" w:firstRowFirstColumn="0" w:firstRowLastColumn="0" w:lastRowFirstColumn="0" w:lastRowLastColumn="0"/>
            </w:pPr>
            <w:r>
              <w:t>2022</w:t>
            </w:r>
            <w:r>
              <w:noBreakHyphen/>
              <w:t>23</w:t>
            </w:r>
            <w:r w:rsidR="00F70B1C">
              <w:rPr>
                <w:i w:val="0"/>
              </w:rPr>
              <w:br/>
            </w:r>
            <w:r>
              <w:t>revised</w:t>
            </w:r>
          </w:p>
        </w:tc>
        <w:tc>
          <w:tcPr>
            <w:tcW w:w="794" w:type="dxa"/>
          </w:tcPr>
          <w:p w14:paraId="1BA7FABB" w14:textId="45D60A14" w:rsidR="00925B88" w:rsidRDefault="00925B88" w:rsidP="001721CC">
            <w:pPr>
              <w:cnfStyle w:val="100000000000" w:firstRow="1" w:lastRow="0" w:firstColumn="0" w:lastColumn="0" w:oddVBand="0" w:evenVBand="0" w:oddHBand="0" w:evenHBand="0" w:firstRowFirstColumn="0" w:firstRowLastColumn="0" w:lastRowFirstColumn="0" w:lastRowLastColumn="0"/>
            </w:pPr>
            <w:r>
              <w:t>2023</w:t>
            </w:r>
            <w:r>
              <w:noBreakHyphen/>
              <w:t>24</w:t>
            </w:r>
            <w:r w:rsidR="00F70B1C">
              <w:rPr>
                <w:i w:val="0"/>
              </w:rPr>
              <w:br/>
            </w:r>
            <w:r>
              <w:t>estimate</w:t>
            </w:r>
          </w:p>
        </w:tc>
        <w:tc>
          <w:tcPr>
            <w:tcW w:w="794" w:type="dxa"/>
          </w:tcPr>
          <w:p w14:paraId="164A8F02" w14:textId="196498E6" w:rsidR="00925B88" w:rsidRDefault="00925B88" w:rsidP="00D92735">
            <w:pPr>
              <w:cnfStyle w:val="100000000000" w:firstRow="1" w:lastRow="0" w:firstColumn="0" w:lastColumn="0" w:oddVBand="0" w:evenVBand="0" w:oddHBand="0" w:evenHBand="0" w:firstRowFirstColumn="0" w:firstRowLastColumn="0" w:lastRowFirstColumn="0" w:lastRowLastColumn="0"/>
            </w:pPr>
            <w:r>
              <w:t>2024</w:t>
            </w:r>
            <w:r>
              <w:noBreakHyphen/>
              <w:t>25</w:t>
            </w:r>
            <w:r w:rsidR="00F70B1C">
              <w:rPr>
                <w:i w:val="0"/>
              </w:rPr>
              <w:br/>
            </w:r>
            <w:r>
              <w:t>estimate</w:t>
            </w:r>
          </w:p>
        </w:tc>
        <w:tc>
          <w:tcPr>
            <w:tcW w:w="794" w:type="dxa"/>
          </w:tcPr>
          <w:p w14:paraId="455D069C" w14:textId="1980A7AA" w:rsidR="00925B88" w:rsidRDefault="00925B88" w:rsidP="00503DC8">
            <w:pPr>
              <w:cnfStyle w:val="100000000000" w:firstRow="1" w:lastRow="0" w:firstColumn="0" w:lastColumn="0" w:oddVBand="0" w:evenVBand="0" w:oddHBand="0" w:evenHBand="0" w:firstRowFirstColumn="0" w:firstRowLastColumn="0" w:lastRowFirstColumn="0" w:lastRowLastColumn="0"/>
            </w:pPr>
            <w:r>
              <w:t>2025</w:t>
            </w:r>
            <w:r>
              <w:noBreakHyphen/>
              <w:t>26</w:t>
            </w:r>
            <w:r w:rsidR="00F70B1C">
              <w:rPr>
                <w:i w:val="0"/>
              </w:rPr>
              <w:br/>
            </w:r>
            <w:r>
              <w:t>estimate</w:t>
            </w:r>
          </w:p>
        </w:tc>
      </w:tr>
      <w:tr w:rsidR="00C424E5" w14:paraId="38F8FDC1" w14:textId="77777777">
        <w:tc>
          <w:tcPr>
            <w:cnfStyle w:val="001000000000" w:firstRow="0" w:lastRow="0" w:firstColumn="1" w:lastColumn="0" w:oddVBand="0" w:evenVBand="0" w:oddHBand="0" w:evenHBand="0" w:firstRowFirstColumn="0" w:firstRowLastColumn="0" w:lastRowFirstColumn="0" w:lastRowLastColumn="0"/>
            <w:tcW w:w="3173" w:type="dxa"/>
          </w:tcPr>
          <w:p w14:paraId="418533E9" w14:textId="77777777" w:rsidR="00C424E5" w:rsidRDefault="00C424E5">
            <w:r>
              <w:rPr>
                <w:b/>
              </w:rPr>
              <w:t>Cash flows from operating activities</w:t>
            </w:r>
          </w:p>
        </w:tc>
        <w:tc>
          <w:tcPr>
            <w:tcW w:w="567" w:type="dxa"/>
          </w:tcPr>
          <w:p w14:paraId="2E255659"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696E72F7"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4D3D5761"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454E026C"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5CBFCF6F"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4585CC3C"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20768C04" w14:textId="77777777">
        <w:tc>
          <w:tcPr>
            <w:cnfStyle w:val="001000000000" w:firstRow="0" w:lastRow="0" w:firstColumn="1" w:lastColumn="0" w:oddVBand="0" w:evenVBand="0" w:oddHBand="0" w:evenHBand="0" w:firstRowFirstColumn="0" w:firstRowLastColumn="0" w:lastRowFirstColumn="0" w:lastRowLastColumn="0"/>
            <w:tcW w:w="3173" w:type="dxa"/>
          </w:tcPr>
          <w:p w14:paraId="432B946E" w14:textId="77777777" w:rsidR="00C424E5" w:rsidRDefault="00C424E5">
            <w:r>
              <w:rPr>
                <w:b/>
              </w:rPr>
              <w:t>Receipts</w:t>
            </w:r>
          </w:p>
        </w:tc>
        <w:tc>
          <w:tcPr>
            <w:tcW w:w="567" w:type="dxa"/>
          </w:tcPr>
          <w:p w14:paraId="79EA0617"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21F8A129"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5A4B5EA9"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187B5F26"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4FFE01E8"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5E9BF799"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39031360" w14:textId="77777777">
        <w:tc>
          <w:tcPr>
            <w:cnfStyle w:val="001000000000" w:firstRow="0" w:lastRow="0" w:firstColumn="1" w:lastColumn="0" w:oddVBand="0" w:evenVBand="0" w:oddHBand="0" w:evenHBand="0" w:firstRowFirstColumn="0" w:firstRowLastColumn="0" w:lastRowFirstColumn="0" w:lastRowLastColumn="0"/>
            <w:tcW w:w="3173" w:type="dxa"/>
          </w:tcPr>
          <w:p w14:paraId="7EE62A59" w14:textId="77777777" w:rsidR="00C424E5" w:rsidRDefault="00C424E5">
            <w:r>
              <w:t>Taxes received</w:t>
            </w:r>
          </w:p>
        </w:tc>
        <w:tc>
          <w:tcPr>
            <w:tcW w:w="567" w:type="dxa"/>
          </w:tcPr>
          <w:p w14:paraId="5EF3A1AD"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438E41BD" w14:textId="77777777" w:rsidR="00C424E5" w:rsidRDefault="00C424E5">
            <w:pPr>
              <w:cnfStyle w:val="000000000000" w:firstRow="0" w:lastRow="0" w:firstColumn="0" w:lastColumn="0" w:oddVBand="0" w:evenVBand="0" w:oddHBand="0" w:evenHBand="0" w:firstRowFirstColumn="0" w:firstRowLastColumn="0" w:lastRowFirstColumn="0" w:lastRowLastColumn="0"/>
            </w:pPr>
            <w:r>
              <w:t>30 770</w:t>
            </w:r>
          </w:p>
        </w:tc>
        <w:tc>
          <w:tcPr>
            <w:tcW w:w="794" w:type="dxa"/>
          </w:tcPr>
          <w:p w14:paraId="437CCBF9" w14:textId="77777777" w:rsidR="00C424E5" w:rsidRDefault="00C424E5">
            <w:pPr>
              <w:cnfStyle w:val="000000000000" w:firstRow="0" w:lastRow="0" w:firstColumn="0" w:lastColumn="0" w:oddVBand="0" w:evenVBand="0" w:oddHBand="0" w:evenHBand="0" w:firstRowFirstColumn="0" w:firstRowLastColumn="0" w:lastRowFirstColumn="0" w:lastRowLastColumn="0"/>
            </w:pPr>
            <w:r>
              <w:t>31 426</w:t>
            </w:r>
          </w:p>
        </w:tc>
        <w:tc>
          <w:tcPr>
            <w:tcW w:w="794" w:type="dxa"/>
          </w:tcPr>
          <w:p w14:paraId="25A9E0E8" w14:textId="77777777" w:rsidR="00C424E5" w:rsidRDefault="00C424E5">
            <w:pPr>
              <w:cnfStyle w:val="000000000000" w:firstRow="0" w:lastRow="0" w:firstColumn="0" w:lastColumn="0" w:oddVBand="0" w:evenVBand="0" w:oddHBand="0" w:evenHBand="0" w:firstRowFirstColumn="0" w:firstRowLastColumn="0" w:lastRowFirstColumn="0" w:lastRowLastColumn="0"/>
            </w:pPr>
            <w:r>
              <w:t>32 465</w:t>
            </w:r>
          </w:p>
        </w:tc>
        <w:tc>
          <w:tcPr>
            <w:tcW w:w="794" w:type="dxa"/>
          </w:tcPr>
          <w:p w14:paraId="0125E8C5" w14:textId="77777777" w:rsidR="00C424E5" w:rsidRDefault="00C424E5">
            <w:pPr>
              <w:cnfStyle w:val="000000000000" w:firstRow="0" w:lastRow="0" w:firstColumn="0" w:lastColumn="0" w:oddVBand="0" w:evenVBand="0" w:oddHBand="0" w:evenHBand="0" w:firstRowFirstColumn="0" w:firstRowLastColumn="0" w:lastRowFirstColumn="0" w:lastRowLastColumn="0"/>
            </w:pPr>
            <w:r>
              <w:t>33 516</w:t>
            </w:r>
          </w:p>
        </w:tc>
        <w:tc>
          <w:tcPr>
            <w:tcW w:w="794" w:type="dxa"/>
          </w:tcPr>
          <w:p w14:paraId="265F81CB" w14:textId="77777777" w:rsidR="00C424E5" w:rsidRDefault="00C424E5">
            <w:pPr>
              <w:cnfStyle w:val="000000000000" w:firstRow="0" w:lastRow="0" w:firstColumn="0" w:lastColumn="0" w:oddVBand="0" w:evenVBand="0" w:oddHBand="0" w:evenHBand="0" w:firstRowFirstColumn="0" w:firstRowLastColumn="0" w:lastRowFirstColumn="0" w:lastRowLastColumn="0"/>
            </w:pPr>
            <w:r>
              <w:t>35 201</w:t>
            </w:r>
          </w:p>
        </w:tc>
      </w:tr>
      <w:tr w:rsidR="00C424E5" w14:paraId="4C1E6B93" w14:textId="77777777">
        <w:tc>
          <w:tcPr>
            <w:cnfStyle w:val="001000000000" w:firstRow="0" w:lastRow="0" w:firstColumn="1" w:lastColumn="0" w:oddVBand="0" w:evenVBand="0" w:oddHBand="0" w:evenHBand="0" w:firstRowFirstColumn="0" w:firstRowLastColumn="0" w:lastRowFirstColumn="0" w:lastRowLastColumn="0"/>
            <w:tcW w:w="3173" w:type="dxa"/>
          </w:tcPr>
          <w:p w14:paraId="460B2BEB" w14:textId="77777777" w:rsidR="00C424E5" w:rsidRDefault="00C424E5">
            <w:r>
              <w:t>Grants</w:t>
            </w:r>
          </w:p>
        </w:tc>
        <w:tc>
          <w:tcPr>
            <w:tcW w:w="567" w:type="dxa"/>
          </w:tcPr>
          <w:p w14:paraId="35A0B708"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719A6D85" w14:textId="77777777" w:rsidR="00C424E5" w:rsidRDefault="00C424E5">
            <w:pPr>
              <w:cnfStyle w:val="000000000000" w:firstRow="0" w:lastRow="0" w:firstColumn="0" w:lastColumn="0" w:oddVBand="0" w:evenVBand="0" w:oddHBand="0" w:evenHBand="0" w:firstRowFirstColumn="0" w:firstRowLastColumn="0" w:lastRowFirstColumn="0" w:lastRowLastColumn="0"/>
            </w:pPr>
            <w:r>
              <w:t>40 319</w:t>
            </w:r>
          </w:p>
        </w:tc>
        <w:tc>
          <w:tcPr>
            <w:tcW w:w="794" w:type="dxa"/>
          </w:tcPr>
          <w:p w14:paraId="4C686952" w14:textId="77777777" w:rsidR="00C424E5" w:rsidRDefault="00C424E5">
            <w:pPr>
              <w:cnfStyle w:val="000000000000" w:firstRow="0" w:lastRow="0" w:firstColumn="0" w:lastColumn="0" w:oddVBand="0" w:evenVBand="0" w:oddHBand="0" w:evenHBand="0" w:firstRowFirstColumn="0" w:firstRowLastColumn="0" w:lastRowFirstColumn="0" w:lastRowLastColumn="0"/>
            </w:pPr>
            <w:r>
              <w:t>39 196</w:t>
            </w:r>
          </w:p>
        </w:tc>
        <w:tc>
          <w:tcPr>
            <w:tcW w:w="794" w:type="dxa"/>
          </w:tcPr>
          <w:p w14:paraId="5C9D5F1B" w14:textId="77777777" w:rsidR="00C424E5" w:rsidRDefault="00C424E5">
            <w:pPr>
              <w:cnfStyle w:val="000000000000" w:firstRow="0" w:lastRow="0" w:firstColumn="0" w:lastColumn="0" w:oddVBand="0" w:evenVBand="0" w:oddHBand="0" w:evenHBand="0" w:firstRowFirstColumn="0" w:firstRowLastColumn="0" w:lastRowFirstColumn="0" w:lastRowLastColumn="0"/>
            </w:pPr>
            <w:r>
              <w:t>40 338</w:t>
            </w:r>
          </w:p>
        </w:tc>
        <w:tc>
          <w:tcPr>
            <w:tcW w:w="794" w:type="dxa"/>
          </w:tcPr>
          <w:p w14:paraId="1C56735D" w14:textId="77777777" w:rsidR="00C424E5" w:rsidRDefault="00C424E5">
            <w:pPr>
              <w:cnfStyle w:val="000000000000" w:firstRow="0" w:lastRow="0" w:firstColumn="0" w:lastColumn="0" w:oddVBand="0" w:evenVBand="0" w:oddHBand="0" w:evenHBand="0" w:firstRowFirstColumn="0" w:firstRowLastColumn="0" w:lastRowFirstColumn="0" w:lastRowLastColumn="0"/>
            </w:pPr>
            <w:r>
              <w:t>43 022</w:t>
            </w:r>
          </w:p>
        </w:tc>
        <w:tc>
          <w:tcPr>
            <w:tcW w:w="794" w:type="dxa"/>
          </w:tcPr>
          <w:p w14:paraId="3B94877C" w14:textId="77777777" w:rsidR="00C424E5" w:rsidRDefault="00C424E5">
            <w:pPr>
              <w:cnfStyle w:val="000000000000" w:firstRow="0" w:lastRow="0" w:firstColumn="0" w:lastColumn="0" w:oddVBand="0" w:evenVBand="0" w:oddHBand="0" w:evenHBand="0" w:firstRowFirstColumn="0" w:firstRowLastColumn="0" w:lastRowFirstColumn="0" w:lastRowLastColumn="0"/>
            </w:pPr>
            <w:r>
              <w:t>45 893</w:t>
            </w:r>
          </w:p>
        </w:tc>
      </w:tr>
      <w:tr w:rsidR="00C424E5" w14:paraId="33A880CD" w14:textId="77777777">
        <w:tc>
          <w:tcPr>
            <w:cnfStyle w:val="001000000000" w:firstRow="0" w:lastRow="0" w:firstColumn="1" w:lastColumn="0" w:oddVBand="0" w:evenVBand="0" w:oddHBand="0" w:evenHBand="0" w:firstRowFirstColumn="0" w:firstRowLastColumn="0" w:lastRowFirstColumn="0" w:lastRowLastColumn="0"/>
            <w:tcW w:w="3173" w:type="dxa"/>
          </w:tcPr>
          <w:p w14:paraId="4611C3D6" w14:textId="77777777" w:rsidR="00C424E5" w:rsidRDefault="00C424E5">
            <w:r>
              <w:t>Sales of goods and services</w:t>
            </w:r>
            <w:r>
              <w:rPr>
                <w:vertAlign w:val="superscript"/>
              </w:rPr>
              <w:t xml:space="preserve"> (a)</w:t>
            </w:r>
          </w:p>
        </w:tc>
        <w:tc>
          <w:tcPr>
            <w:tcW w:w="567" w:type="dxa"/>
          </w:tcPr>
          <w:p w14:paraId="3292D5FD"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46281E4E" w14:textId="77777777" w:rsidR="00C424E5" w:rsidRDefault="00C424E5">
            <w:pPr>
              <w:cnfStyle w:val="000000000000" w:firstRow="0" w:lastRow="0" w:firstColumn="0" w:lastColumn="0" w:oddVBand="0" w:evenVBand="0" w:oddHBand="0" w:evenHBand="0" w:firstRowFirstColumn="0" w:firstRowLastColumn="0" w:lastRowFirstColumn="0" w:lastRowLastColumn="0"/>
            </w:pPr>
            <w:r>
              <w:t>6 920</w:t>
            </w:r>
          </w:p>
        </w:tc>
        <w:tc>
          <w:tcPr>
            <w:tcW w:w="794" w:type="dxa"/>
          </w:tcPr>
          <w:p w14:paraId="0C1F768C" w14:textId="77777777" w:rsidR="00C424E5" w:rsidRDefault="00C424E5">
            <w:pPr>
              <w:cnfStyle w:val="000000000000" w:firstRow="0" w:lastRow="0" w:firstColumn="0" w:lastColumn="0" w:oddVBand="0" w:evenVBand="0" w:oddHBand="0" w:evenHBand="0" w:firstRowFirstColumn="0" w:firstRowLastColumn="0" w:lastRowFirstColumn="0" w:lastRowLastColumn="0"/>
            </w:pPr>
            <w:r>
              <w:t>6 634</w:t>
            </w:r>
          </w:p>
        </w:tc>
        <w:tc>
          <w:tcPr>
            <w:tcW w:w="794" w:type="dxa"/>
          </w:tcPr>
          <w:p w14:paraId="2E139507" w14:textId="77777777" w:rsidR="00C424E5" w:rsidRDefault="00C424E5">
            <w:pPr>
              <w:cnfStyle w:val="000000000000" w:firstRow="0" w:lastRow="0" w:firstColumn="0" w:lastColumn="0" w:oddVBand="0" w:evenVBand="0" w:oddHBand="0" w:evenHBand="0" w:firstRowFirstColumn="0" w:firstRowLastColumn="0" w:lastRowFirstColumn="0" w:lastRowLastColumn="0"/>
            </w:pPr>
            <w:r>
              <w:t>6 762</w:t>
            </w:r>
          </w:p>
        </w:tc>
        <w:tc>
          <w:tcPr>
            <w:tcW w:w="794" w:type="dxa"/>
          </w:tcPr>
          <w:p w14:paraId="404901EA" w14:textId="77777777" w:rsidR="00C424E5" w:rsidRDefault="00C424E5">
            <w:pPr>
              <w:cnfStyle w:val="000000000000" w:firstRow="0" w:lastRow="0" w:firstColumn="0" w:lastColumn="0" w:oddVBand="0" w:evenVBand="0" w:oddHBand="0" w:evenHBand="0" w:firstRowFirstColumn="0" w:firstRowLastColumn="0" w:lastRowFirstColumn="0" w:lastRowLastColumn="0"/>
            </w:pPr>
            <w:r>
              <w:t>7 116</w:t>
            </w:r>
          </w:p>
        </w:tc>
        <w:tc>
          <w:tcPr>
            <w:tcW w:w="794" w:type="dxa"/>
          </w:tcPr>
          <w:p w14:paraId="4BDB35B7" w14:textId="77777777" w:rsidR="00C424E5" w:rsidRDefault="00C424E5">
            <w:pPr>
              <w:cnfStyle w:val="000000000000" w:firstRow="0" w:lastRow="0" w:firstColumn="0" w:lastColumn="0" w:oddVBand="0" w:evenVBand="0" w:oddHBand="0" w:evenHBand="0" w:firstRowFirstColumn="0" w:firstRowLastColumn="0" w:lastRowFirstColumn="0" w:lastRowLastColumn="0"/>
            </w:pPr>
            <w:r>
              <w:t>7 093</w:t>
            </w:r>
          </w:p>
        </w:tc>
      </w:tr>
      <w:tr w:rsidR="00C424E5" w14:paraId="4F24F6A8" w14:textId="77777777">
        <w:tc>
          <w:tcPr>
            <w:cnfStyle w:val="001000000000" w:firstRow="0" w:lastRow="0" w:firstColumn="1" w:lastColumn="0" w:oddVBand="0" w:evenVBand="0" w:oddHBand="0" w:evenHBand="0" w:firstRowFirstColumn="0" w:firstRowLastColumn="0" w:lastRowFirstColumn="0" w:lastRowLastColumn="0"/>
            <w:tcW w:w="3173" w:type="dxa"/>
          </w:tcPr>
          <w:p w14:paraId="626211B6" w14:textId="77777777" w:rsidR="00C424E5" w:rsidRDefault="00C424E5">
            <w:r>
              <w:t>Interest received</w:t>
            </w:r>
          </w:p>
        </w:tc>
        <w:tc>
          <w:tcPr>
            <w:tcW w:w="567" w:type="dxa"/>
          </w:tcPr>
          <w:p w14:paraId="674E59C4"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43D6AE90" w14:textId="77777777" w:rsidR="00C424E5" w:rsidRDefault="00C424E5">
            <w:pPr>
              <w:cnfStyle w:val="000000000000" w:firstRow="0" w:lastRow="0" w:firstColumn="0" w:lastColumn="0" w:oddVBand="0" w:evenVBand="0" w:oddHBand="0" w:evenHBand="0" w:firstRowFirstColumn="0" w:firstRowLastColumn="0" w:lastRowFirstColumn="0" w:lastRowLastColumn="0"/>
            </w:pPr>
            <w:r>
              <w:t>682</w:t>
            </w:r>
          </w:p>
        </w:tc>
        <w:tc>
          <w:tcPr>
            <w:tcW w:w="794" w:type="dxa"/>
          </w:tcPr>
          <w:p w14:paraId="1DF3958B" w14:textId="77777777" w:rsidR="00C424E5" w:rsidRDefault="00C424E5">
            <w:pPr>
              <w:cnfStyle w:val="000000000000" w:firstRow="0" w:lastRow="0" w:firstColumn="0" w:lastColumn="0" w:oddVBand="0" w:evenVBand="0" w:oddHBand="0" w:evenHBand="0" w:firstRowFirstColumn="0" w:firstRowLastColumn="0" w:lastRowFirstColumn="0" w:lastRowLastColumn="0"/>
            </w:pPr>
            <w:r>
              <w:t>780</w:t>
            </w:r>
          </w:p>
        </w:tc>
        <w:tc>
          <w:tcPr>
            <w:tcW w:w="794" w:type="dxa"/>
          </w:tcPr>
          <w:p w14:paraId="24BCB70F" w14:textId="77777777" w:rsidR="00C424E5" w:rsidRDefault="00C424E5">
            <w:pPr>
              <w:cnfStyle w:val="000000000000" w:firstRow="0" w:lastRow="0" w:firstColumn="0" w:lastColumn="0" w:oddVBand="0" w:evenVBand="0" w:oddHBand="0" w:evenHBand="0" w:firstRowFirstColumn="0" w:firstRowLastColumn="0" w:lastRowFirstColumn="0" w:lastRowLastColumn="0"/>
            </w:pPr>
            <w:r>
              <w:t>814</w:t>
            </w:r>
          </w:p>
        </w:tc>
        <w:tc>
          <w:tcPr>
            <w:tcW w:w="794" w:type="dxa"/>
          </w:tcPr>
          <w:p w14:paraId="76C791D0" w14:textId="77777777" w:rsidR="00C424E5" w:rsidRDefault="00C424E5">
            <w:pPr>
              <w:cnfStyle w:val="000000000000" w:firstRow="0" w:lastRow="0" w:firstColumn="0" w:lastColumn="0" w:oddVBand="0" w:evenVBand="0" w:oddHBand="0" w:evenHBand="0" w:firstRowFirstColumn="0" w:firstRowLastColumn="0" w:lastRowFirstColumn="0" w:lastRowLastColumn="0"/>
            </w:pPr>
            <w:r>
              <w:t>845</w:t>
            </w:r>
          </w:p>
        </w:tc>
        <w:tc>
          <w:tcPr>
            <w:tcW w:w="794" w:type="dxa"/>
          </w:tcPr>
          <w:p w14:paraId="6131D0D2" w14:textId="77777777" w:rsidR="00C424E5" w:rsidRDefault="00C424E5">
            <w:pPr>
              <w:cnfStyle w:val="000000000000" w:firstRow="0" w:lastRow="0" w:firstColumn="0" w:lastColumn="0" w:oddVBand="0" w:evenVBand="0" w:oddHBand="0" w:evenHBand="0" w:firstRowFirstColumn="0" w:firstRowLastColumn="0" w:lastRowFirstColumn="0" w:lastRowLastColumn="0"/>
            </w:pPr>
            <w:r>
              <w:t>863</w:t>
            </w:r>
          </w:p>
        </w:tc>
      </w:tr>
      <w:tr w:rsidR="00C424E5" w14:paraId="02EFC7CA" w14:textId="77777777">
        <w:tc>
          <w:tcPr>
            <w:cnfStyle w:val="001000000000" w:firstRow="0" w:lastRow="0" w:firstColumn="1" w:lastColumn="0" w:oddVBand="0" w:evenVBand="0" w:oddHBand="0" w:evenHBand="0" w:firstRowFirstColumn="0" w:firstRowLastColumn="0" w:lastRowFirstColumn="0" w:lastRowLastColumn="0"/>
            <w:tcW w:w="3173" w:type="dxa"/>
          </w:tcPr>
          <w:p w14:paraId="58177A39" w14:textId="77777777" w:rsidR="00C424E5" w:rsidRDefault="00C424E5">
            <w:r>
              <w:t>Dividends, income tax equivalent and rate equivalent receipts</w:t>
            </w:r>
          </w:p>
        </w:tc>
        <w:tc>
          <w:tcPr>
            <w:tcW w:w="567" w:type="dxa"/>
          </w:tcPr>
          <w:p w14:paraId="17B8CBD4"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277045CE" w14:textId="77777777" w:rsidR="00C424E5" w:rsidRDefault="00C424E5">
            <w:pPr>
              <w:cnfStyle w:val="000000000000" w:firstRow="0" w:lastRow="0" w:firstColumn="0" w:lastColumn="0" w:oddVBand="0" w:evenVBand="0" w:oddHBand="0" w:evenHBand="0" w:firstRowFirstColumn="0" w:firstRowLastColumn="0" w:lastRowFirstColumn="0" w:lastRowLastColumn="0"/>
            </w:pPr>
            <w:r>
              <w:t>596</w:t>
            </w:r>
          </w:p>
        </w:tc>
        <w:tc>
          <w:tcPr>
            <w:tcW w:w="794" w:type="dxa"/>
          </w:tcPr>
          <w:p w14:paraId="1932B5BF" w14:textId="77777777" w:rsidR="00C424E5" w:rsidRDefault="00C424E5">
            <w:pPr>
              <w:cnfStyle w:val="000000000000" w:firstRow="0" w:lastRow="0" w:firstColumn="0" w:lastColumn="0" w:oddVBand="0" w:evenVBand="0" w:oddHBand="0" w:evenHBand="0" w:firstRowFirstColumn="0" w:firstRowLastColumn="0" w:lastRowFirstColumn="0" w:lastRowLastColumn="0"/>
            </w:pPr>
            <w:r>
              <w:t>888</w:t>
            </w:r>
          </w:p>
        </w:tc>
        <w:tc>
          <w:tcPr>
            <w:tcW w:w="794" w:type="dxa"/>
          </w:tcPr>
          <w:p w14:paraId="497325EC" w14:textId="77777777" w:rsidR="00C424E5" w:rsidRDefault="00C424E5">
            <w:pPr>
              <w:cnfStyle w:val="000000000000" w:firstRow="0" w:lastRow="0" w:firstColumn="0" w:lastColumn="0" w:oddVBand="0" w:evenVBand="0" w:oddHBand="0" w:evenHBand="0" w:firstRowFirstColumn="0" w:firstRowLastColumn="0" w:lastRowFirstColumn="0" w:lastRowLastColumn="0"/>
            </w:pPr>
            <w:r>
              <w:t>826</w:t>
            </w:r>
          </w:p>
        </w:tc>
        <w:tc>
          <w:tcPr>
            <w:tcW w:w="794" w:type="dxa"/>
          </w:tcPr>
          <w:p w14:paraId="618297CA" w14:textId="77777777" w:rsidR="00C424E5" w:rsidRDefault="00C424E5">
            <w:pPr>
              <w:cnfStyle w:val="000000000000" w:firstRow="0" w:lastRow="0" w:firstColumn="0" w:lastColumn="0" w:oddVBand="0" w:evenVBand="0" w:oddHBand="0" w:evenHBand="0" w:firstRowFirstColumn="0" w:firstRowLastColumn="0" w:lastRowFirstColumn="0" w:lastRowLastColumn="0"/>
            </w:pPr>
            <w:r>
              <w:t>872</w:t>
            </w:r>
          </w:p>
        </w:tc>
        <w:tc>
          <w:tcPr>
            <w:tcW w:w="794" w:type="dxa"/>
          </w:tcPr>
          <w:p w14:paraId="6A05FE0A" w14:textId="77777777" w:rsidR="00C424E5" w:rsidRDefault="00C424E5">
            <w:pPr>
              <w:cnfStyle w:val="000000000000" w:firstRow="0" w:lastRow="0" w:firstColumn="0" w:lastColumn="0" w:oddVBand="0" w:evenVBand="0" w:oddHBand="0" w:evenHBand="0" w:firstRowFirstColumn="0" w:firstRowLastColumn="0" w:lastRowFirstColumn="0" w:lastRowLastColumn="0"/>
            </w:pPr>
            <w:r>
              <w:t>1 051</w:t>
            </w:r>
          </w:p>
        </w:tc>
      </w:tr>
      <w:tr w:rsidR="00C424E5" w14:paraId="133A5309" w14:textId="77777777" w:rsidTr="00EE0584">
        <w:tc>
          <w:tcPr>
            <w:cnfStyle w:val="001000000000" w:firstRow="0" w:lastRow="0" w:firstColumn="1" w:lastColumn="0" w:oddVBand="0" w:evenVBand="0" w:oddHBand="0" w:evenHBand="0" w:firstRowFirstColumn="0" w:firstRowLastColumn="0" w:lastRowFirstColumn="0" w:lastRowLastColumn="0"/>
            <w:tcW w:w="3173" w:type="dxa"/>
            <w:tcBorders>
              <w:bottom w:val="single" w:sz="6" w:space="0" w:color="auto"/>
            </w:tcBorders>
          </w:tcPr>
          <w:p w14:paraId="43D0310D" w14:textId="77777777" w:rsidR="00C424E5" w:rsidRDefault="00C424E5">
            <w:r>
              <w:t>Other receipts</w:t>
            </w:r>
          </w:p>
        </w:tc>
        <w:tc>
          <w:tcPr>
            <w:tcW w:w="567" w:type="dxa"/>
            <w:tcBorders>
              <w:bottom w:val="single" w:sz="6" w:space="0" w:color="auto"/>
            </w:tcBorders>
          </w:tcPr>
          <w:p w14:paraId="24F6A10F"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bottom w:val="single" w:sz="6" w:space="0" w:color="auto"/>
            </w:tcBorders>
          </w:tcPr>
          <w:p w14:paraId="248D850F" w14:textId="77777777" w:rsidR="00C424E5" w:rsidRDefault="00C424E5">
            <w:pPr>
              <w:cnfStyle w:val="000000000000" w:firstRow="0" w:lastRow="0" w:firstColumn="0" w:lastColumn="0" w:oddVBand="0" w:evenVBand="0" w:oddHBand="0" w:evenHBand="0" w:firstRowFirstColumn="0" w:firstRowLastColumn="0" w:lastRowFirstColumn="0" w:lastRowLastColumn="0"/>
            </w:pPr>
            <w:r>
              <w:t>6 873</w:t>
            </w:r>
          </w:p>
        </w:tc>
        <w:tc>
          <w:tcPr>
            <w:tcW w:w="794" w:type="dxa"/>
            <w:tcBorders>
              <w:bottom w:val="single" w:sz="6" w:space="0" w:color="auto"/>
            </w:tcBorders>
          </w:tcPr>
          <w:p w14:paraId="6436444C" w14:textId="77777777" w:rsidR="00C424E5" w:rsidRDefault="00C424E5">
            <w:pPr>
              <w:cnfStyle w:val="000000000000" w:firstRow="0" w:lastRow="0" w:firstColumn="0" w:lastColumn="0" w:oddVBand="0" w:evenVBand="0" w:oddHBand="0" w:evenHBand="0" w:firstRowFirstColumn="0" w:firstRowLastColumn="0" w:lastRowFirstColumn="0" w:lastRowLastColumn="0"/>
            </w:pPr>
            <w:r>
              <w:t>10 381</w:t>
            </w:r>
          </w:p>
        </w:tc>
        <w:tc>
          <w:tcPr>
            <w:tcW w:w="794" w:type="dxa"/>
            <w:tcBorders>
              <w:bottom w:val="single" w:sz="6" w:space="0" w:color="auto"/>
            </w:tcBorders>
          </w:tcPr>
          <w:p w14:paraId="10E70C20" w14:textId="77777777" w:rsidR="00C424E5" w:rsidRDefault="00C424E5">
            <w:pPr>
              <w:cnfStyle w:val="000000000000" w:firstRow="0" w:lastRow="0" w:firstColumn="0" w:lastColumn="0" w:oddVBand="0" w:evenVBand="0" w:oddHBand="0" w:evenHBand="0" w:firstRowFirstColumn="0" w:firstRowLastColumn="0" w:lastRowFirstColumn="0" w:lastRowLastColumn="0"/>
            </w:pPr>
            <w:r>
              <w:t>2 117</w:t>
            </w:r>
          </w:p>
        </w:tc>
        <w:tc>
          <w:tcPr>
            <w:tcW w:w="794" w:type="dxa"/>
            <w:tcBorders>
              <w:bottom w:val="single" w:sz="6" w:space="0" w:color="auto"/>
            </w:tcBorders>
          </w:tcPr>
          <w:p w14:paraId="0AC8EC6A" w14:textId="77777777" w:rsidR="00C424E5" w:rsidRDefault="00C424E5">
            <w:pPr>
              <w:cnfStyle w:val="000000000000" w:firstRow="0" w:lastRow="0" w:firstColumn="0" w:lastColumn="0" w:oddVBand="0" w:evenVBand="0" w:oddHBand="0" w:evenHBand="0" w:firstRowFirstColumn="0" w:firstRowLastColumn="0" w:lastRowFirstColumn="0" w:lastRowLastColumn="0"/>
            </w:pPr>
            <w:r>
              <w:t>2 281</w:t>
            </w:r>
          </w:p>
        </w:tc>
        <w:tc>
          <w:tcPr>
            <w:tcW w:w="794" w:type="dxa"/>
            <w:tcBorders>
              <w:bottom w:val="single" w:sz="6" w:space="0" w:color="auto"/>
            </w:tcBorders>
          </w:tcPr>
          <w:p w14:paraId="5922483E" w14:textId="77777777" w:rsidR="00C424E5" w:rsidRDefault="00C424E5">
            <w:pPr>
              <w:cnfStyle w:val="000000000000" w:firstRow="0" w:lastRow="0" w:firstColumn="0" w:lastColumn="0" w:oddVBand="0" w:evenVBand="0" w:oddHBand="0" w:evenHBand="0" w:firstRowFirstColumn="0" w:firstRowLastColumn="0" w:lastRowFirstColumn="0" w:lastRowLastColumn="0"/>
            </w:pPr>
            <w:r>
              <w:t>2 356</w:t>
            </w:r>
          </w:p>
        </w:tc>
      </w:tr>
      <w:tr w:rsidR="00C424E5" w14:paraId="7DC426FE" w14:textId="77777777" w:rsidTr="00EE058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tcBorders>
          </w:tcPr>
          <w:p w14:paraId="3F9031F3" w14:textId="77777777" w:rsidR="00C424E5" w:rsidRDefault="00C424E5">
            <w:r>
              <w:rPr>
                <w:b/>
              </w:rPr>
              <w:t>Total receipts</w:t>
            </w:r>
          </w:p>
        </w:tc>
        <w:tc>
          <w:tcPr>
            <w:tcW w:w="567" w:type="dxa"/>
            <w:tcBorders>
              <w:top w:val="single" w:sz="6" w:space="0" w:color="auto"/>
            </w:tcBorders>
          </w:tcPr>
          <w:p w14:paraId="19D8FB2A"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4284377"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86 160</w:t>
            </w:r>
          </w:p>
        </w:tc>
        <w:tc>
          <w:tcPr>
            <w:tcW w:w="794" w:type="dxa"/>
            <w:tcBorders>
              <w:top w:val="single" w:sz="6" w:space="0" w:color="auto"/>
            </w:tcBorders>
          </w:tcPr>
          <w:p w14:paraId="07B0F178"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89 305</w:t>
            </w:r>
          </w:p>
        </w:tc>
        <w:tc>
          <w:tcPr>
            <w:tcW w:w="794" w:type="dxa"/>
            <w:tcBorders>
              <w:top w:val="single" w:sz="6" w:space="0" w:color="auto"/>
            </w:tcBorders>
          </w:tcPr>
          <w:p w14:paraId="2A2C35C7"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83 320</w:t>
            </w:r>
          </w:p>
        </w:tc>
        <w:tc>
          <w:tcPr>
            <w:tcW w:w="794" w:type="dxa"/>
            <w:tcBorders>
              <w:top w:val="single" w:sz="6" w:space="0" w:color="auto"/>
            </w:tcBorders>
          </w:tcPr>
          <w:p w14:paraId="7D17DB12"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87 653</w:t>
            </w:r>
          </w:p>
        </w:tc>
        <w:tc>
          <w:tcPr>
            <w:tcW w:w="794" w:type="dxa"/>
            <w:tcBorders>
              <w:top w:val="single" w:sz="6" w:space="0" w:color="auto"/>
            </w:tcBorders>
          </w:tcPr>
          <w:p w14:paraId="173C4232"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92 457</w:t>
            </w:r>
          </w:p>
        </w:tc>
      </w:tr>
      <w:tr w:rsidR="00C424E5" w14:paraId="3A029DD7" w14:textId="77777777">
        <w:tc>
          <w:tcPr>
            <w:cnfStyle w:val="001000000000" w:firstRow="0" w:lastRow="0" w:firstColumn="1" w:lastColumn="0" w:oddVBand="0" w:evenVBand="0" w:oddHBand="0" w:evenHBand="0" w:firstRowFirstColumn="0" w:firstRowLastColumn="0" w:lastRowFirstColumn="0" w:lastRowLastColumn="0"/>
            <w:tcW w:w="3173" w:type="dxa"/>
          </w:tcPr>
          <w:p w14:paraId="6918CC44" w14:textId="77777777" w:rsidR="00C424E5" w:rsidRDefault="00C424E5">
            <w:r>
              <w:rPr>
                <w:b/>
              </w:rPr>
              <w:t>Payments</w:t>
            </w:r>
          </w:p>
        </w:tc>
        <w:tc>
          <w:tcPr>
            <w:tcW w:w="567" w:type="dxa"/>
          </w:tcPr>
          <w:p w14:paraId="77613F6A"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68CAC93B"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4696C2DC"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20BE5761"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412AD577"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234C1D09"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0F9C0BB7" w14:textId="77777777">
        <w:tc>
          <w:tcPr>
            <w:cnfStyle w:val="001000000000" w:firstRow="0" w:lastRow="0" w:firstColumn="1" w:lastColumn="0" w:oddVBand="0" w:evenVBand="0" w:oddHBand="0" w:evenHBand="0" w:firstRowFirstColumn="0" w:firstRowLastColumn="0" w:lastRowFirstColumn="0" w:lastRowLastColumn="0"/>
            <w:tcW w:w="3173" w:type="dxa"/>
          </w:tcPr>
          <w:p w14:paraId="116E0418" w14:textId="77777777" w:rsidR="00C424E5" w:rsidRDefault="00C424E5">
            <w:r>
              <w:t>Payments for employees</w:t>
            </w:r>
          </w:p>
        </w:tc>
        <w:tc>
          <w:tcPr>
            <w:tcW w:w="567" w:type="dxa"/>
          </w:tcPr>
          <w:p w14:paraId="449FCF08"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41D6363B" w14:textId="77777777" w:rsidR="00C424E5" w:rsidRDefault="00C424E5">
            <w:pPr>
              <w:cnfStyle w:val="000000000000" w:firstRow="0" w:lastRow="0" w:firstColumn="0" w:lastColumn="0" w:oddVBand="0" w:evenVBand="0" w:oddHBand="0" w:evenHBand="0" w:firstRowFirstColumn="0" w:firstRowLastColumn="0" w:lastRowFirstColumn="0" w:lastRowLastColumn="0"/>
            </w:pPr>
            <w:r>
              <w:t>(32 772)</w:t>
            </w:r>
          </w:p>
        </w:tc>
        <w:tc>
          <w:tcPr>
            <w:tcW w:w="794" w:type="dxa"/>
          </w:tcPr>
          <w:p w14:paraId="51EB447B" w14:textId="77777777" w:rsidR="00C424E5" w:rsidRDefault="00C424E5">
            <w:pPr>
              <w:cnfStyle w:val="000000000000" w:firstRow="0" w:lastRow="0" w:firstColumn="0" w:lastColumn="0" w:oddVBand="0" w:evenVBand="0" w:oddHBand="0" w:evenHBand="0" w:firstRowFirstColumn="0" w:firstRowLastColumn="0" w:lastRowFirstColumn="0" w:lastRowLastColumn="0"/>
            </w:pPr>
            <w:r>
              <w:t>(33 251)</w:t>
            </w:r>
          </w:p>
        </w:tc>
        <w:tc>
          <w:tcPr>
            <w:tcW w:w="794" w:type="dxa"/>
          </w:tcPr>
          <w:p w14:paraId="49AF14B9" w14:textId="77777777" w:rsidR="00C424E5" w:rsidRDefault="00C424E5">
            <w:pPr>
              <w:cnfStyle w:val="000000000000" w:firstRow="0" w:lastRow="0" w:firstColumn="0" w:lastColumn="0" w:oddVBand="0" w:evenVBand="0" w:oddHBand="0" w:evenHBand="0" w:firstRowFirstColumn="0" w:firstRowLastColumn="0" w:lastRowFirstColumn="0" w:lastRowLastColumn="0"/>
            </w:pPr>
            <w:r>
              <w:t>(33 853)</w:t>
            </w:r>
          </w:p>
        </w:tc>
        <w:tc>
          <w:tcPr>
            <w:tcW w:w="794" w:type="dxa"/>
          </w:tcPr>
          <w:p w14:paraId="5CBAE894" w14:textId="77777777" w:rsidR="00C424E5" w:rsidRDefault="00C424E5">
            <w:pPr>
              <w:cnfStyle w:val="000000000000" w:firstRow="0" w:lastRow="0" w:firstColumn="0" w:lastColumn="0" w:oddVBand="0" w:evenVBand="0" w:oddHBand="0" w:evenHBand="0" w:firstRowFirstColumn="0" w:firstRowLastColumn="0" w:lastRowFirstColumn="0" w:lastRowLastColumn="0"/>
            </w:pPr>
            <w:r>
              <w:t>(34 402)</w:t>
            </w:r>
          </w:p>
        </w:tc>
        <w:tc>
          <w:tcPr>
            <w:tcW w:w="794" w:type="dxa"/>
          </w:tcPr>
          <w:p w14:paraId="09795AC6" w14:textId="77777777" w:rsidR="00C424E5" w:rsidRDefault="00C424E5">
            <w:pPr>
              <w:cnfStyle w:val="000000000000" w:firstRow="0" w:lastRow="0" w:firstColumn="0" w:lastColumn="0" w:oddVBand="0" w:evenVBand="0" w:oddHBand="0" w:evenHBand="0" w:firstRowFirstColumn="0" w:firstRowLastColumn="0" w:lastRowFirstColumn="0" w:lastRowLastColumn="0"/>
            </w:pPr>
            <w:r>
              <w:t>(35 431)</w:t>
            </w:r>
          </w:p>
        </w:tc>
      </w:tr>
      <w:tr w:rsidR="00C424E5" w14:paraId="1FDB811B" w14:textId="77777777">
        <w:tc>
          <w:tcPr>
            <w:cnfStyle w:val="001000000000" w:firstRow="0" w:lastRow="0" w:firstColumn="1" w:lastColumn="0" w:oddVBand="0" w:evenVBand="0" w:oddHBand="0" w:evenHBand="0" w:firstRowFirstColumn="0" w:firstRowLastColumn="0" w:lastRowFirstColumn="0" w:lastRowLastColumn="0"/>
            <w:tcW w:w="3173" w:type="dxa"/>
          </w:tcPr>
          <w:p w14:paraId="707A1E47" w14:textId="77777777" w:rsidR="00C424E5" w:rsidRDefault="00C424E5">
            <w:r>
              <w:t>Superannuation</w:t>
            </w:r>
          </w:p>
        </w:tc>
        <w:tc>
          <w:tcPr>
            <w:tcW w:w="567" w:type="dxa"/>
          </w:tcPr>
          <w:p w14:paraId="17E88FD8"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4FE3034C" w14:textId="77777777" w:rsidR="00C424E5" w:rsidRDefault="00C424E5">
            <w:pPr>
              <w:cnfStyle w:val="000000000000" w:firstRow="0" w:lastRow="0" w:firstColumn="0" w:lastColumn="0" w:oddVBand="0" w:evenVBand="0" w:oddHBand="0" w:evenHBand="0" w:firstRowFirstColumn="0" w:firstRowLastColumn="0" w:lastRowFirstColumn="0" w:lastRowLastColumn="0"/>
            </w:pPr>
            <w:r>
              <w:t>(3 977)</w:t>
            </w:r>
          </w:p>
        </w:tc>
        <w:tc>
          <w:tcPr>
            <w:tcW w:w="794" w:type="dxa"/>
          </w:tcPr>
          <w:p w14:paraId="53024C6E" w14:textId="77777777" w:rsidR="00C424E5" w:rsidRDefault="00C424E5">
            <w:pPr>
              <w:cnfStyle w:val="000000000000" w:firstRow="0" w:lastRow="0" w:firstColumn="0" w:lastColumn="0" w:oddVBand="0" w:evenVBand="0" w:oddHBand="0" w:evenHBand="0" w:firstRowFirstColumn="0" w:firstRowLastColumn="0" w:lastRowFirstColumn="0" w:lastRowLastColumn="0"/>
            </w:pPr>
            <w:r>
              <w:t>(4 554)</w:t>
            </w:r>
          </w:p>
        </w:tc>
        <w:tc>
          <w:tcPr>
            <w:tcW w:w="794" w:type="dxa"/>
          </w:tcPr>
          <w:p w14:paraId="1A3AFF4A" w14:textId="77777777" w:rsidR="00C424E5" w:rsidRDefault="00C424E5">
            <w:pPr>
              <w:cnfStyle w:val="000000000000" w:firstRow="0" w:lastRow="0" w:firstColumn="0" w:lastColumn="0" w:oddVBand="0" w:evenVBand="0" w:oddHBand="0" w:evenHBand="0" w:firstRowFirstColumn="0" w:firstRowLastColumn="0" w:lastRowFirstColumn="0" w:lastRowLastColumn="0"/>
            </w:pPr>
            <w:r>
              <w:t>(3 696)</w:t>
            </w:r>
          </w:p>
        </w:tc>
        <w:tc>
          <w:tcPr>
            <w:tcW w:w="794" w:type="dxa"/>
          </w:tcPr>
          <w:p w14:paraId="64607FDD" w14:textId="77777777" w:rsidR="00C424E5" w:rsidRDefault="00C424E5">
            <w:pPr>
              <w:cnfStyle w:val="000000000000" w:firstRow="0" w:lastRow="0" w:firstColumn="0" w:lastColumn="0" w:oddVBand="0" w:evenVBand="0" w:oddHBand="0" w:evenHBand="0" w:firstRowFirstColumn="0" w:firstRowLastColumn="0" w:lastRowFirstColumn="0" w:lastRowLastColumn="0"/>
            </w:pPr>
            <w:r>
              <w:t>(4 179)</w:t>
            </w:r>
          </w:p>
        </w:tc>
        <w:tc>
          <w:tcPr>
            <w:tcW w:w="794" w:type="dxa"/>
          </w:tcPr>
          <w:p w14:paraId="65163426" w14:textId="77777777" w:rsidR="00C424E5" w:rsidRDefault="00C424E5">
            <w:pPr>
              <w:cnfStyle w:val="000000000000" w:firstRow="0" w:lastRow="0" w:firstColumn="0" w:lastColumn="0" w:oddVBand="0" w:evenVBand="0" w:oddHBand="0" w:evenHBand="0" w:firstRowFirstColumn="0" w:firstRowLastColumn="0" w:lastRowFirstColumn="0" w:lastRowLastColumn="0"/>
            </w:pPr>
            <w:r>
              <w:t>(4 012)</w:t>
            </w:r>
          </w:p>
        </w:tc>
      </w:tr>
      <w:tr w:rsidR="00C424E5" w14:paraId="15295A17" w14:textId="77777777">
        <w:tc>
          <w:tcPr>
            <w:cnfStyle w:val="001000000000" w:firstRow="0" w:lastRow="0" w:firstColumn="1" w:lastColumn="0" w:oddVBand="0" w:evenVBand="0" w:oddHBand="0" w:evenHBand="0" w:firstRowFirstColumn="0" w:firstRowLastColumn="0" w:lastRowFirstColumn="0" w:lastRowLastColumn="0"/>
            <w:tcW w:w="3173" w:type="dxa"/>
          </w:tcPr>
          <w:p w14:paraId="42F4A07B" w14:textId="77777777" w:rsidR="00C424E5" w:rsidRDefault="00C424E5">
            <w:r>
              <w:t>Interest paid</w:t>
            </w:r>
          </w:p>
        </w:tc>
        <w:tc>
          <w:tcPr>
            <w:tcW w:w="567" w:type="dxa"/>
          </w:tcPr>
          <w:p w14:paraId="3DBD66F3"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26235112" w14:textId="77777777" w:rsidR="00C424E5" w:rsidRDefault="00C424E5">
            <w:pPr>
              <w:cnfStyle w:val="000000000000" w:firstRow="0" w:lastRow="0" w:firstColumn="0" w:lastColumn="0" w:oddVBand="0" w:evenVBand="0" w:oddHBand="0" w:evenHBand="0" w:firstRowFirstColumn="0" w:firstRowLastColumn="0" w:lastRowFirstColumn="0" w:lastRowLastColumn="0"/>
            </w:pPr>
            <w:r>
              <w:t>(3 588)</w:t>
            </w:r>
          </w:p>
        </w:tc>
        <w:tc>
          <w:tcPr>
            <w:tcW w:w="794" w:type="dxa"/>
          </w:tcPr>
          <w:p w14:paraId="33E9DC62" w14:textId="77777777" w:rsidR="00C424E5" w:rsidRDefault="00C424E5">
            <w:pPr>
              <w:cnfStyle w:val="000000000000" w:firstRow="0" w:lastRow="0" w:firstColumn="0" w:lastColumn="0" w:oddVBand="0" w:evenVBand="0" w:oddHBand="0" w:evenHBand="0" w:firstRowFirstColumn="0" w:firstRowLastColumn="0" w:lastRowFirstColumn="0" w:lastRowLastColumn="0"/>
            </w:pPr>
            <w:r>
              <w:t>(3 550)</w:t>
            </w:r>
          </w:p>
        </w:tc>
        <w:tc>
          <w:tcPr>
            <w:tcW w:w="794" w:type="dxa"/>
          </w:tcPr>
          <w:p w14:paraId="2DB861F6" w14:textId="77777777" w:rsidR="00C424E5" w:rsidRDefault="00C424E5">
            <w:pPr>
              <w:cnfStyle w:val="000000000000" w:firstRow="0" w:lastRow="0" w:firstColumn="0" w:lastColumn="0" w:oddVBand="0" w:evenVBand="0" w:oddHBand="0" w:evenHBand="0" w:firstRowFirstColumn="0" w:firstRowLastColumn="0" w:lastRowFirstColumn="0" w:lastRowLastColumn="0"/>
            </w:pPr>
            <w:r>
              <w:t>(4 801)</w:t>
            </w:r>
          </w:p>
        </w:tc>
        <w:tc>
          <w:tcPr>
            <w:tcW w:w="794" w:type="dxa"/>
          </w:tcPr>
          <w:p w14:paraId="1592E35A" w14:textId="77777777" w:rsidR="00C424E5" w:rsidRDefault="00C424E5">
            <w:pPr>
              <w:cnfStyle w:val="000000000000" w:firstRow="0" w:lastRow="0" w:firstColumn="0" w:lastColumn="0" w:oddVBand="0" w:evenVBand="0" w:oddHBand="0" w:evenHBand="0" w:firstRowFirstColumn="0" w:firstRowLastColumn="0" w:lastRowFirstColumn="0" w:lastRowLastColumn="0"/>
            </w:pPr>
            <w:r>
              <w:t>(6 005)</w:t>
            </w:r>
          </w:p>
        </w:tc>
        <w:tc>
          <w:tcPr>
            <w:tcW w:w="794" w:type="dxa"/>
          </w:tcPr>
          <w:p w14:paraId="3F28A406" w14:textId="77777777" w:rsidR="00C424E5" w:rsidRDefault="00C424E5">
            <w:pPr>
              <w:cnfStyle w:val="000000000000" w:firstRow="0" w:lastRow="0" w:firstColumn="0" w:lastColumn="0" w:oddVBand="0" w:evenVBand="0" w:oddHBand="0" w:evenHBand="0" w:firstRowFirstColumn="0" w:firstRowLastColumn="0" w:lastRowFirstColumn="0" w:lastRowLastColumn="0"/>
            </w:pPr>
            <w:r>
              <w:t>(7 231)</w:t>
            </w:r>
          </w:p>
        </w:tc>
      </w:tr>
      <w:tr w:rsidR="00C424E5" w14:paraId="32DB0F15" w14:textId="77777777">
        <w:tc>
          <w:tcPr>
            <w:cnfStyle w:val="001000000000" w:firstRow="0" w:lastRow="0" w:firstColumn="1" w:lastColumn="0" w:oddVBand="0" w:evenVBand="0" w:oddHBand="0" w:evenHBand="0" w:firstRowFirstColumn="0" w:firstRowLastColumn="0" w:lastRowFirstColumn="0" w:lastRowLastColumn="0"/>
            <w:tcW w:w="3173" w:type="dxa"/>
          </w:tcPr>
          <w:p w14:paraId="6E71EB03" w14:textId="77777777" w:rsidR="00C424E5" w:rsidRDefault="00C424E5">
            <w:r>
              <w:t>Grants and subsidies</w:t>
            </w:r>
          </w:p>
        </w:tc>
        <w:tc>
          <w:tcPr>
            <w:tcW w:w="567" w:type="dxa"/>
          </w:tcPr>
          <w:p w14:paraId="2351B6F2"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10E42846" w14:textId="77777777" w:rsidR="00C424E5" w:rsidRDefault="00C424E5">
            <w:pPr>
              <w:cnfStyle w:val="000000000000" w:firstRow="0" w:lastRow="0" w:firstColumn="0" w:lastColumn="0" w:oddVBand="0" w:evenVBand="0" w:oddHBand="0" w:evenHBand="0" w:firstRowFirstColumn="0" w:firstRowLastColumn="0" w:lastRowFirstColumn="0" w:lastRowLastColumn="0"/>
            </w:pPr>
            <w:r>
              <w:t>(17 391)</w:t>
            </w:r>
          </w:p>
        </w:tc>
        <w:tc>
          <w:tcPr>
            <w:tcW w:w="794" w:type="dxa"/>
          </w:tcPr>
          <w:p w14:paraId="1BE9CE6A" w14:textId="77777777" w:rsidR="00C424E5" w:rsidRDefault="00C424E5">
            <w:pPr>
              <w:cnfStyle w:val="000000000000" w:firstRow="0" w:lastRow="0" w:firstColumn="0" w:lastColumn="0" w:oddVBand="0" w:evenVBand="0" w:oddHBand="0" w:evenHBand="0" w:firstRowFirstColumn="0" w:firstRowLastColumn="0" w:lastRowFirstColumn="0" w:lastRowLastColumn="0"/>
            </w:pPr>
            <w:r>
              <w:t>(18 169)</w:t>
            </w:r>
          </w:p>
        </w:tc>
        <w:tc>
          <w:tcPr>
            <w:tcW w:w="794" w:type="dxa"/>
          </w:tcPr>
          <w:p w14:paraId="73A068D5" w14:textId="77777777" w:rsidR="00C424E5" w:rsidRDefault="00C424E5">
            <w:pPr>
              <w:cnfStyle w:val="000000000000" w:firstRow="0" w:lastRow="0" w:firstColumn="0" w:lastColumn="0" w:oddVBand="0" w:evenVBand="0" w:oddHBand="0" w:evenHBand="0" w:firstRowFirstColumn="0" w:firstRowLastColumn="0" w:lastRowFirstColumn="0" w:lastRowLastColumn="0"/>
            </w:pPr>
            <w:r>
              <w:t>(15 642)</w:t>
            </w:r>
          </w:p>
        </w:tc>
        <w:tc>
          <w:tcPr>
            <w:tcW w:w="794" w:type="dxa"/>
          </w:tcPr>
          <w:p w14:paraId="6BE2B9A6" w14:textId="77777777" w:rsidR="00C424E5" w:rsidRDefault="00C424E5">
            <w:pPr>
              <w:cnfStyle w:val="000000000000" w:firstRow="0" w:lastRow="0" w:firstColumn="0" w:lastColumn="0" w:oddVBand="0" w:evenVBand="0" w:oddHBand="0" w:evenHBand="0" w:firstRowFirstColumn="0" w:firstRowLastColumn="0" w:lastRowFirstColumn="0" w:lastRowLastColumn="0"/>
            </w:pPr>
            <w:r>
              <w:t>(15 071)</w:t>
            </w:r>
          </w:p>
        </w:tc>
        <w:tc>
          <w:tcPr>
            <w:tcW w:w="794" w:type="dxa"/>
          </w:tcPr>
          <w:p w14:paraId="73F90253" w14:textId="77777777" w:rsidR="00C424E5" w:rsidRDefault="00C424E5">
            <w:pPr>
              <w:cnfStyle w:val="000000000000" w:firstRow="0" w:lastRow="0" w:firstColumn="0" w:lastColumn="0" w:oddVBand="0" w:evenVBand="0" w:oddHBand="0" w:evenHBand="0" w:firstRowFirstColumn="0" w:firstRowLastColumn="0" w:lastRowFirstColumn="0" w:lastRowLastColumn="0"/>
            </w:pPr>
            <w:r>
              <w:t>(15 567)</w:t>
            </w:r>
          </w:p>
        </w:tc>
      </w:tr>
      <w:tr w:rsidR="00C424E5" w14:paraId="297F8810" w14:textId="77777777">
        <w:tc>
          <w:tcPr>
            <w:cnfStyle w:val="001000000000" w:firstRow="0" w:lastRow="0" w:firstColumn="1" w:lastColumn="0" w:oddVBand="0" w:evenVBand="0" w:oddHBand="0" w:evenHBand="0" w:firstRowFirstColumn="0" w:firstRowLastColumn="0" w:lastRowFirstColumn="0" w:lastRowLastColumn="0"/>
            <w:tcW w:w="3173" w:type="dxa"/>
          </w:tcPr>
          <w:p w14:paraId="18DE65E2" w14:textId="77777777" w:rsidR="00C424E5" w:rsidRDefault="00C424E5">
            <w:r>
              <w:t>Goods and services</w:t>
            </w:r>
            <w:r>
              <w:rPr>
                <w:vertAlign w:val="superscript"/>
              </w:rPr>
              <w:t xml:space="preserve"> (a)</w:t>
            </w:r>
          </w:p>
        </w:tc>
        <w:tc>
          <w:tcPr>
            <w:tcW w:w="567" w:type="dxa"/>
          </w:tcPr>
          <w:p w14:paraId="26F74CFF"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78518775" w14:textId="77777777" w:rsidR="00C424E5" w:rsidRDefault="00C424E5">
            <w:pPr>
              <w:cnfStyle w:val="000000000000" w:firstRow="0" w:lastRow="0" w:firstColumn="0" w:lastColumn="0" w:oddVBand="0" w:evenVBand="0" w:oddHBand="0" w:evenHBand="0" w:firstRowFirstColumn="0" w:firstRowLastColumn="0" w:lastRowFirstColumn="0" w:lastRowLastColumn="0"/>
            </w:pPr>
            <w:r>
              <w:t>(25 845)</w:t>
            </w:r>
          </w:p>
        </w:tc>
        <w:tc>
          <w:tcPr>
            <w:tcW w:w="794" w:type="dxa"/>
          </w:tcPr>
          <w:p w14:paraId="6AC695E0" w14:textId="77777777" w:rsidR="00C424E5" w:rsidRDefault="00C424E5">
            <w:pPr>
              <w:cnfStyle w:val="000000000000" w:firstRow="0" w:lastRow="0" w:firstColumn="0" w:lastColumn="0" w:oddVBand="0" w:evenVBand="0" w:oddHBand="0" w:evenHBand="0" w:firstRowFirstColumn="0" w:firstRowLastColumn="0" w:lastRowFirstColumn="0" w:lastRowLastColumn="0"/>
            </w:pPr>
            <w:r>
              <w:t>(26 004)</w:t>
            </w:r>
          </w:p>
        </w:tc>
        <w:tc>
          <w:tcPr>
            <w:tcW w:w="794" w:type="dxa"/>
          </w:tcPr>
          <w:p w14:paraId="5F70B4AC" w14:textId="77777777" w:rsidR="00C424E5" w:rsidRDefault="00C424E5">
            <w:pPr>
              <w:cnfStyle w:val="000000000000" w:firstRow="0" w:lastRow="0" w:firstColumn="0" w:lastColumn="0" w:oddVBand="0" w:evenVBand="0" w:oddHBand="0" w:evenHBand="0" w:firstRowFirstColumn="0" w:firstRowLastColumn="0" w:lastRowFirstColumn="0" w:lastRowLastColumn="0"/>
            </w:pPr>
            <w:r>
              <w:t>(23 618)</w:t>
            </w:r>
          </w:p>
        </w:tc>
        <w:tc>
          <w:tcPr>
            <w:tcW w:w="794" w:type="dxa"/>
          </w:tcPr>
          <w:p w14:paraId="01D025E5" w14:textId="77777777" w:rsidR="00C424E5" w:rsidRDefault="00C424E5">
            <w:pPr>
              <w:cnfStyle w:val="000000000000" w:firstRow="0" w:lastRow="0" w:firstColumn="0" w:lastColumn="0" w:oddVBand="0" w:evenVBand="0" w:oddHBand="0" w:evenHBand="0" w:firstRowFirstColumn="0" w:firstRowLastColumn="0" w:lastRowFirstColumn="0" w:lastRowLastColumn="0"/>
            </w:pPr>
            <w:r>
              <w:t>(23 126)</w:t>
            </w:r>
          </w:p>
        </w:tc>
        <w:tc>
          <w:tcPr>
            <w:tcW w:w="794" w:type="dxa"/>
          </w:tcPr>
          <w:p w14:paraId="294A7BE3" w14:textId="77777777" w:rsidR="00C424E5" w:rsidRDefault="00C424E5">
            <w:pPr>
              <w:cnfStyle w:val="000000000000" w:firstRow="0" w:lastRow="0" w:firstColumn="0" w:lastColumn="0" w:oddVBand="0" w:evenVBand="0" w:oddHBand="0" w:evenHBand="0" w:firstRowFirstColumn="0" w:firstRowLastColumn="0" w:lastRowFirstColumn="0" w:lastRowLastColumn="0"/>
            </w:pPr>
            <w:r>
              <w:t>(23 979)</w:t>
            </w:r>
          </w:p>
        </w:tc>
      </w:tr>
      <w:tr w:rsidR="00C424E5" w14:paraId="1305BBC5" w14:textId="77777777" w:rsidTr="00EE0584">
        <w:tc>
          <w:tcPr>
            <w:cnfStyle w:val="001000000000" w:firstRow="0" w:lastRow="0" w:firstColumn="1" w:lastColumn="0" w:oddVBand="0" w:evenVBand="0" w:oddHBand="0" w:evenHBand="0" w:firstRowFirstColumn="0" w:firstRowLastColumn="0" w:lastRowFirstColumn="0" w:lastRowLastColumn="0"/>
            <w:tcW w:w="3173" w:type="dxa"/>
            <w:tcBorders>
              <w:bottom w:val="single" w:sz="6" w:space="0" w:color="auto"/>
            </w:tcBorders>
          </w:tcPr>
          <w:p w14:paraId="1C939B11" w14:textId="77777777" w:rsidR="00C424E5" w:rsidRDefault="00C424E5">
            <w:r>
              <w:t>Other payments</w:t>
            </w:r>
          </w:p>
        </w:tc>
        <w:tc>
          <w:tcPr>
            <w:tcW w:w="567" w:type="dxa"/>
            <w:tcBorders>
              <w:bottom w:val="single" w:sz="6" w:space="0" w:color="auto"/>
            </w:tcBorders>
          </w:tcPr>
          <w:p w14:paraId="65B09911"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bottom w:val="single" w:sz="6" w:space="0" w:color="auto"/>
            </w:tcBorders>
          </w:tcPr>
          <w:p w14:paraId="42ECFC5D" w14:textId="77777777" w:rsidR="00C424E5" w:rsidRDefault="00C424E5">
            <w:pPr>
              <w:cnfStyle w:val="000000000000" w:firstRow="0" w:lastRow="0" w:firstColumn="0" w:lastColumn="0" w:oddVBand="0" w:evenVBand="0" w:oddHBand="0" w:evenHBand="0" w:firstRowFirstColumn="0" w:firstRowLastColumn="0" w:lastRowFirstColumn="0" w:lastRowLastColumn="0"/>
            </w:pPr>
            <w:r>
              <w:t>(1 305)</w:t>
            </w:r>
          </w:p>
        </w:tc>
        <w:tc>
          <w:tcPr>
            <w:tcW w:w="794" w:type="dxa"/>
            <w:tcBorders>
              <w:bottom w:val="single" w:sz="6" w:space="0" w:color="auto"/>
            </w:tcBorders>
          </w:tcPr>
          <w:p w14:paraId="189A57CD" w14:textId="77777777" w:rsidR="00C424E5" w:rsidRDefault="00C424E5">
            <w:pPr>
              <w:cnfStyle w:val="000000000000" w:firstRow="0" w:lastRow="0" w:firstColumn="0" w:lastColumn="0" w:oddVBand="0" w:evenVBand="0" w:oddHBand="0" w:evenHBand="0" w:firstRowFirstColumn="0" w:firstRowLastColumn="0" w:lastRowFirstColumn="0" w:lastRowLastColumn="0"/>
            </w:pPr>
            <w:r>
              <w:t>(1 415)</w:t>
            </w:r>
          </w:p>
        </w:tc>
        <w:tc>
          <w:tcPr>
            <w:tcW w:w="794" w:type="dxa"/>
            <w:tcBorders>
              <w:bottom w:val="single" w:sz="6" w:space="0" w:color="auto"/>
            </w:tcBorders>
          </w:tcPr>
          <w:p w14:paraId="7427090B" w14:textId="77777777" w:rsidR="00C424E5" w:rsidRDefault="00C424E5">
            <w:pPr>
              <w:cnfStyle w:val="000000000000" w:firstRow="0" w:lastRow="0" w:firstColumn="0" w:lastColumn="0" w:oddVBand="0" w:evenVBand="0" w:oddHBand="0" w:evenHBand="0" w:firstRowFirstColumn="0" w:firstRowLastColumn="0" w:lastRowFirstColumn="0" w:lastRowLastColumn="0"/>
            </w:pPr>
            <w:r>
              <w:t>(917)</w:t>
            </w:r>
          </w:p>
        </w:tc>
        <w:tc>
          <w:tcPr>
            <w:tcW w:w="794" w:type="dxa"/>
            <w:tcBorders>
              <w:bottom w:val="single" w:sz="6" w:space="0" w:color="auto"/>
            </w:tcBorders>
          </w:tcPr>
          <w:p w14:paraId="1892E655" w14:textId="77777777" w:rsidR="00C424E5" w:rsidRDefault="00C424E5">
            <w:pPr>
              <w:cnfStyle w:val="000000000000" w:firstRow="0" w:lastRow="0" w:firstColumn="0" w:lastColumn="0" w:oddVBand="0" w:evenVBand="0" w:oddHBand="0" w:evenHBand="0" w:firstRowFirstColumn="0" w:firstRowLastColumn="0" w:lastRowFirstColumn="0" w:lastRowLastColumn="0"/>
            </w:pPr>
            <w:r>
              <w:t>(963)</w:t>
            </w:r>
          </w:p>
        </w:tc>
        <w:tc>
          <w:tcPr>
            <w:tcW w:w="794" w:type="dxa"/>
            <w:tcBorders>
              <w:bottom w:val="single" w:sz="6" w:space="0" w:color="auto"/>
            </w:tcBorders>
          </w:tcPr>
          <w:p w14:paraId="569AFDC1" w14:textId="77777777" w:rsidR="00C424E5" w:rsidRDefault="00C424E5">
            <w:pPr>
              <w:cnfStyle w:val="000000000000" w:firstRow="0" w:lastRow="0" w:firstColumn="0" w:lastColumn="0" w:oddVBand="0" w:evenVBand="0" w:oddHBand="0" w:evenHBand="0" w:firstRowFirstColumn="0" w:firstRowLastColumn="0" w:lastRowFirstColumn="0" w:lastRowLastColumn="0"/>
            </w:pPr>
            <w:r>
              <w:t>(906)</w:t>
            </w:r>
          </w:p>
        </w:tc>
      </w:tr>
      <w:tr w:rsidR="00C424E5" w14:paraId="5F0A52E0" w14:textId="77777777" w:rsidTr="00EE058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bottom w:val="single" w:sz="6" w:space="0" w:color="auto"/>
            </w:tcBorders>
          </w:tcPr>
          <w:p w14:paraId="5E012232" w14:textId="77777777" w:rsidR="00C424E5" w:rsidRDefault="00C424E5">
            <w:r>
              <w:rPr>
                <w:b/>
              </w:rPr>
              <w:t>Total payments</w:t>
            </w:r>
          </w:p>
        </w:tc>
        <w:tc>
          <w:tcPr>
            <w:tcW w:w="567" w:type="dxa"/>
            <w:tcBorders>
              <w:top w:val="single" w:sz="6" w:space="0" w:color="auto"/>
              <w:bottom w:val="single" w:sz="6" w:space="0" w:color="auto"/>
            </w:tcBorders>
          </w:tcPr>
          <w:p w14:paraId="6C89C9C1"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bottom w:val="single" w:sz="6" w:space="0" w:color="auto"/>
            </w:tcBorders>
          </w:tcPr>
          <w:p w14:paraId="7D0DD909"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(84 879)</w:t>
            </w:r>
          </w:p>
        </w:tc>
        <w:tc>
          <w:tcPr>
            <w:tcW w:w="794" w:type="dxa"/>
            <w:tcBorders>
              <w:top w:val="single" w:sz="6" w:space="0" w:color="auto"/>
              <w:bottom w:val="single" w:sz="6" w:space="0" w:color="auto"/>
            </w:tcBorders>
          </w:tcPr>
          <w:p w14:paraId="174C2C14"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(86 944)</w:t>
            </w:r>
          </w:p>
        </w:tc>
        <w:tc>
          <w:tcPr>
            <w:tcW w:w="794" w:type="dxa"/>
            <w:tcBorders>
              <w:top w:val="single" w:sz="6" w:space="0" w:color="auto"/>
              <w:bottom w:val="single" w:sz="6" w:space="0" w:color="auto"/>
            </w:tcBorders>
          </w:tcPr>
          <w:p w14:paraId="6043ADD7"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(82 526)</w:t>
            </w:r>
          </w:p>
        </w:tc>
        <w:tc>
          <w:tcPr>
            <w:tcW w:w="794" w:type="dxa"/>
            <w:tcBorders>
              <w:top w:val="single" w:sz="6" w:space="0" w:color="auto"/>
              <w:bottom w:val="single" w:sz="6" w:space="0" w:color="auto"/>
            </w:tcBorders>
          </w:tcPr>
          <w:p w14:paraId="1F710240"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(83 746)</w:t>
            </w:r>
          </w:p>
        </w:tc>
        <w:tc>
          <w:tcPr>
            <w:tcW w:w="794" w:type="dxa"/>
            <w:tcBorders>
              <w:top w:val="single" w:sz="6" w:space="0" w:color="auto"/>
              <w:bottom w:val="single" w:sz="6" w:space="0" w:color="auto"/>
            </w:tcBorders>
          </w:tcPr>
          <w:p w14:paraId="4D700F5D"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(87 125)</w:t>
            </w:r>
          </w:p>
        </w:tc>
      </w:tr>
      <w:tr w:rsidR="00C424E5" w14:paraId="0E087F02" w14:textId="77777777" w:rsidTr="00EE058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tcBorders>
          </w:tcPr>
          <w:p w14:paraId="2A1A5164" w14:textId="77777777" w:rsidR="00C424E5" w:rsidRDefault="00C424E5">
            <w:r>
              <w:rPr>
                <w:b/>
              </w:rPr>
              <w:t>Net cash flows from operating activities</w:t>
            </w:r>
          </w:p>
        </w:tc>
        <w:tc>
          <w:tcPr>
            <w:tcW w:w="567" w:type="dxa"/>
            <w:tcBorders>
              <w:top w:val="single" w:sz="6" w:space="0" w:color="auto"/>
            </w:tcBorders>
          </w:tcPr>
          <w:p w14:paraId="4EB12006"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C2676F2"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1 281</w:t>
            </w:r>
          </w:p>
        </w:tc>
        <w:tc>
          <w:tcPr>
            <w:tcW w:w="794" w:type="dxa"/>
            <w:tcBorders>
              <w:top w:val="single" w:sz="6" w:space="0" w:color="auto"/>
            </w:tcBorders>
          </w:tcPr>
          <w:p w14:paraId="6AAE09EA"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2 361</w:t>
            </w:r>
          </w:p>
        </w:tc>
        <w:tc>
          <w:tcPr>
            <w:tcW w:w="794" w:type="dxa"/>
            <w:tcBorders>
              <w:top w:val="single" w:sz="6" w:space="0" w:color="auto"/>
            </w:tcBorders>
          </w:tcPr>
          <w:p w14:paraId="31BF3458"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793</w:t>
            </w:r>
          </w:p>
        </w:tc>
        <w:tc>
          <w:tcPr>
            <w:tcW w:w="794" w:type="dxa"/>
            <w:tcBorders>
              <w:top w:val="single" w:sz="6" w:space="0" w:color="auto"/>
            </w:tcBorders>
          </w:tcPr>
          <w:p w14:paraId="0F47E1BF"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3 907</w:t>
            </w:r>
          </w:p>
        </w:tc>
        <w:tc>
          <w:tcPr>
            <w:tcW w:w="794" w:type="dxa"/>
            <w:tcBorders>
              <w:top w:val="single" w:sz="6" w:space="0" w:color="auto"/>
            </w:tcBorders>
          </w:tcPr>
          <w:p w14:paraId="53AC24B1"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5 332</w:t>
            </w:r>
          </w:p>
        </w:tc>
      </w:tr>
      <w:tr w:rsidR="00C424E5" w14:paraId="03E17DF9" w14:textId="77777777">
        <w:tc>
          <w:tcPr>
            <w:cnfStyle w:val="001000000000" w:firstRow="0" w:lastRow="0" w:firstColumn="1" w:lastColumn="0" w:oddVBand="0" w:evenVBand="0" w:oddHBand="0" w:evenHBand="0" w:firstRowFirstColumn="0" w:firstRowLastColumn="0" w:lastRowFirstColumn="0" w:lastRowLastColumn="0"/>
            <w:tcW w:w="3173" w:type="dxa"/>
          </w:tcPr>
          <w:p w14:paraId="76FD27FF" w14:textId="77777777" w:rsidR="00C424E5" w:rsidRDefault="00C424E5">
            <w:r>
              <w:rPr>
                <w:b/>
              </w:rPr>
              <w:t>Cash flows from investing activities</w:t>
            </w:r>
          </w:p>
        </w:tc>
        <w:tc>
          <w:tcPr>
            <w:tcW w:w="567" w:type="dxa"/>
          </w:tcPr>
          <w:p w14:paraId="68F44B49"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7EF90DDA"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33955856"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036AA3B4"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2D16D64E"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602844BA"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61801CE3" w14:textId="77777777">
        <w:tc>
          <w:tcPr>
            <w:cnfStyle w:val="001000000000" w:firstRow="0" w:lastRow="0" w:firstColumn="1" w:lastColumn="0" w:oddVBand="0" w:evenVBand="0" w:oddHBand="0" w:evenHBand="0" w:firstRowFirstColumn="0" w:firstRowLastColumn="0" w:lastRowFirstColumn="0" w:lastRowLastColumn="0"/>
            <w:tcW w:w="3173" w:type="dxa"/>
          </w:tcPr>
          <w:p w14:paraId="7CAA6A3B" w14:textId="77777777" w:rsidR="00C424E5" w:rsidRDefault="00C424E5">
            <w:r>
              <w:rPr>
                <w:b/>
              </w:rPr>
              <w:t>Cash flows from investments in non</w:t>
            </w:r>
            <w:r>
              <w:rPr>
                <w:b/>
              </w:rPr>
              <w:noBreakHyphen/>
              <w:t>financial assets</w:t>
            </w:r>
          </w:p>
        </w:tc>
        <w:tc>
          <w:tcPr>
            <w:tcW w:w="567" w:type="dxa"/>
          </w:tcPr>
          <w:p w14:paraId="30BA6327"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797AA39C"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70E38CB5"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6499F177"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00D149DC"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780B3869"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007CD802" w14:textId="77777777">
        <w:tc>
          <w:tcPr>
            <w:cnfStyle w:val="001000000000" w:firstRow="0" w:lastRow="0" w:firstColumn="1" w:lastColumn="0" w:oddVBand="0" w:evenVBand="0" w:oddHBand="0" w:evenHBand="0" w:firstRowFirstColumn="0" w:firstRowLastColumn="0" w:lastRowFirstColumn="0" w:lastRowLastColumn="0"/>
            <w:tcW w:w="3173" w:type="dxa"/>
          </w:tcPr>
          <w:p w14:paraId="0AE128E1" w14:textId="77777777" w:rsidR="00C424E5" w:rsidRDefault="00C424E5">
            <w:r>
              <w:t>Purchases of non</w:t>
            </w:r>
            <w:r>
              <w:noBreakHyphen/>
              <w:t>financial assets</w:t>
            </w:r>
          </w:p>
        </w:tc>
        <w:tc>
          <w:tcPr>
            <w:tcW w:w="567" w:type="dxa"/>
          </w:tcPr>
          <w:p w14:paraId="7AE9EF3D"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r>
              <w:t>3.3.6</w:t>
            </w:r>
          </w:p>
        </w:tc>
        <w:tc>
          <w:tcPr>
            <w:tcW w:w="794" w:type="dxa"/>
          </w:tcPr>
          <w:p w14:paraId="7B8BFD81" w14:textId="77777777" w:rsidR="00C424E5" w:rsidRDefault="00C424E5">
            <w:pPr>
              <w:cnfStyle w:val="000000000000" w:firstRow="0" w:lastRow="0" w:firstColumn="0" w:lastColumn="0" w:oddVBand="0" w:evenVBand="0" w:oddHBand="0" w:evenHBand="0" w:firstRowFirstColumn="0" w:firstRowLastColumn="0" w:lastRowFirstColumn="0" w:lastRowLastColumn="0"/>
            </w:pPr>
            <w:r>
              <w:t>(15 138)</w:t>
            </w:r>
          </w:p>
        </w:tc>
        <w:tc>
          <w:tcPr>
            <w:tcW w:w="794" w:type="dxa"/>
          </w:tcPr>
          <w:p w14:paraId="448931ED" w14:textId="77777777" w:rsidR="00C424E5" w:rsidRDefault="00C424E5">
            <w:pPr>
              <w:cnfStyle w:val="000000000000" w:firstRow="0" w:lastRow="0" w:firstColumn="0" w:lastColumn="0" w:oddVBand="0" w:evenVBand="0" w:oddHBand="0" w:evenHBand="0" w:firstRowFirstColumn="0" w:firstRowLastColumn="0" w:lastRowFirstColumn="0" w:lastRowLastColumn="0"/>
            </w:pPr>
            <w:r>
              <w:t>(14 788)</w:t>
            </w:r>
          </w:p>
        </w:tc>
        <w:tc>
          <w:tcPr>
            <w:tcW w:w="794" w:type="dxa"/>
          </w:tcPr>
          <w:p w14:paraId="5E4D38DF" w14:textId="77777777" w:rsidR="00C424E5" w:rsidRDefault="00C424E5">
            <w:pPr>
              <w:cnfStyle w:val="000000000000" w:firstRow="0" w:lastRow="0" w:firstColumn="0" w:lastColumn="0" w:oddVBand="0" w:evenVBand="0" w:oddHBand="0" w:evenHBand="0" w:firstRowFirstColumn="0" w:firstRowLastColumn="0" w:lastRowFirstColumn="0" w:lastRowLastColumn="0"/>
            </w:pPr>
            <w:r>
              <w:t>(16 820)</w:t>
            </w:r>
          </w:p>
        </w:tc>
        <w:tc>
          <w:tcPr>
            <w:tcW w:w="794" w:type="dxa"/>
          </w:tcPr>
          <w:p w14:paraId="538BB2CE" w14:textId="77777777" w:rsidR="00C424E5" w:rsidRDefault="00C424E5">
            <w:pPr>
              <w:cnfStyle w:val="000000000000" w:firstRow="0" w:lastRow="0" w:firstColumn="0" w:lastColumn="0" w:oddVBand="0" w:evenVBand="0" w:oddHBand="0" w:evenHBand="0" w:firstRowFirstColumn="0" w:firstRowLastColumn="0" w:lastRowFirstColumn="0" w:lastRowLastColumn="0"/>
            </w:pPr>
            <w:r>
              <w:t>(18 559)</w:t>
            </w:r>
          </w:p>
        </w:tc>
        <w:tc>
          <w:tcPr>
            <w:tcW w:w="794" w:type="dxa"/>
          </w:tcPr>
          <w:p w14:paraId="315762FA" w14:textId="77777777" w:rsidR="00C424E5" w:rsidRDefault="00C424E5">
            <w:pPr>
              <w:cnfStyle w:val="000000000000" w:firstRow="0" w:lastRow="0" w:firstColumn="0" w:lastColumn="0" w:oddVBand="0" w:evenVBand="0" w:oddHBand="0" w:evenHBand="0" w:firstRowFirstColumn="0" w:firstRowLastColumn="0" w:lastRowFirstColumn="0" w:lastRowLastColumn="0"/>
            </w:pPr>
            <w:r>
              <w:t>(17 885)</w:t>
            </w:r>
          </w:p>
        </w:tc>
      </w:tr>
      <w:tr w:rsidR="00C424E5" w14:paraId="411F499B" w14:textId="77777777" w:rsidTr="00EE0584">
        <w:tc>
          <w:tcPr>
            <w:cnfStyle w:val="001000000000" w:firstRow="0" w:lastRow="0" w:firstColumn="1" w:lastColumn="0" w:oddVBand="0" w:evenVBand="0" w:oddHBand="0" w:evenHBand="0" w:firstRowFirstColumn="0" w:firstRowLastColumn="0" w:lastRowFirstColumn="0" w:lastRowLastColumn="0"/>
            <w:tcW w:w="3173" w:type="dxa"/>
            <w:tcBorders>
              <w:bottom w:val="single" w:sz="6" w:space="0" w:color="auto"/>
            </w:tcBorders>
          </w:tcPr>
          <w:p w14:paraId="50776745" w14:textId="77777777" w:rsidR="00C424E5" w:rsidRDefault="00C424E5">
            <w:r>
              <w:t>Sales of non</w:t>
            </w:r>
            <w:r>
              <w:noBreakHyphen/>
              <w:t>financial assets</w:t>
            </w:r>
          </w:p>
        </w:tc>
        <w:tc>
          <w:tcPr>
            <w:tcW w:w="567" w:type="dxa"/>
            <w:tcBorders>
              <w:bottom w:val="single" w:sz="6" w:space="0" w:color="auto"/>
            </w:tcBorders>
          </w:tcPr>
          <w:p w14:paraId="0FC191CB"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bottom w:val="single" w:sz="6" w:space="0" w:color="auto"/>
            </w:tcBorders>
          </w:tcPr>
          <w:p w14:paraId="1002E1E1" w14:textId="77777777" w:rsidR="00C424E5" w:rsidRDefault="00C424E5">
            <w:pPr>
              <w:cnfStyle w:val="000000000000" w:firstRow="0" w:lastRow="0" w:firstColumn="0" w:lastColumn="0" w:oddVBand="0" w:evenVBand="0" w:oddHBand="0" w:evenHBand="0" w:firstRowFirstColumn="0" w:firstRowLastColumn="0" w:lastRowFirstColumn="0" w:lastRowLastColumn="0"/>
            </w:pPr>
            <w:r>
              <w:t>693</w:t>
            </w:r>
          </w:p>
        </w:tc>
        <w:tc>
          <w:tcPr>
            <w:tcW w:w="794" w:type="dxa"/>
            <w:tcBorders>
              <w:bottom w:val="single" w:sz="6" w:space="0" w:color="auto"/>
            </w:tcBorders>
          </w:tcPr>
          <w:p w14:paraId="59A03301" w14:textId="77777777" w:rsidR="00C424E5" w:rsidRDefault="00C424E5">
            <w:pPr>
              <w:cnfStyle w:val="000000000000" w:firstRow="0" w:lastRow="0" w:firstColumn="0" w:lastColumn="0" w:oddVBand="0" w:evenVBand="0" w:oddHBand="0" w:evenHBand="0" w:firstRowFirstColumn="0" w:firstRowLastColumn="0" w:lastRowFirstColumn="0" w:lastRowLastColumn="0"/>
            </w:pPr>
            <w:r>
              <w:t>423</w:t>
            </w:r>
          </w:p>
        </w:tc>
        <w:tc>
          <w:tcPr>
            <w:tcW w:w="794" w:type="dxa"/>
            <w:tcBorders>
              <w:bottom w:val="single" w:sz="6" w:space="0" w:color="auto"/>
            </w:tcBorders>
          </w:tcPr>
          <w:p w14:paraId="71D18507" w14:textId="77777777" w:rsidR="00C424E5" w:rsidRDefault="00C424E5">
            <w:pPr>
              <w:cnfStyle w:val="000000000000" w:firstRow="0" w:lastRow="0" w:firstColumn="0" w:lastColumn="0" w:oddVBand="0" w:evenVBand="0" w:oddHBand="0" w:evenHBand="0" w:firstRowFirstColumn="0" w:firstRowLastColumn="0" w:lastRowFirstColumn="0" w:lastRowLastColumn="0"/>
            </w:pPr>
            <w:r>
              <w:t>661</w:t>
            </w:r>
          </w:p>
        </w:tc>
        <w:tc>
          <w:tcPr>
            <w:tcW w:w="794" w:type="dxa"/>
            <w:tcBorders>
              <w:bottom w:val="single" w:sz="6" w:space="0" w:color="auto"/>
            </w:tcBorders>
          </w:tcPr>
          <w:p w14:paraId="0DE94B51" w14:textId="77777777" w:rsidR="00C424E5" w:rsidRDefault="00C424E5">
            <w:pPr>
              <w:cnfStyle w:val="000000000000" w:firstRow="0" w:lastRow="0" w:firstColumn="0" w:lastColumn="0" w:oddVBand="0" w:evenVBand="0" w:oddHBand="0" w:evenHBand="0" w:firstRowFirstColumn="0" w:firstRowLastColumn="0" w:lastRowFirstColumn="0" w:lastRowLastColumn="0"/>
            </w:pPr>
            <w:r>
              <w:t>607</w:t>
            </w:r>
          </w:p>
        </w:tc>
        <w:tc>
          <w:tcPr>
            <w:tcW w:w="794" w:type="dxa"/>
            <w:tcBorders>
              <w:bottom w:val="single" w:sz="6" w:space="0" w:color="auto"/>
            </w:tcBorders>
          </w:tcPr>
          <w:p w14:paraId="49FB19F3" w14:textId="77777777" w:rsidR="00C424E5" w:rsidRDefault="00C424E5">
            <w:pPr>
              <w:cnfStyle w:val="000000000000" w:firstRow="0" w:lastRow="0" w:firstColumn="0" w:lastColumn="0" w:oddVBand="0" w:evenVBand="0" w:oddHBand="0" w:evenHBand="0" w:firstRowFirstColumn="0" w:firstRowLastColumn="0" w:lastRowFirstColumn="0" w:lastRowLastColumn="0"/>
            </w:pPr>
            <w:r>
              <w:t>698</w:t>
            </w:r>
          </w:p>
        </w:tc>
      </w:tr>
      <w:tr w:rsidR="00C424E5" w14:paraId="40435024" w14:textId="77777777" w:rsidTr="00EE058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tcBorders>
          </w:tcPr>
          <w:p w14:paraId="6857A057" w14:textId="77777777" w:rsidR="00C424E5" w:rsidRDefault="00C424E5">
            <w:r>
              <w:rPr>
                <w:b/>
              </w:rPr>
              <w:t>Net cash flows from investments in non</w:t>
            </w:r>
            <w:r>
              <w:rPr>
                <w:b/>
              </w:rPr>
              <w:noBreakHyphen/>
              <w:t>financial assets</w:t>
            </w:r>
          </w:p>
        </w:tc>
        <w:tc>
          <w:tcPr>
            <w:tcW w:w="567" w:type="dxa"/>
            <w:tcBorders>
              <w:top w:val="single" w:sz="6" w:space="0" w:color="auto"/>
            </w:tcBorders>
          </w:tcPr>
          <w:p w14:paraId="04AF0C11"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4A6E8F37"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(14 445)</w:t>
            </w:r>
          </w:p>
        </w:tc>
        <w:tc>
          <w:tcPr>
            <w:tcW w:w="794" w:type="dxa"/>
            <w:tcBorders>
              <w:top w:val="single" w:sz="6" w:space="0" w:color="auto"/>
            </w:tcBorders>
          </w:tcPr>
          <w:p w14:paraId="0E78FCD0"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(14 366)</w:t>
            </w:r>
          </w:p>
        </w:tc>
        <w:tc>
          <w:tcPr>
            <w:tcW w:w="794" w:type="dxa"/>
            <w:tcBorders>
              <w:top w:val="single" w:sz="6" w:space="0" w:color="auto"/>
            </w:tcBorders>
          </w:tcPr>
          <w:p w14:paraId="52876425"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(16 160)</w:t>
            </w:r>
          </w:p>
        </w:tc>
        <w:tc>
          <w:tcPr>
            <w:tcW w:w="794" w:type="dxa"/>
            <w:tcBorders>
              <w:top w:val="single" w:sz="6" w:space="0" w:color="auto"/>
            </w:tcBorders>
          </w:tcPr>
          <w:p w14:paraId="2F19BC34"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(17 952)</w:t>
            </w:r>
          </w:p>
        </w:tc>
        <w:tc>
          <w:tcPr>
            <w:tcW w:w="794" w:type="dxa"/>
            <w:tcBorders>
              <w:top w:val="single" w:sz="6" w:space="0" w:color="auto"/>
            </w:tcBorders>
          </w:tcPr>
          <w:p w14:paraId="0955EBCA"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(17 186)</w:t>
            </w:r>
          </w:p>
        </w:tc>
      </w:tr>
      <w:tr w:rsidR="00C424E5" w14:paraId="240F8DCB" w14:textId="77777777" w:rsidTr="00EE0584">
        <w:tc>
          <w:tcPr>
            <w:cnfStyle w:val="001000000000" w:firstRow="0" w:lastRow="0" w:firstColumn="1" w:lastColumn="0" w:oddVBand="0" w:evenVBand="0" w:oddHBand="0" w:evenHBand="0" w:firstRowFirstColumn="0" w:firstRowLastColumn="0" w:lastRowFirstColumn="0" w:lastRowLastColumn="0"/>
            <w:tcW w:w="3173" w:type="dxa"/>
            <w:tcBorders>
              <w:bottom w:val="single" w:sz="6" w:space="0" w:color="auto"/>
            </w:tcBorders>
          </w:tcPr>
          <w:p w14:paraId="716651E9" w14:textId="77777777" w:rsidR="00C424E5" w:rsidRDefault="00C424E5">
            <w:r>
              <w:t>Net cash flows from investments in financial assets for policy purposes</w:t>
            </w:r>
          </w:p>
        </w:tc>
        <w:tc>
          <w:tcPr>
            <w:tcW w:w="567" w:type="dxa"/>
            <w:tcBorders>
              <w:bottom w:val="single" w:sz="6" w:space="0" w:color="auto"/>
            </w:tcBorders>
          </w:tcPr>
          <w:p w14:paraId="7D6159DE"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bottom w:val="single" w:sz="6" w:space="0" w:color="auto"/>
            </w:tcBorders>
          </w:tcPr>
          <w:p w14:paraId="1AC18E2A" w14:textId="77777777" w:rsidR="00C424E5" w:rsidRDefault="00C424E5">
            <w:pPr>
              <w:cnfStyle w:val="000000000000" w:firstRow="0" w:lastRow="0" w:firstColumn="0" w:lastColumn="0" w:oddVBand="0" w:evenVBand="0" w:oddHBand="0" w:evenHBand="0" w:firstRowFirstColumn="0" w:firstRowLastColumn="0" w:lastRowFirstColumn="0" w:lastRowLastColumn="0"/>
            </w:pPr>
            <w:r>
              <w:t>(1 429)</w:t>
            </w:r>
          </w:p>
        </w:tc>
        <w:tc>
          <w:tcPr>
            <w:tcW w:w="794" w:type="dxa"/>
            <w:tcBorders>
              <w:bottom w:val="single" w:sz="6" w:space="0" w:color="auto"/>
            </w:tcBorders>
          </w:tcPr>
          <w:p w14:paraId="0E77A61F" w14:textId="77777777" w:rsidR="00C424E5" w:rsidRDefault="00C424E5">
            <w:pPr>
              <w:cnfStyle w:val="000000000000" w:firstRow="0" w:lastRow="0" w:firstColumn="0" w:lastColumn="0" w:oddVBand="0" w:evenVBand="0" w:oddHBand="0" w:evenHBand="0" w:firstRowFirstColumn="0" w:firstRowLastColumn="0" w:lastRowFirstColumn="0" w:lastRowLastColumn="0"/>
            </w:pPr>
            <w:r>
              <w:t>(1 466)</w:t>
            </w:r>
          </w:p>
        </w:tc>
        <w:tc>
          <w:tcPr>
            <w:tcW w:w="794" w:type="dxa"/>
            <w:tcBorders>
              <w:bottom w:val="single" w:sz="6" w:space="0" w:color="auto"/>
            </w:tcBorders>
          </w:tcPr>
          <w:p w14:paraId="1F2CA3F8" w14:textId="77777777" w:rsidR="00C424E5" w:rsidRDefault="00C424E5">
            <w:pPr>
              <w:cnfStyle w:val="000000000000" w:firstRow="0" w:lastRow="0" w:firstColumn="0" w:lastColumn="0" w:oddVBand="0" w:evenVBand="0" w:oddHBand="0" w:evenHBand="0" w:firstRowFirstColumn="0" w:firstRowLastColumn="0" w:lastRowFirstColumn="0" w:lastRowLastColumn="0"/>
            </w:pPr>
            <w:r>
              <w:t>(2 143)</w:t>
            </w:r>
          </w:p>
        </w:tc>
        <w:tc>
          <w:tcPr>
            <w:tcW w:w="794" w:type="dxa"/>
            <w:tcBorders>
              <w:bottom w:val="single" w:sz="6" w:space="0" w:color="auto"/>
            </w:tcBorders>
          </w:tcPr>
          <w:p w14:paraId="0E9B171F" w14:textId="77777777" w:rsidR="00C424E5" w:rsidRDefault="00C424E5">
            <w:pPr>
              <w:cnfStyle w:val="000000000000" w:firstRow="0" w:lastRow="0" w:firstColumn="0" w:lastColumn="0" w:oddVBand="0" w:evenVBand="0" w:oddHBand="0" w:evenHBand="0" w:firstRowFirstColumn="0" w:firstRowLastColumn="0" w:lastRowFirstColumn="0" w:lastRowLastColumn="0"/>
            </w:pPr>
            <w:r>
              <w:t>(2 582)</w:t>
            </w:r>
          </w:p>
        </w:tc>
        <w:tc>
          <w:tcPr>
            <w:tcW w:w="794" w:type="dxa"/>
            <w:tcBorders>
              <w:bottom w:val="single" w:sz="6" w:space="0" w:color="auto"/>
            </w:tcBorders>
          </w:tcPr>
          <w:p w14:paraId="6ED2B250" w14:textId="77777777" w:rsidR="00C424E5" w:rsidRDefault="00C424E5">
            <w:pPr>
              <w:cnfStyle w:val="000000000000" w:firstRow="0" w:lastRow="0" w:firstColumn="0" w:lastColumn="0" w:oddVBand="0" w:evenVBand="0" w:oddHBand="0" w:evenHBand="0" w:firstRowFirstColumn="0" w:firstRowLastColumn="0" w:lastRowFirstColumn="0" w:lastRowLastColumn="0"/>
            </w:pPr>
            <w:r>
              <w:t>(2 119)</w:t>
            </w:r>
          </w:p>
        </w:tc>
      </w:tr>
      <w:tr w:rsidR="00C424E5" w14:paraId="119D39BF" w14:textId="77777777" w:rsidTr="00EE058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tcBorders>
          </w:tcPr>
          <w:p w14:paraId="03BF596D" w14:textId="77777777" w:rsidR="00C424E5" w:rsidRDefault="00C424E5">
            <w:r>
              <w:rPr>
                <w:b/>
              </w:rPr>
              <w:t>Subtotal</w:t>
            </w:r>
          </w:p>
        </w:tc>
        <w:tc>
          <w:tcPr>
            <w:tcW w:w="567" w:type="dxa"/>
            <w:tcBorders>
              <w:top w:val="single" w:sz="6" w:space="0" w:color="auto"/>
            </w:tcBorders>
          </w:tcPr>
          <w:p w14:paraId="5ED6524F"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5F2084E0"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(15 874)</w:t>
            </w:r>
          </w:p>
        </w:tc>
        <w:tc>
          <w:tcPr>
            <w:tcW w:w="794" w:type="dxa"/>
            <w:tcBorders>
              <w:top w:val="single" w:sz="6" w:space="0" w:color="auto"/>
            </w:tcBorders>
          </w:tcPr>
          <w:p w14:paraId="7D967FF4"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(15 832)</w:t>
            </w:r>
          </w:p>
        </w:tc>
        <w:tc>
          <w:tcPr>
            <w:tcW w:w="794" w:type="dxa"/>
            <w:tcBorders>
              <w:top w:val="single" w:sz="6" w:space="0" w:color="auto"/>
            </w:tcBorders>
          </w:tcPr>
          <w:p w14:paraId="11B7BA24"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(18 303)</w:t>
            </w:r>
          </w:p>
        </w:tc>
        <w:tc>
          <w:tcPr>
            <w:tcW w:w="794" w:type="dxa"/>
            <w:tcBorders>
              <w:top w:val="single" w:sz="6" w:space="0" w:color="auto"/>
            </w:tcBorders>
          </w:tcPr>
          <w:p w14:paraId="506CAC5A"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(20 534)</w:t>
            </w:r>
          </w:p>
        </w:tc>
        <w:tc>
          <w:tcPr>
            <w:tcW w:w="794" w:type="dxa"/>
            <w:tcBorders>
              <w:top w:val="single" w:sz="6" w:space="0" w:color="auto"/>
            </w:tcBorders>
          </w:tcPr>
          <w:p w14:paraId="741CD827"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(19 306)</w:t>
            </w:r>
          </w:p>
        </w:tc>
      </w:tr>
      <w:tr w:rsidR="00C424E5" w14:paraId="3D4A0E26" w14:textId="77777777" w:rsidTr="00EE0584">
        <w:tc>
          <w:tcPr>
            <w:cnfStyle w:val="001000000000" w:firstRow="0" w:lastRow="0" w:firstColumn="1" w:lastColumn="0" w:oddVBand="0" w:evenVBand="0" w:oddHBand="0" w:evenHBand="0" w:firstRowFirstColumn="0" w:firstRowLastColumn="0" w:lastRowFirstColumn="0" w:lastRowLastColumn="0"/>
            <w:tcW w:w="3173" w:type="dxa"/>
            <w:tcBorders>
              <w:bottom w:val="single" w:sz="6" w:space="0" w:color="auto"/>
            </w:tcBorders>
          </w:tcPr>
          <w:p w14:paraId="57BD0550" w14:textId="77777777" w:rsidR="00C424E5" w:rsidRDefault="00C424E5">
            <w:r>
              <w:t>Net cash flows from investment in financial assets for liquidity management purposes</w:t>
            </w:r>
          </w:p>
        </w:tc>
        <w:tc>
          <w:tcPr>
            <w:tcW w:w="567" w:type="dxa"/>
            <w:tcBorders>
              <w:bottom w:val="single" w:sz="6" w:space="0" w:color="auto"/>
            </w:tcBorders>
          </w:tcPr>
          <w:p w14:paraId="0981BF5C"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bottom w:val="single" w:sz="6" w:space="0" w:color="auto"/>
            </w:tcBorders>
          </w:tcPr>
          <w:p w14:paraId="5196D21C" w14:textId="77777777" w:rsidR="00C424E5" w:rsidRDefault="00C424E5">
            <w:pPr>
              <w:cnfStyle w:val="000000000000" w:firstRow="0" w:lastRow="0" w:firstColumn="0" w:lastColumn="0" w:oddVBand="0" w:evenVBand="0" w:oddHBand="0" w:evenHBand="0" w:firstRowFirstColumn="0" w:firstRowLastColumn="0" w:lastRowFirstColumn="0" w:lastRowLastColumn="0"/>
            </w:pPr>
            <w:r>
              <w:t>(6 254)</w:t>
            </w:r>
          </w:p>
        </w:tc>
        <w:tc>
          <w:tcPr>
            <w:tcW w:w="794" w:type="dxa"/>
            <w:tcBorders>
              <w:bottom w:val="single" w:sz="6" w:space="0" w:color="auto"/>
            </w:tcBorders>
          </w:tcPr>
          <w:p w14:paraId="22076406" w14:textId="77777777" w:rsidR="00C424E5" w:rsidRDefault="00C424E5">
            <w:pPr>
              <w:cnfStyle w:val="000000000000" w:firstRow="0" w:lastRow="0" w:firstColumn="0" w:lastColumn="0" w:oddVBand="0" w:evenVBand="0" w:oddHBand="0" w:evenHBand="0" w:firstRowFirstColumn="0" w:firstRowLastColumn="0" w:lastRowFirstColumn="0" w:lastRowLastColumn="0"/>
            </w:pPr>
            <w:r>
              <w:t>(9 079)</w:t>
            </w:r>
          </w:p>
        </w:tc>
        <w:tc>
          <w:tcPr>
            <w:tcW w:w="794" w:type="dxa"/>
            <w:tcBorders>
              <w:bottom w:val="single" w:sz="6" w:space="0" w:color="auto"/>
            </w:tcBorders>
          </w:tcPr>
          <w:p w14:paraId="10950A95" w14:textId="77777777" w:rsidR="00C424E5" w:rsidRDefault="00C424E5">
            <w:pPr>
              <w:cnfStyle w:val="000000000000" w:firstRow="0" w:lastRow="0" w:firstColumn="0" w:lastColumn="0" w:oddVBand="0" w:evenVBand="0" w:oddHBand="0" w:evenHBand="0" w:firstRowFirstColumn="0" w:firstRowLastColumn="0" w:lastRowFirstColumn="0" w:lastRowLastColumn="0"/>
            </w:pPr>
            <w:r>
              <w:t>(1 242)</w:t>
            </w:r>
          </w:p>
        </w:tc>
        <w:tc>
          <w:tcPr>
            <w:tcW w:w="794" w:type="dxa"/>
            <w:tcBorders>
              <w:bottom w:val="single" w:sz="6" w:space="0" w:color="auto"/>
            </w:tcBorders>
          </w:tcPr>
          <w:p w14:paraId="40C3A5C9" w14:textId="77777777" w:rsidR="00C424E5" w:rsidRDefault="00C424E5">
            <w:pPr>
              <w:cnfStyle w:val="000000000000" w:firstRow="0" w:lastRow="0" w:firstColumn="0" w:lastColumn="0" w:oddVBand="0" w:evenVBand="0" w:oddHBand="0" w:evenHBand="0" w:firstRowFirstColumn="0" w:firstRowLastColumn="0" w:lastRowFirstColumn="0" w:lastRowLastColumn="0"/>
            </w:pPr>
            <w:r>
              <w:t>(1 550)</w:t>
            </w:r>
          </w:p>
        </w:tc>
        <w:tc>
          <w:tcPr>
            <w:tcW w:w="794" w:type="dxa"/>
            <w:tcBorders>
              <w:bottom w:val="single" w:sz="6" w:space="0" w:color="auto"/>
            </w:tcBorders>
          </w:tcPr>
          <w:p w14:paraId="2CBBD794" w14:textId="77777777" w:rsidR="00C424E5" w:rsidRDefault="00C424E5">
            <w:pPr>
              <w:cnfStyle w:val="000000000000" w:firstRow="0" w:lastRow="0" w:firstColumn="0" w:lastColumn="0" w:oddVBand="0" w:evenVBand="0" w:oddHBand="0" w:evenHBand="0" w:firstRowFirstColumn="0" w:firstRowLastColumn="0" w:lastRowFirstColumn="0" w:lastRowLastColumn="0"/>
            </w:pPr>
            <w:r>
              <w:t>(1 716)</w:t>
            </w:r>
          </w:p>
        </w:tc>
      </w:tr>
      <w:tr w:rsidR="00C424E5" w14:paraId="5F501877" w14:textId="77777777" w:rsidTr="00EE058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tcBorders>
          </w:tcPr>
          <w:p w14:paraId="5D0DA949" w14:textId="77777777" w:rsidR="00C424E5" w:rsidRDefault="00C424E5">
            <w:r>
              <w:rPr>
                <w:b/>
              </w:rPr>
              <w:t>Net cash flows from investing activities</w:t>
            </w:r>
          </w:p>
        </w:tc>
        <w:tc>
          <w:tcPr>
            <w:tcW w:w="567" w:type="dxa"/>
            <w:tcBorders>
              <w:top w:val="single" w:sz="6" w:space="0" w:color="auto"/>
            </w:tcBorders>
          </w:tcPr>
          <w:p w14:paraId="70243B6B"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9087946"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(22 129)</w:t>
            </w:r>
          </w:p>
        </w:tc>
        <w:tc>
          <w:tcPr>
            <w:tcW w:w="794" w:type="dxa"/>
            <w:tcBorders>
              <w:top w:val="single" w:sz="6" w:space="0" w:color="auto"/>
            </w:tcBorders>
          </w:tcPr>
          <w:p w14:paraId="15214095"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(24 910)</w:t>
            </w:r>
          </w:p>
        </w:tc>
        <w:tc>
          <w:tcPr>
            <w:tcW w:w="794" w:type="dxa"/>
            <w:tcBorders>
              <w:top w:val="single" w:sz="6" w:space="0" w:color="auto"/>
            </w:tcBorders>
          </w:tcPr>
          <w:p w14:paraId="37B758EA"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(19 545)</w:t>
            </w:r>
          </w:p>
        </w:tc>
        <w:tc>
          <w:tcPr>
            <w:tcW w:w="794" w:type="dxa"/>
            <w:tcBorders>
              <w:top w:val="single" w:sz="6" w:space="0" w:color="auto"/>
            </w:tcBorders>
          </w:tcPr>
          <w:p w14:paraId="0FDAD91C"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(22 084)</w:t>
            </w:r>
          </w:p>
        </w:tc>
        <w:tc>
          <w:tcPr>
            <w:tcW w:w="794" w:type="dxa"/>
            <w:tcBorders>
              <w:top w:val="single" w:sz="6" w:space="0" w:color="auto"/>
            </w:tcBorders>
          </w:tcPr>
          <w:p w14:paraId="59C7C151"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(21 022)</w:t>
            </w:r>
          </w:p>
        </w:tc>
      </w:tr>
      <w:tr w:rsidR="00C424E5" w14:paraId="0A831E0C" w14:textId="77777777">
        <w:tc>
          <w:tcPr>
            <w:cnfStyle w:val="001000000000" w:firstRow="0" w:lastRow="0" w:firstColumn="1" w:lastColumn="0" w:oddVBand="0" w:evenVBand="0" w:oddHBand="0" w:evenHBand="0" w:firstRowFirstColumn="0" w:firstRowLastColumn="0" w:lastRowFirstColumn="0" w:lastRowLastColumn="0"/>
            <w:tcW w:w="3173" w:type="dxa"/>
          </w:tcPr>
          <w:p w14:paraId="1EC7777B" w14:textId="77777777" w:rsidR="00C424E5" w:rsidRDefault="00C424E5">
            <w:r>
              <w:rPr>
                <w:b/>
              </w:rPr>
              <w:t>Cash flows from financing activities</w:t>
            </w:r>
          </w:p>
        </w:tc>
        <w:tc>
          <w:tcPr>
            <w:tcW w:w="567" w:type="dxa"/>
          </w:tcPr>
          <w:p w14:paraId="653F72E3"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4E275A10"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56B6EB5B"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426FF034"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5B5ED52E"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60251AD4"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41B22293" w14:textId="77777777">
        <w:tc>
          <w:tcPr>
            <w:cnfStyle w:val="001000000000" w:firstRow="0" w:lastRow="0" w:firstColumn="1" w:lastColumn="0" w:oddVBand="0" w:evenVBand="0" w:oddHBand="0" w:evenHBand="0" w:firstRowFirstColumn="0" w:firstRowLastColumn="0" w:lastRowFirstColumn="0" w:lastRowLastColumn="0"/>
            <w:tcW w:w="3173" w:type="dxa"/>
          </w:tcPr>
          <w:p w14:paraId="63245C78" w14:textId="77777777" w:rsidR="00C424E5" w:rsidRDefault="00C424E5">
            <w:r>
              <w:t>Advances received (net)</w:t>
            </w:r>
          </w:p>
        </w:tc>
        <w:tc>
          <w:tcPr>
            <w:tcW w:w="567" w:type="dxa"/>
          </w:tcPr>
          <w:p w14:paraId="04FC4495"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5CDFCB90" w14:textId="77777777" w:rsidR="00C424E5" w:rsidRDefault="00C424E5">
            <w:pPr>
              <w:cnfStyle w:val="000000000000" w:firstRow="0" w:lastRow="0" w:firstColumn="0" w:lastColumn="0" w:oddVBand="0" w:evenVBand="0" w:oddHBand="0" w:evenHBand="0" w:firstRowFirstColumn="0" w:firstRowLastColumn="0" w:lastRowFirstColumn="0" w:lastRowLastColumn="0"/>
            </w:pPr>
            <w:r>
              <w:t>(448)</w:t>
            </w:r>
          </w:p>
        </w:tc>
        <w:tc>
          <w:tcPr>
            <w:tcW w:w="794" w:type="dxa"/>
          </w:tcPr>
          <w:p w14:paraId="10913F70" w14:textId="77777777" w:rsidR="00C424E5" w:rsidRDefault="00C424E5">
            <w:pPr>
              <w:cnfStyle w:val="000000000000" w:firstRow="0" w:lastRow="0" w:firstColumn="0" w:lastColumn="0" w:oddVBand="0" w:evenVBand="0" w:oddHBand="0" w:evenHBand="0" w:firstRowFirstColumn="0" w:firstRowLastColumn="0" w:lastRowFirstColumn="0" w:lastRowLastColumn="0"/>
            </w:pPr>
            <w:r>
              <w:t>(448)</w:t>
            </w:r>
          </w:p>
        </w:tc>
        <w:tc>
          <w:tcPr>
            <w:tcW w:w="794" w:type="dxa"/>
          </w:tcPr>
          <w:p w14:paraId="2F3B6349" w14:textId="77777777" w:rsidR="00C424E5" w:rsidRDefault="00C424E5">
            <w:pPr>
              <w:cnfStyle w:val="000000000000" w:firstRow="0" w:lastRow="0" w:firstColumn="0" w:lastColumn="0" w:oddVBand="0" w:evenVBand="0" w:oddHBand="0" w:evenHBand="0" w:firstRowFirstColumn="0" w:firstRowLastColumn="0" w:lastRowFirstColumn="0" w:lastRowLastColumn="0"/>
            </w:pPr>
            <w:r>
              <w:t>16</w:t>
            </w:r>
          </w:p>
        </w:tc>
        <w:tc>
          <w:tcPr>
            <w:tcW w:w="794" w:type="dxa"/>
          </w:tcPr>
          <w:p w14:paraId="145CB8D2" w14:textId="77777777" w:rsidR="00C424E5" w:rsidRDefault="00C424E5">
            <w:pPr>
              <w:cnfStyle w:val="000000000000" w:firstRow="0" w:lastRow="0" w:firstColumn="0" w:lastColumn="0" w:oddVBand="0" w:evenVBand="0" w:oddHBand="0" w:evenHBand="0" w:firstRowFirstColumn="0" w:firstRowLastColumn="0" w:lastRowFirstColumn="0" w:lastRowLastColumn="0"/>
            </w:pPr>
            <w:r>
              <w:t>8</w:t>
            </w:r>
          </w:p>
        </w:tc>
        <w:tc>
          <w:tcPr>
            <w:tcW w:w="794" w:type="dxa"/>
          </w:tcPr>
          <w:p w14:paraId="442B06D6" w14:textId="77777777" w:rsidR="00C424E5" w:rsidRDefault="00C424E5">
            <w:pPr>
              <w:cnfStyle w:val="000000000000" w:firstRow="0" w:lastRow="0" w:firstColumn="0" w:lastColumn="0" w:oddVBand="0" w:evenVBand="0" w:oddHBand="0" w:evenHBand="0" w:firstRowFirstColumn="0" w:firstRowLastColumn="0" w:lastRowFirstColumn="0" w:lastRowLastColumn="0"/>
            </w:pPr>
            <w:r>
              <w:t>(48)</w:t>
            </w:r>
          </w:p>
        </w:tc>
      </w:tr>
      <w:tr w:rsidR="00C424E5" w14:paraId="3C881EA8" w14:textId="77777777">
        <w:tc>
          <w:tcPr>
            <w:cnfStyle w:val="001000000000" w:firstRow="0" w:lastRow="0" w:firstColumn="1" w:lastColumn="0" w:oddVBand="0" w:evenVBand="0" w:oddHBand="0" w:evenHBand="0" w:firstRowFirstColumn="0" w:firstRowLastColumn="0" w:lastRowFirstColumn="0" w:lastRowLastColumn="0"/>
            <w:tcW w:w="3173" w:type="dxa"/>
          </w:tcPr>
          <w:p w14:paraId="69E52B48" w14:textId="77777777" w:rsidR="00C424E5" w:rsidRDefault="00C424E5">
            <w:r>
              <w:t>Net borrowings</w:t>
            </w:r>
          </w:p>
        </w:tc>
        <w:tc>
          <w:tcPr>
            <w:tcW w:w="567" w:type="dxa"/>
          </w:tcPr>
          <w:p w14:paraId="17BA46BF"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6038BBD7" w14:textId="77777777" w:rsidR="00C424E5" w:rsidRDefault="00C424E5">
            <w:pPr>
              <w:cnfStyle w:val="000000000000" w:firstRow="0" w:lastRow="0" w:firstColumn="0" w:lastColumn="0" w:oddVBand="0" w:evenVBand="0" w:oddHBand="0" w:evenHBand="0" w:firstRowFirstColumn="0" w:firstRowLastColumn="0" w:lastRowFirstColumn="0" w:lastRowLastColumn="0"/>
            </w:pPr>
            <w:r>
              <w:t>21 253</w:t>
            </w:r>
          </w:p>
        </w:tc>
        <w:tc>
          <w:tcPr>
            <w:tcW w:w="794" w:type="dxa"/>
          </w:tcPr>
          <w:p w14:paraId="7B8B189E" w14:textId="77777777" w:rsidR="00C424E5" w:rsidRDefault="00C424E5">
            <w:pPr>
              <w:cnfStyle w:val="000000000000" w:firstRow="0" w:lastRow="0" w:firstColumn="0" w:lastColumn="0" w:oddVBand="0" w:evenVBand="0" w:oddHBand="0" w:evenHBand="0" w:firstRowFirstColumn="0" w:firstRowLastColumn="0" w:lastRowFirstColumn="0" w:lastRowLastColumn="0"/>
            </w:pPr>
            <w:r>
              <w:t>23 131</w:t>
            </w:r>
          </w:p>
        </w:tc>
        <w:tc>
          <w:tcPr>
            <w:tcW w:w="794" w:type="dxa"/>
          </w:tcPr>
          <w:p w14:paraId="223C6CB9" w14:textId="77777777" w:rsidR="00C424E5" w:rsidRDefault="00C424E5">
            <w:pPr>
              <w:cnfStyle w:val="000000000000" w:firstRow="0" w:lastRow="0" w:firstColumn="0" w:lastColumn="0" w:oddVBand="0" w:evenVBand="0" w:oddHBand="0" w:evenHBand="0" w:firstRowFirstColumn="0" w:firstRowLastColumn="0" w:lastRowFirstColumn="0" w:lastRowLastColumn="0"/>
            </w:pPr>
            <w:r>
              <w:t>19 043</w:t>
            </w:r>
          </w:p>
        </w:tc>
        <w:tc>
          <w:tcPr>
            <w:tcW w:w="794" w:type="dxa"/>
          </w:tcPr>
          <w:p w14:paraId="0323AA7C" w14:textId="77777777" w:rsidR="00C424E5" w:rsidRDefault="00C424E5">
            <w:pPr>
              <w:cnfStyle w:val="000000000000" w:firstRow="0" w:lastRow="0" w:firstColumn="0" w:lastColumn="0" w:oddVBand="0" w:evenVBand="0" w:oddHBand="0" w:evenHBand="0" w:firstRowFirstColumn="0" w:firstRowLastColumn="0" w:lastRowFirstColumn="0" w:lastRowLastColumn="0"/>
            </w:pPr>
            <w:r>
              <w:t>18 624</w:t>
            </w:r>
          </w:p>
        </w:tc>
        <w:tc>
          <w:tcPr>
            <w:tcW w:w="794" w:type="dxa"/>
          </w:tcPr>
          <w:p w14:paraId="0A501025" w14:textId="77777777" w:rsidR="00C424E5" w:rsidRDefault="00C424E5">
            <w:pPr>
              <w:cnfStyle w:val="000000000000" w:firstRow="0" w:lastRow="0" w:firstColumn="0" w:lastColumn="0" w:oddVBand="0" w:evenVBand="0" w:oddHBand="0" w:evenHBand="0" w:firstRowFirstColumn="0" w:firstRowLastColumn="0" w:lastRowFirstColumn="0" w:lastRowLastColumn="0"/>
            </w:pPr>
            <w:r>
              <w:t>16 245</w:t>
            </w:r>
          </w:p>
        </w:tc>
      </w:tr>
      <w:tr w:rsidR="00C424E5" w14:paraId="624F022D" w14:textId="77777777" w:rsidTr="00EE058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bottom w:val="single" w:sz="6" w:space="0" w:color="auto"/>
            </w:tcBorders>
          </w:tcPr>
          <w:p w14:paraId="4D0CDAE1" w14:textId="77777777" w:rsidR="00C424E5" w:rsidRDefault="00C424E5">
            <w:r>
              <w:rPr>
                <w:b/>
              </w:rPr>
              <w:t>Net cash flows from financing activities</w:t>
            </w:r>
          </w:p>
        </w:tc>
        <w:tc>
          <w:tcPr>
            <w:tcW w:w="567" w:type="dxa"/>
            <w:tcBorders>
              <w:top w:val="single" w:sz="6" w:space="0" w:color="auto"/>
              <w:bottom w:val="single" w:sz="6" w:space="0" w:color="auto"/>
            </w:tcBorders>
          </w:tcPr>
          <w:p w14:paraId="0135BBB7"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bottom w:val="single" w:sz="6" w:space="0" w:color="auto"/>
            </w:tcBorders>
          </w:tcPr>
          <w:p w14:paraId="056F0405"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20 805</w:t>
            </w:r>
          </w:p>
        </w:tc>
        <w:tc>
          <w:tcPr>
            <w:tcW w:w="794" w:type="dxa"/>
            <w:tcBorders>
              <w:top w:val="single" w:sz="6" w:space="0" w:color="auto"/>
              <w:bottom w:val="single" w:sz="6" w:space="0" w:color="auto"/>
            </w:tcBorders>
          </w:tcPr>
          <w:p w14:paraId="0EF9F190"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22 682</w:t>
            </w:r>
          </w:p>
        </w:tc>
        <w:tc>
          <w:tcPr>
            <w:tcW w:w="794" w:type="dxa"/>
            <w:tcBorders>
              <w:top w:val="single" w:sz="6" w:space="0" w:color="auto"/>
              <w:bottom w:val="single" w:sz="6" w:space="0" w:color="auto"/>
            </w:tcBorders>
          </w:tcPr>
          <w:p w14:paraId="25B4D3B3"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19 060</w:t>
            </w:r>
          </w:p>
        </w:tc>
        <w:tc>
          <w:tcPr>
            <w:tcW w:w="794" w:type="dxa"/>
            <w:tcBorders>
              <w:top w:val="single" w:sz="6" w:space="0" w:color="auto"/>
              <w:bottom w:val="single" w:sz="6" w:space="0" w:color="auto"/>
            </w:tcBorders>
          </w:tcPr>
          <w:p w14:paraId="252A3EF2"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18 632</w:t>
            </w:r>
          </w:p>
        </w:tc>
        <w:tc>
          <w:tcPr>
            <w:tcW w:w="794" w:type="dxa"/>
            <w:tcBorders>
              <w:top w:val="single" w:sz="6" w:space="0" w:color="auto"/>
              <w:bottom w:val="single" w:sz="6" w:space="0" w:color="auto"/>
            </w:tcBorders>
          </w:tcPr>
          <w:p w14:paraId="60BD8974"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16 197</w:t>
            </w:r>
          </w:p>
        </w:tc>
      </w:tr>
      <w:tr w:rsidR="00C424E5" w14:paraId="2C9F870C" w14:textId="77777777" w:rsidTr="00EE058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tcBorders>
          </w:tcPr>
          <w:p w14:paraId="0C136CCA" w14:textId="77777777" w:rsidR="00C424E5" w:rsidRDefault="00C424E5">
            <w:r>
              <w:rPr>
                <w:b/>
              </w:rPr>
              <w:t>Net increase/(decrease) in cash and cash equivalents</w:t>
            </w:r>
          </w:p>
        </w:tc>
        <w:tc>
          <w:tcPr>
            <w:tcW w:w="567" w:type="dxa"/>
            <w:tcBorders>
              <w:top w:val="single" w:sz="6" w:space="0" w:color="auto"/>
            </w:tcBorders>
          </w:tcPr>
          <w:p w14:paraId="60413F32"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42225BBF"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(43)</w:t>
            </w:r>
          </w:p>
        </w:tc>
        <w:tc>
          <w:tcPr>
            <w:tcW w:w="794" w:type="dxa"/>
            <w:tcBorders>
              <w:top w:val="single" w:sz="6" w:space="0" w:color="auto"/>
            </w:tcBorders>
          </w:tcPr>
          <w:p w14:paraId="3B268E85"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133</w:t>
            </w:r>
          </w:p>
        </w:tc>
        <w:tc>
          <w:tcPr>
            <w:tcW w:w="794" w:type="dxa"/>
            <w:tcBorders>
              <w:top w:val="single" w:sz="6" w:space="0" w:color="auto"/>
            </w:tcBorders>
          </w:tcPr>
          <w:p w14:paraId="51365FE1"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308</w:t>
            </w:r>
          </w:p>
        </w:tc>
        <w:tc>
          <w:tcPr>
            <w:tcW w:w="794" w:type="dxa"/>
            <w:tcBorders>
              <w:top w:val="single" w:sz="6" w:space="0" w:color="auto"/>
            </w:tcBorders>
          </w:tcPr>
          <w:p w14:paraId="2E09133B"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455</w:t>
            </w:r>
          </w:p>
        </w:tc>
        <w:tc>
          <w:tcPr>
            <w:tcW w:w="794" w:type="dxa"/>
            <w:tcBorders>
              <w:top w:val="single" w:sz="6" w:space="0" w:color="auto"/>
            </w:tcBorders>
          </w:tcPr>
          <w:p w14:paraId="2D3385C4"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507</w:t>
            </w:r>
          </w:p>
        </w:tc>
      </w:tr>
      <w:tr w:rsidR="00C424E5" w14:paraId="678F3869" w14:textId="77777777" w:rsidTr="00EE0584">
        <w:tc>
          <w:tcPr>
            <w:cnfStyle w:val="001000000000" w:firstRow="0" w:lastRow="0" w:firstColumn="1" w:lastColumn="0" w:oddVBand="0" w:evenVBand="0" w:oddHBand="0" w:evenHBand="0" w:firstRowFirstColumn="0" w:firstRowLastColumn="0" w:lastRowFirstColumn="0" w:lastRowLastColumn="0"/>
            <w:tcW w:w="3173" w:type="dxa"/>
            <w:tcBorders>
              <w:bottom w:val="single" w:sz="6" w:space="0" w:color="auto"/>
            </w:tcBorders>
          </w:tcPr>
          <w:p w14:paraId="7F0C9ED6" w14:textId="77777777" w:rsidR="00C424E5" w:rsidRDefault="00C424E5">
            <w:r>
              <w:t>Cash and cash equivalents at beginning of reporting period</w:t>
            </w:r>
            <w:r>
              <w:rPr>
                <w:vertAlign w:val="superscript"/>
              </w:rPr>
              <w:t xml:space="preserve"> (b)(c)</w:t>
            </w:r>
          </w:p>
        </w:tc>
        <w:tc>
          <w:tcPr>
            <w:tcW w:w="567" w:type="dxa"/>
            <w:tcBorders>
              <w:bottom w:val="single" w:sz="6" w:space="0" w:color="auto"/>
            </w:tcBorders>
          </w:tcPr>
          <w:p w14:paraId="223682E3"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bottom w:val="single" w:sz="6" w:space="0" w:color="auto"/>
            </w:tcBorders>
          </w:tcPr>
          <w:p w14:paraId="2047FDC8" w14:textId="77777777" w:rsidR="00C424E5" w:rsidRDefault="00C424E5">
            <w:pPr>
              <w:cnfStyle w:val="000000000000" w:firstRow="0" w:lastRow="0" w:firstColumn="0" w:lastColumn="0" w:oddVBand="0" w:evenVBand="0" w:oddHBand="0" w:evenHBand="0" w:firstRowFirstColumn="0" w:firstRowLastColumn="0" w:lastRowFirstColumn="0" w:lastRowLastColumn="0"/>
            </w:pPr>
            <w:r>
              <w:t>10 974</w:t>
            </w:r>
          </w:p>
        </w:tc>
        <w:tc>
          <w:tcPr>
            <w:tcW w:w="794" w:type="dxa"/>
            <w:tcBorders>
              <w:bottom w:val="single" w:sz="6" w:space="0" w:color="auto"/>
            </w:tcBorders>
          </w:tcPr>
          <w:p w14:paraId="04DFA7CB" w14:textId="77777777" w:rsidR="00C424E5" w:rsidRDefault="00C424E5">
            <w:pPr>
              <w:cnfStyle w:val="000000000000" w:firstRow="0" w:lastRow="0" w:firstColumn="0" w:lastColumn="0" w:oddVBand="0" w:evenVBand="0" w:oddHBand="0" w:evenHBand="0" w:firstRowFirstColumn="0" w:firstRowLastColumn="0" w:lastRowFirstColumn="0" w:lastRowLastColumn="0"/>
            </w:pPr>
            <w:r>
              <w:t>10 985</w:t>
            </w:r>
          </w:p>
        </w:tc>
        <w:tc>
          <w:tcPr>
            <w:tcW w:w="794" w:type="dxa"/>
            <w:tcBorders>
              <w:bottom w:val="single" w:sz="6" w:space="0" w:color="auto"/>
            </w:tcBorders>
          </w:tcPr>
          <w:p w14:paraId="1334CAD3" w14:textId="77777777" w:rsidR="00C424E5" w:rsidRDefault="00C424E5">
            <w:pPr>
              <w:cnfStyle w:val="000000000000" w:firstRow="0" w:lastRow="0" w:firstColumn="0" w:lastColumn="0" w:oddVBand="0" w:evenVBand="0" w:oddHBand="0" w:evenHBand="0" w:firstRowFirstColumn="0" w:firstRowLastColumn="0" w:lastRowFirstColumn="0" w:lastRowLastColumn="0"/>
            </w:pPr>
            <w:r>
              <w:t>11 118</w:t>
            </w:r>
          </w:p>
        </w:tc>
        <w:tc>
          <w:tcPr>
            <w:tcW w:w="794" w:type="dxa"/>
            <w:tcBorders>
              <w:bottom w:val="single" w:sz="6" w:space="0" w:color="auto"/>
            </w:tcBorders>
          </w:tcPr>
          <w:p w14:paraId="6B55BD58" w14:textId="77777777" w:rsidR="00C424E5" w:rsidRDefault="00C424E5">
            <w:pPr>
              <w:cnfStyle w:val="000000000000" w:firstRow="0" w:lastRow="0" w:firstColumn="0" w:lastColumn="0" w:oddVBand="0" w:evenVBand="0" w:oddHBand="0" w:evenHBand="0" w:firstRowFirstColumn="0" w:firstRowLastColumn="0" w:lastRowFirstColumn="0" w:lastRowLastColumn="0"/>
            </w:pPr>
            <w:r>
              <w:t>11 426</w:t>
            </w:r>
          </w:p>
        </w:tc>
        <w:tc>
          <w:tcPr>
            <w:tcW w:w="794" w:type="dxa"/>
            <w:tcBorders>
              <w:bottom w:val="single" w:sz="6" w:space="0" w:color="auto"/>
            </w:tcBorders>
          </w:tcPr>
          <w:p w14:paraId="534DB7C1" w14:textId="77777777" w:rsidR="00C424E5" w:rsidRDefault="00C424E5">
            <w:pPr>
              <w:cnfStyle w:val="000000000000" w:firstRow="0" w:lastRow="0" w:firstColumn="0" w:lastColumn="0" w:oddVBand="0" w:evenVBand="0" w:oddHBand="0" w:evenHBand="0" w:firstRowFirstColumn="0" w:firstRowLastColumn="0" w:lastRowFirstColumn="0" w:lastRowLastColumn="0"/>
            </w:pPr>
            <w:r>
              <w:t>11 880</w:t>
            </w:r>
          </w:p>
        </w:tc>
      </w:tr>
      <w:tr w:rsidR="00C424E5" w14:paraId="7DCC6BD4" w14:textId="77777777" w:rsidTr="00EE058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bottom w:val="single" w:sz="6" w:space="0" w:color="auto"/>
            </w:tcBorders>
          </w:tcPr>
          <w:p w14:paraId="7C73F10D" w14:textId="77777777" w:rsidR="00C424E5" w:rsidRDefault="00C424E5">
            <w:r>
              <w:rPr>
                <w:b/>
              </w:rPr>
              <w:t>Cash and cash equivalents at end of reporting period</w:t>
            </w:r>
            <w:r>
              <w:rPr>
                <w:b/>
                <w:vertAlign w:val="superscript"/>
              </w:rPr>
              <w:t xml:space="preserve"> (b)(c)</w:t>
            </w:r>
          </w:p>
        </w:tc>
        <w:tc>
          <w:tcPr>
            <w:tcW w:w="567" w:type="dxa"/>
            <w:tcBorders>
              <w:top w:val="single" w:sz="6" w:space="0" w:color="auto"/>
              <w:bottom w:val="single" w:sz="6" w:space="0" w:color="auto"/>
            </w:tcBorders>
          </w:tcPr>
          <w:p w14:paraId="06F388EC"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bottom w:val="single" w:sz="6" w:space="0" w:color="auto"/>
            </w:tcBorders>
          </w:tcPr>
          <w:p w14:paraId="47D86953"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10 931</w:t>
            </w:r>
          </w:p>
        </w:tc>
        <w:tc>
          <w:tcPr>
            <w:tcW w:w="794" w:type="dxa"/>
            <w:tcBorders>
              <w:top w:val="single" w:sz="6" w:space="0" w:color="auto"/>
              <w:bottom w:val="single" w:sz="6" w:space="0" w:color="auto"/>
            </w:tcBorders>
          </w:tcPr>
          <w:p w14:paraId="544D79B5"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11 118</w:t>
            </w:r>
          </w:p>
        </w:tc>
        <w:tc>
          <w:tcPr>
            <w:tcW w:w="794" w:type="dxa"/>
            <w:tcBorders>
              <w:top w:val="single" w:sz="6" w:space="0" w:color="auto"/>
              <w:bottom w:val="single" w:sz="6" w:space="0" w:color="auto"/>
            </w:tcBorders>
          </w:tcPr>
          <w:p w14:paraId="3B42E574"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11 426</w:t>
            </w:r>
          </w:p>
        </w:tc>
        <w:tc>
          <w:tcPr>
            <w:tcW w:w="794" w:type="dxa"/>
            <w:tcBorders>
              <w:top w:val="single" w:sz="6" w:space="0" w:color="auto"/>
              <w:bottom w:val="single" w:sz="6" w:space="0" w:color="auto"/>
            </w:tcBorders>
          </w:tcPr>
          <w:p w14:paraId="10695EAC"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11 880</w:t>
            </w:r>
          </w:p>
        </w:tc>
        <w:tc>
          <w:tcPr>
            <w:tcW w:w="794" w:type="dxa"/>
            <w:tcBorders>
              <w:top w:val="single" w:sz="6" w:space="0" w:color="auto"/>
              <w:bottom w:val="single" w:sz="6" w:space="0" w:color="auto"/>
            </w:tcBorders>
          </w:tcPr>
          <w:p w14:paraId="3561A38F"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12 388</w:t>
            </w:r>
          </w:p>
        </w:tc>
      </w:tr>
    </w:tbl>
    <w:p w14:paraId="452401FF" w14:textId="4DD8786D" w:rsidR="00A8365C" w:rsidRDefault="00A8365C" w:rsidP="00A8365C">
      <w:pPr>
        <w:pStyle w:val="Heading1Non-TOC"/>
      </w:pPr>
      <w:r>
        <w:lastRenderedPageBreak/>
        <w:t xml:space="preserve">Estimated </w:t>
      </w:r>
      <w:r w:rsidRPr="00AC196B">
        <w:t>consolidated</w:t>
      </w:r>
      <w:r>
        <w:t xml:space="preserve"> general government sector</w:t>
      </w:r>
      <w:r>
        <w:br/>
      </w:r>
      <w:r w:rsidRPr="007E0B75">
        <w:t>cash</w:t>
      </w:r>
      <w:r>
        <w:t xml:space="preserve"> flow statement </w:t>
      </w:r>
      <w:r w:rsidRPr="002E4CB0">
        <w:rPr>
          <w:sz w:val="22"/>
          <w:szCs w:val="22"/>
        </w:rPr>
        <w:t>(continued)</w:t>
      </w:r>
    </w:p>
    <w:p w14:paraId="116D6623" w14:textId="77777777" w:rsidR="00A8365C" w:rsidRDefault="00A8365C" w:rsidP="00A8365C">
      <w:pPr>
        <w:pStyle w:val="TableHeading"/>
      </w:pPr>
      <w:r>
        <w:t>For the financial year ended 30 June</w:t>
      </w:r>
      <w:r>
        <w:tab/>
        <w:t>($ million)</w:t>
      </w:r>
    </w:p>
    <w:tbl>
      <w:tblPr>
        <w:tblStyle w:val="DTFTableNumeric"/>
        <w:tblW w:w="7710" w:type="dxa"/>
        <w:tblLayout w:type="fixed"/>
        <w:tblLook w:val="06A0" w:firstRow="1" w:lastRow="0" w:firstColumn="1" w:lastColumn="0" w:noHBand="1" w:noVBand="1"/>
      </w:tblPr>
      <w:tblGrid>
        <w:gridCol w:w="3173"/>
        <w:gridCol w:w="567"/>
        <w:gridCol w:w="794"/>
        <w:gridCol w:w="794"/>
        <w:gridCol w:w="794"/>
        <w:gridCol w:w="794"/>
        <w:gridCol w:w="794"/>
      </w:tblGrid>
      <w:tr w:rsidR="00A8365C" w14:paraId="3A1595F7" w14:textId="77777777" w:rsidTr="007160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73" w:type="dxa"/>
          </w:tcPr>
          <w:p w14:paraId="2CF3FFAB" w14:textId="77777777" w:rsidR="00A8365C" w:rsidRDefault="00A8365C" w:rsidP="00716078"/>
        </w:tc>
        <w:tc>
          <w:tcPr>
            <w:tcW w:w="567" w:type="dxa"/>
          </w:tcPr>
          <w:p w14:paraId="27A40A61" w14:textId="77777777" w:rsidR="00A8365C" w:rsidRDefault="00A8365C" w:rsidP="00716078">
            <w:pPr>
              <w:jc w:val="center"/>
              <w:cnfStyle w:val="100000000000" w:firstRow="1" w:lastRow="0" w:firstColumn="0" w:lastColumn="0" w:oddVBand="0" w:evenVBand="0" w:oddHBand="0" w:evenHBand="0" w:firstRowFirstColumn="0" w:firstRowLastColumn="0" w:lastRowFirstColumn="0" w:lastRowLastColumn="0"/>
            </w:pPr>
            <w:r>
              <w:t>Notes</w:t>
            </w:r>
          </w:p>
        </w:tc>
        <w:tc>
          <w:tcPr>
            <w:tcW w:w="794" w:type="dxa"/>
          </w:tcPr>
          <w:p w14:paraId="5B2EFB1C" w14:textId="77777777" w:rsidR="00A8365C" w:rsidRDefault="00A8365C" w:rsidP="00716078">
            <w:pPr>
              <w:cnfStyle w:val="100000000000" w:firstRow="1" w:lastRow="0" w:firstColumn="0" w:lastColumn="0" w:oddVBand="0" w:evenVBand="0" w:oddHBand="0" w:evenHBand="0" w:firstRowFirstColumn="0" w:firstRowLastColumn="0" w:lastRowFirstColumn="0" w:lastRowLastColumn="0"/>
            </w:pPr>
            <w:r>
              <w:t>2022</w:t>
            </w:r>
            <w:r>
              <w:noBreakHyphen/>
              <w:t>23</w:t>
            </w:r>
            <w:r>
              <w:rPr>
                <w:i w:val="0"/>
              </w:rPr>
              <w:br/>
            </w:r>
            <w:r>
              <w:t>budget</w:t>
            </w:r>
          </w:p>
        </w:tc>
        <w:tc>
          <w:tcPr>
            <w:tcW w:w="794" w:type="dxa"/>
          </w:tcPr>
          <w:p w14:paraId="34645324" w14:textId="77777777" w:rsidR="00A8365C" w:rsidRDefault="00A8365C" w:rsidP="00716078">
            <w:pPr>
              <w:cnfStyle w:val="100000000000" w:firstRow="1" w:lastRow="0" w:firstColumn="0" w:lastColumn="0" w:oddVBand="0" w:evenVBand="0" w:oddHBand="0" w:evenHBand="0" w:firstRowFirstColumn="0" w:firstRowLastColumn="0" w:lastRowFirstColumn="0" w:lastRowLastColumn="0"/>
            </w:pPr>
            <w:r>
              <w:t>2022</w:t>
            </w:r>
            <w:r>
              <w:noBreakHyphen/>
              <w:t>23</w:t>
            </w:r>
            <w:r>
              <w:rPr>
                <w:i w:val="0"/>
              </w:rPr>
              <w:br/>
            </w:r>
            <w:r>
              <w:t>revised</w:t>
            </w:r>
          </w:p>
        </w:tc>
        <w:tc>
          <w:tcPr>
            <w:tcW w:w="794" w:type="dxa"/>
          </w:tcPr>
          <w:p w14:paraId="07D64A1F" w14:textId="77777777" w:rsidR="00A8365C" w:rsidRDefault="00A8365C" w:rsidP="00716078">
            <w:pPr>
              <w:cnfStyle w:val="100000000000" w:firstRow="1" w:lastRow="0" w:firstColumn="0" w:lastColumn="0" w:oddVBand="0" w:evenVBand="0" w:oddHBand="0" w:evenHBand="0" w:firstRowFirstColumn="0" w:firstRowLastColumn="0" w:lastRowFirstColumn="0" w:lastRowLastColumn="0"/>
            </w:pPr>
            <w:r>
              <w:t>2023</w:t>
            </w:r>
            <w:r>
              <w:noBreakHyphen/>
              <w:t>24</w:t>
            </w:r>
            <w:r>
              <w:rPr>
                <w:i w:val="0"/>
              </w:rPr>
              <w:br/>
            </w:r>
            <w:r>
              <w:t>estimate</w:t>
            </w:r>
          </w:p>
        </w:tc>
        <w:tc>
          <w:tcPr>
            <w:tcW w:w="794" w:type="dxa"/>
          </w:tcPr>
          <w:p w14:paraId="42E64A06" w14:textId="77777777" w:rsidR="00A8365C" w:rsidRDefault="00A8365C" w:rsidP="00716078">
            <w:pPr>
              <w:cnfStyle w:val="100000000000" w:firstRow="1" w:lastRow="0" w:firstColumn="0" w:lastColumn="0" w:oddVBand="0" w:evenVBand="0" w:oddHBand="0" w:evenHBand="0" w:firstRowFirstColumn="0" w:firstRowLastColumn="0" w:lastRowFirstColumn="0" w:lastRowLastColumn="0"/>
            </w:pPr>
            <w:r>
              <w:t>2024</w:t>
            </w:r>
            <w:r>
              <w:noBreakHyphen/>
              <w:t>25</w:t>
            </w:r>
            <w:r>
              <w:rPr>
                <w:i w:val="0"/>
              </w:rPr>
              <w:br/>
            </w:r>
            <w:r>
              <w:t>estimate</w:t>
            </w:r>
          </w:p>
        </w:tc>
        <w:tc>
          <w:tcPr>
            <w:tcW w:w="794" w:type="dxa"/>
          </w:tcPr>
          <w:p w14:paraId="17B29BF4" w14:textId="77777777" w:rsidR="00A8365C" w:rsidRDefault="00A8365C" w:rsidP="00716078">
            <w:pPr>
              <w:cnfStyle w:val="100000000000" w:firstRow="1" w:lastRow="0" w:firstColumn="0" w:lastColumn="0" w:oddVBand="0" w:evenVBand="0" w:oddHBand="0" w:evenHBand="0" w:firstRowFirstColumn="0" w:firstRowLastColumn="0" w:lastRowFirstColumn="0" w:lastRowLastColumn="0"/>
            </w:pPr>
            <w:r>
              <w:t>2025</w:t>
            </w:r>
            <w:r>
              <w:noBreakHyphen/>
              <w:t>26</w:t>
            </w:r>
            <w:r>
              <w:rPr>
                <w:i w:val="0"/>
              </w:rPr>
              <w:br/>
            </w:r>
            <w:r>
              <w:t>estimate</w:t>
            </w:r>
          </w:p>
        </w:tc>
      </w:tr>
      <w:tr w:rsidR="00C424E5" w14:paraId="229ACE7C" w14:textId="77777777">
        <w:tc>
          <w:tcPr>
            <w:cnfStyle w:val="001000000000" w:firstRow="0" w:lastRow="0" w:firstColumn="1" w:lastColumn="0" w:oddVBand="0" w:evenVBand="0" w:oddHBand="0" w:evenHBand="0" w:firstRowFirstColumn="0" w:firstRowLastColumn="0" w:lastRowFirstColumn="0" w:lastRowLastColumn="0"/>
            <w:tcW w:w="3173" w:type="dxa"/>
          </w:tcPr>
          <w:p w14:paraId="538B2FD8" w14:textId="77777777" w:rsidR="00C424E5" w:rsidRDefault="00C424E5">
            <w:r>
              <w:rPr>
                <w:b/>
              </w:rPr>
              <w:t>FISCAL AGGREGATES</w:t>
            </w:r>
          </w:p>
        </w:tc>
        <w:tc>
          <w:tcPr>
            <w:tcW w:w="567" w:type="dxa"/>
          </w:tcPr>
          <w:p w14:paraId="1DB74923"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1B7D8B20"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3A4F0213"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040F5644"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5B6D2D7E"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06771CDC"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407179A2" w14:textId="77777777">
        <w:tc>
          <w:tcPr>
            <w:cnfStyle w:val="001000000000" w:firstRow="0" w:lastRow="0" w:firstColumn="1" w:lastColumn="0" w:oddVBand="0" w:evenVBand="0" w:oddHBand="0" w:evenHBand="0" w:firstRowFirstColumn="0" w:firstRowLastColumn="0" w:lastRowFirstColumn="0" w:lastRowLastColumn="0"/>
            <w:tcW w:w="3173" w:type="dxa"/>
          </w:tcPr>
          <w:p w14:paraId="27F0251E" w14:textId="77777777" w:rsidR="00C424E5" w:rsidRDefault="00C424E5">
            <w:r>
              <w:t>Net cash flows from operating activities</w:t>
            </w:r>
          </w:p>
        </w:tc>
        <w:tc>
          <w:tcPr>
            <w:tcW w:w="567" w:type="dxa"/>
          </w:tcPr>
          <w:p w14:paraId="42CCC0F9"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4413D877" w14:textId="77777777" w:rsidR="00C424E5" w:rsidRDefault="00C424E5">
            <w:pPr>
              <w:cnfStyle w:val="000000000000" w:firstRow="0" w:lastRow="0" w:firstColumn="0" w:lastColumn="0" w:oddVBand="0" w:evenVBand="0" w:oddHBand="0" w:evenHBand="0" w:firstRowFirstColumn="0" w:firstRowLastColumn="0" w:lastRowFirstColumn="0" w:lastRowLastColumn="0"/>
            </w:pPr>
            <w:r>
              <w:t>1 281</w:t>
            </w:r>
          </w:p>
        </w:tc>
        <w:tc>
          <w:tcPr>
            <w:tcW w:w="794" w:type="dxa"/>
          </w:tcPr>
          <w:p w14:paraId="48641610" w14:textId="77777777" w:rsidR="00C424E5" w:rsidRDefault="00C424E5">
            <w:pPr>
              <w:cnfStyle w:val="000000000000" w:firstRow="0" w:lastRow="0" w:firstColumn="0" w:lastColumn="0" w:oddVBand="0" w:evenVBand="0" w:oddHBand="0" w:evenHBand="0" w:firstRowFirstColumn="0" w:firstRowLastColumn="0" w:lastRowFirstColumn="0" w:lastRowLastColumn="0"/>
            </w:pPr>
            <w:r>
              <w:t>2 361</w:t>
            </w:r>
          </w:p>
        </w:tc>
        <w:tc>
          <w:tcPr>
            <w:tcW w:w="794" w:type="dxa"/>
          </w:tcPr>
          <w:p w14:paraId="42AF2C91" w14:textId="77777777" w:rsidR="00C424E5" w:rsidRDefault="00C424E5">
            <w:pPr>
              <w:cnfStyle w:val="000000000000" w:firstRow="0" w:lastRow="0" w:firstColumn="0" w:lastColumn="0" w:oddVBand="0" w:evenVBand="0" w:oddHBand="0" w:evenHBand="0" w:firstRowFirstColumn="0" w:firstRowLastColumn="0" w:lastRowFirstColumn="0" w:lastRowLastColumn="0"/>
            </w:pPr>
            <w:r>
              <w:t>793</w:t>
            </w:r>
          </w:p>
        </w:tc>
        <w:tc>
          <w:tcPr>
            <w:tcW w:w="794" w:type="dxa"/>
          </w:tcPr>
          <w:p w14:paraId="554D9ED3" w14:textId="77777777" w:rsidR="00C424E5" w:rsidRDefault="00C424E5">
            <w:pPr>
              <w:cnfStyle w:val="000000000000" w:firstRow="0" w:lastRow="0" w:firstColumn="0" w:lastColumn="0" w:oddVBand="0" w:evenVBand="0" w:oddHBand="0" w:evenHBand="0" w:firstRowFirstColumn="0" w:firstRowLastColumn="0" w:lastRowFirstColumn="0" w:lastRowLastColumn="0"/>
            </w:pPr>
            <w:r>
              <w:t>3 907</w:t>
            </w:r>
          </w:p>
        </w:tc>
        <w:tc>
          <w:tcPr>
            <w:tcW w:w="794" w:type="dxa"/>
          </w:tcPr>
          <w:p w14:paraId="1DD2F0ED" w14:textId="77777777" w:rsidR="00C424E5" w:rsidRDefault="00C424E5">
            <w:pPr>
              <w:cnfStyle w:val="000000000000" w:firstRow="0" w:lastRow="0" w:firstColumn="0" w:lastColumn="0" w:oddVBand="0" w:evenVBand="0" w:oddHBand="0" w:evenHBand="0" w:firstRowFirstColumn="0" w:firstRowLastColumn="0" w:lastRowFirstColumn="0" w:lastRowLastColumn="0"/>
            </w:pPr>
            <w:r>
              <w:t>5 332</w:t>
            </w:r>
          </w:p>
        </w:tc>
      </w:tr>
      <w:tr w:rsidR="00C424E5" w14:paraId="63504539" w14:textId="77777777" w:rsidTr="00EE0584">
        <w:tc>
          <w:tcPr>
            <w:cnfStyle w:val="001000000000" w:firstRow="0" w:lastRow="0" w:firstColumn="1" w:lastColumn="0" w:oddVBand="0" w:evenVBand="0" w:oddHBand="0" w:evenHBand="0" w:firstRowFirstColumn="0" w:firstRowLastColumn="0" w:lastRowFirstColumn="0" w:lastRowLastColumn="0"/>
            <w:tcW w:w="3173" w:type="dxa"/>
            <w:tcBorders>
              <w:bottom w:val="single" w:sz="6" w:space="0" w:color="auto"/>
            </w:tcBorders>
          </w:tcPr>
          <w:p w14:paraId="5C5404E8" w14:textId="77777777" w:rsidR="00C424E5" w:rsidRDefault="00C424E5">
            <w:r>
              <w:t>Net cash flows from investments in non</w:t>
            </w:r>
            <w:r>
              <w:noBreakHyphen/>
              <w:t>financial assets</w:t>
            </w:r>
          </w:p>
        </w:tc>
        <w:tc>
          <w:tcPr>
            <w:tcW w:w="567" w:type="dxa"/>
            <w:tcBorders>
              <w:bottom w:val="single" w:sz="6" w:space="0" w:color="auto"/>
            </w:tcBorders>
          </w:tcPr>
          <w:p w14:paraId="1E4D15F2"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bottom w:val="single" w:sz="6" w:space="0" w:color="auto"/>
            </w:tcBorders>
          </w:tcPr>
          <w:p w14:paraId="0E4F9A57" w14:textId="77777777" w:rsidR="00C424E5" w:rsidRDefault="00C424E5">
            <w:pPr>
              <w:cnfStyle w:val="000000000000" w:firstRow="0" w:lastRow="0" w:firstColumn="0" w:lastColumn="0" w:oddVBand="0" w:evenVBand="0" w:oddHBand="0" w:evenHBand="0" w:firstRowFirstColumn="0" w:firstRowLastColumn="0" w:lastRowFirstColumn="0" w:lastRowLastColumn="0"/>
            </w:pPr>
            <w:r>
              <w:t>(14 445)</w:t>
            </w:r>
          </w:p>
        </w:tc>
        <w:tc>
          <w:tcPr>
            <w:tcW w:w="794" w:type="dxa"/>
            <w:tcBorders>
              <w:bottom w:val="single" w:sz="6" w:space="0" w:color="auto"/>
            </w:tcBorders>
          </w:tcPr>
          <w:p w14:paraId="1EE0C2A4" w14:textId="77777777" w:rsidR="00C424E5" w:rsidRDefault="00C424E5">
            <w:pPr>
              <w:cnfStyle w:val="000000000000" w:firstRow="0" w:lastRow="0" w:firstColumn="0" w:lastColumn="0" w:oddVBand="0" w:evenVBand="0" w:oddHBand="0" w:evenHBand="0" w:firstRowFirstColumn="0" w:firstRowLastColumn="0" w:lastRowFirstColumn="0" w:lastRowLastColumn="0"/>
            </w:pPr>
            <w:r>
              <w:t>(14 366)</w:t>
            </w:r>
          </w:p>
        </w:tc>
        <w:tc>
          <w:tcPr>
            <w:tcW w:w="794" w:type="dxa"/>
            <w:tcBorders>
              <w:bottom w:val="single" w:sz="6" w:space="0" w:color="auto"/>
            </w:tcBorders>
          </w:tcPr>
          <w:p w14:paraId="2F97C88C" w14:textId="77777777" w:rsidR="00C424E5" w:rsidRDefault="00C424E5">
            <w:pPr>
              <w:cnfStyle w:val="000000000000" w:firstRow="0" w:lastRow="0" w:firstColumn="0" w:lastColumn="0" w:oddVBand="0" w:evenVBand="0" w:oddHBand="0" w:evenHBand="0" w:firstRowFirstColumn="0" w:firstRowLastColumn="0" w:lastRowFirstColumn="0" w:lastRowLastColumn="0"/>
            </w:pPr>
            <w:r>
              <w:t>(16 160)</w:t>
            </w:r>
          </w:p>
        </w:tc>
        <w:tc>
          <w:tcPr>
            <w:tcW w:w="794" w:type="dxa"/>
            <w:tcBorders>
              <w:bottom w:val="single" w:sz="6" w:space="0" w:color="auto"/>
            </w:tcBorders>
          </w:tcPr>
          <w:p w14:paraId="6CF57AD3" w14:textId="77777777" w:rsidR="00C424E5" w:rsidRDefault="00C424E5">
            <w:pPr>
              <w:cnfStyle w:val="000000000000" w:firstRow="0" w:lastRow="0" w:firstColumn="0" w:lastColumn="0" w:oddVBand="0" w:evenVBand="0" w:oddHBand="0" w:evenHBand="0" w:firstRowFirstColumn="0" w:firstRowLastColumn="0" w:lastRowFirstColumn="0" w:lastRowLastColumn="0"/>
            </w:pPr>
            <w:r>
              <w:t>(17 952)</w:t>
            </w:r>
          </w:p>
        </w:tc>
        <w:tc>
          <w:tcPr>
            <w:tcW w:w="794" w:type="dxa"/>
            <w:tcBorders>
              <w:bottom w:val="single" w:sz="6" w:space="0" w:color="auto"/>
            </w:tcBorders>
          </w:tcPr>
          <w:p w14:paraId="2075D3EF" w14:textId="77777777" w:rsidR="00C424E5" w:rsidRDefault="00C424E5">
            <w:pPr>
              <w:cnfStyle w:val="000000000000" w:firstRow="0" w:lastRow="0" w:firstColumn="0" w:lastColumn="0" w:oddVBand="0" w:evenVBand="0" w:oddHBand="0" w:evenHBand="0" w:firstRowFirstColumn="0" w:firstRowLastColumn="0" w:lastRowFirstColumn="0" w:lastRowLastColumn="0"/>
            </w:pPr>
            <w:r>
              <w:t>(17 186)</w:t>
            </w:r>
          </w:p>
        </w:tc>
      </w:tr>
      <w:tr w:rsidR="00C424E5" w14:paraId="56528DE6" w14:textId="77777777" w:rsidTr="00EE0584">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bottom w:val="single" w:sz="12" w:space="0" w:color="auto"/>
            </w:tcBorders>
          </w:tcPr>
          <w:p w14:paraId="197C8DE7" w14:textId="77777777" w:rsidR="00C424E5" w:rsidRDefault="00C424E5">
            <w:r>
              <w:rPr>
                <w:b/>
              </w:rPr>
              <w:t>Cash surplus/(deficit)</w:t>
            </w:r>
          </w:p>
        </w:tc>
        <w:tc>
          <w:tcPr>
            <w:tcW w:w="567" w:type="dxa"/>
            <w:tcBorders>
              <w:top w:val="single" w:sz="6" w:space="0" w:color="auto"/>
              <w:bottom w:val="single" w:sz="12" w:space="0" w:color="auto"/>
            </w:tcBorders>
          </w:tcPr>
          <w:p w14:paraId="5A5C8380" w14:textId="77777777" w:rsidR="00C424E5" w:rsidRDefault="00C424E5">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bottom w:val="single" w:sz="12" w:space="0" w:color="auto"/>
            </w:tcBorders>
          </w:tcPr>
          <w:p w14:paraId="2A2DA243"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(13 164)</w:t>
            </w:r>
          </w:p>
        </w:tc>
        <w:tc>
          <w:tcPr>
            <w:tcW w:w="794" w:type="dxa"/>
            <w:tcBorders>
              <w:top w:val="single" w:sz="6" w:space="0" w:color="auto"/>
              <w:bottom w:val="single" w:sz="12" w:space="0" w:color="auto"/>
            </w:tcBorders>
          </w:tcPr>
          <w:p w14:paraId="33B6B93C"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(12 004)</w:t>
            </w:r>
          </w:p>
        </w:tc>
        <w:tc>
          <w:tcPr>
            <w:tcW w:w="794" w:type="dxa"/>
            <w:tcBorders>
              <w:top w:val="single" w:sz="6" w:space="0" w:color="auto"/>
              <w:bottom w:val="single" w:sz="12" w:space="0" w:color="auto"/>
            </w:tcBorders>
          </w:tcPr>
          <w:p w14:paraId="03ED04EC"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(15 366)</w:t>
            </w:r>
          </w:p>
        </w:tc>
        <w:tc>
          <w:tcPr>
            <w:tcW w:w="794" w:type="dxa"/>
            <w:tcBorders>
              <w:top w:val="single" w:sz="6" w:space="0" w:color="auto"/>
              <w:bottom w:val="single" w:sz="12" w:space="0" w:color="auto"/>
            </w:tcBorders>
          </w:tcPr>
          <w:p w14:paraId="36E28835"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(14 045)</w:t>
            </w:r>
          </w:p>
        </w:tc>
        <w:tc>
          <w:tcPr>
            <w:tcW w:w="794" w:type="dxa"/>
            <w:tcBorders>
              <w:top w:val="single" w:sz="6" w:space="0" w:color="auto"/>
              <w:bottom w:val="single" w:sz="12" w:space="0" w:color="auto"/>
            </w:tcBorders>
          </w:tcPr>
          <w:p w14:paraId="2B90351E" w14:textId="3A41AB05" w:rsidR="00C424E5" w:rsidRDefault="00C424E5">
            <w:pPr>
              <w:cnfStyle w:val="000000000000" w:firstRow="0" w:lastRow="0" w:firstColumn="0" w:lastColumn="0" w:oddVBand="0" w:evenVBand="0" w:oddHBand="0" w:evenHBand="0" w:firstRowFirstColumn="0" w:firstRowLastColumn="0" w:lastRowFirstColumn="0" w:lastRowLastColumn="0"/>
            </w:pPr>
            <w:r>
              <w:rPr>
                <w:b/>
              </w:rPr>
              <w:t>(11 854)</w:t>
            </w:r>
          </w:p>
        </w:tc>
      </w:tr>
    </w:tbl>
    <w:p w14:paraId="381A8DC4" w14:textId="77777777" w:rsidR="00C424E5" w:rsidRDefault="00C424E5" w:rsidP="006206EF">
      <w:pPr>
        <w:pStyle w:val="Source"/>
        <w:ind w:left="0" w:firstLine="0"/>
      </w:pPr>
      <w:r>
        <w:t>The accompanying notes form part of these Estimated Financial Statements.</w:t>
      </w:r>
    </w:p>
    <w:p w14:paraId="6DBD708B" w14:textId="77777777" w:rsidR="00C424E5" w:rsidRDefault="00C424E5" w:rsidP="006206EF">
      <w:pPr>
        <w:pStyle w:val="Note"/>
      </w:pPr>
      <w:r>
        <w:t>Notes:</w:t>
      </w:r>
    </w:p>
    <w:p w14:paraId="17936442" w14:textId="77777777" w:rsidR="00C424E5" w:rsidRDefault="00C424E5" w:rsidP="006206EF">
      <w:pPr>
        <w:pStyle w:val="Note"/>
        <w:numPr>
          <w:ilvl w:val="0"/>
          <w:numId w:val="37"/>
        </w:numPr>
        <w:spacing w:before="60"/>
        <w:ind w:left="284" w:hanging="284"/>
        <w:contextualSpacing/>
      </w:pPr>
      <w:r>
        <w:t>Inclusive of goods and services tax.</w:t>
      </w:r>
    </w:p>
    <w:p w14:paraId="0C79F0DA" w14:textId="77777777" w:rsidR="00C424E5" w:rsidRDefault="00C424E5" w:rsidP="006206EF">
      <w:pPr>
        <w:pStyle w:val="Note"/>
        <w:numPr>
          <w:ilvl w:val="0"/>
          <w:numId w:val="37"/>
        </w:numPr>
        <w:spacing w:before="60"/>
        <w:ind w:left="284" w:hanging="284"/>
        <w:contextualSpacing/>
      </w:pPr>
      <w:r w:rsidRPr="00084B90">
        <w:rPr>
          <w:i w:val="0"/>
          <w:iCs/>
        </w:rPr>
        <w:t>2022-23</w:t>
      </w:r>
      <w:r w:rsidRPr="00084B90">
        <w:t xml:space="preserve"> </w:t>
      </w:r>
      <w:r w:rsidRPr="00165217">
        <w:rPr>
          <w:i w:val="0"/>
          <w:iCs/>
        </w:rPr>
        <w:t>Budget</w:t>
      </w:r>
      <w:r w:rsidRPr="00084B90">
        <w:t xml:space="preserve"> figures have been restated to represent actual opening balances at 1 July 2022.</w:t>
      </w:r>
    </w:p>
    <w:p w14:paraId="3D198980" w14:textId="77777777" w:rsidR="00C424E5" w:rsidRDefault="00C424E5" w:rsidP="006206EF">
      <w:pPr>
        <w:pStyle w:val="Note"/>
        <w:numPr>
          <w:ilvl w:val="0"/>
          <w:numId w:val="37"/>
        </w:numPr>
        <w:spacing w:before="60"/>
        <w:ind w:left="284" w:hanging="284"/>
        <w:contextualSpacing/>
      </w:pPr>
      <w:r>
        <w:t>The variance in the cash and cash equivalents at the beginning of the reporting period for the 2022</w:t>
      </w:r>
      <w:r w:rsidRPr="00195C0D">
        <w:t xml:space="preserve">-23 budget and </w:t>
      </w:r>
      <w:r>
        <w:t>20</w:t>
      </w:r>
      <w:r w:rsidRPr="00195C0D">
        <w:t xml:space="preserve">22-23 revised </w:t>
      </w:r>
      <w:r>
        <w:t xml:space="preserve">budget reflects the abolishment of </w:t>
      </w:r>
      <w:r w:rsidRPr="00195C0D">
        <w:t xml:space="preserve">seven Waste and Resource Recovery Groups </w:t>
      </w:r>
      <w:bookmarkStart w:id="48" w:name="_Hlk116375396"/>
      <w:r>
        <w:t xml:space="preserve">in the PNFC sector with their functions transferred into the </w:t>
      </w:r>
      <w:bookmarkEnd w:id="48"/>
      <w:r w:rsidRPr="00195C0D">
        <w:t>Department of Environment, Land, Water and Planning (DELWP)</w:t>
      </w:r>
      <w:r>
        <w:t xml:space="preserve"> </w:t>
      </w:r>
      <w:r w:rsidRPr="00195C0D">
        <w:t>to form a business unit within DELWP, Recycling Victoria</w:t>
      </w:r>
      <w:r>
        <w:t xml:space="preserve">, effective from </w:t>
      </w:r>
      <w:r w:rsidRPr="00195C0D">
        <w:t>1 July 2022</w:t>
      </w:r>
      <w:r>
        <w:t>.</w:t>
      </w:r>
    </w:p>
    <w:p w14:paraId="17BCD715" w14:textId="77777777" w:rsidR="00C424E5" w:rsidRDefault="00C424E5" w:rsidP="006206EF">
      <w:pPr>
        <w:pStyle w:val="Heading10"/>
        <w:pageBreakBefore/>
      </w:pPr>
      <w:bookmarkStart w:id="49" w:name="_Toc117586252"/>
      <w:r>
        <w:lastRenderedPageBreak/>
        <w:t xml:space="preserve">Estimated </w:t>
      </w:r>
      <w:r w:rsidRPr="00AC196B">
        <w:t>consolidated</w:t>
      </w:r>
      <w:r>
        <w:rPr>
          <w:caps w:val="0"/>
        </w:rPr>
        <w:t xml:space="preserve"> </w:t>
      </w:r>
      <w:r>
        <w:t>general government sector</w:t>
      </w:r>
      <w:r>
        <w:br/>
      </w:r>
      <w:r w:rsidRPr="007E0B75">
        <w:t>statement</w:t>
      </w:r>
      <w:r>
        <w:rPr>
          <w:caps w:val="0"/>
        </w:rPr>
        <w:t xml:space="preserve"> </w:t>
      </w:r>
      <w:r>
        <w:t>of changes in equity</w:t>
      </w:r>
      <w:bookmarkEnd w:id="49"/>
    </w:p>
    <w:p w14:paraId="42940377" w14:textId="77777777" w:rsidR="00C424E5" w:rsidRPr="00C5662D" w:rsidRDefault="00C424E5" w:rsidP="00341AC6">
      <w:pPr>
        <w:pStyle w:val="TableHeading"/>
      </w:pPr>
      <w:r>
        <w:t>For the financial year ended 30 June</w:t>
      </w:r>
      <w:r>
        <w:tab/>
        <w:t>($ million)</w:t>
      </w:r>
    </w:p>
    <w:tbl>
      <w:tblPr>
        <w:tblStyle w:val="DTFTableNumeric"/>
        <w:tblW w:w="7710" w:type="dxa"/>
        <w:tblLayout w:type="fixed"/>
        <w:tblLook w:val="06A0" w:firstRow="1" w:lastRow="0" w:firstColumn="1" w:lastColumn="0" w:noHBand="1" w:noVBand="1"/>
      </w:tblPr>
      <w:tblGrid>
        <w:gridCol w:w="2576"/>
        <w:gridCol w:w="685"/>
        <w:gridCol w:w="729"/>
        <w:gridCol w:w="1064"/>
        <w:gridCol w:w="1068"/>
        <w:gridCol w:w="794"/>
        <w:gridCol w:w="794"/>
      </w:tblGrid>
      <w:tr w:rsidR="00C424E5" w14:paraId="747501DB" w14:textId="77777777" w:rsidTr="00EE27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76" w:type="dxa"/>
          </w:tcPr>
          <w:p w14:paraId="4355C6F8" w14:textId="584CDC64" w:rsidR="00C424E5" w:rsidRDefault="00C424E5"/>
        </w:tc>
        <w:tc>
          <w:tcPr>
            <w:tcW w:w="1414" w:type="dxa"/>
            <w:gridSpan w:val="2"/>
          </w:tcPr>
          <w:p w14:paraId="4CBEF0A9" w14:textId="77777777" w:rsidR="00C424E5" w:rsidRDefault="00C424E5">
            <w:pPr>
              <w:cnfStyle w:val="100000000000" w:firstRow="1" w:lastRow="0" w:firstColumn="0" w:lastColumn="0" w:oddVBand="0" w:evenVBand="0" w:oddHBand="0" w:evenHBand="0" w:firstRowFirstColumn="0" w:firstRowLastColumn="0" w:lastRowFirstColumn="0" w:lastRowLastColumn="0"/>
            </w:pPr>
            <w:r>
              <w:t>Accumulated surplus/(deficit)</w:t>
            </w:r>
          </w:p>
        </w:tc>
        <w:tc>
          <w:tcPr>
            <w:tcW w:w="1064" w:type="dxa"/>
          </w:tcPr>
          <w:p w14:paraId="542351B2" w14:textId="77777777" w:rsidR="00C424E5" w:rsidRDefault="00C424E5">
            <w:pPr>
              <w:cnfStyle w:val="100000000000" w:firstRow="1" w:lastRow="0" w:firstColumn="0" w:lastColumn="0" w:oddVBand="0" w:evenVBand="0" w:oddHBand="0" w:evenHBand="0" w:firstRowFirstColumn="0" w:firstRowLastColumn="0" w:lastRowFirstColumn="0" w:lastRowLastColumn="0"/>
            </w:pPr>
            <w:r>
              <w:t>Non</w:t>
            </w:r>
            <w:r>
              <w:noBreakHyphen/>
              <w:t>financial assets revaluation surplus</w:t>
            </w:r>
          </w:p>
        </w:tc>
        <w:tc>
          <w:tcPr>
            <w:tcW w:w="1068" w:type="dxa"/>
          </w:tcPr>
          <w:p w14:paraId="6A01EC62" w14:textId="77777777" w:rsidR="00C424E5" w:rsidRDefault="00C424E5">
            <w:pPr>
              <w:cnfStyle w:val="100000000000" w:firstRow="1" w:lastRow="0" w:firstColumn="0" w:lastColumn="0" w:oddVBand="0" w:evenVBand="0" w:oddHBand="0" w:evenHBand="0" w:firstRowFirstColumn="0" w:firstRowLastColumn="0" w:lastRowFirstColumn="0" w:lastRowLastColumn="0"/>
            </w:pPr>
            <w:r>
              <w:t>Investment in other sector entities revaluation surplus</w:t>
            </w:r>
          </w:p>
        </w:tc>
        <w:tc>
          <w:tcPr>
            <w:tcW w:w="794" w:type="dxa"/>
          </w:tcPr>
          <w:p w14:paraId="66D659D2" w14:textId="77777777" w:rsidR="00C424E5" w:rsidRDefault="00C424E5">
            <w:pPr>
              <w:cnfStyle w:val="100000000000" w:firstRow="1" w:lastRow="0" w:firstColumn="0" w:lastColumn="0" w:oddVBand="0" w:evenVBand="0" w:oddHBand="0" w:evenHBand="0" w:firstRowFirstColumn="0" w:firstRowLastColumn="0" w:lastRowFirstColumn="0" w:lastRowLastColumn="0"/>
            </w:pPr>
            <w:r>
              <w:t>Other reserves</w:t>
            </w:r>
          </w:p>
        </w:tc>
        <w:tc>
          <w:tcPr>
            <w:tcW w:w="794" w:type="dxa"/>
          </w:tcPr>
          <w:p w14:paraId="4840AE8C" w14:textId="77777777" w:rsidR="00C424E5" w:rsidRDefault="00C424E5">
            <w:pPr>
              <w:cnfStyle w:val="100000000000" w:firstRow="1" w:lastRow="0" w:firstColumn="0" w:lastColumn="0" w:oddVBand="0" w:evenVBand="0" w:oddHBand="0" w:evenHBand="0" w:firstRowFirstColumn="0" w:firstRowLastColumn="0" w:lastRowFirstColumn="0" w:lastRowLastColumn="0"/>
            </w:pPr>
            <w:r>
              <w:t>Total</w:t>
            </w:r>
          </w:p>
        </w:tc>
      </w:tr>
      <w:tr w:rsidR="00C424E5" w14:paraId="711D963C" w14:textId="77777777" w:rsidTr="00EE2764">
        <w:tc>
          <w:tcPr>
            <w:cnfStyle w:val="001000000000" w:firstRow="0" w:lastRow="0" w:firstColumn="1" w:lastColumn="0" w:oddVBand="0" w:evenVBand="0" w:oddHBand="0" w:evenHBand="0" w:firstRowFirstColumn="0" w:firstRowLastColumn="0" w:lastRowFirstColumn="0" w:lastRowLastColumn="0"/>
            <w:tcW w:w="3261" w:type="dxa"/>
            <w:gridSpan w:val="2"/>
          </w:tcPr>
          <w:p w14:paraId="47D515F6" w14:textId="77777777" w:rsidR="00C424E5" w:rsidRDefault="00C424E5">
            <w:r>
              <w:rPr>
                <w:b/>
              </w:rPr>
              <w:t>2022</w:t>
            </w:r>
            <w:r>
              <w:rPr>
                <w:b/>
              </w:rPr>
              <w:noBreakHyphen/>
              <w:t>23 budget</w:t>
            </w:r>
            <w:r>
              <w:rPr>
                <w:b/>
                <w:vertAlign w:val="superscript"/>
              </w:rPr>
              <w:t xml:space="preserve"> (a)</w:t>
            </w:r>
          </w:p>
        </w:tc>
        <w:tc>
          <w:tcPr>
            <w:tcW w:w="729" w:type="dxa"/>
          </w:tcPr>
          <w:p w14:paraId="54B84B51"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1064" w:type="dxa"/>
          </w:tcPr>
          <w:p w14:paraId="3D2E512C"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1068" w:type="dxa"/>
          </w:tcPr>
          <w:p w14:paraId="34ECCA4B"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7B1979C2"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1B60F181"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60C25152" w14:textId="77777777" w:rsidTr="00EE2764">
        <w:tc>
          <w:tcPr>
            <w:cnfStyle w:val="001000000000" w:firstRow="0" w:lastRow="0" w:firstColumn="1" w:lastColumn="0" w:oddVBand="0" w:evenVBand="0" w:oddHBand="0" w:evenHBand="0" w:firstRowFirstColumn="0" w:firstRowLastColumn="0" w:lastRowFirstColumn="0" w:lastRowLastColumn="0"/>
            <w:tcW w:w="3261" w:type="dxa"/>
            <w:gridSpan w:val="2"/>
          </w:tcPr>
          <w:p w14:paraId="17197ABA" w14:textId="77777777" w:rsidR="00C424E5" w:rsidRDefault="00C424E5">
            <w:r>
              <w:t>Balance at 1 July 2022</w:t>
            </w:r>
          </w:p>
        </w:tc>
        <w:tc>
          <w:tcPr>
            <w:tcW w:w="729" w:type="dxa"/>
          </w:tcPr>
          <w:p w14:paraId="47860005" w14:textId="77777777" w:rsidR="00C424E5" w:rsidRDefault="00C424E5">
            <w:pPr>
              <w:cnfStyle w:val="000000000000" w:firstRow="0" w:lastRow="0" w:firstColumn="0" w:lastColumn="0" w:oddVBand="0" w:evenVBand="0" w:oddHBand="0" w:evenHBand="0" w:firstRowFirstColumn="0" w:firstRowLastColumn="0" w:lastRowFirstColumn="0" w:lastRowLastColumn="0"/>
            </w:pPr>
            <w:r>
              <w:t>52 824</w:t>
            </w:r>
          </w:p>
        </w:tc>
        <w:tc>
          <w:tcPr>
            <w:tcW w:w="1064" w:type="dxa"/>
          </w:tcPr>
          <w:p w14:paraId="7ABBA078" w14:textId="77777777" w:rsidR="00C424E5" w:rsidRDefault="00C424E5">
            <w:pPr>
              <w:cnfStyle w:val="000000000000" w:firstRow="0" w:lastRow="0" w:firstColumn="0" w:lastColumn="0" w:oddVBand="0" w:evenVBand="0" w:oddHBand="0" w:evenHBand="0" w:firstRowFirstColumn="0" w:firstRowLastColumn="0" w:lastRowFirstColumn="0" w:lastRowLastColumn="0"/>
            </w:pPr>
            <w:r>
              <w:t>79 719</w:t>
            </w:r>
          </w:p>
        </w:tc>
        <w:tc>
          <w:tcPr>
            <w:tcW w:w="1068" w:type="dxa"/>
          </w:tcPr>
          <w:p w14:paraId="0B0827F0" w14:textId="77777777" w:rsidR="00C424E5" w:rsidRDefault="00C424E5">
            <w:pPr>
              <w:cnfStyle w:val="000000000000" w:firstRow="0" w:lastRow="0" w:firstColumn="0" w:lastColumn="0" w:oddVBand="0" w:evenVBand="0" w:oddHBand="0" w:evenHBand="0" w:firstRowFirstColumn="0" w:firstRowLastColumn="0" w:lastRowFirstColumn="0" w:lastRowLastColumn="0"/>
            </w:pPr>
            <w:r>
              <w:t>44 815</w:t>
            </w:r>
          </w:p>
        </w:tc>
        <w:tc>
          <w:tcPr>
            <w:tcW w:w="794" w:type="dxa"/>
          </w:tcPr>
          <w:p w14:paraId="52F0DDE8" w14:textId="77777777" w:rsidR="00C424E5" w:rsidRDefault="00C424E5">
            <w:pPr>
              <w:cnfStyle w:val="000000000000" w:firstRow="0" w:lastRow="0" w:firstColumn="0" w:lastColumn="0" w:oddVBand="0" w:evenVBand="0" w:oddHBand="0" w:evenHBand="0" w:firstRowFirstColumn="0" w:firstRowLastColumn="0" w:lastRowFirstColumn="0" w:lastRowLastColumn="0"/>
            </w:pPr>
            <w:r>
              <w:t>1 170</w:t>
            </w:r>
          </w:p>
        </w:tc>
        <w:tc>
          <w:tcPr>
            <w:tcW w:w="794" w:type="dxa"/>
          </w:tcPr>
          <w:p w14:paraId="7D7DDE33" w14:textId="77777777" w:rsidR="00C424E5" w:rsidRDefault="00C424E5">
            <w:pPr>
              <w:cnfStyle w:val="000000000000" w:firstRow="0" w:lastRow="0" w:firstColumn="0" w:lastColumn="0" w:oddVBand="0" w:evenVBand="0" w:oddHBand="0" w:evenHBand="0" w:firstRowFirstColumn="0" w:firstRowLastColumn="0" w:lastRowFirstColumn="0" w:lastRowLastColumn="0"/>
            </w:pPr>
            <w:r>
              <w:t>178 528</w:t>
            </w:r>
          </w:p>
        </w:tc>
      </w:tr>
      <w:tr w:rsidR="00C424E5" w14:paraId="57E83522" w14:textId="77777777" w:rsidTr="00EE2764">
        <w:tc>
          <w:tcPr>
            <w:cnfStyle w:val="001000000000" w:firstRow="0" w:lastRow="0" w:firstColumn="1" w:lastColumn="0" w:oddVBand="0" w:evenVBand="0" w:oddHBand="0" w:evenHBand="0" w:firstRowFirstColumn="0" w:firstRowLastColumn="0" w:lastRowFirstColumn="0" w:lastRowLastColumn="0"/>
            <w:tcW w:w="3261" w:type="dxa"/>
            <w:gridSpan w:val="2"/>
          </w:tcPr>
          <w:p w14:paraId="19B6AE4D" w14:textId="77777777" w:rsidR="00C424E5" w:rsidRDefault="00C424E5">
            <w:r>
              <w:t>Net result for the year</w:t>
            </w:r>
          </w:p>
        </w:tc>
        <w:tc>
          <w:tcPr>
            <w:tcW w:w="729" w:type="dxa"/>
          </w:tcPr>
          <w:p w14:paraId="10498EF3" w14:textId="77777777" w:rsidR="00C424E5" w:rsidRDefault="00C424E5">
            <w:pPr>
              <w:cnfStyle w:val="000000000000" w:firstRow="0" w:lastRow="0" w:firstColumn="0" w:lastColumn="0" w:oddVBand="0" w:evenVBand="0" w:oddHBand="0" w:evenHBand="0" w:firstRowFirstColumn="0" w:firstRowLastColumn="0" w:lastRowFirstColumn="0" w:lastRowLastColumn="0"/>
            </w:pPr>
            <w:r>
              <w:t>(8 212)</w:t>
            </w:r>
          </w:p>
        </w:tc>
        <w:tc>
          <w:tcPr>
            <w:tcW w:w="1064" w:type="dxa"/>
          </w:tcPr>
          <w:p w14:paraId="70FDC4FC"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1068" w:type="dxa"/>
          </w:tcPr>
          <w:p w14:paraId="527AE70A"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4FFE4F43"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6A339501" w14:textId="77777777" w:rsidR="00C424E5" w:rsidRDefault="00C424E5">
            <w:pPr>
              <w:cnfStyle w:val="000000000000" w:firstRow="0" w:lastRow="0" w:firstColumn="0" w:lastColumn="0" w:oddVBand="0" w:evenVBand="0" w:oddHBand="0" w:evenHBand="0" w:firstRowFirstColumn="0" w:firstRowLastColumn="0" w:lastRowFirstColumn="0" w:lastRowLastColumn="0"/>
            </w:pPr>
            <w:r>
              <w:t>(8 212)</w:t>
            </w:r>
          </w:p>
        </w:tc>
      </w:tr>
      <w:tr w:rsidR="00C424E5" w14:paraId="1307CE78" w14:textId="77777777" w:rsidTr="00EE2764">
        <w:tc>
          <w:tcPr>
            <w:cnfStyle w:val="001000000000" w:firstRow="0" w:lastRow="0" w:firstColumn="1" w:lastColumn="0" w:oddVBand="0" w:evenVBand="0" w:oddHBand="0" w:evenHBand="0" w:firstRowFirstColumn="0" w:firstRowLastColumn="0" w:lastRowFirstColumn="0" w:lastRowLastColumn="0"/>
            <w:tcW w:w="3261" w:type="dxa"/>
            <w:gridSpan w:val="2"/>
          </w:tcPr>
          <w:p w14:paraId="024B372A" w14:textId="77777777" w:rsidR="00C424E5" w:rsidRDefault="00C424E5">
            <w:r>
              <w:t>Other comprehensive income for the year</w:t>
            </w:r>
          </w:p>
        </w:tc>
        <w:tc>
          <w:tcPr>
            <w:tcW w:w="729" w:type="dxa"/>
          </w:tcPr>
          <w:p w14:paraId="1A90099F" w14:textId="77777777" w:rsidR="00C424E5" w:rsidRDefault="00C424E5">
            <w:pPr>
              <w:cnfStyle w:val="000000000000" w:firstRow="0" w:lastRow="0" w:firstColumn="0" w:lastColumn="0" w:oddVBand="0" w:evenVBand="0" w:oddHBand="0" w:evenHBand="0" w:firstRowFirstColumn="0" w:firstRowLastColumn="0" w:lastRowFirstColumn="0" w:lastRowLastColumn="0"/>
            </w:pPr>
            <w:r>
              <w:t>1 030</w:t>
            </w:r>
          </w:p>
        </w:tc>
        <w:tc>
          <w:tcPr>
            <w:tcW w:w="1064" w:type="dxa"/>
          </w:tcPr>
          <w:p w14:paraId="22CDD78E" w14:textId="77777777" w:rsidR="00C424E5" w:rsidRDefault="00C424E5">
            <w:pPr>
              <w:cnfStyle w:val="000000000000" w:firstRow="0" w:lastRow="0" w:firstColumn="0" w:lastColumn="0" w:oddVBand="0" w:evenVBand="0" w:oddHBand="0" w:evenHBand="0" w:firstRowFirstColumn="0" w:firstRowLastColumn="0" w:lastRowFirstColumn="0" w:lastRowLastColumn="0"/>
            </w:pPr>
            <w:r>
              <w:t>5 940</w:t>
            </w:r>
          </w:p>
        </w:tc>
        <w:tc>
          <w:tcPr>
            <w:tcW w:w="1068" w:type="dxa"/>
          </w:tcPr>
          <w:p w14:paraId="4DD3354E" w14:textId="77777777" w:rsidR="00C424E5" w:rsidRDefault="00C424E5">
            <w:pPr>
              <w:cnfStyle w:val="000000000000" w:firstRow="0" w:lastRow="0" w:firstColumn="0" w:lastColumn="0" w:oddVBand="0" w:evenVBand="0" w:oddHBand="0" w:evenHBand="0" w:firstRowFirstColumn="0" w:firstRowLastColumn="0" w:lastRowFirstColumn="0" w:lastRowLastColumn="0"/>
            </w:pPr>
            <w:r>
              <w:t>(3 869)</w:t>
            </w:r>
          </w:p>
        </w:tc>
        <w:tc>
          <w:tcPr>
            <w:tcW w:w="794" w:type="dxa"/>
          </w:tcPr>
          <w:p w14:paraId="3AB0DF8E" w14:textId="77777777" w:rsidR="00C424E5" w:rsidRDefault="00C424E5">
            <w:pPr>
              <w:cnfStyle w:val="000000000000" w:firstRow="0" w:lastRow="0" w:firstColumn="0" w:lastColumn="0" w:oddVBand="0" w:evenVBand="0" w:oddHBand="0" w:evenHBand="0" w:firstRowFirstColumn="0" w:firstRowLastColumn="0" w:lastRowFirstColumn="0" w:lastRowLastColumn="0"/>
            </w:pPr>
            <w:r>
              <w:t>3</w:t>
            </w:r>
          </w:p>
        </w:tc>
        <w:tc>
          <w:tcPr>
            <w:tcW w:w="794" w:type="dxa"/>
          </w:tcPr>
          <w:p w14:paraId="2E7D2BD8" w14:textId="77777777" w:rsidR="00C424E5" w:rsidRDefault="00C424E5">
            <w:pPr>
              <w:cnfStyle w:val="000000000000" w:firstRow="0" w:lastRow="0" w:firstColumn="0" w:lastColumn="0" w:oddVBand="0" w:evenVBand="0" w:oddHBand="0" w:evenHBand="0" w:firstRowFirstColumn="0" w:firstRowLastColumn="0" w:lastRowFirstColumn="0" w:lastRowLastColumn="0"/>
            </w:pPr>
            <w:r>
              <w:t>3 105</w:t>
            </w:r>
          </w:p>
        </w:tc>
      </w:tr>
      <w:tr w:rsidR="00C424E5" w14:paraId="7F2B8D41" w14:textId="77777777" w:rsidTr="00EE2764">
        <w:tc>
          <w:tcPr>
            <w:cnfStyle w:val="001000000000" w:firstRow="0" w:lastRow="0" w:firstColumn="1" w:lastColumn="0" w:oddVBand="0" w:evenVBand="0" w:oddHBand="0" w:evenHBand="0" w:firstRowFirstColumn="0" w:firstRowLastColumn="0" w:lastRowFirstColumn="0" w:lastRowLastColumn="0"/>
            <w:tcW w:w="3261" w:type="dxa"/>
            <w:gridSpan w:val="2"/>
            <w:tcBorders>
              <w:top w:val="single" w:sz="6" w:space="0" w:color="auto"/>
              <w:bottom w:val="single" w:sz="6" w:space="0" w:color="auto"/>
            </w:tcBorders>
          </w:tcPr>
          <w:p w14:paraId="2D8892A2" w14:textId="77777777" w:rsidR="00C424E5" w:rsidRDefault="00C424E5">
            <w:r>
              <w:rPr>
                <w:b/>
              </w:rPr>
              <w:t>Total equity as at 30 June 2023</w:t>
            </w:r>
          </w:p>
        </w:tc>
        <w:tc>
          <w:tcPr>
            <w:tcW w:w="729" w:type="dxa"/>
            <w:tcBorders>
              <w:top w:val="single" w:sz="6" w:space="0" w:color="auto"/>
              <w:bottom w:val="single" w:sz="6" w:space="0" w:color="auto"/>
            </w:tcBorders>
          </w:tcPr>
          <w:p w14:paraId="6B6E1DCD"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45 642</w:t>
            </w:r>
          </w:p>
        </w:tc>
        <w:tc>
          <w:tcPr>
            <w:tcW w:w="1064" w:type="dxa"/>
            <w:tcBorders>
              <w:top w:val="single" w:sz="6" w:space="0" w:color="auto"/>
              <w:bottom w:val="single" w:sz="6" w:space="0" w:color="auto"/>
            </w:tcBorders>
          </w:tcPr>
          <w:p w14:paraId="7A7A3037"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85 660</w:t>
            </w:r>
          </w:p>
        </w:tc>
        <w:tc>
          <w:tcPr>
            <w:tcW w:w="1068" w:type="dxa"/>
            <w:tcBorders>
              <w:top w:val="single" w:sz="6" w:space="0" w:color="auto"/>
              <w:bottom w:val="single" w:sz="6" w:space="0" w:color="auto"/>
            </w:tcBorders>
          </w:tcPr>
          <w:p w14:paraId="3C9899CE"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40 946</w:t>
            </w:r>
          </w:p>
        </w:tc>
        <w:tc>
          <w:tcPr>
            <w:tcW w:w="794" w:type="dxa"/>
            <w:tcBorders>
              <w:top w:val="single" w:sz="6" w:space="0" w:color="auto"/>
              <w:bottom w:val="single" w:sz="6" w:space="0" w:color="auto"/>
            </w:tcBorders>
          </w:tcPr>
          <w:p w14:paraId="455135FF"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1 173</w:t>
            </w:r>
          </w:p>
        </w:tc>
        <w:tc>
          <w:tcPr>
            <w:tcW w:w="794" w:type="dxa"/>
            <w:tcBorders>
              <w:top w:val="single" w:sz="6" w:space="0" w:color="auto"/>
              <w:bottom w:val="single" w:sz="6" w:space="0" w:color="auto"/>
            </w:tcBorders>
          </w:tcPr>
          <w:p w14:paraId="57916063"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173 421</w:t>
            </w:r>
          </w:p>
        </w:tc>
      </w:tr>
      <w:tr w:rsidR="00C424E5" w14:paraId="26CE93EC" w14:textId="77777777" w:rsidTr="00EE2764">
        <w:tc>
          <w:tcPr>
            <w:cnfStyle w:val="001000000000" w:firstRow="0" w:lastRow="0" w:firstColumn="1" w:lastColumn="0" w:oddVBand="0" w:evenVBand="0" w:oddHBand="0" w:evenHBand="0" w:firstRowFirstColumn="0" w:firstRowLastColumn="0" w:lastRowFirstColumn="0" w:lastRowLastColumn="0"/>
            <w:tcW w:w="3261" w:type="dxa"/>
            <w:gridSpan w:val="2"/>
            <w:tcBorders>
              <w:top w:val="single" w:sz="6" w:space="0" w:color="auto"/>
            </w:tcBorders>
          </w:tcPr>
          <w:p w14:paraId="44D6E7E8" w14:textId="77777777" w:rsidR="00C424E5" w:rsidRDefault="00C424E5">
            <w:r>
              <w:rPr>
                <w:b/>
              </w:rPr>
              <w:t>2022</w:t>
            </w:r>
            <w:r>
              <w:rPr>
                <w:b/>
              </w:rPr>
              <w:noBreakHyphen/>
              <w:t>23 revised</w:t>
            </w:r>
          </w:p>
        </w:tc>
        <w:tc>
          <w:tcPr>
            <w:tcW w:w="729" w:type="dxa"/>
            <w:tcBorders>
              <w:top w:val="single" w:sz="6" w:space="0" w:color="auto"/>
            </w:tcBorders>
          </w:tcPr>
          <w:p w14:paraId="038B7B56"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1064" w:type="dxa"/>
            <w:tcBorders>
              <w:top w:val="single" w:sz="6" w:space="0" w:color="auto"/>
            </w:tcBorders>
          </w:tcPr>
          <w:p w14:paraId="190753BB"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1068" w:type="dxa"/>
            <w:tcBorders>
              <w:top w:val="single" w:sz="6" w:space="0" w:color="auto"/>
            </w:tcBorders>
          </w:tcPr>
          <w:p w14:paraId="4923FD55"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04BA7BE7"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012FEE1E"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3922E7BB" w14:textId="77777777" w:rsidTr="00EE2764">
        <w:tc>
          <w:tcPr>
            <w:cnfStyle w:val="001000000000" w:firstRow="0" w:lastRow="0" w:firstColumn="1" w:lastColumn="0" w:oddVBand="0" w:evenVBand="0" w:oddHBand="0" w:evenHBand="0" w:firstRowFirstColumn="0" w:firstRowLastColumn="0" w:lastRowFirstColumn="0" w:lastRowLastColumn="0"/>
            <w:tcW w:w="3261" w:type="dxa"/>
            <w:gridSpan w:val="2"/>
          </w:tcPr>
          <w:p w14:paraId="5E0D7FDA" w14:textId="77777777" w:rsidR="00C424E5" w:rsidRDefault="00C424E5">
            <w:r>
              <w:t>Balance at 1 July 2022</w:t>
            </w:r>
            <w:r>
              <w:rPr>
                <w:vertAlign w:val="superscript"/>
              </w:rPr>
              <w:t xml:space="preserve"> (b)</w:t>
            </w:r>
          </w:p>
        </w:tc>
        <w:tc>
          <w:tcPr>
            <w:tcW w:w="729" w:type="dxa"/>
          </w:tcPr>
          <w:p w14:paraId="46EEBF99" w14:textId="77777777" w:rsidR="00C424E5" w:rsidRDefault="00C424E5">
            <w:pPr>
              <w:cnfStyle w:val="000000000000" w:firstRow="0" w:lastRow="0" w:firstColumn="0" w:lastColumn="0" w:oddVBand="0" w:evenVBand="0" w:oddHBand="0" w:evenHBand="0" w:firstRowFirstColumn="0" w:firstRowLastColumn="0" w:lastRowFirstColumn="0" w:lastRowLastColumn="0"/>
            </w:pPr>
            <w:r>
              <w:t>52 827</w:t>
            </w:r>
          </w:p>
        </w:tc>
        <w:tc>
          <w:tcPr>
            <w:tcW w:w="1064" w:type="dxa"/>
          </w:tcPr>
          <w:p w14:paraId="50393A3B" w14:textId="77777777" w:rsidR="00C424E5" w:rsidRDefault="00C424E5">
            <w:pPr>
              <w:cnfStyle w:val="000000000000" w:firstRow="0" w:lastRow="0" w:firstColumn="0" w:lastColumn="0" w:oddVBand="0" w:evenVBand="0" w:oddHBand="0" w:evenHBand="0" w:firstRowFirstColumn="0" w:firstRowLastColumn="0" w:lastRowFirstColumn="0" w:lastRowLastColumn="0"/>
            </w:pPr>
            <w:r>
              <w:t>79 719</w:t>
            </w:r>
          </w:p>
        </w:tc>
        <w:tc>
          <w:tcPr>
            <w:tcW w:w="1068" w:type="dxa"/>
          </w:tcPr>
          <w:p w14:paraId="3E7BC79E" w14:textId="77777777" w:rsidR="00C424E5" w:rsidRDefault="00C424E5">
            <w:pPr>
              <w:cnfStyle w:val="000000000000" w:firstRow="0" w:lastRow="0" w:firstColumn="0" w:lastColumn="0" w:oddVBand="0" w:evenVBand="0" w:oddHBand="0" w:evenHBand="0" w:firstRowFirstColumn="0" w:firstRowLastColumn="0" w:lastRowFirstColumn="0" w:lastRowLastColumn="0"/>
            </w:pPr>
            <w:r>
              <w:t>44 815</w:t>
            </w:r>
          </w:p>
        </w:tc>
        <w:tc>
          <w:tcPr>
            <w:tcW w:w="794" w:type="dxa"/>
          </w:tcPr>
          <w:p w14:paraId="2DA5DE9A" w14:textId="77777777" w:rsidR="00C424E5" w:rsidRDefault="00C424E5">
            <w:pPr>
              <w:cnfStyle w:val="000000000000" w:firstRow="0" w:lastRow="0" w:firstColumn="0" w:lastColumn="0" w:oddVBand="0" w:evenVBand="0" w:oddHBand="0" w:evenHBand="0" w:firstRowFirstColumn="0" w:firstRowLastColumn="0" w:lastRowFirstColumn="0" w:lastRowLastColumn="0"/>
            </w:pPr>
            <w:r>
              <w:t>1 170</w:t>
            </w:r>
          </w:p>
        </w:tc>
        <w:tc>
          <w:tcPr>
            <w:tcW w:w="794" w:type="dxa"/>
          </w:tcPr>
          <w:p w14:paraId="4F598A7E" w14:textId="77777777" w:rsidR="00C424E5" w:rsidRDefault="00C424E5">
            <w:pPr>
              <w:cnfStyle w:val="000000000000" w:firstRow="0" w:lastRow="0" w:firstColumn="0" w:lastColumn="0" w:oddVBand="0" w:evenVBand="0" w:oddHBand="0" w:evenHBand="0" w:firstRowFirstColumn="0" w:firstRowLastColumn="0" w:lastRowFirstColumn="0" w:lastRowLastColumn="0"/>
            </w:pPr>
            <w:r>
              <w:t>178 531</w:t>
            </w:r>
          </w:p>
        </w:tc>
      </w:tr>
      <w:tr w:rsidR="00C424E5" w14:paraId="17901ACA" w14:textId="77777777" w:rsidTr="00EE2764">
        <w:tc>
          <w:tcPr>
            <w:cnfStyle w:val="001000000000" w:firstRow="0" w:lastRow="0" w:firstColumn="1" w:lastColumn="0" w:oddVBand="0" w:evenVBand="0" w:oddHBand="0" w:evenHBand="0" w:firstRowFirstColumn="0" w:firstRowLastColumn="0" w:lastRowFirstColumn="0" w:lastRowLastColumn="0"/>
            <w:tcW w:w="3261" w:type="dxa"/>
            <w:gridSpan w:val="2"/>
          </w:tcPr>
          <w:p w14:paraId="0B20B040" w14:textId="77777777" w:rsidR="00C424E5" w:rsidRDefault="00C424E5">
            <w:r>
              <w:t>Net result for the year</w:t>
            </w:r>
          </w:p>
        </w:tc>
        <w:tc>
          <w:tcPr>
            <w:tcW w:w="729" w:type="dxa"/>
          </w:tcPr>
          <w:p w14:paraId="00164D63" w14:textId="77777777" w:rsidR="00C424E5" w:rsidRDefault="00C424E5">
            <w:pPr>
              <w:cnfStyle w:val="000000000000" w:firstRow="0" w:lastRow="0" w:firstColumn="0" w:lastColumn="0" w:oddVBand="0" w:evenVBand="0" w:oddHBand="0" w:evenHBand="0" w:firstRowFirstColumn="0" w:firstRowLastColumn="0" w:lastRowFirstColumn="0" w:lastRowLastColumn="0"/>
            </w:pPr>
            <w:r>
              <w:t>(10 027)</w:t>
            </w:r>
          </w:p>
        </w:tc>
        <w:tc>
          <w:tcPr>
            <w:tcW w:w="1064" w:type="dxa"/>
          </w:tcPr>
          <w:p w14:paraId="72A3830A"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1068" w:type="dxa"/>
          </w:tcPr>
          <w:p w14:paraId="05E6F9B1"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0905C183"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3CDD79A2" w14:textId="77777777" w:rsidR="00C424E5" w:rsidRDefault="00C424E5">
            <w:pPr>
              <w:cnfStyle w:val="000000000000" w:firstRow="0" w:lastRow="0" w:firstColumn="0" w:lastColumn="0" w:oddVBand="0" w:evenVBand="0" w:oddHBand="0" w:evenHBand="0" w:firstRowFirstColumn="0" w:firstRowLastColumn="0" w:lastRowFirstColumn="0" w:lastRowLastColumn="0"/>
            </w:pPr>
            <w:r>
              <w:t>(10 027)</w:t>
            </w:r>
          </w:p>
        </w:tc>
      </w:tr>
      <w:tr w:rsidR="00C424E5" w14:paraId="611D82B2" w14:textId="77777777" w:rsidTr="00EE2764">
        <w:tc>
          <w:tcPr>
            <w:cnfStyle w:val="001000000000" w:firstRow="0" w:lastRow="0" w:firstColumn="1" w:lastColumn="0" w:oddVBand="0" w:evenVBand="0" w:oddHBand="0" w:evenHBand="0" w:firstRowFirstColumn="0" w:firstRowLastColumn="0" w:lastRowFirstColumn="0" w:lastRowLastColumn="0"/>
            <w:tcW w:w="3261" w:type="dxa"/>
            <w:gridSpan w:val="2"/>
          </w:tcPr>
          <w:p w14:paraId="0E60702F" w14:textId="77777777" w:rsidR="00C424E5" w:rsidRDefault="00C424E5">
            <w:r>
              <w:t>Other comprehensive income for the year</w:t>
            </w:r>
          </w:p>
        </w:tc>
        <w:tc>
          <w:tcPr>
            <w:tcW w:w="729" w:type="dxa"/>
          </w:tcPr>
          <w:p w14:paraId="24BC626A" w14:textId="77777777" w:rsidR="00C424E5" w:rsidRDefault="00C424E5">
            <w:pPr>
              <w:cnfStyle w:val="000000000000" w:firstRow="0" w:lastRow="0" w:firstColumn="0" w:lastColumn="0" w:oddVBand="0" w:evenVBand="0" w:oddHBand="0" w:evenHBand="0" w:firstRowFirstColumn="0" w:firstRowLastColumn="0" w:lastRowFirstColumn="0" w:lastRowLastColumn="0"/>
            </w:pPr>
            <w:r>
              <w:t>1 893</w:t>
            </w:r>
          </w:p>
        </w:tc>
        <w:tc>
          <w:tcPr>
            <w:tcW w:w="1064" w:type="dxa"/>
          </w:tcPr>
          <w:p w14:paraId="6A183DD8" w14:textId="77777777" w:rsidR="00C424E5" w:rsidRDefault="00C424E5">
            <w:pPr>
              <w:cnfStyle w:val="000000000000" w:firstRow="0" w:lastRow="0" w:firstColumn="0" w:lastColumn="0" w:oddVBand="0" w:evenVBand="0" w:oddHBand="0" w:evenHBand="0" w:firstRowFirstColumn="0" w:firstRowLastColumn="0" w:lastRowFirstColumn="0" w:lastRowLastColumn="0"/>
            </w:pPr>
            <w:r>
              <w:t>6 154</w:t>
            </w:r>
          </w:p>
        </w:tc>
        <w:tc>
          <w:tcPr>
            <w:tcW w:w="1068" w:type="dxa"/>
          </w:tcPr>
          <w:p w14:paraId="3F09704B" w14:textId="77777777" w:rsidR="00C424E5" w:rsidRDefault="00C424E5">
            <w:pPr>
              <w:cnfStyle w:val="000000000000" w:firstRow="0" w:lastRow="0" w:firstColumn="0" w:lastColumn="0" w:oddVBand="0" w:evenVBand="0" w:oddHBand="0" w:evenHBand="0" w:firstRowFirstColumn="0" w:firstRowLastColumn="0" w:lastRowFirstColumn="0" w:lastRowLastColumn="0"/>
            </w:pPr>
            <w:r>
              <w:t>(3 869)</w:t>
            </w:r>
          </w:p>
        </w:tc>
        <w:tc>
          <w:tcPr>
            <w:tcW w:w="794" w:type="dxa"/>
          </w:tcPr>
          <w:p w14:paraId="6825CB81" w14:textId="77777777" w:rsidR="00C424E5" w:rsidRDefault="00C424E5">
            <w:pPr>
              <w:cnfStyle w:val="000000000000" w:firstRow="0" w:lastRow="0" w:firstColumn="0" w:lastColumn="0" w:oddVBand="0" w:evenVBand="0" w:oddHBand="0" w:evenHBand="0" w:firstRowFirstColumn="0" w:firstRowLastColumn="0" w:lastRowFirstColumn="0" w:lastRowLastColumn="0"/>
            </w:pPr>
            <w:r>
              <w:t>95</w:t>
            </w:r>
          </w:p>
        </w:tc>
        <w:tc>
          <w:tcPr>
            <w:tcW w:w="794" w:type="dxa"/>
          </w:tcPr>
          <w:p w14:paraId="0CFD010A" w14:textId="77777777" w:rsidR="00C424E5" w:rsidRDefault="00C424E5">
            <w:pPr>
              <w:cnfStyle w:val="000000000000" w:firstRow="0" w:lastRow="0" w:firstColumn="0" w:lastColumn="0" w:oddVBand="0" w:evenVBand="0" w:oddHBand="0" w:evenHBand="0" w:firstRowFirstColumn="0" w:firstRowLastColumn="0" w:lastRowFirstColumn="0" w:lastRowLastColumn="0"/>
            </w:pPr>
            <w:r>
              <w:t>4 274</w:t>
            </w:r>
          </w:p>
        </w:tc>
      </w:tr>
      <w:tr w:rsidR="00C424E5" w14:paraId="7EDFBA9D" w14:textId="77777777" w:rsidTr="00EE2764">
        <w:tc>
          <w:tcPr>
            <w:cnfStyle w:val="001000000000" w:firstRow="0" w:lastRow="0" w:firstColumn="1" w:lastColumn="0" w:oddVBand="0" w:evenVBand="0" w:oddHBand="0" w:evenHBand="0" w:firstRowFirstColumn="0" w:firstRowLastColumn="0" w:lastRowFirstColumn="0" w:lastRowLastColumn="0"/>
            <w:tcW w:w="3261" w:type="dxa"/>
            <w:gridSpan w:val="2"/>
            <w:tcBorders>
              <w:top w:val="single" w:sz="6" w:space="0" w:color="auto"/>
              <w:bottom w:val="single" w:sz="6" w:space="0" w:color="auto"/>
            </w:tcBorders>
          </w:tcPr>
          <w:p w14:paraId="442BCAFE" w14:textId="77777777" w:rsidR="00C424E5" w:rsidRDefault="00C424E5">
            <w:r>
              <w:rPr>
                <w:b/>
              </w:rPr>
              <w:t>Total equity as at 30 June 2023</w:t>
            </w:r>
          </w:p>
        </w:tc>
        <w:tc>
          <w:tcPr>
            <w:tcW w:w="729" w:type="dxa"/>
            <w:tcBorders>
              <w:top w:val="single" w:sz="6" w:space="0" w:color="auto"/>
              <w:bottom w:val="single" w:sz="6" w:space="0" w:color="auto"/>
            </w:tcBorders>
          </w:tcPr>
          <w:p w14:paraId="5F17546E"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44 693</w:t>
            </w:r>
          </w:p>
        </w:tc>
        <w:tc>
          <w:tcPr>
            <w:tcW w:w="1064" w:type="dxa"/>
            <w:tcBorders>
              <w:top w:val="single" w:sz="6" w:space="0" w:color="auto"/>
              <w:bottom w:val="single" w:sz="6" w:space="0" w:color="auto"/>
            </w:tcBorders>
          </w:tcPr>
          <w:p w14:paraId="1D0ED7DB"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85 874</w:t>
            </w:r>
          </w:p>
        </w:tc>
        <w:tc>
          <w:tcPr>
            <w:tcW w:w="1068" w:type="dxa"/>
            <w:tcBorders>
              <w:top w:val="single" w:sz="6" w:space="0" w:color="auto"/>
              <w:bottom w:val="single" w:sz="6" w:space="0" w:color="auto"/>
            </w:tcBorders>
          </w:tcPr>
          <w:p w14:paraId="5D7BA281"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40 946</w:t>
            </w:r>
          </w:p>
        </w:tc>
        <w:tc>
          <w:tcPr>
            <w:tcW w:w="794" w:type="dxa"/>
            <w:tcBorders>
              <w:top w:val="single" w:sz="6" w:space="0" w:color="auto"/>
              <w:bottom w:val="single" w:sz="6" w:space="0" w:color="auto"/>
            </w:tcBorders>
          </w:tcPr>
          <w:p w14:paraId="6B1626AC"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1 265</w:t>
            </w:r>
          </w:p>
        </w:tc>
        <w:tc>
          <w:tcPr>
            <w:tcW w:w="794" w:type="dxa"/>
            <w:tcBorders>
              <w:top w:val="single" w:sz="6" w:space="0" w:color="auto"/>
              <w:bottom w:val="single" w:sz="6" w:space="0" w:color="auto"/>
            </w:tcBorders>
          </w:tcPr>
          <w:p w14:paraId="4BD67F55"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172 778</w:t>
            </w:r>
          </w:p>
        </w:tc>
      </w:tr>
      <w:tr w:rsidR="00C424E5" w14:paraId="2B01DCD6" w14:textId="77777777" w:rsidTr="00EE2764">
        <w:tc>
          <w:tcPr>
            <w:cnfStyle w:val="001000000000" w:firstRow="0" w:lastRow="0" w:firstColumn="1" w:lastColumn="0" w:oddVBand="0" w:evenVBand="0" w:oddHBand="0" w:evenHBand="0" w:firstRowFirstColumn="0" w:firstRowLastColumn="0" w:lastRowFirstColumn="0" w:lastRowLastColumn="0"/>
            <w:tcW w:w="3261" w:type="dxa"/>
            <w:gridSpan w:val="2"/>
            <w:tcBorders>
              <w:top w:val="single" w:sz="6" w:space="0" w:color="auto"/>
            </w:tcBorders>
          </w:tcPr>
          <w:p w14:paraId="680717F6" w14:textId="77777777" w:rsidR="00C424E5" w:rsidRDefault="00C424E5">
            <w:r>
              <w:rPr>
                <w:b/>
              </w:rPr>
              <w:t>2023</w:t>
            </w:r>
            <w:r>
              <w:rPr>
                <w:b/>
              </w:rPr>
              <w:noBreakHyphen/>
              <w:t>24 estimate</w:t>
            </w:r>
          </w:p>
        </w:tc>
        <w:tc>
          <w:tcPr>
            <w:tcW w:w="729" w:type="dxa"/>
            <w:tcBorders>
              <w:top w:val="single" w:sz="6" w:space="0" w:color="auto"/>
            </w:tcBorders>
          </w:tcPr>
          <w:p w14:paraId="732F2D2D"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1064" w:type="dxa"/>
            <w:tcBorders>
              <w:top w:val="single" w:sz="6" w:space="0" w:color="auto"/>
            </w:tcBorders>
          </w:tcPr>
          <w:p w14:paraId="73E51E5E"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1068" w:type="dxa"/>
            <w:tcBorders>
              <w:top w:val="single" w:sz="6" w:space="0" w:color="auto"/>
            </w:tcBorders>
          </w:tcPr>
          <w:p w14:paraId="37CAE247"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D578772"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21F40F76"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03F4A12A" w14:textId="77777777" w:rsidTr="00EE2764">
        <w:tc>
          <w:tcPr>
            <w:cnfStyle w:val="001000000000" w:firstRow="0" w:lastRow="0" w:firstColumn="1" w:lastColumn="0" w:oddVBand="0" w:evenVBand="0" w:oddHBand="0" w:evenHBand="0" w:firstRowFirstColumn="0" w:firstRowLastColumn="0" w:lastRowFirstColumn="0" w:lastRowLastColumn="0"/>
            <w:tcW w:w="3261" w:type="dxa"/>
            <w:gridSpan w:val="2"/>
          </w:tcPr>
          <w:p w14:paraId="0181D5B6" w14:textId="77777777" w:rsidR="00C424E5" w:rsidRDefault="00C424E5">
            <w:r>
              <w:t>Balance at 1 July 2023</w:t>
            </w:r>
          </w:p>
        </w:tc>
        <w:tc>
          <w:tcPr>
            <w:tcW w:w="729" w:type="dxa"/>
          </w:tcPr>
          <w:p w14:paraId="6CF06408" w14:textId="77777777" w:rsidR="00C424E5" w:rsidRDefault="00C424E5">
            <w:pPr>
              <w:cnfStyle w:val="000000000000" w:firstRow="0" w:lastRow="0" w:firstColumn="0" w:lastColumn="0" w:oddVBand="0" w:evenVBand="0" w:oddHBand="0" w:evenHBand="0" w:firstRowFirstColumn="0" w:firstRowLastColumn="0" w:lastRowFirstColumn="0" w:lastRowLastColumn="0"/>
            </w:pPr>
            <w:r>
              <w:t>44 693</w:t>
            </w:r>
          </w:p>
        </w:tc>
        <w:tc>
          <w:tcPr>
            <w:tcW w:w="1064" w:type="dxa"/>
          </w:tcPr>
          <w:p w14:paraId="5D3A7A98" w14:textId="77777777" w:rsidR="00C424E5" w:rsidRDefault="00C424E5">
            <w:pPr>
              <w:cnfStyle w:val="000000000000" w:firstRow="0" w:lastRow="0" w:firstColumn="0" w:lastColumn="0" w:oddVBand="0" w:evenVBand="0" w:oddHBand="0" w:evenHBand="0" w:firstRowFirstColumn="0" w:firstRowLastColumn="0" w:lastRowFirstColumn="0" w:lastRowLastColumn="0"/>
            </w:pPr>
            <w:r>
              <w:t>85 874</w:t>
            </w:r>
          </w:p>
        </w:tc>
        <w:tc>
          <w:tcPr>
            <w:tcW w:w="1068" w:type="dxa"/>
          </w:tcPr>
          <w:p w14:paraId="277E0FFB" w14:textId="77777777" w:rsidR="00C424E5" w:rsidRDefault="00C424E5">
            <w:pPr>
              <w:cnfStyle w:val="000000000000" w:firstRow="0" w:lastRow="0" w:firstColumn="0" w:lastColumn="0" w:oddVBand="0" w:evenVBand="0" w:oddHBand="0" w:evenHBand="0" w:firstRowFirstColumn="0" w:firstRowLastColumn="0" w:lastRowFirstColumn="0" w:lastRowLastColumn="0"/>
            </w:pPr>
            <w:r>
              <w:t>40 946</w:t>
            </w:r>
          </w:p>
        </w:tc>
        <w:tc>
          <w:tcPr>
            <w:tcW w:w="794" w:type="dxa"/>
          </w:tcPr>
          <w:p w14:paraId="2A37E634" w14:textId="77777777" w:rsidR="00C424E5" w:rsidRDefault="00C424E5">
            <w:pPr>
              <w:cnfStyle w:val="000000000000" w:firstRow="0" w:lastRow="0" w:firstColumn="0" w:lastColumn="0" w:oddVBand="0" w:evenVBand="0" w:oddHBand="0" w:evenHBand="0" w:firstRowFirstColumn="0" w:firstRowLastColumn="0" w:lastRowFirstColumn="0" w:lastRowLastColumn="0"/>
            </w:pPr>
            <w:r>
              <w:t>1 265</w:t>
            </w:r>
          </w:p>
        </w:tc>
        <w:tc>
          <w:tcPr>
            <w:tcW w:w="794" w:type="dxa"/>
          </w:tcPr>
          <w:p w14:paraId="3D872073" w14:textId="77777777" w:rsidR="00C424E5" w:rsidRDefault="00C424E5">
            <w:pPr>
              <w:cnfStyle w:val="000000000000" w:firstRow="0" w:lastRow="0" w:firstColumn="0" w:lastColumn="0" w:oddVBand="0" w:evenVBand="0" w:oddHBand="0" w:evenHBand="0" w:firstRowFirstColumn="0" w:firstRowLastColumn="0" w:lastRowFirstColumn="0" w:lastRowLastColumn="0"/>
            </w:pPr>
            <w:r>
              <w:t>172 778</w:t>
            </w:r>
          </w:p>
        </w:tc>
      </w:tr>
      <w:tr w:rsidR="00C424E5" w14:paraId="42576D5C" w14:textId="77777777" w:rsidTr="00EE2764">
        <w:tc>
          <w:tcPr>
            <w:cnfStyle w:val="001000000000" w:firstRow="0" w:lastRow="0" w:firstColumn="1" w:lastColumn="0" w:oddVBand="0" w:evenVBand="0" w:oddHBand="0" w:evenHBand="0" w:firstRowFirstColumn="0" w:firstRowLastColumn="0" w:lastRowFirstColumn="0" w:lastRowLastColumn="0"/>
            <w:tcW w:w="3261" w:type="dxa"/>
            <w:gridSpan w:val="2"/>
          </w:tcPr>
          <w:p w14:paraId="5AD78360" w14:textId="77777777" w:rsidR="00C424E5" w:rsidRDefault="00C424E5">
            <w:r>
              <w:t>Net result for the year</w:t>
            </w:r>
          </w:p>
        </w:tc>
        <w:tc>
          <w:tcPr>
            <w:tcW w:w="729" w:type="dxa"/>
          </w:tcPr>
          <w:p w14:paraId="18D7DFC8" w14:textId="77777777" w:rsidR="00C424E5" w:rsidRDefault="00C424E5">
            <w:pPr>
              <w:cnfStyle w:val="000000000000" w:firstRow="0" w:lastRow="0" w:firstColumn="0" w:lastColumn="0" w:oddVBand="0" w:evenVBand="0" w:oddHBand="0" w:evenHBand="0" w:firstRowFirstColumn="0" w:firstRowLastColumn="0" w:lastRowFirstColumn="0" w:lastRowLastColumn="0"/>
            </w:pPr>
            <w:r>
              <w:t>(3 952)</w:t>
            </w:r>
          </w:p>
        </w:tc>
        <w:tc>
          <w:tcPr>
            <w:tcW w:w="1064" w:type="dxa"/>
          </w:tcPr>
          <w:p w14:paraId="2CB0B055"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1068" w:type="dxa"/>
          </w:tcPr>
          <w:p w14:paraId="11697AF5"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169EC6D3"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643E3A82" w14:textId="77777777" w:rsidR="00C424E5" w:rsidRDefault="00C424E5">
            <w:pPr>
              <w:cnfStyle w:val="000000000000" w:firstRow="0" w:lastRow="0" w:firstColumn="0" w:lastColumn="0" w:oddVBand="0" w:evenVBand="0" w:oddHBand="0" w:evenHBand="0" w:firstRowFirstColumn="0" w:firstRowLastColumn="0" w:lastRowFirstColumn="0" w:lastRowLastColumn="0"/>
            </w:pPr>
            <w:r>
              <w:t>(3 952)</w:t>
            </w:r>
          </w:p>
        </w:tc>
      </w:tr>
      <w:tr w:rsidR="00C424E5" w14:paraId="268E9E58" w14:textId="77777777" w:rsidTr="00EE2764">
        <w:tc>
          <w:tcPr>
            <w:cnfStyle w:val="001000000000" w:firstRow="0" w:lastRow="0" w:firstColumn="1" w:lastColumn="0" w:oddVBand="0" w:evenVBand="0" w:oddHBand="0" w:evenHBand="0" w:firstRowFirstColumn="0" w:firstRowLastColumn="0" w:lastRowFirstColumn="0" w:lastRowLastColumn="0"/>
            <w:tcW w:w="3261" w:type="dxa"/>
            <w:gridSpan w:val="2"/>
          </w:tcPr>
          <w:p w14:paraId="2F0B3DFC" w14:textId="77777777" w:rsidR="00C424E5" w:rsidRDefault="00C424E5">
            <w:r>
              <w:t>Other comprehensive income for the year</w:t>
            </w:r>
          </w:p>
        </w:tc>
        <w:tc>
          <w:tcPr>
            <w:tcW w:w="729" w:type="dxa"/>
          </w:tcPr>
          <w:p w14:paraId="5D55C509" w14:textId="77777777" w:rsidR="00C424E5" w:rsidRDefault="00C424E5">
            <w:pPr>
              <w:cnfStyle w:val="000000000000" w:firstRow="0" w:lastRow="0" w:firstColumn="0" w:lastColumn="0" w:oddVBand="0" w:evenVBand="0" w:oddHBand="0" w:evenHBand="0" w:firstRowFirstColumn="0" w:firstRowLastColumn="0" w:lastRowFirstColumn="0" w:lastRowLastColumn="0"/>
            </w:pPr>
            <w:r>
              <w:t>699</w:t>
            </w:r>
          </w:p>
        </w:tc>
        <w:tc>
          <w:tcPr>
            <w:tcW w:w="1064" w:type="dxa"/>
          </w:tcPr>
          <w:p w14:paraId="3E74D7F7" w14:textId="77777777" w:rsidR="00C424E5" w:rsidRDefault="00C424E5">
            <w:pPr>
              <w:cnfStyle w:val="000000000000" w:firstRow="0" w:lastRow="0" w:firstColumn="0" w:lastColumn="0" w:oddVBand="0" w:evenVBand="0" w:oddHBand="0" w:evenHBand="0" w:firstRowFirstColumn="0" w:firstRowLastColumn="0" w:lastRowFirstColumn="0" w:lastRowLastColumn="0"/>
            </w:pPr>
            <w:r>
              <w:t>5 718</w:t>
            </w:r>
          </w:p>
        </w:tc>
        <w:tc>
          <w:tcPr>
            <w:tcW w:w="1068" w:type="dxa"/>
          </w:tcPr>
          <w:p w14:paraId="238DF593" w14:textId="77777777" w:rsidR="00C424E5" w:rsidRDefault="00C424E5">
            <w:pPr>
              <w:cnfStyle w:val="000000000000" w:firstRow="0" w:lastRow="0" w:firstColumn="0" w:lastColumn="0" w:oddVBand="0" w:evenVBand="0" w:oddHBand="0" w:evenHBand="0" w:firstRowFirstColumn="0" w:firstRowLastColumn="0" w:lastRowFirstColumn="0" w:lastRowLastColumn="0"/>
            </w:pPr>
            <w:r>
              <w:t>(4 837)</w:t>
            </w:r>
          </w:p>
        </w:tc>
        <w:tc>
          <w:tcPr>
            <w:tcW w:w="794" w:type="dxa"/>
          </w:tcPr>
          <w:p w14:paraId="1812CFE3" w14:textId="77777777" w:rsidR="00C424E5" w:rsidRDefault="00C424E5">
            <w:pPr>
              <w:cnfStyle w:val="000000000000" w:firstRow="0" w:lastRow="0" w:firstColumn="0" w:lastColumn="0" w:oddVBand="0" w:evenVBand="0" w:oddHBand="0" w:evenHBand="0" w:firstRowFirstColumn="0" w:firstRowLastColumn="0" w:lastRowFirstColumn="0" w:lastRowLastColumn="0"/>
            </w:pPr>
            <w:r>
              <w:t>58</w:t>
            </w:r>
          </w:p>
        </w:tc>
        <w:tc>
          <w:tcPr>
            <w:tcW w:w="794" w:type="dxa"/>
          </w:tcPr>
          <w:p w14:paraId="24BDF5E2" w14:textId="77777777" w:rsidR="00C424E5" w:rsidRDefault="00C424E5">
            <w:pPr>
              <w:cnfStyle w:val="000000000000" w:firstRow="0" w:lastRow="0" w:firstColumn="0" w:lastColumn="0" w:oddVBand="0" w:evenVBand="0" w:oddHBand="0" w:evenHBand="0" w:firstRowFirstColumn="0" w:firstRowLastColumn="0" w:lastRowFirstColumn="0" w:lastRowLastColumn="0"/>
            </w:pPr>
            <w:r>
              <w:t>1 638</w:t>
            </w:r>
          </w:p>
        </w:tc>
      </w:tr>
      <w:tr w:rsidR="00C424E5" w14:paraId="097AEC7A" w14:textId="77777777" w:rsidTr="00EE2764">
        <w:tc>
          <w:tcPr>
            <w:cnfStyle w:val="001000000000" w:firstRow="0" w:lastRow="0" w:firstColumn="1" w:lastColumn="0" w:oddVBand="0" w:evenVBand="0" w:oddHBand="0" w:evenHBand="0" w:firstRowFirstColumn="0" w:firstRowLastColumn="0" w:lastRowFirstColumn="0" w:lastRowLastColumn="0"/>
            <w:tcW w:w="3261" w:type="dxa"/>
            <w:gridSpan w:val="2"/>
            <w:tcBorders>
              <w:top w:val="single" w:sz="6" w:space="0" w:color="auto"/>
              <w:bottom w:val="single" w:sz="6" w:space="0" w:color="auto"/>
            </w:tcBorders>
          </w:tcPr>
          <w:p w14:paraId="485D5522" w14:textId="77777777" w:rsidR="00C424E5" w:rsidRDefault="00C424E5">
            <w:r>
              <w:rPr>
                <w:b/>
              </w:rPr>
              <w:t>Total equity as at 30 June 2024</w:t>
            </w:r>
          </w:p>
        </w:tc>
        <w:tc>
          <w:tcPr>
            <w:tcW w:w="729" w:type="dxa"/>
            <w:tcBorders>
              <w:top w:val="single" w:sz="6" w:space="0" w:color="auto"/>
              <w:bottom w:val="single" w:sz="6" w:space="0" w:color="auto"/>
            </w:tcBorders>
          </w:tcPr>
          <w:p w14:paraId="3F97D7E9"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41 440</w:t>
            </w:r>
          </w:p>
        </w:tc>
        <w:tc>
          <w:tcPr>
            <w:tcW w:w="1064" w:type="dxa"/>
            <w:tcBorders>
              <w:top w:val="single" w:sz="6" w:space="0" w:color="auto"/>
              <w:bottom w:val="single" w:sz="6" w:space="0" w:color="auto"/>
            </w:tcBorders>
          </w:tcPr>
          <w:p w14:paraId="3F42E853"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91 592</w:t>
            </w:r>
          </w:p>
        </w:tc>
        <w:tc>
          <w:tcPr>
            <w:tcW w:w="1068" w:type="dxa"/>
            <w:tcBorders>
              <w:top w:val="single" w:sz="6" w:space="0" w:color="auto"/>
              <w:bottom w:val="single" w:sz="6" w:space="0" w:color="auto"/>
            </w:tcBorders>
          </w:tcPr>
          <w:p w14:paraId="04D79A76"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36 110</w:t>
            </w:r>
          </w:p>
        </w:tc>
        <w:tc>
          <w:tcPr>
            <w:tcW w:w="794" w:type="dxa"/>
            <w:tcBorders>
              <w:top w:val="single" w:sz="6" w:space="0" w:color="auto"/>
              <w:bottom w:val="single" w:sz="6" w:space="0" w:color="auto"/>
            </w:tcBorders>
          </w:tcPr>
          <w:p w14:paraId="5E4D6054"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1 323</w:t>
            </w:r>
          </w:p>
        </w:tc>
        <w:tc>
          <w:tcPr>
            <w:tcW w:w="794" w:type="dxa"/>
            <w:tcBorders>
              <w:top w:val="single" w:sz="6" w:space="0" w:color="auto"/>
              <w:bottom w:val="single" w:sz="6" w:space="0" w:color="auto"/>
            </w:tcBorders>
          </w:tcPr>
          <w:p w14:paraId="597570F2"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170 464</w:t>
            </w:r>
          </w:p>
        </w:tc>
      </w:tr>
      <w:tr w:rsidR="00C424E5" w14:paraId="071C8FB7" w14:textId="77777777" w:rsidTr="00EE2764">
        <w:tc>
          <w:tcPr>
            <w:cnfStyle w:val="001000000000" w:firstRow="0" w:lastRow="0" w:firstColumn="1" w:lastColumn="0" w:oddVBand="0" w:evenVBand="0" w:oddHBand="0" w:evenHBand="0" w:firstRowFirstColumn="0" w:firstRowLastColumn="0" w:lastRowFirstColumn="0" w:lastRowLastColumn="0"/>
            <w:tcW w:w="3261" w:type="dxa"/>
            <w:gridSpan w:val="2"/>
            <w:tcBorders>
              <w:top w:val="single" w:sz="6" w:space="0" w:color="auto"/>
            </w:tcBorders>
          </w:tcPr>
          <w:p w14:paraId="4BCEC1C3" w14:textId="77777777" w:rsidR="00C424E5" w:rsidRDefault="00C424E5">
            <w:r>
              <w:rPr>
                <w:b/>
              </w:rPr>
              <w:t>2024</w:t>
            </w:r>
            <w:r>
              <w:rPr>
                <w:b/>
              </w:rPr>
              <w:noBreakHyphen/>
              <w:t>25 estimate</w:t>
            </w:r>
          </w:p>
        </w:tc>
        <w:tc>
          <w:tcPr>
            <w:tcW w:w="729" w:type="dxa"/>
            <w:tcBorders>
              <w:top w:val="single" w:sz="6" w:space="0" w:color="auto"/>
            </w:tcBorders>
          </w:tcPr>
          <w:p w14:paraId="55EC2D94"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1064" w:type="dxa"/>
            <w:tcBorders>
              <w:top w:val="single" w:sz="6" w:space="0" w:color="auto"/>
            </w:tcBorders>
          </w:tcPr>
          <w:p w14:paraId="609D7B81"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1068" w:type="dxa"/>
            <w:tcBorders>
              <w:top w:val="single" w:sz="6" w:space="0" w:color="auto"/>
            </w:tcBorders>
          </w:tcPr>
          <w:p w14:paraId="1497DD8E"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211B5453"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07EAF6C"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76DB4385" w14:textId="77777777" w:rsidTr="00EE2764">
        <w:tc>
          <w:tcPr>
            <w:cnfStyle w:val="001000000000" w:firstRow="0" w:lastRow="0" w:firstColumn="1" w:lastColumn="0" w:oddVBand="0" w:evenVBand="0" w:oddHBand="0" w:evenHBand="0" w:firstRowFirstColumn="0" w:firstRowLastColumn="0" w:lastRowFirstColumn="0" w:lastRowLastColumn="0"/>
            <w:tcW w:w="3261" w:type="dxa"/>
            <w:gridSpan w:val="2"/>
          </w:tcPr>
          <w:p w14:paraId="6DC20BE9" w14:textId="77777777" w:rsidR="00C424E5" w:rsidRDefault="00C424E5">
            <w:r>
              <w:t>Balance at 1 July 2024</w:t>
            </w:r>
          </w:p>
        </w:tc>
        <w:tc>
          <w:tcPr>
            <w:tcW w:w="729" w:type="dxa"/>
          </w:tcPr>
          <w:p w14:paraId="484FDED5" w14:textId="77777777" w:rsidR="00C424E5" w:rsidRDefault="00C424E5">
            <w:pPr>
              <w:cnfStyle w:val="000000000000" w:firstRow="0" w:lastRow="0" w:firstColumn="0" w:lastColumn="0" w:oddVBand="0" w:evenVBand="0" w:oddHBand="0" w:evenHBand="0" w:firstRowFirstColumn="0" w:firstRowLastColumn="0" w:lastRowFirstColumn="0" w:lastRowLastColumn="0"/>
            </w:pPr>
            <w:r>
              <w:t>41 440</w:t>
            </w:r>
          </w:p>
        </w:tc>
        <w:tc>
          <w:tcPr>
            <w:tcW w:w="1064" w:type="dxa"/>
          </w:tcPr>
          <w:p w14:paraId="3B246E84" w14:textId="77777777" w:rsidR="00C424E5" w:rsidRDefault="00C424E5">
            <w:pPr>
              <w:cnfStyle w:val="000000000000" w:firstRow="0" w:lastRow="0" w:firstColumn="0" w:lastColumn="0" w:oddVBand="0" w:evenVBand="0" w:oddHBand="0" w:evenHBand="0" w:firstRowFirstColumn="0" w:firstRowLastColumn="0" w:lastRowFirstColumn="0" w:lastRowLastColumn="0"/>
            </w:pPr>
            <w:r>
              <w:t>91 592</w:t>
            </w:r>
          </w:p>
        </w:tc>
        <w:tc>
          <w:tcPr>
            <w:tcW w:w="1068" w:type="dxa"/>
          </w:tcPr>
          <w:p w14:paraId="7FB08F52" w14:textId="77777777" w:rsidR="00C424E5" w:rsidRDefault="00C424E5">
            <w:pPr>
              <w:cnfStyle w:val="000000000000" w:firstRow="0" w:lastRow="0" w:firstColumn="0" w:lastColumn="0" w:oddVBand="0" w:evenVBand="0" w:oddHBand="0" w:evenHBand="0" w:firstRowFirstColumn="0" w:firstRowLastColumn="0" w:lastRowFirstColumn="0" w:lastRowLastColumn="0"/>
            </w:pPr>
            <w:r>
              <w:t>36 110</w:t>
            </w:r>
          </w:p>
        </w:tc>
        <w:tc>
          <w:tcPr>
            <w:tcW w:w="794" w:type="dxa"/>
          </w:tcPr>
          <w:p w14:paraId="33774708" w14:textId="77777777" w:rsidR="00C424E5" w:rsidRDefault="00C424E5">
            <w:pPr>
              <w:cnfStyle w:val="000000000000" w:firstRow="0" w:lastRow="0" w:firstColumn="0" w:lastColumn="0" w:oddVBand="0" w:evenVBand="0" w:oddHBand="0" w:evenHBand="0" w:firstRowFirstColumn="0" w:firstRowLastColumn="0" w:lastRowFirstColumn="0" w:lastRowLastColumn="0"/>
            </w:pPr>
            <w:r>
              <w:t>1 323</w:t>
            </w:r>
          </w:p>
        </w:tc>
        <w:tc>
          <w:tcPr>
            <w:tcW w:w="794" w:type="dxa"/>
          </w:tcPr>
          <w:p w14:paraId="01ECDCB2" w14:textId="77777777" w:rsidR="00C424E5" w:rsidRDefault="00C424E5">
            <w:pPr>
              <w:cnfStyle w:val="000000000000" w:firstRow="0" w:lastRow="0" w:firstColumn="0" w:lastColumn="0" w:oddVBand="0" w:evenVBand="0" w:oddHBand="0" w:evenHBand="0" w:firstRowFirstColumn="0" w:firstRowLastColumn="0" w:lastRowFirstColumn="0" w:lastRowLastColumn="0"/>
            </w:pPr>
            <w:r>
              <w:t>170 464</w:t>
            </w:r>
          </w:p>
        </w:tc>
      </w:tr>
      <w:tr w:rsidR="00C424E5" w14:paraId="254A805F" w14:textId="77777777" w:rsidTr="00EE2764">
        <w:tc>
          <w:tcPr>
            <w:cnfStyle w:val="001000000000" w:firstRow="0" w:lastRow="0" w:firstColumn="1" w:lastColumn="0" w:oddVBand="0" w:evenVBand="0" w:oddHBand="0" w:evenHBand="0" w:firstRowFirstColumn="0" w:firstRowLastColumn="0" w:lastRowFirstColumn="0" w:lastRowLastColumn="0"/>
            <w:tcW w:w="3261" w:type="dxa"/>
            <w:gridSpan w:val="2"/>
          </w:tcPr>
          <w:p w14:paraId="54BA41A0" w14:textId="77777777" w:rsidR="00C424E5" w:rsidRDefault="00C424E5">
            <w:r>
              <w:t>Net result for the year</w:t>
            </w:r>
          </w:p>
        </w:tc>
        <w:tc>
          <w:tcPr>
            <w:tcW w:w="729" w:type="dxa"/>
          </w:tcPr>
          <w:p w14:paraId="08746EB8" w14:textId="77777777" w:rsidR="00C424E5" w:rsidRDefault="00C424E5">
            <w:pPr>
              <w:cnfStyle w:val="000000000000" w:firstRow="0" w:lastRow="0" w:firstColumn="0" w:lastColumn="0" w:oddVBand="0" w:evenVBand="0" w:oddHBand="0" w:evenHBand="0" w:firstRowFirstColumn="0" w:firstRowLastColumn="0" w:lastRowFirstColumn="0" w:lastRowLastColumn="0"/>
            </w:pPr>
            <w:r>
              <w:t>(966)</w:t>
            </w:r>
          </w:p>
        </w:tc>
        <w:tc>
          <w:tcPr>
            <w:tcW w:w="1064" w:type="dxa"/>
          </w:tcPr>
          <w:p w14:paraId="75C84947"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1068" w:type="dxa"/>
          </w:tcPr>
          <w:p w14:paraId="1FB03117"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4558026B"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5C618C26" w14:textId="77777777" w:rsidR="00C424E5" w:rsidRDefault="00C424E5">
            <w:pPr>
              <w:cnfStyle w:val="000000000000" w:firstRow="0" w:lastRow="0" w:firstColumn="0" w:lastColumn="0" w:oddVBand="0" w:evenVBand="0" w:oddHBand="0" w:evenHBand="0" w:firstRowFirstColumn="0" w:firstRowLastColumn="0" w:lastRowFirstColumn="0" w:lastRowLastColumn="0"/>
            </w:pPr>
            <w:r>
              <w:t>(966)</w:t>
            </w:r>
          </w:p>
        </w:tc>
      </w:tr>
      <w:tr w:rsidR="00C424E5" w14:paraId="60BB8190" w14:textId="77777777" w:rsidTr="00EE2764">
        <w:tc>
          <w:tcPr>
            <w:cnfStyle w:val="001000000000" w:firstRow="0" w:lastRow="0" w:firstColumn="1" w:lastColumn="0" w:oddVBand="0" w:evenVBand="0" w:oddHBand="0" w:evenHBand="0" w:firstRowFirstColumn="0" w:firstRowLastColumn="0" w:lastRowFirstColumn="0" w:lastRowLastColumn="0"/>
            <w:tcW w:w="3261" w:type="dxa"/>
            <w:gridSpan w:val="2"/>
          </w:tcPr>
          <w:p w14:paraId="362B8BF0" w14:textId="77777777" w:rsidR="00C424E5" w:rsidRDefault="00C424E5">
            <w:r>
              <w:t>Other comprehensive income for the year</w:t>
            </w:r>
          </w:p>
        </w:tc>
        <w:tc>
          <w:tcPr>
            <w:tcW w:w="729" w:type="dxa"/>
          </w:tcPr>
          <w:p w14:paraId="3FA43E58" w14:textId="77777777" w:rsidR="00C424E5" w:rsidRDefault="00C424E5">
            <w:pPr>
              <w:cnfStyle w:val="000000000000" w:firstRow="0" w:lastRow="0" w:firstColumn="0" w:lastColumn="0" w:oddVBand="0" w:evenVBand="0" w:oddHBand="0" w:evenHBand="0" w:firstRowFirstColumn="0" w:firstRowLastColumn="0" w:lastRowFirstColumn="0" w:lastRowLastColumn="0"/>
            </w:pPr>
            <w:r>
              <w:t>709</w:t>
            </w:r>
          </w:p>
        </w:tc>
        <w:tc>
          <w:tcPr>
            <w:tcW w:w="1064" w:type="dxa"/>
          </w:tcPr>
          <w:p w14:paraId="1AF88CBD" w14:textId="77777777" w:rsidR="00C424E5" w:rsidRDefault="00C424E5">
            <w:pPr>
              <w:cnfStyle w:val="000000000000" w:firstRow="0" w:lastRow="0" w:firstColumn="0" w:lastColumn="0" w:oddVBand="0" w:evenVBand="0" w:oddHBand="0" w:evenHBand="0" w:firstRowFirstColumn="0" w:firstRowLastColumn="0" w:lastRowFirstColumn="0" w:lastRowLastColumn="0"/>
            </w:pPr>
            <w:r>
              <w:t>10 343</w:t>
            </w:r>
          </w:p>
        </w:tc>
        <w:tc>
          <w:tcPr>
            <w:tcW w:w="1068" w:type="dxa"/>
          </w:tcPr>
          <w:p w14:paraId="4C3BEF2C" w14:textId="77777777" w:rsidR="00C424E5" w:rsidRDefault="00C424E5">
            <w:pPr>
              <w:cnfStyle w:val="000000000000" w:firstRow="0" w:lastRow="0" w:firstColumn="0" w:lastColumn="0" w:oddVBand="0" w:evenVBand="0" w:oddHBand="0" w:evenHBand="0" w:firstRowFirstColumn="0" w:firstRowLastColumn="0" w:lastRowFirstColumn="0" w:lastRowLastColumn="0"/>
            </w:pPr>
            <w:r>
              <w:t>(4 590)</w:t>
            </w:r>
          </w:p>
        </w:tc>
        <w:tc>
          <w:tcPr>
            <w:tcW w:w="794" w:type="dxa"/>
          </w:tcPr>
          <w:p w14:paraId="325353E3" w14:textId="77777777" w:rsidR="00C424E5" w:rsidRDefault="00C424E5">
            <w:pPr>
              <w:cnfStyle w:val="000000000000" w:firstRow="0" w:lastRow="0" w:firstColumn="0" w:lastColumn="0" w:oddVBand="0" w:evenVBand="0" w:oddHBand="0" w:evenHBand="0" w:firstRowFirstColumn="0" w:firstRowLastColumn="0" w:lastRowFirstColumn="0" w:lastRowLastColumn="0"/>
            </w:pPr>
            <w:r>
              <w:t>57</w:t>
            </w:r>
          </w:p>
        </w:tc>
        <w:tc>
          <w:tcPr>
            <w:tcW w:w="794" w:type="dxa"/>
          </w:tcPr>
          <w:p w14:paraId="41C5EA54" w14:textId="77777777" w:rsidR="00C424E5" w:rsidRDefault="00C424E5">
            <w:pPr>
              <w:cnfStyle w:val="000000000000" w:firstRow="0" w:lastRow="0" w:firstColumn="0" w:lastColumn="0" w:oddVBand="0" w:evenVBand="0" w:oddHBand="0" w:evenHBand="0" w:firstRowFirstColumn="0" w:firstRowLastColumn="0" w:lastRowFirstColumn="0" w:lastRowLastColumn="0"/>
            </w:pPr>
            <w:r>
              <w:t>6 519</w:t>
            </w:r>
          </w:p>
        </w:tc>
      </w:tr>
      <w:tr w:rsidR="00C424E5" w14:paraId="6788C342" w14:textId="77777777" w:rsidTr="00EE2764">
        <w:tc>
          <w:tcPr>
            <w:cnfStyle w:val="001000000000" w:firstRow="0" w:lastRow="0" w:firstColumn="1" w:lastColumn="0" w:oddVBand="0" w:evenVBand="0" w:oddHBand="0" w:evenHBand="0" w:firstRowFirstColumn="0" w:firstRowLastColumn="0" w:lastRowFirstColumn="0" w:lastRowLastColumn="0"/>
            <w:tcW w:w="3261" w:type="dxa"/>
            <w:gridSpan w:val="2"/>
            <w:tcBorders>
              <w:top w:val="single" w:sz="6" w:space="0" w:color="auto"/>
              <w:bottom w:val="single" w:sz="6" w:space="0" w:color="auto"/>
            </w:tcBorders>
          </w:tcPr>
          <w:p w14:paraId="1466647B" w14:textId="77777777" w:rsidR="00C424E5" w:rsidRDefault="00C424E5">
            <w:r>
              <w:rPr>
                <w:b/>
              </w:rPr>
              <w:t>Total equity as at 30 June 2025</w:t>
            </w:r>
          </w:p>
        </w:tc>
        <w:tc>
          <w:tcPr>
            <w:tcW w:w="729" w:type="dxa"/>
            <w:tcBorders>
              <w:top w:val="single" w:sz="6" w:space="0" w:color="auto"/>
              <w:bottom w:val="single" w:sz="6" w:space="0" w:color="auto"/>
            </w:tcBorders>
          </w:tcPr>
          <w:p w14:paraId="37297D21"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41 183</w:t>
            </w:r>
          </w:p>
        </w:tc>
        <w:tc>
          <w:tcPr>
            <w:tcW w:w="1064" w:type="dxa"/>
            <w:tcBorders>
              <w:top w:val="single" w:sz="6" w:space="0" w:color="auto"/>
              <w:bottom w:val="single" w:sz="6" w:space="0" w:color="auto"/>
            </w:tcBorders>
          </w:tcPr>
          <w:p w14:paraId="4DB2288A"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101 935</w:t>
            </w:r>
          </w:p>
        </w:tc>
        <w:tc>
          <w:tcPr>
            <w:tcW w:w="1068" w:type="dxa"/>
            <w:tcBorders>
              <w:top w:val="single" w:sz="6" w:space="0" w:color="auto"/>
              <w:bottom w:val="single" w:sz="6" w:space="0" w:color="auto"/>
            </w:tcBorders>
          </w:tcPr>
          <w:p w14:paraId="46CA0FE6"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31 519</w:t>
            </w:r>
          </w:p>
        </w:tc>
        <w:tc>
          <w:tcPr>
            <w:tcW w:w="794" w:type="dxa"/>
            <w:tcBorders>
              <w:top w:val="single" w:sz="6" w:space="0" w:color="auto"/>
              <w:bottom w:val="single" w:sz="6" w:space="0" w:color="auto"/>
            </w:tcBorders>
          </w:tcPr>
          <w:p w14:paraId="50D0B542"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1 379</w:t>
            </w:r>
          </w:p>
        </w:tc>
        <w:tc>
          <w:tcPr>
            <w:tcW w:w="794" w:type="dxa"/>
            <w:tcBorders>
              <w:top w:val="single" w:sz="6" w:space="0" w:color="auto"/>
              <w:bottom w:val="single" w:sz="6" w:space="0" w:color="auto"/>
            </w:tcBorders>
          </w:tcPr>
          <w:p w14:paraId="71C6827C"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176 017</w:t>
            </w:r>
          </w:p>
        </w:tc>
      </w:tr>
      <w:tr w:rsidR="00C424E5" w14:paraId="01669A1E" w14:textId="77777777" w:rsidTr="00EE2764">
        <w:tc>
          <w:tcPr>
            <w:cnfStyle w:val="001000000000" w:firstRow="0" w:lastRow="0" w:firstColumn="1" w:lastColumn="0" w:oddVBand="0" w:evenVBand="0" w:oddHBand="0" w:evenHBand="0" w:firstRowFirstColumn="0" w:firstRowLastColumn="0" w:lastRowFirstColumn="0" w:lastRowLastColumn="0"/>
            <w:tcW w:w="3261" w:type="dxa"/>
            <w:gridSpan w:val="2"/>
            <w:tcBorders>
              <w:top w:val="single" w:sz="6" w:space="0" w:color="auto"/>
            </w:tcBorders>
          </w:tcPr>
          <w:p w14:paraId="04B7B0B1" w14:textId="77777777" w:rsidR="00C424E5" w:rsidRDefault="00C424E5">
            <w:r>
              <w:rPr>
                <w:b/>
              </w:rPr>
              <w:t>2025</w:t>
            </w:r>
            <w:r>
              <w:rPr>
                <w:b/>
              </w:rPr>
              <w:noBreakHyphen/>
              <w:t>26 estimate</w:t>
            </w:r>
          </w:p>
        </w:tc>
        <w:tc>
          <w:tcPr>
            <w:tcW w:w="729" w:type="dxa"/>
            <w:tcBorders>
              <w:top w:val="single" w:sz="6" w:space="0" w:color="auto"/>
            </w:tcBorders>
          </w:tcPr>
          <w:p w14:paraId="1602377E"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1064" w:type="dxa"/>
            <w:tcBorders>
              <w:top w:val="single" w:sz="6" w:space="0" w:color="auto"/>
            </w:tcBorders>
          </w:tcPr>
          <w:p w14:paraId="6E17914C"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1068" w:type="dxa"/>
            <w:tcBorders>
              <w:top w:val="single" w:sz="6" w:space="0" w:color="auto"/>
            </w:tcBorders>
          </w:tcPr>
          <w:p w14:paraId="192DF71D"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136DD999"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8416FB0"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0166D6BB" w14:textId="77777777" w:rsidTr="00EE2764">
        <w:tc>
          <w:tcPr>
            <w:cnfStyle w:val="001000000000" w:firstRow="0" w:lastRow="0" w:firstColumn="1" w:lastColumn="0" w:oddVBand="0" w:evenVBand="0" w:oddHBand="0" w:evenHBand="0" w:firstRowFirstColumn="0" w:firstRowLastColumn="0" w:lastRowFirstColumn="0" w:lastRowLastColumn="0"/>
            <w:tcW w:w="3261" w:type="dxa"/>
            <w:gridSpan w:val="2"/>
          </w:tcPr>
          <w:p w14:paraId="58332905" w14:textId="77777777" w:rsidR="00C424E5" w:rsidRDefault="00C424E5">
            <w:r>
              <w:t>Balance at 1 July 2025</w:t>
            </w:r>
          </w:p>
        </w:tc>
        <w:tc>
          <w:tcPr>
            <w:tcW w:w="729" w:type="dxa"/>
          </w:tcPr>
          <w:p w14:paraId="3DB98088" w14:textId="77777777" w:rsidR="00C424E5" w:rsidRDefault="00C424E5">
            <w:pPr>
              <w:cnfStyle w:val="000000000000" w:firstRow="0" w:lastRow="0" w:firstColumn="0" w:lastColumn="0" w:oddVBand="0" w:evenVBand="0" w:oddHBand="0" w:evenHBand="0" w:firstRowFirstColumn="0" w:firstRowLastColumn="0" w:lastRowFirstColumn="0" w:lastRowLastColumn="0"/>
            </w:pPr>
            <w:r>
              <w:t>41 183</w:t>
            </w:r>
          </w:p>
        </w:tc>
        <w:tc>
          <w:tcPr>
            <w:tcW w:w="1064" w:type="dxa"/>
          </w:tcPr>
          <w:p w14:paraId="1084ACF0" w14:textId="77777777" w:rsidR="00C424E5" w:rsidRDefault="00C424E5">
            <w:pPr>
              <w:cnfStyle w:val="000000000000" w:firstRow="0" w:lastRow="0" w:firstColumn="0" w:lastColumn="0" w:oddVBand="0" w:evenVBand="0" w:oddHBand="0" w:evenHBand="0" w:firstRowFirstColumn="0" w:firstRowLastColumn="0" w:lastRowFirstColumn="0" w:lastRowLastColumn="0"/>
            </w:pPr>
            <w:r>
              <w:t>101 935</w:t>
            </w:r>
          </w:p>
        </w:tc>
        <w:tc>
          <w:tcPr>
            <w:tcW w:w="1068" w:type="dxa"/>
          </w:tcPr>
          <w:p w14:paraId="4CEB2A42" w14:textId="77777777" w:rsidR="00C424E5" w:rsidRDefault="00C424E5">
            <w:pPr>
              <w:cnfStyle w:val="000000000000" w:firstRow="0" w:lastRow="0" w:firstColumn="0" w:lastColumn="0" w:oddVBand="0" w:evenVBand="0" w:oddHBand="0" w:evenHBand="0" w:firstRowFirstColumn="0" w:firstRowLastColumn="0" w:lastRowFirstColumn="0" w:lastRowLastColumn="0"/>
            </w:pPr>
            <w:r>
              <w:t>31 519</w:t>
            </w:r>
          </w:p>
        </w:tc>
        <w:tc>
          <w:tcPr>
            <w:tcW w:w="794" w:type="dxa"/>
          </w:tcPr>
          <w:p w14:paraId="74C11338" w14:textId="77777777" w:rsidR="00C424E5" w:rsidRDefault="00C424E5">
            <w:pPr>
              <w:cnfStyle w:val="000000000000" w:firstRow="0" w:lastRow="0" w:firstColumn="0" w:lastColumn="0" w:oddVBand="0" w:evenVBand="0" w:oddHBand="0" w:evenHBand="0" w:firstRowFirstColumn="0" w:firstRowLastColumn="0" w:lastRowFirstColumn="0" w:lastRowLastColumn="0"/>
            </w:pPr>
            <w:r>
              <w:t>1 379</w:t>
            </w:r>
          </w:p>
        </w:tc>
        <w:tc>
          <w:tcPr>
            <w:tcW w:w="794" w:type="dxa"/>
          </w:tcPr>
          <w:p w14:paraId="2E0B451B" w14:textId="77777777" w:rsidR="00C424E5" w:rsidRDefault="00C424E5">
            <w:pPr>
              <w:cnfStyle w:val="000000000000" w:firstRow="0" w:lastRow="0" w:firstColumn="0" w:lastColumn="0" w:oddVBand="0" w:evenVBand="0" w:oddHBand="0" w:evenHBand="0" w:firstRowFirstColumn="0" w:firstRowLastColumn="0" w:lastRowFirstColumn="0" w:lastRowLastColumn="0"/>
            </w:pPr>
            <w:r>
              <w:t>176 017</w:t>
            </w:r>
          </w:p>
        </w:tc>
      </w:tr>
      <w:tr w:rsidR="00C424E5" w14:paraId="348A993D" w14:textId="77777777" w:rsidTr="00EE2764">
        <w:tc>
          <w:tcPr>
            <w:cnfStyle w:val="001000000000" w:firstRow="0" w:lastRow="0" w:firstColumn="1" w:lastColumn="0" w:oddVBand="0" w:evenVBand="0" w:oddHBand="0" w:evenHBand="0" w:firstRowFirstColumn="0" w:firstRowLastColumn="0" w:lastRowFirstColumn="0" w:lastRowLastColumn="0"/>
            <w:tcW w:w="3261" w:type="dxa"/>
            <w:gridSpan w:val="2"/>
          </w:tcPr>
          <w:p w14:paraId="61488711" w14:textId="77777777" w:rsidR="00C424E5" w:rsidRDefault="00C424E5">
            <w:r>
              <w:t>Net result for the year</w:t>
            </w:r>
          </w:p>
        </w:tc>
        <w:tc>
          <w:tcPr>
            <w:tcW w:w="729" w:type="dxa"/>
          </w:tcPr>
          <w:p w14:paraId="36728DCA" w14:textId="77777777" w:rsidR="00C424E5" w:rsidRDefault="00C424E5">
            <w:pPr>
              <w:cnfStyle w:val="000000000000" w:firstRow="0" w:lastRow="0" w:firstColumn="0" w:lastColumn="0" w:oddVBand="0" w:evenVBand="0" w:oddHBand="0" w:evenHBand="0" w:firstRowFirstColumn="0" w:firstRowLastColumn="0" w:lastRowFirstColumn="0" w:lastRowLastColumn="0"/>
            </w:pPr>
            <w:r>
              <w:t>747</w:t>
            </w:r>
          </w:p>
        </w:tc>
        <w:tc>
          <w:tcPr>
            <w:tcW w:w="1064" w:type="dxa"/>
          </w:tcPr>
          <w:p w14:paraId="63B651ED"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1068" w:type="dxa"/>
          </w:tcPr>
          <w:p w14:paraId="6471DF3E"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7F8E27CF"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0B9A2BAF" w14:textId="77777777" w:rsidR="00C424E5" w:rsidRDefault="00C424E5">
            <w:pPr>
              <w:cnfStyle w:val="000000000000" w:firstRow="0" w:lastRow="0" w:firstColumn="0" w:lastColumn="0" w:oddVBand="0" w:evenVBand="0" w:oddHBand="0" w:evenHBand="0" w:firstRowFirstColumn="0" w:firstRowLastColumn="0" w:lastRowFirstColumn="0" w:lastRowLastColumn="0"/>
            </w:pPr>
            <w:r>
              <w:t>747</w:t>
            </w:r>
          </w:p>
        </w:tc>
      </w:tr>
      <w:tr w:rsidR="00C424E5" w14:paraId="20CC8FF1" w14:textId="77777777" w:rsidTr="00EE2764">
        <w:tc>
          <w:tcPr>
            <w:cnfStyle w:val="001000000000" w:firstRow="0" w:lastRow="0" w:firstColumn="1" w:lastColumn="0" w:oddVBand="0" w:evenVBand="0" w:oddHBand="0" w:evenHBand="0" w:firstRowFirstColumn="0" w:firstRowLastColumn="0" w:lastRowFirstColumn="0" w:lastRowLastColumn="0"/>
            <w:tcW w:w="3261" w:type="dxa"/>
            <w:gridSpan w:val="2"/>
          </w:tcPr>
          <w:p w14:paraId="442589A2" w14:textId="77777777" w:rsidR="00C424E5" w:rsidRDefault="00C424E5">
            <w:r>
              <w:t>Other comprehensive income for the year</w:t>
            </w:r>
          </w:p>
        </w:tc>
        <w:tc>
          <w:tcPr>
            <w:tcW w:w="729" w:type="dxa"/>
          </w:tcPr>
          <w:p w14:paraId="6F1DE8D6" w14:textId="77777777" w:rsidR="00C424E5" w:rsidRDefault="00C424E5">
            <w:pPr>
              <w:cnfStyle w:val="000000000000" w:firstRow="0" w:lastRow="0" w:firstColumn="0" w:lastColumn="0" w:oddVBand="0" w:evenVBand="0" w:oddHBand="0" w:evenHBand="0" w:firstRowFirstColumn="0" w:firstRowLastColumn="0" w:lastRowFirstColumn="0" w:lastRowLastColumn="0"/>
            </w:pPr>
            <w:r>
              <w:t>695</w:t>
            </w:r>
          </w:p>
        </w:tc>
        <w:tc>
          <w:tcPr>
            <w:tcW w:w="1064" w:type="dxa"/>
          </w:tcPr>
          <w:p w14:paraId="697A438A" w14:textId="77777777" w:rsidR="00C424E5" w:rsidRDefault="00C424E5">
            <w:pPr>
              <w:cnfStyle w:val="000000000000" w:firstRow="0" w:lastRow="0" w:firstColumn="0" w:lastColumn="0" w:oddVBand="0" w:evenVBand="0" w:oddHBand="0" w:evenHBand="0" w:firstRowFirstColumn="0" w:firstRowLastColumn="0" w:lastRowFirstColumn="0" w:lastRowLastColumn="0"/>
            </w:pPr>
            <w:r>
              <w:t>1 689</w:t>
            </w:r>
          </w:p>
        </w:tc>
        <w:tc>
          <w:tcPr>
            <w:tcW w:w="1068" w:type="dxa"/>
          </w:tcPr>
          <w:p w14:paraId="127DF142" w14:textId="77777777" w:rsidR="00C424E5" w:rsidRDefault="00C424E5">
            <w:pPr>
              <w:cnfStyle w:val="000000000000" w:firstRow="0" w:lastRow="0" w:firstColumn="0" w:lastColumn="0" w:oddVBand="0" w:evenVBand="0" w:oddHBand="0" w:evenHBand="0" w:firstRowFirstColumn="0" w:firstRowLastColumn="0" w:lastRowFirstColumn="0" w:lastRowLastColumn="0"/>
            </w:pPr>
            <w:r>
              <w:t>(14 209)</w:t>
            </w:r>
          </w:p>
        </w:tc>
        <w:tc>
          <w:tcPr>
            <w:tcW w:w="794" w:type="dxa"/>
          </w:tcPr>
          <w:p w14:paraId="049D2894" w14:textId="77777777" w:rsidR="00C424E5" w:rsidRDefault="00C424E5">
            <w:pPr>
              <w:cnfStyle w:val="000000000000" w:firstRow="0" w:lastRow="0" w:firstColumn="0" w:lastColumn="0" w:oddVBand="0" w:evenVBand="0" w:oddHBand="0" w:evenHBand="0" w:firstRowFirstColumn="0" w:firstRowLastColumn="0" w:lastRowFirstColumn="0" w:lastRowLastColumn="0"/>
            </w:pPr>
            <w:r>
              <w:t>92</w:t>
            </w:r>
          </w:p>
        </w:tc>
        <w:tc>
          <w:tcPr>
            <w:tcW w:w="794" w:type="dxa"/>
          </w:tcPr>
          <w:p w14:paraId="1C2A60B4" w14:textId="77777777" w:rsidR="00C424E5" w:rsidRDefault="00C424E5">
            <w:pPr>
              <w:cnfStyle w:val="000000000000" w:firstRow="0" w:lastRow="0" w:firstColumn="0" w:lastColumn="0" w:oddVBand="0" w:evenVBand="0" w:oddHBand="0" w:evenHBand="0" w:firstRowFirstColumn="0" w:firstRowLastColumn="0" w:lastRowFirstColumn="0" w:lastRowLastColumn="0"/>
            </w:pPr>
            <w:r>
              <w:t>(11 733)</w:t>
            </w:r>
          </w:p>
        </w:tc>
      </w:tr>
      <w:tr w:rsidR="00C424E5" w14:paraId="2CB2EF77" w14:textId="77777777" w:rsidTr="00EE2764">
        <w:tc>
          <w:tcPr>
            <w:cnfStyle w:val="001000000000" w:firstRow="0" w:lastRow="0" w:firstColumn="1" w:lastColumn="0" w:oddVBand="0" w:evenVBand="0" w:oddHBand="0" w:evenHBand="0" w:firstRowFirstColumn="0" w:firstRowLastColumn="0" w:lastRowFirstColumn="0" w:lastRowLastColumn="0"/>
            <w:tcW w:w="3261" w:type="dxa"/>
            <w:gridSpan w:val="2"/>
          </w:tcPr>
          <w:p w14:paraId="62BACD04" w14:textId="77777777" w:rsidR="00C424E5" w:rsidRDefault="00C424E5">
            <w:r>
              <w:t>Transfer to/(from) accumulated surplus</w:t>
            </w:r>
          </w:p>
        </w:tc>
        <w:tc>
          <w:tcPr>
            <w:tcW w:w="729" w:type="dxa"/>
          </w:tcPr>
          <w:p w14:paraId="335802B2" w14:textId="77777777" w:rsidR="00C424E5" w:rsidRDefault="00C424E5">
            <w:pPr>
              <w:cnfStyle w:val="000000000000" w:firstRow="0" w:lastRow="0" w:firstColumn="0" w:lastColumn="0" w:oddVBand="0" w:evenVBand="0" w:oddHBand="0" w:evenHBand="0" w:firstRowFirstColumn="0" w:firstRowLastColumn="0" w:lastRowFirstColumn="0" w:lastRowLastColumn="0"/>
            </w:pPr>
            <w:r>
              <w:t>345</w:t>
            </w:r>
          </w:p>
        </w:tc>
        <w:tc>
          <w:tcPr>
            <w:tcW w:w="1064" w:type="dxa"/>
          </w:tcPr>
          <w:p w14:paraId="526C4440" w14:textId="77777777" w:rsidR="00C424E5" w:rsidRDefault="00C424E5">
            <w:pPr>
              <w:cnfStyle w:val="000000000000" w:firstRow="0" w:lastRow="0" w:firstColumn="0" w:lastColumn="0" w:oddVBand="0" w:evenVBand="0" w:oddHBand="0" w:evenHBand="0" w:firstRowFirstColumn="0" w:firstRowLastColumn="0" w:lastRowFirstColumn="0" w:lastRowLastColumn="0"/>
            </w:pPr>
            <w:r>
              <w:t>(345)</w:t>
            </w:r>
          </w:p>
        </w:tc>
        <w:tc>
          <w:tcPr>
            <w:tcW w:w="1068" w:type="dxa"/>
          </w:tcPr>
          <w:p w14:paraId="1E832012"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27721DB2"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5FE9F042"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r>
      <w:tr w:rsidR="00C424E5" w14:paraId="10DA0ADD" w14:textId="77777777" w:rsidTr="00EE2764">
        <w:tc>
          <w:tcPr>
            <w:cnfStyle w:val="001000000000" w:firstRow="0" w:lastRow="0" w:firstColumn="1" w:lastColumn="0" w:oddVBand="0" w:evenVBand="0" w:oddHBand="0" w:evenHBand="0" w:firstRowFirstColumn="0" w:firstRowLastColumn="0" w:lastRowFirstColumn="0" w:lastRowLastColumn="0"/>
            <w:tcW w:w="3261" w:type="dxa"/>
            <w:gridSpan w:val="2"/>
            <w:tcBorders>
              <w:top w:val="single" w:sz="6" w:space="0" w:color="auto"/>
              <w:bottom w:val="single" w:sz="12" w:space="0" w:color="auto"/>
            </w:tcBorders>
          </w:tcPr>
          <w:p w14:paraId="679979C0" w14:textId="77777777" w:rsidR="00C424E5" w:rsidRDefault="00C424E5">
            <w:r>
              <w:rPr>
                <w:b/>
              </w:rPr>
              <w:t>Total equity as at 30 June 2026</w:t>
            </w:r>
          </w:p>
        </w:tc>
        <w:tc>
          <w:tcPr>
            <w:tcW w:w="729" w:type="dxa"/>
            <w:tcBorders>
              <w:top w:val="single" w:sz="6" w:space="0" w:color="auto"/>
              <w:bottom w:val="single" w:sz="12" w:space="0" w:color="auto"/>
            </w:tcBorders>
          </w:tcPr>
          <w:p w14:paraId="05E0AC92"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42 971</w:t>
            </w:r>
          </w:p>
        </w:tc>
        <w:tc>
          <w:tcPr>
            <w:tcW w:w="1064" w:type="dxa"/>
            <w:tcBorders>
              <w:top w:val="single" w:sz="6" w:space="0" w:color="auto"/>
              <w:bottom w:val="single" w:sz="12" w:space="0" w:color="auto"/>
            </w:tcBorders>
          </w:tcPr>
          <w:p w14:paraId="17490D25"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103 278</w:t>
            </w:r>
          </w:p>
        </w:tc>
        <w:tc>
          <w:tcPr>
            <w:tcW w:w="1068" w:type="dxa"/>
            <w:tcBorders>
              <w:top w:val="single" w:sz="6" w:space="0" w:color="auto"/>
              <w:bottom w:val="single" w:sz="12" w:space="0" w:color="auto"/>
            </w:tcBorders>
          </w:tcPr>
          <w:p w14:paraId="688A0F71"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17 310</w:t>
            </w:r>
          </w:p>
        </w:tc>
        <w:tc>
          <w:tcPr>
            <w:tcW w:w="794" w:type="dxa"/>
            <w:tcBorders>
              <w:top w:val="single" w:sz="6" w:space="0" w:color="auto"/>
              <w:bottom w:val="single" w:sz="12" w:space="0" w:color="auto"/>
            </w:tcBorders>
          </w:tcPr>
          <w:p w14:paraId="137F5B70"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1 472</w:t>
            </w:r>
          </w:p>
        </w:tc>
        <w:tc>
          <w:tcPr>
            <w:tcW w:w="794" w:type="dxa"/>
            <w:tcBorders>
              <w:top w:val="single" w:sz="6" w:space="0" w:color="auto"/>
              <w:bottom w:val="single" w:sz="12" w:space="0" w:color="auto"/>
            </w:tcBorders>
          </w:tcPr>
          <w:p w14:paraId="17E3950E" w14:textId="42ABEA6B" w:rsidR="00C424E5" w:rsidRDefault="00C424E5">
            <w:pPr>
              <w:cnfStyle w:val="000000000000" w:firstRow="0" w:lastRow="0" w:firstColumn="0" w:lastColumn="0" w:oddVBand="0" w:evenVBand="0" w:oddHBand="0" w:evenHBand="0" w:firstRowFirstColumn="0" w:firstRowLastColumn="0" w:lastRowFirstColumn="0" w:lastRowLastColumn="0"/>
            </w:pPr>
            <w:r>
              <w:rPr>
                <w:b/>
              </w:rPr>
              <w:t>165 031</w:t>
            </w:r>
          </w:p>
        </w:tc>
      </w:tr>
    </w:tbl>
    <w:p w14:paraId="17DF6C6C" w14:textId="77777777" w:rsidR="00C424E5" w:rsidRDefault="00C424E5" w:rsidP="006206EF">
      <w:pPr>
        <w:pStyle w:val="Source"/>
        <w:ind w:left="0" w:firstLine="0"/>
      </w:pPr>
      <w:r>
        <w:t>The accompanying notes form part of these Estimated Financial Statements.</w:t>
      </w:r>
    </w:p>
    <w:p w14:paraId="714F1E2F" w14:textId="77777777" w:rsidR="00C424E5" w:rsidRPr="00C87705" w:rsidRDefault="00C424E5" w:rsidP="006206EF">
      <w:pPr>
        <w:pStyle w:val="Note"/>
      </w:pPr>
      <w:r w:rsidRPr="00C87705">
        <w:t>Note</w:t>
      </w:r>
      <w:r>
        <w:t>s</w:t>
      </w:r>
      <w:r w:rsidRPr="00C87705">
        <w:t>:</w:t>
      </w:r>
    </w:p>
    <w:p w14:paraId="0345DEB3" w14:textId="77777777" w:rsidR="00C424E5" w:rsidRDefault="00C424E5" w:rsidP="006206EF">
      <w:pPr>
        <w:pStyle w:val="Note"/>
      </w:pPr>
      <w:r w:rsidRPr="00C87705">
        <w:t>(a)</w:t>
      </w:r>
      <w:r w:rsidRPr="00C87705">
        <w:tab/>
        <w:t>Balances represent actual opening balances at 1 July 202</w:t>
      </w:r>
      <w:r>
        <w:t>2</w:t>
      </w:r>
      <w:r w:rsidRPr="00C87705">
        <w:t xml:space="preserve"> plus 202</w:t>
      </w:r>
      <w:r>
        <w:t>2</w:t>
      </w:r>
      <w:r w:rsidRPr="00C87705">
        <w:t>-2</w:t>
      </w:r>
      <w:r>
        <w:t>3</w:t>
      </w:r>
      <w:r w:rsidRPr="00C87705">
        <w:t xml:space="preserve"> budgeted movements.</w:t>
      </w:r>
    </w:p>
    <w:p w14:paraId="2A7D229D" w14:textId="77777777" w:rsidR="00C424E5" w:rsidRDefault="00C424E5" w:rsidP="006206EF">
      <w:pPr>
        <w:pStyle w:val="Note"/>
      </w:pPr>
      <w:r w:rsidRPr="00C87705">
        <w:t>(</w:t>
      </w:r>
      <w:r>
        <w:t>b</w:t>
      </w:r>
      <w:r w:rsidRPr="00C87705">
        <w:t>)</w:t>
      </w:r>
      <w:r w:rsidRPr="00C87705">
        <w:tab/>
      </w:r>
      <w:r w:rsidRPr="00195C0D">
        <w:t xml:space="preserve">On 1 July 2022, the seven Waste and Resource Recovery Groups were abolished </w:t>
      </w:r>
      <w:r w:rsidRPr="008C21F1">
        <w:t xml:space="preserve">and transferred from the PNFC sector to be amalgamated into </w:t>
      </w:r>
      <w:r w:rsidRPr="00195C0D">
        <w:t>the Department of Environment, Land, Water and Planning (DELWP) to form a business unit within DELWP, Recycling Victoria. This has resulted in the 1 July 2022 opening balance not equal</w:t>
      </w:r>
      <w:r>
        <w:t>ling</w:t>
      </w:r>
      <w:r w:rsidRPr="00195C0D">
        <w:t xml:space="preserve"> the 30 June closing balance</w:t>
      </w:r>
      <w:r w:rsidRPr="00C87705">
        <w:t>.</w:t>
      </w:r>
    </w:p>
    <w:p w14:paraId="1DA5B39C" w14:textId="77777777" w:rsidR="00C424E5" w:rsidRDefault="00C424E5" w:rsidP="00D53200">
      <w:pPr>
        <w:pStyle w:val="Note"/>
        <w:ind w:left="0" w:firstLine="0"/>
      </w:pPr>
    </w:p>
    <w:p w14:paraId="78E83897" w14:textId="77777777" w:rsidR="00C424E5" w:rsidRDefault="00C424E5">
      <w:pPr>
        <w:keepLines w:val="0"/>
        <w:rPr>
          <w:rFonts w:asciiTheme="majorHAnsi" w:hAnsiTheme="majorHAnsi"/>
          <w:i/>
          <w:sz w:val="14"/>
        </w:rPr>
      </w:pPr>
      <w:r>
        <w:br w:type="page"/>
      </w:r>
    </w:p>
    <w:p w14:paraId="02D861A8" w14:textId="77777777" w:rsidR="00E74DB6" w:rsidRPr="00E74DB6" w:rsidRDefault="00E74DB6" w:rsidP="00E74DB6">
      <w:pPr>
        <w:pStyle w:val="ListParagraph"/>
        <w:keepNext/>
        <w:numPr>
          <w:ilvl w:val="0"/>
          <w:numId w:val="4"/>
        </w:numPr>
        <w:spacing w:before="360"/>
        <w:contextualSpacing w:val="0"/>
        <w:outlineLvl w:val="0"/>
        <w:rPr>
          <w:rFonts w:asciiTheme="majorHAnsi" w:eastAsiaTheme="majorEastAsia" w:hAnsiTheme="majorHAnsi" w:cstheme="majorBidi"/>
          <w:b/>
          <w:caps/>
          <w:vanish/>
          <w:sz w:val="26"/>
          <w:szCs w:val="32"/>
        </w:rPr>
      </w:pPr>
    </w:p>
    <w:p w14:paraId="70D7BF15" w14:textId="77777777" w:rsidR="00E74DB6" w:rsidRPr="00E74DB6" w:rsidRDefault="00E74DB6" w:rsidP="00E74DB6">
      <w:pPr>
        <w:pStyle w:val="ListParagraph"/>
        <w:keepNext/>
        <w:numPr>
          <w:ilvl w:val="0"/>
          <w:numId w:val="4"/>
        </w:numPr>
        <w:spacing w:before="360"/>
        <w:contextualSpacing w:val="0"/>
        <w:outlineLvl w:val="0"/>
        <w:rPr>
          <w:rFonts w:asciiTheme="majorHAnsi" w:eastAsiaTheme="majorEastAsia" w:hAnsiTheme="majorHAnsi" w:cstheme="majorBidi"/>
          <w:b/>
          <w:caps/>
          <w:vanish/>
          <w:sz w:val="26"/>
          <w:szCs w:val="32"/>
        </w:rPr>
      </w:pPr>
    </w:p>
    <w:p w14:paraId="336C991E" w14:textId="77777777" w:rsidR="00E74DB6" w:rsidRPr="00E74DB6" w:rsidRDefault="00E74DB6" w:rsidP="00E74DB6">
      <w:pPr>
        <w:pStyle w:val="ListParagraph"/>
        <w:keepNext/>
        <w:numPr>
          <w:ilvl w:val="0"/>
          <w:numId w:val="4"/>
        </w:numPr>
        <w:spacing w:before="360"/>
        <w:contextualSpacing w:val="0"/>
        <w:outlineLvl w:val="0"/>
        <w:rPr>
          <w:rFonts w:asciiTheme="majorHAnsi" w:eastAsiaTheme="majorEastAsia" w:hAnsiTheme="majorHAnsi" w:cstheme="majorBidi"/>
          <w:b/>
          <w:caps/>
          <w:vanish/>
          <w:sz w:val="26"/>
          <w:szCs w:val="32"/>
        </w:rPr>
      </w:pPr>
    </w:p>
    <w:p w14:paraId="5BB2AC7F" w14:textId="1FCA6AB6" w:rsidR="00C424E5" w:rsidRDefault="00C424E5" w:rsidP="00E74DB6">
      <w:pPr>
        <w:pStyle w:val="Heading2"/>
      </w:pPr>
      <w:r>
        <w:t>ABOUT THIS REPORT</w:t>
      </w:r>
    </w:p>
    <w:p w14:paraId="70906F82" w14:textId="77777777" w:rsidR="00C424E5" w:rsidRPr="007E07F9" w:rsidRDefault="00C424E5" w:rsidP="006206EF">
      <w:pPr>
        <w:pStyle w:val="Heading20"/>
      </w:pPr>
      <w:r w:rsidRPr="007E07F9">
        <w:t>Basis of preparation</w:t>
      </w:r>
    </w:p>
    <w:p w14:paraId="7012B33A" w14:textId="77777777" w:rsidR="00C424E5" w:rsidRPr="007E07F9" w:rsidRDefault="00C424E5" w:rsidP="006206EF">
      <w:r w:rsidRPr="007E07F9">
        <w:t xml:space="preserve">This note summarises the basis applied in preparing and presenting these Estimated Financial Statements, which includes the budget year and the estimates for the three </w:t>
      </w:r>
      <w:r>
        <w:t>forward</w:t>
      </w:r>
      <w:r w:rsidRPr="007E07F9">
        <w:t xml:space="preserve"> years. </w:t>
      </w:r>
    </w:p>
    <w:p w14:paraId="1872B295" w14:textId="77777777" w:rsidR="00C424E5" w:rsidRPr="007E07F9" w:rsidRDefault="00C424E5" w:rsidP="006206EF">
      <w:r w:rsidRPr="007E07F9">
        <w:t xml:space="preserve">The detailed accounting policies applied in preparing the Estimated Financial Statements </w:t>
      </w:r>
      <w:r>
        <w:t xml:space="preserve">for the 2022-23 budget year, and the three forward years, </w:t>
      </w:r>
      <w:r w:rsidRPr="007E07F9">
        <w:t xml:space="preserve">are consistent with those in the </w:t>
      </w:r>
      <w:r w:rsidRPr="00204C87">
        <w:rPr>
          <w:i/>
          <w:iCs/>
        </w:rPr>
        <w:t>202</w:t>
      </w:r>
      <w:r>
        <w:rPr>
          <w:i/>
          <w:iCs/>
        </w:rPr>
        <w:t>1</w:t>
      </w:r>
      <w:r w:rsidRPr="00204C87">
        <w:rPr>
          <w:i/>
          <w:iCs/>
        </w:rPr>
        <w:t>-2</w:t>
      </w:r>
      <w:r>
        <w:rPr>
          <w:i/>
          <w:iCs/>
        </w:rPr>
        <w:t>2</w:t>
      </w:r>
      <w:r w:rsidRPr="00204C87">
        <w:rPr>
          <w:i/>
          <w:iCs/>
        </w:rPr>
        <w:t xml:space="preserve"> Financial Report</w:t>
      </w:r>
      <w:r w:rsidRPr="007E07F9">
        <w:t xml:space="preserve"> for the State of Victoria as</w:t>
      </w:r>
      <w:r>
        <w:t xml:space="preserve"> </w:t>
      </w:r>
      <w:r w:rsidRPr="007E07F9">
        <w:t>presented to Parliament. The audited 30 June 202</w:t>
      </w:r>
      <w:r>
        <w:t>2</w:t>
      </w:r>
      <w:r w:rsidRPr="007E07F9">
        <w:t xml:space="preserve"> asset and liability balances, as reported in the</w:t>
      </w:r>
      <w:r w:rsidRPr="00204C87">
        <w:rPr>
          <w:i/>
          <w:iCs/>
        </w:rPr>
        <w:t xml:space="preserve"> 202</w:t>
      </w:r>
      <w:r>
        <w:rPr>
          <w:i/>
          <w:iCs/>
        </w:rPr>
        <w:t>1</w:t>
      </w:r>
      <w:r w:rsidRPr="00204C87">
        <w:rPr>
          <w:i/>
          <w:iCs/>
        </w:rPr>
        <w:t>-2</w:t>
      </w:r>
      <w:r>
        <w:rPr>
          <w:i/>
          <w:iCs/>
        </w:rPr>
        <w:t>2</w:t>
      </w:r>
      <w:r w:rsidRPr="00204C87">
        <w:rPr>
          <w:i/>
          <w:iCs/>
        </w:rPr>
        <w:t xml:space="preserve"> Financial Report</w:t>
      </w:r>
      <w:r>
        <w:t>,</w:t>
      </w:r>
      <w:r w:rsidRPr="007E07F9">
        <w:t xml:space="preserve"> form the basis on which asset and liability balances are projected over the next four years.</w:t>
      </w:r>
    </w:p>
    <w:p w14:paraId="0339B102" w14:textId="77777777" w:rsidR="00C424E5" w:rsidRPr="007E07F9" w:rsidRDefault="00C424E5" w:rsidP="006206EF">
      <w:r w:rsidRPr="007E07F9">
        <w:t>The accrual basis of accounting has been applied in preparing the Estimated Financial Statements whereby assets, liabilities, equity, income and expenses are recognised in the reporting period to which they relate, regardless of when cash is received or paid.</w:t>
      </w:r>
    </w:p>
    <w:p w14:paraId="57485A04" w14:textId="77777777" w:rsidR="00C424E5" w:rsidRPr="007E07F9" w:rsidRDefault="00C424E5" w:rsidP="006206EF">
      <w:r w:rsidRPr="007E07F9">
        <w:t xml:space="preserve">The Estimated Financial Statements are presented in Australian dollars, which is also the functional currency of the Victorian general government sector. </w:t>
      </w:r>
    </w:p>
    <w:p w14:paraId="0DB21F74" w14:textId="77777777" w:rsidR="00C424E5" w:rsidRPr="007E07F9" w:rsidRDefault="00C424E5" w:rsidP="006206EF">
      <w:pPr>
        <w:keepNext/>
      </w:pPr>
      <w:r w:rsidRPr="007E07F9">
        <w:t>The Estimated Financial Statements have been prepared in accordance with the historical cost convention. Historical cost is based on the fair value of the consideration given in exchange for assets. Exceptions to the historical cost convention include:</w:t>
      </w:r>
    </w:p>
    <w:p w14:paraId="056D6103" w14:textId="77777777" w:rsidR="00C424E5" w:rsidRPr="007E07F9" w:rsidRDefault="00C424E5" w:rsidP="006206EF">
      <w:pPr>
        <w:pStyle w:val="ListBullet"/>
        <w:keepNext/>
      </w:pPr>
      <w:r w:rsidRPr="007E07F9">
        <w:t>general government sector investments in other sector entities which are measured at net asset value</w:t>
      </w:r>
    </w:p>
    <w:p w14:paraId="502F6896" w14:textId="77777777" w:rsidR="00C424E5" w:rsidRPr="007E07F9" w:rsidRDefault="00C424E5" w:rsidP="006206EF">
      <w:pPr>
        <w:pStyle w:val="ListBullet"/>
      </w:pPr>
      <w:r w:rsidRPr="007E07F9">
        <w:t xml:space="preserve">non-financial physical assets including service concession arrangement </w:t>
      </w:r>
      <w:r>
        <w:t xml:space="preserve">assets </w:t>
      </w:r>
      <w:r w:rsidRPr="007E07F9">
        <w:t>and right</w:t>
      </w:r>
      <w:r>
        <w:noBreakHyphen/>
      </w:r>
      <w:r w:rsidRPr="007E07F9">
        <w:t>of</w:t>
      </w:r>
      <w:r>
        <w:noBreakHyphen/>
      </w:r>
      <w:r w:rsidRPr="007E07F9">
        <w:t xml:space="preserve">use assets which, subsequent to initial recognition, are measured at a revalued amount being their fair value at the </w:t>
      </w:r>
      <w:r>
        <w:t>reporting date</w:t>
      </w:r>
      <w:r w:rsidRPr="007E07F9">
        <w:t xml:space="preserve"> less any subsequent accumulated depreciation and subsequent impairment losses. Revaluations are made with sufficient regularity to ensure the carrying amounts do not materially differ from their fair value</w:t>
      </w:r>
      <w:r>
        <w:t>s</w:t>
      </w:r>
    </w:p>
    <w:p w14:paraId="45CC1AAF" w14:textId="77777777" w:rsidR="00C424E5" w:rsidRPr="007E07F9" w:rsidRDefault="00C424E5" w:rsidP="006206EF">
      <w:pPr>
        <w:pStyle w:val="ListBullet"/>
      </w:pPr>
      <w:r w:rsidRPr="007E07F9">
        <w:t xml:space="preserve">productive trees in commercial native forests, which are measured at their fair value less </w:t>
      </w:r>
      <w:r>
        <w:t xml:space="preserve">estimated </w:t>
      </w:r>
      <w:r w:rsidRPr="007E07F9">
        <w:t>costs to sell</w:t>
      </w:r>
    </w:p>
    <w:p w14:paraId="42287D65" w14:textId="77777777" w:rsidR="00C424E5" w:rsidRPr="007E07F9" w:rsidRDefault="00C424E5" w:rsidP="006206EF">
      <w:pPr>
        <w:pStyle w:val="ListBullet"/>
      </w:pPr>
      <w:r w:rsidRPr="007E07F9">
        <w:t>certain liabilities, most notably unfunded superannuation, which are subject to an actuarial assessment</w:t>
      </w:r>
    </w:p>
    <w:p w14:paraId="265F7305" w14:textId="77777777" w:rsidR="00C424E5" w:rsidRPr="007E07F9" w:rsidRDefault="00C424E5" w:rsidP="006206EF">
      <w:pPr>
        <w:pStyle w:val="ListBullet"/>
      </w:pPr>
      <w:r w:rsidRPr="007E07F9">
        <w:t>financial assets at fair value through other comprehensive income, which are measured at fair value with movements reflected in other economic flows – other comprehensive income</w:t>
      </w:r>
    </w:p>
    <w:p w14:paraId="36CC4CCD" w14:textId="77777777" w:rsidR="00C424E5" w:rsidRPr="007E07F9" w:rsidRDefault="00C424E5" w:rsidP="006206EF">
      <w:pPr>
        <w:pStyle w:val="ListBullet"/>
      </w:pPr>
      <w:r w:rsidRPr="007E07F9">
        <w:t>financial assets a</w:t>
      </w:r>
      <w:r>
        <w:t>t</w:t>
      </w:r>
      <w:r w:rsidRPr="007E07F9">
        <w:t xml:space="preserve"> fair value through profit and loss, which are measured at fair value with movements reflected in other economic flows included in </w:t>
      </w:r>
      <w:r>
        <w:t xml:space="preserve">the </w:t>
      </w:r>
      <w:r w:rsidRPr="007E07F9">
        <w:t>net result.</w:t>
      </w:r>
    </w:p>
    <w:p w14:paraId="56AB20F9" w14:textId="77777777" w:rsidR="00C424E5" w:rsidRPr="007E07F9" w:rsidRDefault="00C424E5" w:rsidP="001712B8">
      <w:pPr>
        <w:ind w:right="-58"/>
      </w:pPr>
      <w:r w:rsidRPr="007E07F9">
        <w:lastRenderedPageBreak/>
        <w:t xml:space="preserve">Judgements, estimates and assumptions are required to be made about the carrying values of assets and liabilities that are not readily apparent from other sources. The estimates and associated assumptions are based on professional judgements derived from historical experience and various other factors that are believed to be reasonable under the circumstances. However, </w:t>
      </w:r>
      <w:r>
        <w:t>the COVID</w:t>
      </w:r>
      <w:r>
        <w:rPr>
          <w:rFonts w:ascii="Times New Roman" w:hAnsi="Times New Roman" w:cs="Times New Roman"/>
        </w:rPr>
        <w:t>‑</w:t>
      </w:r>
      <w:r>
        <w:t xml:space="preserve">19 pandemic has introduced significant economic and fiscal uncertainties since early 2020. Although the economy has recovered well to date, risks to Victoria’s economic outlook remain greater than normal. Beyond risks relating to COVID-19, other key risks include the outlook for inflation, and hence for interest rates, as well as </w:t>
      </w:r>
      <w:r w:rsidRPr="00A577A2">
        <w:t>geopolitical conditions</w:t>
      </w:r>
      <w:r>
        <w:t xml:space="preserve">. This means that these estimates are subject to a higher degree of uncertainty. </w:t>
      </w:r>
      <w:r w:rsidRPr="007E07F9">
        <w:t xml:space="preserve">Given the prospective nature of the Estimated Financial Statements, actual results are likely to differ from these estimates. Revisions to accounting estimates are recognised in the period in which the estimate is revised and also in future periods that are affected. </w:t>
      </w:r>
    </w:p>
    <w:p w14:paraId="7E1CDBC0" w14:textId="77777777" w:rsidR="00C424E5" w:rsidRPr="007E07F9" w:rsidRDefault="00C424E5" w:rsidP="006206EF">
      <w:r w:rsidRPr="007E07F9">
        <w:t xml:space="preserve">For assets and liabilities measured at fair value in the estimated balance sheet, the principles under AASB 13 </w:t>
      </w:r>
      <w:r w:rsidRPr="00204C87">
        <w:rPr>
          <w:i/>
          <w:iCs/>
        </w:rPr>
        <w:t>Fair Value Measurement</w:t>
      </w:r>
      <w:r w:rsidRPr="007E07F9">
        <w:t xml:space="preserve"> have been applied. </w:t>
      </w:r>
    </w:p>
    <w:p w14:paraId="34275926" w14:textId="77777777" w:rsidR="00C424E5" w:rsidRPr="007E07F9" w:rsidRDefault="00C424E5" w:rsidP="001712B8">
      <w:pPr>
        <w:ind w:right="-16"/>
      </w:pPr>
      <w:r w:rsidRPr="007E07F9">
        <w:t xml:space="preserve">As required by AASB 1049 </w:t>
      </w:r>
      <w:r w:rsidRPr="001E1256">
        <w:rPr>
          <w:i/>
          <w:iCs/>
        </w:rPr>
        <w:t>Wh</w:t>
      </w:r>
      <w:r w:rsidRPr="00204C87">
        <w:rPr>
          <w:i/>
          <w:iCs/>
        </w:rPr>
        <w:t>ole of Government and General Government Sector Financial Reporting</w:t>
      </w:r>
      <w:r w:rsidRPr="007E07F9">
        <w:t xml:space="preserve">, the estimated comprehensive operating statement distinguishes between transactions and other economic flows based on the principles in the Government Finance Statistics (GFS) Manual. Transactions are those economic flows that are considered to arise as a result of policy decisions, usually interactions between two entities by mutual agreement, and also flows within an entity, such as depreciation where the owner is simultaneously acting as the owner of the depreciating asset and as the consumer of the service provided by the asset. Taxation is regarded as mutually agreed interactions between the </w:t>
      </w:r>
      <w:r>
        <w:t>G</w:t>
      </w:r>
      <w:r w:rsidRPr="007E07F9">
        <w:t xml:space="preserve">overnment and the taxpayer. Transactions may be </w:t>
      </w:r>
      <w:r>
        <w:t xml:space="preserve">settled in </w:t>
      </w:r>
      <w:r w:rsidRPr="007E07F9">
        <w:t xml:space="preserve">cash or settled in kind (e.g. assets provided/given free of charge or for nominal consideration). </w:t>
      </w:r>
    </w:p>
    <w:p w14:paraId="6493DF25" w14:textId="77777777" w:rsidR="00C424E5" w:rsidRPr="007E07F9" w:rsidRDefault="00C424E5" w:rsidP="006206EF">
      <w:pPr>
        <w:keepNext/>
      </w:pPr>
      <w:r w:rsidRPr="007E07F9">
        <w:t>Other economic flows are changes arising from market remeasurements. They include:</w:t>
      </w:r>
    </w:p>
    <w:p w14:paraId="17E46E34" w14:textId="77777777" w:rsidR="00C424E5" w:rsidRPr="007E07F9" w:rsidRDefault="00C424E5" w:rsidP="006206EF">
      <w:pPr>
        <w:pStyle w:val="ListBullet"/>
      </w:pPr>
      <w:r w:rsidRPr="007E07F9">
        <w:t>gains and losses from disposals</w:t>
      </w:r>
    </w:p>
    <w:p w14:paraId="3164799D" w14:textId="77777777" w:rsidR="00C424E5" w:rsidRPr="007E07F9" w:rsidRDefault="00C424E5" w:rsidP="006206EF">
      <w:pPr>
        <w:pStyle w:val="ListBullet"/>
      </w:pPr>
      <w:r w:rsidRPr="007E07F9">
        <w:t>revaluations and impairments of non-financial physical and intangible assets</w:t>
      </w:r>
    </w:p>
    <w:p w14:paraId="769A42C4" w14:textId="77777777" w:rsidR="00C424E5" w:rsidRPr="007E07F9" w:rsidRDefault="00C424E5" w:rsidP="006206EF">
      <w:pPr>
        <w:pStyle w:val="ListBullet"/>
      </w:pPr>
      <w:r w:rsidRPr="007E07F9">
        <w:t>remeasurement arising from defined benefit superannuation plans</w:t>
      </w:r>
    </w:p>
    <w:p w14:paraId="17004507" w14:textId="77777777" w:rsidR="00C424E5" w:rsidRPr="007E07F9" w:rsidRDefault="00C424E5" w:rsidP="006206EF">
      <w:pPr>
        <w:pStyle w:val="ListBullet"/>
      </w:pPr>
      <w:r w:rsidRPr="007E07F9">
        <w:t>fair value changes of financial instruments and agricultural assets</w:t>
      </w:r>
    </w:p>
    <w:p w14:paraId="0064DFB5" w14:textId="77777777" w:rsidR="00C424E5" w:rsidRPr="007E07F9" w:rsidRDefault="00C424E5" w:rsidP="006206EF">
      <w:pPr>
        <w:pStyle w:val="ListBullet"/>
      </w:pPr>
      <w:r w:rsidRPr="007E07F9">
        <w:t>depletion of natural assets (non-produced) from their use or removal.</w:t>
      </w:r>
    </w:p>
    <w:p w14:paraId="38E6E524" w14:textId="77777777" w:rsidR="00C424E5" w:rsidRPr="007E07F9" w:rsidRDefault="00C424E5" w:rsidP="006206EF">
      <w:r w:rsidRPr="007E07F9">
        <w:t>All amounts in the Estimated Financial Statements have been rounded to the nearest $1 million unless otherwise stated. The Estimated Financial Statements may not add due to rounding.</w:t>
      </w:r>
    </w:p>
    <w:p w14:paraId="0CF16D60" w14:textId="77777777" w:rsidR="00C424E5" w:rsidRPr="007E07F9" w:rsidRDefault="00C424E5" w:rsidP="006206EF">
      <w:pPr>
        <w:pStyle w:val="Heading20"/>
      </w:pPr>
      <w:r w:rsidRPr="007E07F9">
        <w:lastRenderedPageBreak/>
        <w:t>Reporting entity</w:t>
      </w:r>
    </w:p>
    <w:p w14:paraId="24FDAED4" w14:textId="77777777" w:rsidR="00C424E5" w:rsidRPr="007E07F9" w:rsidRDefault="00C424E5" w:rsidP="006206EF">
      <w:pPr>
        <w:keepNext/>
      </w:pPr>
      <w:r w:rsidRPr="007E07F9">
        <w:t>The Estimated Financial Statements are prepared for the general government sector, which includes all government departments, offices and other bodies engaged in providing services free of charge or at prices significantly below their cost. The primary function of entities within the general government sector is to provide public services (outputs), which are mainly non-market in nature, for the collective consumption of the community. These services are primarily funded through transferring or redistributing revenue that is collected mainly through taxes and other compulsory levies.</w:t>
      </w:r>
    </w:p>
    <w:p w14:paraId="3328C246" w14:textId="77777777" w:rsidR="00C424E5" w:rsidRPr="007E07F9" w:rsidRDefault="00C424E5" w:rsidP="006206EF">
      <w:r w:rsidRPr="007E07F9">
        <w:t xml:space="preserve">The general government sector is not a separate entity but represents a sector within the State of Victoria reporting entity. </w:t>
      </w:r>
    </w:p>
    <w:p w14:paraId="3DB1C74E" w14:textId="77777777" w:rsidR="00C424E5" w:rsidRPr="007E07F9" w:rsidRDefault="00C424E5" w:rsidP="006206EF">
      <w:pPr>
        <w:pStyle w:val="Heading20"/>
      </w:pPr>
      <w:r w:rsidRPr="007E07F9">
        <w:t>Basis for consolidation</w:t>
      </w:r>
    </w:p>
    <w:p w14:paraId="6837C6F0" w14:textId="77777777" w:rsidR="00C424E5" w:rsidRPr="007E07F9" w:rsidRDefault="00C424E5" w:rsidP="006206EF">
      <w:r w:rsidRPr="007E07F9">
        <w:t xml:space="preserve">The Estimated Financial Statements present the estimated consolidated results and position of all reporting entities in the general government sector that are controlled by the State, consistent with the principles of AASB 1049 and AASB 10 </w:t>
      </w:r>
      <w:r w:rsidRPr="00204C87">
        <w:rPr>
          <w:i/>
          <w:iCs/>
        </w:rPr>
        <w:t>Consolidated Financial Statements</w:t>
      </w:r>
      <w:r w:rsidRPr="007E07F9">
        <w:t>.</w:t>
      </w:r>
    </w:p>
    <w:p w14:paraId="3ED7C998" w14:textId="77777777" w:rsidR="00C424E5" w:rsidRPr="007E07F9" w:rsidRDefault="00C424E5" w:rsidP="006206EF">
      <w:r w:rsidRPr="007E07F9">
        <w:t>Entities in the public non-financial corporations (PNFC) and public financial corporations (PFC) sectors are not consolidated into the financial statements of the general government sector</w:t>
      </w:r>
      <w:r>
        <w:t>,</w:t>
      </w:r>
      <w:r w:rsidRPr="007E07F9">
        <w:t xml:space="preserve"> but are accounted for as equity investments measured at the Government’s proportional share of the carrying amount of net assets of PNFC and PFC sector entities before consolidation eliminations. </w:t>
      </w:r>
    </w:p>
    <w:p w14:paraId="775D8EFA" w14:textId="77777777" w:rsidR="00C424E5" w:rsidRPr="007E07F9" w:rsidRDefault="00C424E5" w:rsidP="006206EF">
      <w:r w:rsidRPr="007E07F9">
        <w:t xml:space="preserve">Where the carrying amount of a PNFC or PFC entity’s net assets before consolidation eliminations is less than zero, the carrying amount is not included in the general government sector. Any change in the carrying amount of the investment from period to period is accounted for as if the change in carrying amount is a change in fair value and accounted for consistent with AASB 9 </w:t>
      </w:r>
      <w:r w:rsidRPr="00204C87">
        <w:rPr>
          <w:i/>
          <w:iCs/>
        </w:rPr>
        <w:t>Financial Instruments</w:t>
      </w:r>
      <w:r w:rsidRPr="007E07F9">
        <w:t xml:space="preserve"> and AASB 1049.</w:t>
      </w:r>
    </w:p>
    <w:p w14:paraId="5B4306F4" w14:textId="77777777" w:rsidR="00C424E5" w:rsidRPr="007E07F9" w:rsidRDefault="00C424E5" w:rsidP="006206EF">
      <w:r w:rsidRPr="007E07F9">
        <w:t>Where control of an entity is expected to be obtained during the reporting period, its results are included in the estimated comprehensive operating statement from the date on which control will commence. Where control is expected to cease during a reporting period, the entity’s results are included for that part of the period for which control would exist. Where entities adopt dissimilar accounting policies and their effect is considered material, adjustments are made to ensure consistent policies are adopted in the Estimated Financial Statements.</w:t>
      </w:r>
    </w:p>
    <w:p w14:paraId="356E9B7A" w14:textId="77777777" w:rsidR="00C424E5" w:rsidRPr="007E07F9" w:rsidRDefault="00C424E5" w:rsidP="006206EF">
      <w:r w:rsidRPr="007E07F9">
        <w:t>All material transactions and balances between entities within the general government sector are eliminated.</w:t>
      </w:r>
    </w:p>
    <w:p w14:paraId="6F4F732E" w14:textId="77777777" w:rsidR="00C424E5" w:rsidRPr="007E07F9" w:rsidRDefault="00C424E5" w:rsidP="006206EF">
      <w:r w:rsidRPr="007E07F9">
        <w:t xml:space="preserve">Except as stated in Note </w:t>
      </w:r>
      <w:r w:rsidRPr="00BC0D7B">
        <w:t>3.7.4</w:t>
      </w:r>
      <w:r w:rsidRPr="007E07F9">
        <w:t xml:space="preserve">, the significant entities consolidated within the sector comprise those general government sector entities listed in Note 9.8 of Chapter 4 of the </w:t>
      </w:r>
      <w:r w:rsidRPr="00204C87">
        <w:rPr>
          <w:i/>
          <w:iCs/>
        </w:rPr>
        <w:t>202</w:t>
      </w:r>
      <w:r>
        <w:rPr>
          <w:i/>
          <w:iCs/>
        </w:rPr>
        <w:t>1</w:t>
      </w:r>
      <w:r w:rsidRPr="00204C87">
        <w:rPr>
          <w:i/>
          <w:iCs/>
        </w:rPr>
        <w:t>-2</w:t>
      </w:r>
      <w:r>
        <w:rPr>
          <w:i/>
          <w:iCs/>
        </w:rPr>
        <w:t>2</w:t>
      </w:r>
      <w:r w:rsidRPr="00204C87">
        <w:rPr>
          <w:i/>
          <w:iCs/>
        </w:rPr>
        <w:t> Financial Report</w:t>
      </w:r>
      <w:r w:rsidRPr="007E07F9">
        <w:t xml:space="preserve"> for the State of Victoria. </w:t>
      </w:r>
    </w:p>
    <w:p w14:paraId="5602A013" w14:textId="77777777" w:rsidR="00C424E5" w:rsidRPr="007E07F9" w:rsidRDefault="00C424E5" w:rsidP="006206EF">
      <w:pPr>
        <w:pStyle w:val="Heading20"/>
      </w:pPr>
      <w:r w:rsidRPr="007E07F9">
        <w:lastRenderedPageBreak/>
        <w:t>Compliance</w:t>
      </w:r>
    </w:p>
    <w:p w14:paraId="3DC3D630" w14:textId="77777777" w:rsidR="00C424E5" w:rsidRPr="007E07F9" w:rsidRDefault="00C424E5" w:rsidP="006206EF">
      <w:r w:rsidRPr="007E07F9">
        <w:t xml:space="preserve">The Estimated Financial Statements are presented in a manner consistent with the principles of AASB 1049 and other relevant </w:t>
      </w:r>
      <w:r>
        <w:t>Australian Accounting Standards (</w:t>
      </w:r>
      <w:r w:rsidRPr="007E07F9">
        <w:t>AASs</w:t>
      </w:r>
      <w:r>
        <w:t>)</w:t>
      </w:r>
      <w:r w:rsidRPr="007E07F9">
        <w:t>. However, the prospective nature of these Estimated Financial Statements means that some AAS disclosures are neither relevant nor practical and have been omitted. Where applicable, those AAS paragraphs relevant to not-for-profit entities have been applied. Because AAS</w:t>
      </w:r>
      <w:r>
        <w:t>s</w:t>
      </w:r>
      <w:r w:rsidRPr="007E07F9">
        <w:t xml:space="preserve"> do not prescribe requirements for preparing and presenting prospective financial statements, the Estimated Financial Statements have been prepared having regard to the principles set out in New</w:t>
      </w:r>
      <w:r>
        <w:t> </w:t>
      </w:r>
      <w:r w:rsidRPr="007E07F9">
        <w:t xml:space="preserve">Zealand Public Benefit Entity Financial Reporting Standard 42 </w:t>
      </w:r>
      <w:r w:rsidRPr="00204C87">
        <w:rPr>
          <w:i/>
          <w:iCs/>
        </w:rPr>
        <w:t>Prospective Financial Statements</w:t>
      </w:r>
      <w:r w:rsidRPr="007E07F9">
        <w:t>.</w:t>
      </w:r>
    </w:p>
    <w:p w14:paraId="1CFCCEC0" w14:textId="77777777" w:rsidR="00C424E5" w:rsidRPr="007E07F9" w:rsidRDefault="00C424E5" w:rsidP="006206EF">
      <w:r w:rsidRPr="007E07F9">
        <w:t xml:space="preserve">The GFS information included in this report is based on the </w:t>
      </w:r>
      <w:r w:rsidRPr="00204C87">
        <w:rPr>
          <w:i/>
          <w:iCs/>
        </w:rPr>
        <w:t>Australian System of Government Finance Statistics: Concepts, Sources and Methods 2015 Cat. No. 5514.0</w:t>
      </w:r>
      <w:r w:rsidRPr="007E07F9">
        <w:t xml:space="preserve"> (ABS GFS). </w:t>
      </w:r>
    </w:p>
    <w:p w14:paraId="29945107" w14:textId="41C3EFF8" w:rsidR="00C424E5" w:rsidRPr="007A2AC9" w:rsidRDefault="00C424E5" w:rsidP="000D54DB">
      <w:r w:rsidRPr="007A2AC9">
        <w:t xml:space="preserve">The information presented in the Estimated Financial Statements takes into account all policy decisions made by the Victorian Government as at 11 October 2022. It also includes preliminary estimates for Commonwealth Government funding revisions, where known, </w:t>
      </w:r>
      <w:r>
        <w:t xml:space="preserve">updates to GST revenue </w:t>
      </w:r>
      <w:r w:rsidR="00A255B9">
        <w:t>to reflect Commonwealth</w:t>
      </w:r>
      <w:r>
        <w:t xml:space="preserve"> revisions to national population forecasts, </w:t>
      </w:r>
      <w:r w:rsidRPr="007A2AC9">
        <w:t>as well as a preliminary provision for costs associated with the State's flood recovery efforts.</w:t>
      </w:r>
      <w:r>
        <w:t xml:space="preserve">  </w:t>
      </w:r>
    </w:p>
    <w:p w14:paraId="39F532A4" w14:textId="77777777" w:rsidR="00C424E5" w:rsidRDefault="00C424E5" w:rsidP="006206EF">
      <w:pPr>
        <w:pStyle w:val="Heading20"/>
      </w:pPr>
      <w:r w:rsidRPr="00853550">
        <w:t>Economic</w:t>
      </w:r>
      <w:r>
        <w:t xml:space="preserve"> assumptions </w:t>
      </w:r>
    </w:p>
    <w:p w14:paraId="0EA480CB" w14:textId="77777777" w:rsidR="00C424E5" w:rsidRDefault="00C424E5" w:rsidP="006206EF">
      <w:r>
        <w:t xml:space="preserve">The Estimated Financial Statements have been prepared using the material economic assumptions listed below. </w:t>
      </w:r>
    </w:p>
    <w:p w14:paraId="57ED9C99" w14:textId="77777777" w:rsidR="00C424E5" w:rsidRPr="000B3C73" w:rsidRDefault="00C424E5" w:rsidP="000B3C73">
      <w:pPr>
        <w:pStyle w:val="TableHeading"/>
      </w:pPr>
      <w:r>
        <w:t>Economic assumptions</w:t>
      </w:r>
    </w:p>
    <w:tbl>
      <w:tblPr>
        <w:tblStyle w:val="DTFTableNumeric"/>
        <w:tblW w:w="7760" w:type="dxa"/>
        <w:tblLayout w:type="fixed"/>
        <w:tblLook w:val="06A0" w:firstRow="1" w:lastRow="0" w:firstColumn="1" w:lastColumn="0" w:noHBand="1" w:noVBand="1"/>
      </w:tblPr>
      <w:tblGrid>
        <w:gridCol w:w="2788"/>
        <w:gridCol w:w="1040"/>
        <w:gridCol w:w="947"/>
        <w:gridCol w:w="994"/>
        <w:gridCol w:w="994"/>
        <w:gridCol w:w="997"/>
      </w:tblGrid>
      <w:tr w:rsidR="00C424E5" w:rsidRPr="00515ABD" w14:paraId="5EEF0FA4" w14:textId="77777777" w:rsidTr="004E47E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88" w:type="dxa"/>
          </w:tcPr>
          <w:p w14:paraId="519D83E8" w14:textId="77777777" w:rsidR="00C424E5" w:rsidRPr="00515ABD" w:rsidRDefault="00C424E5" w:rsidP="00D0055F">
            <w:pPr>
              <w:ind w:left="0" w:firstLine="0"/>
            </w:pPr>
          </w:p>
        </w:tc>
        <w:tc>
          <w:tcPr>
            <w:tcW w:w="1040" w:type="dxa"/>
          </w:tcPr>
          <w:p w14:paraId="22DA2B75" w14:textId="77777777" w:rsidR="00C424E5" w:rsidRPr="00515ABD" w:rsidRDefault="00C424E5" w:rsidP="00D0055F">
            <w:pPr>
              <w:cnfStyle w:val="100000000000" w:firstRow="1" w:lastRow="0" w:firstColumn="0" w:lastColumn="0" w:oddVBand="0" w:evenVBand="0" w:oddHBand="0" w:evenHBand="0" w:firstRowFirstColumn="0" w:firstRowLastColumn="0" w:lastRowFirstColumn="0" w:lastRowLastColumn="0"/>
            </w:pPr>
            <w:r w:rsidRPr="00515ABD">
              <w:t>20</w:t>
            </w:r>
            <w:r>
              <w:t>21-22</w:t>
            </w:r>
            <w:r w:rsidRPr="00515ABD">
              <w:t xml:space="preserve"> actual</w:t>
            </w:r>
          </w:p>
        </w:tc>
        <w:tc>
          <w:tcPr>
            <w:tcW w:w="947" w:type="dxa"/>
          </w:tcPr>
          <w:p w14:paraId="26C1E89E" w14:textId="77777777" w:rsidR="00C424E5" w:rsidRPr="00515ABD" w:rsidRDefault="00C424E5" w:rsidP="00D0055F">
            <w:pPr>
              <w:cnfStyle w:val="100000000000" w:firstRow="1" w:lastRow="0" w:firstColumn="0" w:lastColumn="0" w:oddVBand="0" w:evenVBand="0" w:oddHBand="0" w:evenHBand="0" w:firstRowFirstColumn="0" w:firstRowLastColumn="0" w:lastRowFirstColumn="0" w:lastRowLastColumn="0"/>
            </w:pPr>
            <w:r w:rsidRPr="00515ABD">
              <w:t>20</w:t>
            </w:r>
            <w:r>
              <w:t>22-23</w:t>
            </w:r>
            <w:r w:rsidRPr="00515ABD">
              <w:t xml:space="preserve"> forecast</w:t>
            </w:r>
          </w:p>
        </w:tc>
        <w:tc>
          <w:tcPr>
            <w:tcW w:w="994" w:type="dxa"/>
          </w:tcPr>
          <w:p w14:paraId="7805C951" w14:textId="77777777" w:rsidR="00C424E5" w:rsidRPr="00515ABD" w:rsidRDefault="00C424E5" w:rsidP="00D0055F">
            <w:pPr>
              <w:cnfStyle w:val="100000000000" w:firstRow="1" w:lastRow="0" w:firstColumn="0" w:lastColumn="0" w:oddVBand="0" w:evenVBand="0" w:oddHBand="0" w:evenHBand="0" w:firstRowFirstColumn="0" w:firstRowLastColumn="0" w:lastRowFirstColumn="0" w:lastRowLastColumn="0"/>
            </w:pPr>
            <w:r w:rsidRPr="00515ABD">
              <w:t>202</w:t>
            </w:r>
            <w:r>
              <w:t>3-24</w:t>
            </w:r>
            <w:r w:rsidRPr="00515ABD">
              <w:t xml:space="preserve"> forecast</w:t>
            </w:r>
          </w:p>
        </w:tc>
        <w:tc>
          <w:tcPr>
            <w:tcW w:w="994" w:type="dxa"/>
          </w:tcPr>
          <w:p w14:paraId="1109130D" w14:textId="77777777" w:rsidR="00C424E5" w:rsidRPr="00515ABD" w:rsidRDefault="00C424E5" w:rsidP="00D0055F">
            <w:pPr>
              <w:cnfStyle w:val="100000000000" w:firstRow="1" w:lastRow="0" w:firstColumn="0" w:lastColumn="0" w:oddVBand="0" w:evenVBand="0" w:oddHBand="0" w:evenHBand="0" w:firstRowFirstColumn="0" w:firstRowLastColumn="0" w:lastRowFirstColumn="0" w:lastRowLastColumn="0"/>
            </w:pPr>
            <w:r w:rsidRPr="00515ABD">
              <w:t>202</w:t>
            </w:r>
            <w:r>
              <w:t>4-25</w:t>
            </w:r>
            <w:r w:rsidRPr="00515ABD">
              <w:t xml:space="preserve"> projection</w:t>
            </w:r>
          </w:p>
        </w:tc>
        <w:tc>
          <w:tcPr>
            <w:tcW w:w="997" w:type="dxa"/>
          </w:tcPr>
          <w:p w14:paraId="242C9F7C" w14:textId="77777777" w:rsidR="00C424E5" w:rsidRPr="00515ABD" w:rsidRDefault="00C424E5" w:rsidP="00D0055F">
            <w:pPr>
              <w:cnfStyle w:val="100000000000" w:firstRow="1" w:lastRow="0" w:firstColumn="0" w:lastColumn="0" w:oddVBand="0" w:evenVBand="0" w:oddHBand="0" w:evenHBand="0" w:firstRowFirstColumn="0" w:firstRowLastColumn="0" w:lastRowFirstColumn="0" w:lastRowLastColumn="0"/>
            </w:pPr>
            <w:r w:rsidRPr="00515ABD">
              <w:t>202</w:t>
            </w:r>
            <w:r>
              <w:t>5-26</w:t>
            </w:r>
            <w:r w:rsidRPr="00515ABD">
              <w:t xml:space="preserve"> projection</w:t>
            </w:r>
          </w:p>
        </w:tc>
      </w:tr>
      <w:tr w:rsidR="00C424E5" w:rsidRPr="00515ABD" w14:paraId="6EB0605E" w14:textId="77777777" w:rsidTr="00D0055F">
        <w:tc>
          <w:tcPr>
            <w:cnfStyle w:val="001000000000" w:firstRow="0" w:lastRow="0" w:firstColumn="1" w:lastColumn="0" w:oddVBand="0" w:evenVBand="0" w:oddHBand="0" w:evenHBand="0" w:firstRowFirstColumn="0" w:firstRowLastColumn="0" w:lastRowFirstColumn="0" w:lastRowLastColumn="0"/>
            <w:tcW w:w="2788" w:type="dxa"/>
          </w:tcPr>
          <w:p w14:paraId="1437FE3E" w14:textId="77777777" w:rsidR="00C424E5" w:rsidRPr="00515ABD" w:rsidRDefault="00C424E5" w:rsidP="00A330B7">
            <w:pPr>
              <w:spacing w:before="120"/>
              <w:ind w:left="0" w:firstLine="0"/>
            </w:pPr>
          </w:p>
        </w:tc>
        <w:tc>
          <w:tcPr>
            <w:tcW w:w="4972" w:type="dxa"/>
            <w:gridSpan w:val="5"/>
          </w:tcPr>
          <w:p w14:paraId="43214712" w14:textId="77777777" w:rsidR="00C424E5" w:rsidRPr="00515ABD" w:rsidRDefault="00C424E5" w:rsidP="00A330B7">
            <w:pPr>
              <w:pStyle w:val="TableUnits"/>
              <w:spacing w:before="120" w:after="20"/>
              <w:cnfStyle w:val="000000000000" w:firstRow="0" w:lastRow="0" w:firstColumn="0" w:lastColumn="0" w:oddVBand="0" w:evenVBand="0" w:oddHBand="0" w:evenHBand="0" w:firstRowFirstColumn="0" w:firstRowLastColumn="0" w:lastRowFirstColumn="0" w:lastRowLastColumn="0"/>
            </w:pPr>
            <w:r w:rsidRPr="00515ABD">
              <w:t xml:space="preserve">($ </w:t>
            </w:r>
            <w:r w:rsidRPr="000F2B74">
              <w:t>billion</w:t>
            </w:r>
            <w:r w:rsidRPr="00515ABD">
              <w:t>)</w:t>
            </w:r>
          </w:p>
        </w:tc>
      </w:tr>
      <w:tr w:rsidR="00C424E5" w:rsidRPr="00515ABD" w14:paraId="59A4B351" w14:textId="77777777" w:rsidTr="00D0055F">
        <w:tc>
          <w:tcPr>
            <w:cnfStyle w:val="001000000000" w:firstRow="0" w:lastRow="0" w:firstColumn="1" w:lastColumn="0" w:oddVBand="0" w:evenVBand="0" w:oddHBand="0" w:evenHBand="0" w:firstRowFirstColumn="0" w:firstRowLastColumn="0" w:lastRowFirstColumn="0" w:lastRowLastColumn="0"/>
            <w:tcW w:w="2788" w:type="dxa"/>
          </w:tcPr>
          <w:p w14:paraId="7F6DE663" w14:textId="77777777" w:rsidR="00C424E5" w:rsidRPr="00E814B9" w:rsidRDefault="00C424E5" w:rsidP="00D0055F">
            <w:pPr>
              <w:ind w:left="0" w:firstLine="0"/>
            </w:pPr>
            <w:r w:rsidRPr="00E814B9">
              <w:t>Nominal gross state product</w:t>
            </w:r>
          </w:p>
        </w:tc>
        <w:tc>
          <w:tcPr>
            <w:tcW w:w="1040" w:type="dxa"/>
          </w:tcPr>
          <w:p w14:paraId="362C6810" w14:textId="77777777" w:rsidR="00C424E5" w:rsidRPr="00E814B9" w:rsidRDefault="00C424E5" w:rsidP="00D0055F">
            <w:pPr>
              <w:cnfStyle w:val="000000000000" w:firstRow="0" w:lastRow="0" w:firstColumn="0" w:lastColumn="0" w:oddVBand="0" w:evenVBand="0" w:oddHBand="0" w:evenHBand="0" w:firstRowFirstColumn="0" w:firstRowLastColumn="0" w:lastRowFirstColumn="0" w:lastRowLastColumn="0"/>
            </w:pPr>
            <w:r>
              <w:rPr>
                <w:rFonts w:eastAsiaTheme="minorEastAsia" w:cstheme="majorHAnsi"/>
                <w:szCs w:val="17"/>
                <w:lang w:eastAsia="en-AU"/>
              </w:rPr>
              <w:t>517.6</w:t>
            </w:r>
            <w:r w:rsidRPr="00E814B9">
              <w:rPr>
                <w:rFonts w:eastAsiaTheme="minorEastAsia" w:cstheme="majorHAnsi"/>
                <w:szCs w:val="17"/>
                <w:lang w:eastAsia="en-AU"/>
              </w:rPr>
              <w:t xml:space="preserve"> </w:t>
            </w:r>
            <w:r w:rsidRPr="00E814B9">
              <w:rPr>
                <w:rFonts w:eastAsiaTheme="minorEastAsia" w:cstheme="majorHAnsi"/>
                <w:szCs w:val="17"/>
                <w:vertAlign w:val="superscript"/>
                <w:lang w:eastAsia="en-AU"/>
              </w:rPr>
              <w:t>(</w:t>
            </w:r>
            <w:r>
              <w:rPr>
                <w:rFonts w:eastAsiaTheme="minorEastAsia" w:cstheme="majorHAnsi"/>
                <w:szCs w:val="17"/>
                <w:vertAlign w:val="superscript"/>
                <w:lang w:eastAsia="en-AU"/>
              </w:rPr>
              <w:t>a</w:t>
            </w:r>
            <w:r w:rsidRPr="00E814B9">
              <w:rPr>
                <w:rFonts w:eastAsiaTheme="minorEastAsia" w:cstheme="majorHAnsi"/>
                <w:szCs w:val="17"/>
                <w:vertAlign w:val="superscript"/>
                <w:lang w:eastAsia="en-AU"/>
              </w:rPr>
              <w:t>)</w:t>
            </w:r>
          </w:p>
        </w:tc>
        <w:tc>
          <w:tcPr>
            <w:tcW w:w="947" w:type="dxa"/>
          </w:tcPr>
          <w:p w14:paraId="60A110A4" w14:textId="77777777" w:rsidR="00C424E5" w:rsidRPr="00E814B9" w:rsidRDefault="00C424E5" w:rsidP="00D0055F">
            <w:pPr>
              <w:cnfStyle w:val="000000000000" w:firstRow="0" w:lastRow="0" w:firstColumn="0" w:lastColumn="0" w:oddVBand="0" w:evenVBand="0" w:oddHBand="0" w:evenHBand="0" w:firstRowFirstColumn="0" w:firstRowLastColumn="0" w:lastRowFirstColumn="0" w:lastRowLastColumn="0"/>
            </w:pPr>
            <w:r>
              <w:t>568.0</w:t>
            </w:r>
          </w:p>
        </w:tc>
        <w:tc>
          <w:tcPr>
            <w:tcW w:w="994" w:type="dxa"/>
          </w:tcPr>
          <w:p w14:paraId="1E0853D3" w14:textId="77777777" w:rsidR="00C424E5" w:rsidRPr="00E814B9" w:rsidRDefault="00C424E5" w:rsidP="00D0055F">
            <w:pPr>
              <w:cnfStyle w:val="000000000000" w:firstRow="0" w:lastRow="0" w:firstColumn="0" w:lastColumn="0" w:oddVBand="0" w:evenVBand="0" w:oddHBand="0" w:evenHBand="0" w:firstRowFirstColumn="0" w:firstRowLastColumn="0" w:lastRowFirstColumn="0" w:lastRowLastColumn="0"/>
            </w:pPr>
            <w:r>
              <w:t>598.4</w:t>
            </w:r>
          </w:p>
        </w:tc>
        <w:tc>
          <w:tcPr>
            <w:tcW w:w="994" w:type="dxa"/>
          </w:tcPr>
          <w:p w14:paraId="40847CE0" w14:textId="77777777" w:rsidR="00C424E5" w:rsidRPr="00E814B9" w:rsidRDefault="00C424E5" w:rsidP="00D0055F">
            <w:pPr>
              <w:cnfStyle w:val="000000000000" w:firstRow="0" w:lastRow="0" w:firstColumn="0" w:lastColumn="0" w:oddVBand="0" w:evenVBand="0" w:oddHBand="0" w:evenHBand="0" w:firstRowFirstColumn="0" w:firstRowLastColumn="0" w:lastRowFirstColumn="0" w:lastRowLastColumn="0"/>
            </w:pPr>
            <w:r>
              <w:t>632.6</w:t>
            </w:r>
          </w:p>
        </w:tc>
        <w:tc>
          <w:tcPr>
            <w:tcW w:w="997" w:type="dxa"/>
          </w:tcPr>
          <w:p w14:paraId="35B77232" w14:textId="77777777" w:rsidR="00C424E5" w:rsidRPr="00E814B9" w:rsidRDefault="00C424E5" w:rsidP="00D0055F">
            <w:pPr>
              <w:cnfStyle w:val="000000000000" w:firstRow="0" w:lastRow="0" w:firstColumn="0" w:lastColumn="0" w:oddVBand="0" w:evenVBand="0" w:oddHBand="0" w:evenHBand="0" w:firstRowFirstColumn="0" w:firstRowLastColumn="0" w:lastRowFirstColumn="0" w:lastRowLastColumn="0"/>
            </w:pPr>
            <w:r>
              <w:t>667.3</w:t>
            </w:r>
          </w:p>
        </w:tc>
      </w:tr>
      <w:tr w:rsidR="00C424E5" w:rsidRPr="00515ABD" w14:paraId="3A5B65E1" w14:textId="77777777" w:rsidTr="00D0055F">
        <w:tc>
          <w:tcPr>
            <w:cnfStyle w:val="001000000000" w:firstRow="0" w:lastRow="0" w:firstColumn="1" w:lastColumn="0" w:oddVBand="0" w:evenVBand="0" w:oddHBand="0" w:evenHBand="0" w:firstRowFirstColumn="0" w:firstRowLastColumn="0" w:lastRowFirstColumn="0" w:lastRowLastColumn="0"/>
            <w:tcW w:w="2788" w:type="dxa"/>
          </w:tcPr>
          <w:p w14:paraId="1E800B63" w14:textId="77777777" w:rsidR="00C424E5" w:rsidRPr="00E814B9" w:rsidRDefault="00C424E5" w:rsidP="00D0055F">
            <w:pPr>
              <w:pStyle w:val="TableHeading"/>
            </w:pPr>
          </w:p>
        </w:tc>
        <w:tc>
          <w:tcPr>
            <w:tcW w:w="4972" w:type="dxa"/>
            <w:gridSpan w:val="5"/>
          </w:tcPr>
          <w:p w14:paraId="31418A17" w14:textId="77777777" w:rsidR="00C424E5" w:rsidRPr="00E814B9" w:rsidRDefault="00C424E5" w:rsidP="00D0055F">
            <w:pPr>
              <w:pStyle w:val="TableHeading"/>
              <w:cnfStyle w:val="000000000000" w:firstRow="0" w:lastRow="0" w:firstColumn="0" w:lastColumn="0" w:oddVBand="0" w:evenVBand="0" w:oddHBand="0" w:evenHBand="0" w:firstRowFirstColumn="0" w:firstRowLastColumn="0" w:lastRowFirstColumn="0" w:lastRowLastColumn="0"/>
            </w:pPr>
            <w:r w:rsidRPr="00E814B9">
              <w:t>(percentage change)</w:t>
            </w:r>
            <w:r>
              <w:t xml:space="preserve"> </w:t>
            </w:r>
            <w:r w:rsidRPr="00165217">
              <w:rPr>
                <w:vertAlign w:val="superscript"/>
              </w:rPr>
              <w:t>(</w:t>
            </w:r>
            <w:r>
              <w:rPr>
                <w:vertAlign w:val="superscript"/>
              </w:rPr>
              <w:t>b</w:t>
            </w:r>
            <w:r w:rsidRPr="00165217">
              <w:rPr>
                <w:vertAlign w:val="superscript"/>
              </w:rPr>
              <w:t>)</w:t>
            </w:r>
          </w:p>
        </w:tc>
      </w:tr>
      <w:tr w:rsidR="00C424E5" w:rsidRPr="00515ABD" w14:paraId="69A5AB0A" w14:textId="77777777" w:rsidTr="00D0055F">
        <w:tc>
          <w:tcPr>
            <w:cnfStyle w:val="001000000000" w:firstRow="0" w:lastRow="0" w:firstColumn="1" w:lastColumn="0" w:oddVBand="0" w:evenVBand="0" w:oddHBand="0" w:evenHBand="0" w:firstRowFirstColumn="0" w:firstRowLastColumn="0" w:lastRowFirstColumn="0" w:lastRowLastColumn="0"/>
            <w:tcW w:w="2788" w:type="dxa"/>
          </w:tcPr>
          <w:p w14:paraId="5F603431" w14:textId="77777777" w:rsidR="00C424E5" w:rsidRPr="00E814B9" w:rsidRDefault="00C424E5" w:rsidP="00D0055F">
            <w:pPr>
              <w:ind w:left="0" w:firstLine="0"/>
            </w:pPr>
            <w:r w:rsidRPr="00E814B9">
              <w:t>Real gross state product</w:t>
            </w:r>
          </w:p>
        </w:tc>
        <w:tc>
          <w:tcPr>
            <w:tcW w:w="1040" w:type="dxa"/>
          </w:tcPr>
          <w:p w14:paraId="08BF1246" w14:textId="77777777" w:rsidR="00C424E5" w:rsidRPr="00961930" w:rsidRDefault="00C424E5" w:rsidP="00D0055F">
            <w:pPr>
              <w:cnfStyle w:val="000000000000" w:firstRow="0" w:lastRow="0" w:firstColumn="0" w:lastColumn="0" w:oddVBand="0" w:evenVBand="0" w:oddHBand="0" w:evenHBand="0" w:firstRowFirstColumn="0" w:firstRowLastColumn="0" w:lastRowFirstColumn="0" w:lastRowLastColumn="0"/>
            </w:pPr>
            <w:r w:rsidRPr="00792FBD">
              <w:rPr>
                <w:rFonts w:eastAsiaTheme="minorEastAsia" w:cstheme="majorHAnsi"/>
                <w:szCs w:val="17"/>
                <w:lang w:eastAsia="en-AU"/>
              </w:rPr>
              <w:t>5.00</w:t>
            </w:r>
            <w:r w:rsidRPr="00E814B9">
              <w:rPr>
                <w:rFonts w:eastAsiaTheme="minorEastAsia" w:cstheme="majorHAnsi"/>
                <w:szCs w:val="17"/>
                <w:lang w:eastAsia="en-AU"/>
              </w:rPr>
              <w:t xml:space="preserve"> </w:t>
            </w:r>
            <w:r w:rsidRPr="00E814B9">
              <w:rPr>
                <w:rFonts w:eastAsiaTheme="minorEastAsia" w:cstheme="majorHAnsi"/>
                <w:szCs w:val="17"/>
                <w:vertAlign w:val="superscript"/>
                <w:lang w:eastAsia="en-AU"/>
              </w:rPr>
              <w:t>(</w:t>
            </w:r>
            <w:r>
              <w:rPr>
                <w:rFonts w:eastAsiaTheme="minorEastAsia" w:cstheme="majorHAnsi"/>
                <w:szCs w:val="17"/>
                <w:vertAlign w:val="superscript"/>
                <w:lang w:eastAsia="en-AU"/>
              </w:rPr>
              <w:t>a</w:t>
            </w:r>
            <w:r w:rsidRPr="00E814B9">
              <w:rPr>
                <w:rFonts w:eastAsiaTheme="minorEastAsia" w:cstheme="majorHAnsi"/>
                <w:szCs w:val="17"/>
                <w:vertAlign w:val="superscript"/>
                <w:lang w:eastAsia="en-AU"/>
              </w:rPr>
              <w:t>)</w:t>
            </w:r>
          </w:p>
        </w:tc>
        <w:tc>
          <w:tcPr>
            <w:tcW w:w="947" w:type="dxa"/>
          </w:tcPr>
          <w:p w14:paraId="252CAC12" w14:textId="77777777" w:rsidR="00C424E5" w:rsidRPr="00FB7140" w:rsidRDefault="00C424E5" w:rsidP="00D0055F">
            <w:pPr>
              <w:cnfStyle w:val="000000000000" w:firstRow="0" w:lastRow="0" w:firstColumn="0" w:lastColumn="0" w:oddVBand="0" w:evenVBand="0" w:oddHBand="0" w:evenHBand="0" w:firstRowFirstColumn="0" w:firstRowLastColumn="0" w:lastRowFirstColumn="0" w:lastRowLastColumn="0"/>
            </w:pPr>
            <w:r w:rsidRPr="00D37A99">
              <w:t>3.00</w:t>
            </w:r>
          </w:p>
        </w:tc>
        <w:tc>
          <w:tcPr>
            <w:tcW w:w="994" w:type="dxa"/>
          </w:tcPr>
          <w:p w14:paraId="3DD2018F" w14:textId="77777777" w:rsidR="00C424E5" w:rsidRPr="00FB7140" w:rsidRDefault="00C424E5" w:rsidP="00D0055F">
            <w:pPr>
              <w:cnfStyle w:val="000000000000" w:firstRow="0" w:lastRow="0" w:firstColumn="0" w:lastColumn="0" w:oddVBand="0" w:evenVBand="0" w:oddHBand="0" w:evenHBand="0" w:firstRowFirstColumn="0" w:firstRowLastColumn="0" w:lastRowFirstColumn="0" w:lastRowLastColumn="0"/>
            </w:pPr>
            <w:r w:rsidRPr="00D37A99">
              <w:t>1.75</w:t>
            </w:r>
          </w:p>
        </w:tc>
        <w:tc>
          <w:tcPr>
            <w:tcW w:w="994" w:type="dxa"/>
          </w:tcPr>
          <w:p w14:paraId="3C92AEAE" w14:textId="77777777" w:rsidR="00C424E5" w:rsidRPr="00FB7140" w:rsidRDefault="00C424E5" w:rsidP="00D0055F">
            <w:pPr>
              <w:cnfStyle w:val="000000000000" w:firstRow="0" w:lastRow="0" w:firstColumn="0" w:lastColumn="0" w:oddVBand="0" w:evenVBand="0" w:oddHBand="0" w:evenHBand="0" w:firstRowFirstColumn="0" w:firstRowLastColumn="0" w:lastRowFirstColumn="0" w:lastRowLastColumn="0"/>
            </w:pPr>
            <w:r w:rsidRPr="00D37A99">
              <w:t>2.75</w:t>
            </w:r>
          </w:p>
        </w:tc>
        <w:tc>
          <w:tcPr>
            <w:tcW w:w="997" w:type="dxa"/>
          </w:tcPr>
          <w:p w14:paraId="624419FB" w14:textId="77777777" w:rsidR="00C424E5" w:rsidRPr="00FB7140" w:rsidRDefault="00C424E5" w:rsidP="00D0055F">
            <w:pPr>
              <w:cnfStyle w:val="000000000000" w:firstRow="0" w:lastRow="0" w:firstColumn="0" w:lastColumn="0" w:oddVBand="0" w:evenVBand="0" w:oddHBand="0" w:evenHBand="0" w:firstRowFirstColumn="0" w:firstRowLastColumn="0" w:lastRowFirstColumn="0" w:lastRowLastColumn="0"/>
            </w:pPr>
            <w:r w:rsidRPr="00D37A99">
              <w:t>2.75</w:t>
            </w:r>
          </w:p>
        </w:tc>
      </w:tr>
      <w:tr w:rsidR="00C424E5" w:rsidRPr="00515ABD" w14:paraId="7DACCA77" w14:textId="77777777" w:rsidTr="00D0055F">
        <w:tc>
          <w:tcPr>
            <w:cnfStyle w:val="001000000000" w:firstRow="0" w:lastRow="0" w:firstColumn="1" w:lastColumn="0" w:oddVBand="0" w:evenVBand="0" w:oddHBand="0" w:evenHBand="0" w:firstRowFirstColumn="0" w:firstRowLastColumn="0" w:lastRowFirstColumn="0" w:lastRowLastColumn="0"/>
            <w:tcW w:w="2788" w:type="dxa"/>
          </w:tcPr>
          <w:p w14:paraId="139F9E50" w14:textId="77777777" w:rsidR="00C424E5" w:rsidRPr="00E814B9" w:rsidRDefault="00C424E5" w:rsidP="00D0055F">
            <w:pPr>
              <w:ind w:left="0" w:firstLine="0"/>
            </w:pPr>
            <w:r w:rsidRPr="00E814B9">
              <w:t>Employment</w:t>
            </w:r>
          </w:p>
        </w:tc>
        <w:tc>
          <w:tcPr>
            <w:tcW w:w="1040" w:type="dxa"/>
          </w:tcPr>
          <w:p w14:paraId="6D892A51" w14:textId="77777777" w:rsidR="00C424E5" w:rsidRPr="00E814B9" w:rsidRDefault="00C424E5" w:rsidP="00D0055F">
            <w:pPr>
              <w:cnfStyle w:val="000000000000" w:firstRow="0" w:lastRow="0" w:firstColumn="0" w:lastColumn="0" w:oddVBand="0" w:evenVBand="0" w:oddHBand="0" w:evenHBand="0" w:firstRowFirstColumn="0" w:firstRowLastColumn="0" w:lastRowFirstColumn="0" w:lastRowLastColumn="0"/>
            </w:pPr>
            <w:r w:rsidRPr="00E25B24">
              <w:rPr>
                <w:rFonts w:cs="Calibri"/>
                <w:szCs w:val="20"/>
                <w:lang w:eastAsia="en-AU"/>
              </w:rPr>
              <w:t>3.9</w:t>
            </w:r>
            <w:r>
              <w:rPr>
                <w:rFonts w:cs="Calibri"/>
                <w:szCs w:val="20"/>
                <w:lang w:eastAsia="en-AU"/>
              </w:rPr>
              <w:t>0</w:t>
            </w:r>
          </w:p>
        </w:tc>
        <w:tc>
          <w:tcPr>
            <w:tcW w:w="947" w:type="dxa"/>
          </w:tcPr>
          <w:p w14:paraId="42295BAA" w14:textId="77777777" w:rsidR="00C424E5" w:rsidRPr="00E814B9" w:rsidRDefault="00C424E5" w:rsidP="00D0055F">
            <w:pPr>
              <w:cnfStyle w:val="000000000000" w:firstRow="0" w:lastRow="0" w:firstColumn="0" w:lastColumn="0" w:oddVBand="0" w:evenVBand="0" w:oddHBand="0" w:evenHBand="0" w:firstRowFirstColumn="0" w:firstRowLastColumn="0" w:lastRowFirstColumn="0" w:lastRowLastColumn="0"/>
            </w:pPr>
            <w:r w:rsidRPr="00E25B24">
              <w:rPr>
                <w:rFonts w:cs="Calibri"/>
                <w:szCs w:val="20"/>
                <w:lang w:eastAsia="en-AU"/>
              </w:rPr>
              <w:t>1.75</w:t>
            </w:r>
          </w:p>
        </w:tc>
        <w:tc>
          <w:tcPr>
            <w:tcW w:w="994" w:type="dxa"/>
          </w:tcPr>
          <w:p w14:paraId="47AE5483" w14:textId="77777777" w:rsidR="00C424E5" w:rsidRPr="00E814B9" w:rsidRDefault="00C424E5" w:rsidP="00D0055F">
            <w:pPr>
              <w:cnfStyle w:val="000000000000" w:firstRow="0" w:lastRow="0" w:firstColumn="0" w:lastColumn="0" w:oddVBand="0" w:evenVBand="0" w:oddHBand="0" w:evenHBand="0" w:firstRowFirstColumn="0" w:firstRowLastColumn="0" w:lastRowFirstColumn="0" w:lastRowLastColumn="0"/>
            </w:pPr>
            <w:r w:rsidRPr="00E25B24">
              <w:rPr>
                <w:rFonts w:cs="Calibri"/>
                <w:szCs w:val="20"/>
                <w:lang w:eastAsia="en-AU"/>
              </w:rPr>
              <w:t>1.00</w:t>
            </w:r>
          </w:p>
        </w:tc>
        <w:tc>
          <w:tcPr>
            <w:tcW w:w="994" w:type="dxa"/>
          </w:tcPr>
          <w:p w14:paraId="05ECF192" w14:textId="77777777" w:rsidR="00C424E5" w:rsidRPr="00E814B9" w:rsidRDefault="00C424E5" w:rsidP="00D0055F">
            <w:pPr>
              <w:cnfStyle w:val="000000000000" w:firstRow="0" w:lastRow="0" w:firstColumn="0" w:lastColumn="0" w:oddVBand="0" w:evenVBand="0" w:oddHBand="0" w:evenHBand="0" w:firstRowFirstColumn="0" w:firstRowLastColumn="0" w:lastRowFirstColumn="0" w:lastRowLastColumn="0"/>
            </w:pPr>
            <w:r w:rsidRPr="00E25B24">
              <w:rPr>
                <w:rFonts w:cs="Calibri"/>
                <w:szCs w:val="20"/>
                <w:lang w:eastAsia="en-AU"/>
              </w:rPr>
              <w:t>1.25</w:t>
            </w:r>
          </w:p>
        </w:tc>
        <w:tc>
          <w:tcPr>
            <w:tcW w:w="997" w:type="dxa"/>
          </w:tcPr>
          <w:p w14:paraId="6DFC288E" w14:textId="77777777" w:rsidR="00C424E5" w:rsidRPr="00E814B9" w:rsidRDefault="00C424E5" w:rsidP="00D0055F">
            <w:pPr>
              <w:cnfStyle w:val="000000000000" w:firstRow="0" w:lastRow="0" w:firstColumn="0" w:lastColumn="0" w:oddVBand="0" w:evenVBand="0" w:oddHBand="0" w:evenHBand="0" w:firstRowFirstColumn="0" w:firstRowLastColumn="0" w:lastRowFirstColumn="0" w:lastRowLastColumn="0"/>
            </w:pPr>
            <w:r w:rsidRPr="00E25B24">
              <w:rPr>
                <w:rFonts w:cs="Calibri"/>
                <w:szCs w:val="20"/>
                <w:lang w:eastAsia="en-AU"/>
              </w:rPr>
              <w:t>1.75</w:t>
            </w:r>
          </w:p>
        </w:tc>
      </w:tr>
      <w:tr w:rsidR="00C424E5" w:rsidRPr="00515ABD" w14:paraId="39E27CC0" w14:textId="77777777" w:rsidTr="00D0055F">
        <w:tc>
          <w:tcPr>
            <w:cnfStyle w:val="001000000000" w:firstRow="0" w:lastRow="0" w:firstColumn="1" w:lastColumn="0" w:oddVBand="0" w:evenVBand="0" w:oddHBand="0" w:evenHBand="0" w:firstRowFirstColumn="0" w:firstRowLastColumn="0" w:lastRowFirstColumn="0" w:lastRowLastColumn="0"/>
            <w:tcW w:w="2788" w:type="dxa"/>
          </w:tcPr>
          <w:p w14:paraId="68E0333C" w14:textId="77777777" w:rsidR="00C424E5" w:rsidRPr="00E814B9" w:rsidRDefault="00C424E5" w:rsidP="00D0055F">
            <w:pPr>
              <w:ind w:left="0" w:firstLine="0"/>
            </w:pPr>
            <w:r w:rsidRPr="00E814B9">
              <w:t xml:space="preserve">Unemployment rate </w:t>
            </w:r>
            <w:r w:rsidRPr="00E814B9">
              <w:rPr>
                <w:vertAlign w:val="superscript"/>
              </w:rPr>
              <w:t>(</w:t>
            </w:r>
            <w:r>
              <w:rPr>
                <w:vertAlign w:val="superscript"/>
              </w:rPr>
              <w:t>c</w:t>
            </w:r>
            <w:r w:rsidRPr="00E814B9">
              <w:rPr>
                <w:vertAlign w:val="superscript"/>
              </w:rPr>
              <w:t>)</w:t>
            </w:r>
          </w:p>
        </w:tc>
        <w:tc>
          <w:tcPr>
            <w:tcW w:w="1040" w:type="dxa"/>
          </w:tcPr>
          <w:p w14:paraId="7C1A764F" w14:textId="77777777" w:rsidR="00C424E5" w:rsidRPr="00E814B9" w:rsidRDefault="00C424E5" w:rsidP="00D0055F">
            <w:pPr>
              <w:cnfStyle w:val="000000000000" w:firstRow="0" w:lastRow="0" w:firstColumn="0" w:lastColumn="0" w:oddVBand="0" w:evenVBand="0" w:oddHBand="0" w:evenHBand="0" w:firstRowFirstColumn="0" w:firstRowLastColumn="0" w:lastRowFirstColumn="0" w:lastRowLastColumn="0"/>
            </w:pPr>
            <w:r w:rsidRPr="00E25B24">
              <w:rPr>
                <w:rFonts w:cs="Calibri"/>
                <w:szCs w:val="20"/>
                <w:lang w:eastAsia="en-AU"/>
              </w:rPr>
              <w:t>4.</w:t>
            </w:r>
            <w:r>
              <w:rPr>
                <w:rFonts w:cs="Calibri"/>
                <w:szCs w:val="20"/>
                <w:lang w:eastAsia="en-AU"/>
              </w:rPr>
              <w:t>30</w:t>
            </w:r>
          </w:p>
        </w:tc>
        <w:tc>
          <w:tcPr>
            <w:tcW w:w="947" w:type="dxa"/>
          </w:tcPr>
          <w:p w14:paraId="1E39BC06" w14:textId="77777777" w:rsidR="00C424E5" w:rsidRPr="000B3C73" w:rsidRDefault="00C424E5" w:rsidP="00D0055F">
            <w:pPr>
              <w:cnfStyle w:val="000000000000" w:firstRow="0" w:lastRow="0" w:firstColumn="0" w:lastColumn="0" w:oddVBand="0" w:evenVBand="0" w:oddHBand="0" w:evenHBand="0" w:firstRowFirstColumn="0" w:firstRowLastColumn="0" w:lastRowFirstColumn="0" w:lastRowLastColumn="0"/>
            </w:pPr>
            <w:r w:rsidRPr="000B3C73">
              <w:rPr>
                <w:rFonts w:cs="Calibri"/>
                <w:szCs w:val="20"/>
                <w:lang w:eastAsia="en-AU"/>
              </w:rPr>
              <w:t>3.75</w:t>
            </w:r>
          </w:p>
        </w:tc>
        <w:tc>
          <w:tcPr>
            <w:tcW w:w="994" w:type="dxa"/>
          </w:tcPr>
          <w:p w14:paraId="27EEE775" w14:textId="77777777" w:rsidR="00C424E5" w:rsidRPr="000B3C73" w:rsidRDefault="00C424E5" w:rsidP="00D0055F">
            <w:pPr>
              <w:cnfStyle w:val="000000000000" w:firstRow="0" w:lastRow="0" w:firstColumn="0" w:lastColumn="0" w:oddVBand="0" w:evenVBand="0" w:oddHBand="0" w:evenHBand="0" w:firstRowFirstColumn="0" w:firstRowLastColumn="0" w:lastRowFirstColumn="0" w:lastRowLastColumn="0"/>
            </w:pPr>
            <w:r w:rsidRPr="000B3C73">
              <w:rPr>
                <w:rFonts w:cs="Calibri"/>
                <w:szCs w:val="20"/>
                <w:lang w:eastAsia="en-AU"/>
              </w:rPr>
              <w:t>4.00</w:t>
            </w:r>
          </w:p>
        </w:tc>
        <w:tc>
          <w:tcPr>
            <w:tcW w:w="994" w:type="dxa"/>
          </w:tcPr>
          <w:p w14:paraId="13322C9A" w14:textId="77777777" w:rsidR="00C424E5" w:rsidRPr="000B3C73" w:rsidRDefault="00C424E5" w:rsidP="00D0055F">
            <w:pPr>
              <w:cnfStyle w:val="000000000000" w:firstRow="0" w:lastRow="0" w:firstColumn="0" w:lastColumn="0" w:oddVBand="0" w:evenVBand="0" w:oddHBand="0" w:evenHBand="0" w:firstRowFirstColumn="0" w:firstRowLastColumn="0" w:lastRowFirstColumn="0" w:lastRowLastColumn="0"/>
            </w:pPr>
            <w:r w:rsidRPr="000B3C73">
              <w:rPr>
                <w:rFonts w:cs="Calibri"/>
                <w:szCs w:val="20"/>
                <w:lang w:eastAsia="en-AU"/>
              </w:rPr>
              <w:t>4.25</w:t>
            </w:r>
          </w:p>
        </w:tc>
        <w:tc>
          <w:tcPr>
            <w:tcW w:w="997" w:type="dxa"/>
          </w:tcPr>
          <w:p w14:paraId="06E5D329" w14:textId="77777777" w:rsidR="00C424E5" w:rsidRPr="000B3C73" w:rsidRDefault="00C424E5" w:rsidP="00D0055F">
            <w:pPr>
              <w:cnfStyle w:val="000000000000" w:firstRow="0" w:lastRow="0" w:firstColumn="0" w:lastColumn="0" w:oddVBand="0" w:evenVBand="0" w:oddHBand="0" w:evenHBand="0" w:firstRowFirstColumn="0" w:firstRowLastColumn="0" w:lastRowFirstColumn="0" w:lastRowLastColumn="0"/>
            </w:pPr>
            <w:r w:rsidRPr="000B3C73">
              <w:rPr>
                <w:rFonts w:cs="Calibri"/>
                <w:szCs w:val="20"/>
                <w:lang w:eastAsia="en-AU"/>
              </w:rPr>
              <w:t>4.50</w:t>
            </w:r>
          </w:p>
        </w:tc>
      </w:tr>
      <w:tr w:rsidR="00C424E5" w:rsidRPr="00515ABD" w14:paraId="222E4CE4" w14:textId="77777777" w:rsidTr="00D0055F">
        <w:tc>
          <w:tcPr>
            <w:cnfStyle w:val="001000000000" w:firstRow="0" w:lastRow="0" w:firstColumn="1" w:lastColumn="0" w:oddVBand="0" w:evenVBand="0" w:oddHBand="0" w:evenHBand="0" w:firstRowFirstColumn="0" w:firstRowLastColumn="0" w:lastRowFirstColumn="0" w:lastRowLastColumn="0"/>
            <w:tcW w:w="2788" w:type="dxa"/>
          </w:tcPr>
          <w:p w14:paraId="40D895B6" w14:textId="77777777" w:rsidR="00C424E5" w:rsidRPr="00E814B9" w:rsidRDefault="00C424E5" w:rsidP="00D0055F">
            <w:pPr>
              <w:ind w:left="0" w:firstLine="0"/>
            </w:pPr>
            <w:r w:rsidRPr="00E814B9">
              <w:t xml:space="preserve">Consumer price index </w:t>
            </w:r>
            <w:r w:rsidRPr="00E814B9">
              <w:rPr>
                <w:vertAlign w:val="superscript"/>
              </w:rPr>
              <w:t>(</w:t>
            </w:r>
            <w:r>
              <w:rPr>
                <w:vertAlign w:val="superscript"/>
              </w:rPr>
              <w:t>d</w:t>
            </w:r>
            <w:r w:rsidRPr="00E814B9">
              <w:rPr>
                <w:vertAlign w:val="superscript"/>
              </w:rPr>
              <w:t>)</w:t>
            </w:r>
          </w:p>
        </w:tc>
        <w:tc>
          <w:tcPr>
            <w:tcW w:w="1040" w:type="dxa"/>
          </w:tcPr>
          <w:p w14:paraId="4FF4374A" w14:textId="77777777" w:rsidR="00C424E5" w:rsidRPr="00E814B9" w:rsidRDefault="00C424E5" w:rsidP="00D0055F">
            <w:pPr>
              <w:cnfStyle w:val="000000000000" w:firstRow="0" w:lastRow="0" w:firstColumn="0" w:lastColumn="0" w:oddVBand="0" w:evenVBand="0" w:oddHBand="0" w:evenHBand="0" w:firstRowFirstColumn="0" w:firstRowLastColumn="0" w:lastRowFirstColumn="0" w:lastRowLastColumn="0"/>
            </w:pPr>
            <w:r w:rsidRPr="00E25B24">
              <w:rPr>
                <w:rFonts w:cs="Calibri"/>
                <w:szCs w:val="20"/>
                <w:lang w:eastAsia="en-AU"/>
              </w:rPr>
              <w:t>4.0</w:t>
            </w:r>
            <w:r>
              <w:rPr>
                <w:rFonts w:cs="Calibri"/>
                <w:szCs w:val="20"/>
                <w:lang w:eastAsia="en-AU"/>
              </w:rPr>
              <w:t>0</w:t>
            </w:r>
          </w:p>
        </w:tc>
        <w:tc>
          <w:tcPr>
            <w:tcW w:w="947" w:type="dxa"/>
          </w:tcPr>
          <w:p w14:paraId="66F9F95B" w14:textId="77777777" w:rsidR="00C424E5" w:rsidRPr="00E814B9" w:rsidRDefault="00C424E5" w:rsidP="00D0055F">
            <w:pPr>
              <w:cnfStyle w:val="000000000000" w:firstRow="0" w:lastRow="0" w:firstColumn="0" w:lastColumn="0" w:oddVBand="0" w:evenVBand="0" w:oddHBand="0" w:evenHBand="0" w:firstRowFirstColumn="0" w:firstRowLastColumn="0" w:lastRowFirstColumn="0" w:lastRowLastColumn="0"/>
            </w:pPr>
            <w:r w:rsidRPr="00E25B24">
              <w:rPr>
                <w:rFonts w:cs="Calibri"/>
                <w:szCs w:val="20"/>
                <w:lang w:eastAsia="en-AU"/>
              </w:rPr>
              <w:t>6.50</w:t>
            </w:r>
          </w:p>
        </w:tc>
        <w:tc>
          <w:tcPr>
            <w:tcW w:w="994" w:type="dxa"/>
          </w:tcPr>
          <w:p w14:paraId="1EE01258" w14:textId="77777777" w:rsidR="00C424E5" w:rsidRPr="00E814B9" w:rsidRDefault="00C424E5" w:rsidP="00D0055F">
            <w:pPr>
              <w:cnfStyle w:val="000000000000" w:firstRow="0" w:lastRow="0" w:firstColumn="0" w:lastColumn="0" w:oddVBand="0" w:evenVBand="0" w:oddHBand="0" w:evenHBand="0" w:firstRowFirstColumn="0" w:firstRowLastColumn="0" w:lastRowFirstColumn="0" w:lastRowLastColumn="0"/>
            </w:pPr>
            <w:r w:rsidRPr="00E25B24">
              <w:rPr>
                <w:rFonts w:cs="Calibri"/>
                <w:szCs w:val="20"/>
                <w:lang w:eastAsia="en-AU"/>
              </w:rPr>
              <w:t>3.50</w:t>
            </w:r>
          </w:p>
        </w:tc>
        <w:tc>
          <w:tcPr>
            <w:tcW w:w="994" w:type="dxa"/>
          </w:tcPr>
          <w:p w14:paraId="152C7E3B" w14:textId="77777777" w:rsidR="00C424E5" w:rsidRPr="00E814B9" w:rsidRDefault="00C424E5" w:rsidP="00D0055F">
            <w:pPr>
              <w:cnfStyle w:val="000000000000" w:firstRow="0" w:lastRow="0" w:firstColumn="0" w:lastColumn="0" w:oddVBand="0" w:evenVBand="0" w:oddHBand="0" w:evenHBand="0" w:firstRowFirstColumn="0" w:firstRowLastColumn="0" w:lastRowFirstColumn="0" w:lastRowLastColumn="0"/>
            </w:pPr>
            <w:r w:rsidRPr="00E25B24">
              <w:rPr>
                <w:rFonts w:cs="Calibri"/>
                <w:szCs w:val="20"/>
                <w:lang w:eastAsia="en-AU"/>
              </w:rPr>
              <w:t>2.75</w:t>
            </w:r>
          </w:p>
        </w:tc>
        <w:tc>
          <w:tcPr>
            <w:tcW w:w="997" w:type="dxa"/>
          </w:tcPr>
          <w:p w14:paraId="66F3631D" w14:textId="77777777" w:rsidR="00C424E5" w:rsidRPr="00E814B9" w:rsidRDefault="00C424E5" w:rsidP="00D0055F">
            <w:pPr>
              <w:cnfStyle w:val="000000000000" w:firstRow="0" w:lastRow="0" w:firstColumn="0" w:lastColumn="0" w:oddVBand="0" w:evenVBand="0" w:oddHBand="0" w:evenHBand="0" w:firstRowFirstColumn="0" w:firstRowLastColumn="0" w:lastRowFirstColumn="0" w:lastRowLastColumn="0"/>
            </w:pPr>
            <w:r w:rsidRPr="00E25B24">
              <w:rPr>
                <w:rFonts w:cs="Calibri"/>
                <w:szCs w:val="20"/>
                <w:lang w:eastAsia="en-AU"/>
              </w:rPr>
              <w:t>2.50</w:t>
            </w:r>
          </w:p>
        </w:tc>
      </w:tr>
      <w:tr w:rsidR="00C424E5" w:rsidRPr="00515ABD" w14:paraId="71845FE7" w14:textId="77777777" w:rsidTr="00D0055F">
        <w:tc>
          <w:tcPr>
            <w:cnfStyle w:val="001000000000" w:firstRow="0" w:lastRow="0" w:firstColumn="1" w:lastColumn="0" w:oddVBand="0" w:evenVBand="0" w:oddHBand="0" w:evenHBand="0" w:firstRowFirstColumn="0" w:firstRowLastColumn="0" w:lastRowFirstColumn="0" w:lastRowLastColumn="0"/>
            <w:tcW w:w="2788" w:type="dxa"/>
          </w:tcPr>
          <w:p w14:paraId="65489C3F" w14:textId="77777777" w:rsidR="00C424E5" w:rsidRPr="00E814B9" w:rsidRDefault="00C424E5" w:rsidP="00D0055F">
            <w:pPr>
              <w:ind w:left="0" w:firstLine="0"/>
            </w:pPr>
            <w:r w:rsidRPr="00E814B9">
              <w:t xml:space="preserve">Wage price index </w:t>
            </w:r>
            <w:r w:rsidRPr="00E814B9">
              <w:rPr>
                <w:vertAlign w:val="superscript"/>
              </w:rPr>
              <w:t>(</w:t>
            </w:r>
            <w:r>
              <w:rPr>
                <w:vertAlign w:val="superscript"/>
              </w:rPr>
              <w:t>e</w:t>
            </w:r>
            <w:r w:rsidRPr="00E814B9">
              <w:rPr>
                <w:vertAlign w:val="superscript"/>
              </w:rPr>
              <w:t>)</w:t>
            </w:r>
          </w:p>
        </w:tc>
        <w:tc>
          <w:tcPr>
            <w:tcW w:w="1040" w:type="dxa"/>
          </w:tcPr>
          <w:p w14:paraId="2D9EF96D" w14:textId="77777777" w:rsidR="00C424E5" w:rsidRPr="00961930" w:rsidRDefault="00C424E5" w:rsidP="00D0055F">
            <w:pPr>
              <w:cnfStyle w:val="000000000000" w:firstRow="0" w:lastRow="0" w:firstColumn="0" w:lastColumn="0" w:oddVBand="0" w:evenVBand="0" w:oddHBand="0" w:evenHBand="0" w:firstRowFirstColumn="0" w:firstRowLastColumn="0" w:lastRowFirstColumn="0" w:lastRowLastColumn="0"/>
            </w:pPr>
            <w:r w:rsidRPr="00E25B24">
              <w:rPr>
                <w:rFonts w:cs="Calibri"/>
                <w:szCs w:val="20"/>
                <w:lang w:eastAsia="en-AU"/>
              </w:rPr>
              <w:t>2.4</w:t>
            </w:r>
            <w:r>
              <w:rPr>
                <w:rFonts w:cs="Calibri"/>
                <w:szCs w:val="20"/>
                <w:lang w:eastAsia="en-AU"/>
              </w:rPr>
              <w:t>0</w:t>
            </w:r>
          </w:p>
        </w:tc>
        <w:tc>
          <w:tcPr>
            <w:tcW w:w="947" w:type="dxa"/>
          </w:tcPr>
          <w:p w14:paraId="46D38A96" w14:textId="77777777" w:rsidR="00C424E5" w:rsidRPr="00961930" w:rsidRDefault="00C424E5" w:rsidP="00D0055F">
            <w:pPr>
              <w:cnfStyle w:val="000000000000" w:firstRow="0" w:lastRow="0" w:firstColumn="0" w:lastColumn="0" w:oddVBand="0" w:evenVBand="0" w:oddHBand="0" w:evenHBand="0" w:firstRowFirstColumn="0" w:firstRowLastColumn="0" w:lastRowFirstColumn="0" w:lastRowLastColumn="0"/>
            </w:pPr>
            <w:r w:rsidRPr="00E25B24">
              <w:rPr>
                <w:rFonts w:cs="Calibri"/>
                <w:szCs w:val="20"/>
                <w:lang w:eastAsia="en-AU"/>
              </w:rPr>
              <w:t>3.25</w:t>
            </w:r>
          </w:p>
        </w:tc>
        <w:tc>
          <w:tcPr>
            <w:tcW w:w="994" w:type="dxa"/>
          </w:tcPr>
          <w:p w14:paraId="3C787AFA" w14:textId="77777777" w:rsidR="00C424E5" w:rsidRPr="00E814B9" w:rsidRDefault="00C424E5" w:rsidP="00D0055F">
            <w:pPr>
              <w:cnfStyle w:val="000000000000" w:firstRow="0" w:lastRow="0" w:firstColumn="0" w:lastColumn="0" w:oddVBand="0" w:evenVBand="0" w:oddHBand="0" w:evenHBand="0" w:firstRowFirstColumn="0" w:firstRowLastColumn="0" w:lastRowFirstColumn="0" w:lastRowLastColumn="0"/>
            </w:pPr>
            <w:r w:rsidRPr="00E25B24">
              <w:rPr>
                <w:rFonts w:cs="Calibri"/>
                <w:szCs w:val="20"/>
                <w:lang w:eastAsia="en-AU"/>
              </w:rPr>
              <w:t>3.50</w:t>
            </w:r>
          </w:p>
        </w:tc>
        <w:tc>
          <w:tcPr>
            <w:tcW w:w="994" w:type="dxa"/>
          </w:tcPr>
          <w:p w14:paraId="7512A488" w14:textId="77777777" w:rsidR="00C424E5" w:rsidRPr="00E814B9" w:rsidRDefault="00C424E5" w:rsidP="00D0055F">
            <w:pPr>
              <w:cnfStyle w:val="000000000000" w:firstRow="0" w:lastRow="0" w:firstColumn="0" w:lastColumn="0" w:oddVBand="0" w:evenVBand="0" w:oddHBand="0" w:evenHBand="0" w:firstRowFirstColumn="0" w:firstRowLastColumn="0" w:lastRowFirstColumn="0" w:lastRowLastColumn="0"/>
            </w:pPr>
            <w:r w:rsidRPr="00E25B24">
              <w:rPr>
                <w:rFonts w:cs="Calibri"/>
                <w:szCs w:val="20"/>
                <w:lang w:eastAsia="en-AU"/>
              </w:rPr>
              <w:t>3.25</w:t>
            </w:r>
          </w:p>
        </w:tc>
        <w:tc>
          <w:tcPr>
            <w:tcW w:w="997" w:type="dxa"/>
          </w:tcPr>
          <w:p w14:paraId="673EDBD5" w14:textId="77777777" w:rsidR="00C424E5" w:rsidRPr="00E814B9" w:rsidRDefault="00C424E5" w:rsidP="00D0055F">
            <w:pPr>
              <w:cnfStyle w:val="000000000000" w:firstRow="0" w:lastRow="0" w:firstColumn="0" w:lastColumn="0" w:oddVBand="0" w:evenVBand="0" w:oddHBand="0" w:evenHBand="0" w:firstRowFirstColumn="0" w:firstRowLastColumn="0" w:lastRowFirstColumn="0" w:lastRowLastColumn="0"/>
            </w:pPr>
            <w:r w:rsidRPr="00E25B24">
              <w:rPr>
                <w:rFonts w:cs="Calibri"/>
                <w:szCs w:val="20"/>
                <w:lang w:eastAsia="en-AU"/>
              </w:rPr>
              <w:t>3.25</w:t>
            </w:r>
          </w:p>
        </w:tc>
      </w:tr>
      <w:tr w:rsidR="00C424E5" w:rsidRPr="00515ABD" w14:paraId="454FEEF8" w14:textId="77777777" w:rsidTr="00D0055F">
        <w:tc>
          <w:tcPr>
            <w:cnfStyle w:val="001000000000" w:firstRow="0" w:lastRow="0" w:firstColumn="1" w:lastColumn="0" w:oddVBand="0" w:evenVBand="0" w:oddHBand="0" w:evenHBand="0" w:firstRowFirstColumn="0" w:firstRowLastColumn="0" w:lastRowFirstColumn="0" w:lastRowLastColumn="0"/>
            <w:tcW w:w="2788" w:type="dxa"/>
          </w:tcPr>
          <w:p w14:paraId="7E6025D6" w14:textId="77777777" w:rsidR="00C424E5" w:rsidRPr="00E814B9" w:rsidRDefault="00C424E5" w:rsidP="00D0055F">
            <w:pPr>
              <w:ind w:left="0" w:firstLine="0"/>
            </w:pPr>
            <w:r w:rsidRPr="00E814B9">
              <w:t xml:space="preserve">Population </w:t>
            </w:r>
            <w:r w:rsidRPr="00E814B9">
              <w:rPr>
                <w:vertAlign w:val="superscript"/>
              </w:rPr>
              <w:t>(</w:t>
            </w:r>
            <w:r>
              <w:rPr>
                <w:vertAlign w:val="superscript"/>
              </w:rPr>
              <w:t>f</w:t>
            </w:r>
            <w:r w:rsidRPr="00E814B9">
              <w:rPr>
                <w:vertAlign w:val="superscript"/>
              </w:rPr>
              <w:t>)</w:t>
            </w:r>
          </w:p>
        </w:tc>
        <w:tc>
          <w:tcPr>
            <w:tcW w:w="1040" w:type="dxa"/>
          </w:tcPr>
          <w:p w14:paraId="49988BF0" w14:textId="77777777" w:rsidR="00C424E5" w:rsidRPr="00E814B9" w:rsidRDefault="00C424E5" w:rsidP="00D0055F">
            <w:pPr>
              <w:cnfStyle w:val="000000000000" w:firstRow="0" w:lastRow="0" w:firstColumn="0" w:lastColumn="0" w:oddVBand="0" w:evenVBand="0" w:oddHBand="0" w:evenHBand="0" w:firstRowFirstColumn="0" w:firstRowLastColumn="0" w:lastRowFirstColumn="0" w:lastRowLastColumn="0"/>
            </w:pPr>
            <w:r>
              <w:rPr>
                <w:rFonts w:eastAsiaTheme="minorEastAsia" w:cstheme="majorHAnsi"/>
                <w:szCs w:val="17"/>
                <w:lang w:eastAsia="en-AU"/>
              </w:rPr>
              <w:t>0.90</w:t>
            </w:r>
            <w:r w:rsidRPr="00E814B9">
              <w:rPr>
                <w:rFonts w:eastAsiaTheme="minorEastAsia" w:cstheme="majorHAnsi"/>
                <w:szCs w:val="17"/>
                <w:lang w:eastAsia="en-AU"/>
              </w:rPr>
              <w:t xml:space="preserve"> </w:t>
            </w:r>
            <w:r w:rsidRPr="00E814B9">
              <w:rPr>
                <w:rFonts w:eastAsiaTheme="minorEastAsia" w:cstheme="majorHAnsi"/>
                <w:szCs w:val="17"/>
                <w:vertAlign w:val="superscript"/>
                <w:lang w:eastAsia="en-AU"/>
              </w:rPr>
              <w:t>(</w:t>
            </w:r>
            <w:r>
              <w:rPr>
                <w:rFonts w:eastAsiaTheme="minorEastAsia" w:cstheme="majorHAnsi"/>
                <w:szCs w:val="17"/>
                <w:vertAlign w:val="superscript"/>
                <w:lang w:eastAsia="en-AU"/>
              </w:rPr>
              <w:t>a</w:t>
            </w:r>
            <w:r w:rsidRPr="00E814B9">
              <w:rPr>
                <w:rFonts w:eastAsiaTheme="minorEastAsia" w:cstheme="majorHAnsi"/>
                <w:szCs w:val="17"/>
                <w:vertAlign w:val="superscript"/>
                <w:lang w:eastAsia="en-AU"/>
              </w:rPr>
              <w:t>)</w:t>
            </w:r>
          </w:p>
        </w:tc>
        <w:tc>
          <w:tcPr>
            <w:tcW w:w="947" w:type="dxa"/>
          </w:tcPr>
          <w:p w14:paraId="7C3D4023" w14:textId="77777777" w:rsidR="00C424E5" w:rsidRPr="00E814B9" w:rsidRDefault="00C424E5" w:rsidP="00D0055F">
            <w:pPr>
              <w:cnfStyle w:val="000000000000" w:firstRow="0" w:lastRow="0" w:firstColumn="0" w:lastColumn="0" w:oddVBand="0" w:evenVBand="0" w:oddHBand="0" w:evenHBand="0" w:firstRowFirstColumn="0" w:firstRowLastColumn="0" w:lastRowFirstColumn="0" w:lastRowLastColumn="0"/>
            </w:pPr>
            <w:r w:rsidRPr="00E25B24">
              <w:rPr>
                <w:rFonts w:cs="Calibri"/>
                <w:szCs w:val="20"/>
                <w:lang w:eastAsia="en-AU"/>
              </w:rPr>
              <w:t>1.40</w:t>
            </w:r>
          </w:p>
        </w:tc>
        <w:tc>
          <w:tcPr>
            <w:tcW w:w="994" w:type="dxa"/>
          </w:tcPr>
          <w:p w14:paraId="54D289A2" w14:textId="77777777" w:rsidR="00C424E5" w:rsidRPr="00E814B9" w:rsidRDefault="00C424E5" w:rsidP="00D0055F">
            <w:pPr>
              <w:cnfStyle w:val="000000000000" w:firstRow="0" w:lastRow="0" w:firstColumn="0" w:lastColumn="0" w:oddVBand="0" w:evenVBand="0" w:oddHBand="0" w:evenHBand="0" w:firstRowFirstColumn="0" w:firstRowLastColumn="0" w:lastRowFirstColumn="0" w:lastRowLastColumn="0"/>
            </w:pPr>
            <w:r w:rsidRPr="00E25B24">
              <w:rPr>
                <w:rFonts w:cs="Calibri"/>
                <w:szCs w:val="20"/>
                <w:lang w:eastAsia="en-AU"/>
              </w:rPr>
              <w:t>1.70</w:t>
            </w:r>
          </w:p>
        </w:tc>
        <w:tc>
          <w:tcPr>
            <w:tcW w:w="994" w:type="dxa"/>
          </w:tcPr>
          <w:p w14:paraId="2BF6DCB3" w14:textId="77777777" w:rsidR="00C424E5" w:rsidRPr="00E814B9" w:rsidRDefault="00C424E5" w:rsidP="00D0055F">
            <w:pPr>
              <w:cnfStyle w:val="000000000000" w:firstRow="0" w:lastRow="0" w:firstColumn="0" w:lastColumn="0" w:oddVBand="0" w:evenVBand="0" w:oddHBand="0" w:evenHBand="0" w:firstRowFirstColumn="0" w:firstRowLastColumn="0" w:lastRowFirstColumn="0" w:lastRowLastColumn="0"/>
            </w:pPr>
            <w:r w:rsidRPr="00E25B24">
              <w:rPr>
                <w:rFonts w:cs="Calibri"/>
                <w:szCs w:val="20"/>
                <w:lang w:eastAsia="en-AU"/>
              </w:rPr>
              <w:t>1.70</w:t>
            </w:r>
          </w:p>
        </w:tc>
        <w:tc>
          <w:tcPr>
            <w:tcW w:w="997" w:type="dxa"/>
          </w:tcPr>
          <w:p w14:paraId="387D987E" w14:textId="77777777" w:rsidR="00C424E5" w:rsidRPr="00E814B9" w:rsidRDefault="00C424E5" w:rsidP="00D0055F">
            <w:pPr>
              <w:cnfStyle w:val="000000000000" w:firstRow="0" w:lastRow="0" w:firstColumn="0" w:lastColumn="0" w:oddVBand="0" w:evenVBand="0" w:oddHBand="0" w:evenHBand="0" w:firstRowFirstColumn="0" w:firstRowLastColumn="0" w:lastRowFirstColumn="0" w:lastRowLastColumn="0"/>
            </w:pPr>
            <w:r w:rsidRPr="00E25B24">
              <w:rPr>
                <w:rFonts w:cs="Calibri"/>
                <w:szCs w:val="20"/>
                <w:lang w:eastAsia="en-AU"/>
              </w:rPr>
              <w:t>1.70</w:t>
            </w:r>
          </w:p>
        </w:tc>
      </w:tr>
    </w:tbl>
    <w:p w14:paraId="268F67BA" w14:textId="77777777" w:rsidR="00C424E5" w:rsidRPr="000E2E6A" w:rsidRDefault="00C424E5" w:rsidP="006206EF">
      <w:pPr>
        <w:pStyle w:val="Note"/>
      </w:pPr>
      <w:r w:rsidRPr="000E2E6A">
        <w:t xml:space="preserve">Notes: </w:t>
      </w:r>
    </w:p>
    <w:p w14:paraId="668B16EC" w14:textId="77777777" w:rsidR="00C424E5" w:rsidRPr="00350540" w:rsidRDefault="00C424E5" w:rsidP="006206EF">
      <w:pPr>
        <w:pStyle w:val="Note"/>
      </w:pPr>
      <w:r w:rsidRPr="000E2E6A">
        <w:t>(</w:t>
      </w:r>
      <w:r>
        <w:t>a</w:t>
      </w:r>
      <w:r w:rsidRPr="000E2E6A">
        <w:t>)</w:t>
      </w:r>
      <w:r w:rsidRPr="000E2E6A">
        <w:tab/>
      </w:r>
      <w:r w:rsidRPr="00C36C54">
        <w:t xml:space="preserve">Estimate, actual not yet available. </w:t>
      </w:r>
    </w:p>
    <w:p w14:paraId="00FB3919" w14:textId="77777777" w:rsidR="00C424E5" w:rsidRPr="000E2E6A" w:rsidRDefault="00C424E5" w:rsidP="006206EF">
      <w:pPr>
        <w:pStyle w:val="Note"/>
      </w:pPr>
      <w:r w:rsidRPr="000E2E6A">
        <w:t>(</w:t>
      </w:r>
      <w:r>
        <w:t>b</w:t>
      </w:r>
      <w:r w:rsidRPr="000E2E6A">
        <w:t>)</w:t>
      </w:r>
      <w:r w:rsidRPr="000E2E6A">
        <w:tab/>
        <w:t xml:space="preserve">Percentage change in year average terms compared with previous year, except for the unemployment rate (see note </w:t>
      </w:r>
      <w:r>
        <w:t>(c)</w:t>
      </w:r>
      <w:r w:rsidRPr="000E2E6A">
        <w:t xml:space="preserve">) and population (see note </w:t>
      </w:r>
      <w:r>
        <w:t>(</w:t>
      </w:r>
      <w:r w:rsidRPr="000E2E6A">
        <w:t>e</w:t>
      </w:r>
      <w:r>
        <w:t>)</w:t>
      </w:r>
      <w:r w:rsidRPr="000E2E6A">
        <w:t xml:space="preserve">). Forecasts are rounded to the nearest 0.25 percentage points, except for population (see note </w:t>
      </w:r>
      <w:r>
        <w:t>(f)</w:t>
      </w:r>
      <w:r w:rsidRPr="000E2E6A">
        <w:t>).</w:t>
      </w:r>
    </w:p>
    <w:p w14:paraId="40CA33FF" w14:textId="77777777" w:rsidR="00C424E5" w:rsidRPr="000E2E6A" w:rsidRDefault="00C424E5" w:rsidP="006206EF">
      <w:pPr>
        <w:pStyle w:val="Note"/>
      </w:pPr>
      <w:r w:rsidRPr="000E2E6A">
        <w:tab/>
        <w:t>The</w:t>
      </w:r>
      <w:r>
        <w:t xml:space="preserve"> economic </w:t>
      </w:r>
      <w:r w:rsidRPr="000E2E6A">
        <w:t>assumptions underlying the economic forecasts include</w:t>
      </w:r>
      <w:r>
        <w:t xml:space="preserve"> </w:t>
      </w:r>
      <w:r w:rsidRPr="002304A0">
        <w:t xml:space="preserve">interest rates that follow </w:t>
      </w:r>
      <w:r>
        <w:t xml:space="preserve">movements in </w:t>
      </w:r>
      <w:r w:rsidRPr="002304A0">
        <w:t>market expectations</w:t>
      </w:r>
      <w:r>
        <w:t xml:space="preserve">, </w:t>
      </w:r>
      <w:r w:rsidRPr="007D297B">
        <w:t xml:space="preserve">an Australian dollar trade-weighted index of </w:t>
      </w:r>
      <w:r w:rsidRPr="00E431E4">
        <w:t>61.2</w:t>
      </w:r>
      <w:r>
        <w:t xml:space="preserve">, </w:t>
      </w:r>
      <w:r w:rsidRPr="000E2E6A">
        <w:t xml:space="preserve">and oil prices that follow the path suggested by </w:t>
      </w:r>
      <w:r>
        <w:t xml:space="preserve">oil </w:t>
      </w:r>
      <w:r w:rsidRPr="000E2E6A">
        <w:t xml:space="preserve">futures. </w:t>
      </w:r>
    </w:p>
    <w:p w14:paraId="28399528" w14:textId="77777777" w:rsidR="00C424E5" w:rsidRPr="000E2E6A" w:rsidRDefault="00C424E5" w:rsidP="006206EF">
      <w:pPr>
        <w:pStyle w:val="Note"/>
      </w:pPr>
      <w:r w:rsidRPr="000E2E6A">
        <w:t>(</w:t>
      </w:r>
      <w:r>
        <w:t>c</w:t>
      </w:r>
      <w:r w:rsidRPr="000E2E6A">
        <w:t>)</w:t>
      </w:r>
      <w:r w:rsidRPr="000E2E6A">
        <w:tab/>
        <w:t>Year average</w:t>
      </w:r>
      <w:r>
        <w:t>.</w:t>
      </w:r>
    </w:p>
    <w:p w14:paraId="441BE477" w14:textId="77777777" w:rsidR="00C424E5" w:rsidRPr="000E2E6A" w:rsidRDefault="00C424E5" w:rsidP="006206EF">
      <w:pPr>
        <w:pStyle w:val="Note"/>
      </w:pPr>
      <w:r w:rsidRPr="000E2E6A">
        <w:t>(</w:t>
      </w:r>
      <w:r>
        <w:t>d</w:t>
      </w:r>
      <w:r w:rsidRPr="000E2E6A">
        <w:t>)</w:t>
      </w:r>
      <w:r w:rsidRPr="000E2E6A">
        <w:tab/>
        <w:t>Melbourne consumer price index.</w:t>
      </w:r>
      <w:r>
        <w:t xml:space="preserve"> Forecasts predate data for the September quarter which was released on 26 October, after these forecasts were finalised.</w:t>
      </w:r>
    </w:p>
    <w:p w14:paraId="7D188743" w14:textId="77777777" w:rsidR="00C424E5" w:rsidRPr="000E2E6A" w:rsidRDefault="00C424E5" w:rsidP="006206EF">
      <w:pPr>
        <w:pStyle w:val="Note"/>
      </w:pPr>
      <w:r w:rsidRPr="000E2E6A">
        <w:t>(</w:t>
      </w:r>
      <w:r>
        <w:t>e</w:t>
      </w:r>
      <w:r w:rsidRPr="000E2E6A">
        <w:t>)</w:t>
      </w:r>
      <w:r w:rsidRPr="000E2E6A">
        <w:tab/>
        <w:t>Wage price index, Victoria (based on total hourly rates of pay, excluding bonuses).</w:t>
      </w:r>
    </w:p>
    <w:p w14:paraId="310A13F8" w14:textId="77777777" w:rsidR="00C424E5" w:rsidRDefault="00C424E5" w:rsidP="006206EF">
      <w:pPr>
        <w:pStyle w:val="Note"/>
      </w:pPr>
      <w:r w:rsidRPr="000E2E6A">
        <w:t>(</w:t>
      </w:r>
      <w:r>
        <w:t>f</w:t>
      </w:r>
      <w:r w:rsidRPr="000E2E6A">
        <w:t>)</w:t>
      </w:r>
      <w:r w:rsidRPr="000E2E6A">
        <w:tab/>
        <w:t>Percentage change over the year to 30 June. Forecasts are rounded to the nearest 0.1 percentage point.</w:t>
      </w:r>
    </w:p>
    <w:p w14:paraId="6AACEA08" w14:textId="77777777" w:rsidR="00C424E5" w:rsidRDefault="00C424E5" w:rsidP="006206EF">
      <w:pPr>
        <w:pStyle w:val="Note"/>
      </w:pPr>
    </w:p>
    <w:p w14:paraId="069B260D" w14:textId="77777777" w:rsidR="00C424E5" w:rsidRDefault="00C424E5" w:rsidP="006206EF">
      <w:pPr>
        <w:pStyle w:val="Note"/>
        <w:sectPr w:rsidR="00C424E5" w:rsidSect="001D3DBA">
          <w:headerReference w:type="even" r:id="rId37"/>
          <w:headerReference w:type="default" r:id="rId38"/>
          <w:footerReference w:type="even" r:id="rId39"/>
          <w:footerReference w:type="default" r:id="rId40"/>
          <w:headerReference w:type="first" r:id="rId41"/>
          <w:footerReference w:type="first" r:id="rId42"/>
          <w:pgSz w:w="9979" w:h="14175" w:code="9"/>
          <w:pgMar w:top="1134" w:right="1134" w:bottom="1134" w:left="1134" w:header="624" w:footer="567" w:gutter="0"/>
          <w:cols w:space="708"/>
          <w:docGrid w:linePitch="360"/>
        </w:sectPr>
      </w:pPr>
    </w:p>
    <w:p w14:paraId="090F7ED8" w14:textId="77777777" w:rsidR="00C424E5" w:rsidRDefault="00C424E5" w:rsidP="006206EF">
      <w:pPr>
        <w:pStyle w:val="Heading2"/>
      </w:pPr>
      <w:r>
        <w:lastRenderedPageBreak/>
        <w:t>HOW FUNDS ARE RAISED</w:t>
      </w:r>
    </w:p>
    <w:p w14:paraId="3281C7D6" w14:textId="77777777" w:rsidR="00C424E5" w:rsidRDefault="00C424E5" w:rsidP="006206EF">
      <w:pPr>
        <w:sectPr w:rsidR="00C424E5" w:rsidSect="001D3DBA">
          <w:pgSz w:w="9979" w:h="14175" w:code="9"/>
          <w:pgMar w:top="1134" w:right="1134" w:bottom="1134" w:left="1134" w:header="624" w:footer="567" w:gutter="0"/>
          <w:cols w:space="708"/>
          <w:docGrid w:linePitch="360"/>
        </w:sectPr>
      </w:pPr>
    </w:p>
    <w:p w14:paraId="37DC2C64" w14:textId="77777777" w:rsidR="00C424E5" w:rsidRDefault="00C424E5" w:rsidP="006206EF">
      <w:pPr>
        <w:pStyle w:val="Heading30"/>
      </w:pPr>
      <w:r>
        <w:t>Introduction</w:t>
      </w:r>
    </w:p>
    <w:p w14:paraId="149FD564" w14:textId="77777777" w:rsidR="00C424E5" w:rsidRDefault="00C424E5" w:rsidP="006206EF">
      <w:r>
        <w:t>This section presents the sources and amounts of revenue and income forecast for the general government sector.</w:t>
      </w:r>
    </w:p>
    <w:p w14:paraId="52CA27BB" w14:textId="77777777" w:rsidR="00C424E5" w:rsidRDefault="00C424E5" w:rsidP="006206EF">
      <w:r>
        <w:t xml:space="preserve">Revenue and income recognition is determined by the State based on the substance of the arrangement in accordance with the requirements of AASB 15 </w:t>
      </w:r>
      <w:r w:rsidRPr="001E2136">
        <w:rPr>
          <w:i/>
          <w:iCs/>
        </w:rPr>
        <w:t>Revenue from Contracts with Customers</w:t>
      </w:r>
      <w:r>
        <w:rPr>
          <w:i/>
          <w:iCs/>
        </w:rPr>
        <w:t xml:space="preserve">, </w:t>
      </w:r>
      <w:r w:rsidRPr="0039662B">
        <w:t xml:space="preserve">AASB 16 </w:t>
      </w:r>
      <w:r>
        <w:rPr>
          <w:i/>
          <w:iCs/>
        </w:rPr>
        <w:t>Leases,</w:t>
      </w:r>
      <w:r>
        <w:t xml:space="preserve"> AASB 1058 </w:t>
      </w:r>
      <w:r w:rsidRPr="001E2136">
        <w:rPr>
          <w:i/>
          <w:iCs/>
        </w:rPr>
        <w:t>Income of</w:t>
      </w:r>
      <w:r>
        <w:rPr>
          <w:i/>
          <w:iCs/>
        </w:rPr>
        <w:t xml:space="preserve"> </w:t>
      </w:r>
      <w:r w:rsidRPr="001E2136">
        <w:rPr>
          <w:i/>
          <w:iCs/>
        </w:rPr>
        <w:t>Not-for-Profit Entities</w:t>
      </w:r>
      <w:r>
        <w:rPr>
          <w:i/>
          <w:iCs/>
        </w:rPr>
        <w:t xml:space="preserve"> </w:t>
      </w:r>
      <w:r w:rsidRPr="0039662B">
        <w:t>and AASB</w:t>
      </w:r>
      <w:r>
        <w:t> </w:t>
      </w:r>
      <w:r w:rsidRPr="0039662B">
        <w:t>1059</w:t>
      </w:r>
      <w:r>
        <w:rPr>
          <w:i/>
          <w:iCs/>
        </w:rPr>
        <w:t xml:space="preserve"> Service Concession Arrangements: Grantors</w:t>
      </w:r>
      <w:r w:rsidRPr="00E93937">
        <w:t>.</w:t>
      </w:r>
    </w:p>
    <w:p w14:paraId="306318EF" w14:textId="77777777" w:rsidR="00C424E5" w:rsidRDefault="00C424E5" w:rsidP="006206EF">
      <w:pPr>
        <w:pStyle w:val="Heading30"/>
      </w:pPr>
      <w:r w:rsidRPr="007F4217">
        <w:br w:type="column"/>
      </w:r>
      <w:r>
        <w:t>Structure</w:t>
      </w:r>
    </w:p>
    <w:p w14:paraId="64C06728" w14:textId="043F6FA5" w:rsidR="00C424E5" w:rsidRDefault="00C424E5">
      <w:pPr>
        <w:pStyle w:val="TOC9"/>
        <w:rPr>
          <w:rFonts w:eastAsiaTheme="minorEastAsia"/>
          <w:noProof/>
          <w:spacing w:val="0"/>
          <w:sz w:val="22"/>
          <w:lang w:eastAsia="en-AU"/>
        </w:rPr>
      </w:pPr>
      <w:r>
        <w:fldChar w:fldCharType="begin"/>
      </w:r>
      <w:r>
        <w:instrText xml:space="preserve"> TOC \h \z \t "Heading 3 (#),9" \b Section_2 \* MERGEFORMAT </w:instrText>
      </w:r>
      <w:r>
        <w:fldChar w:fldCharType="separate"/>
      </w:r>
      <w:hyperlink w:anchor="_Toc117172216" w:history="1">
        <w:r w:rsidRPr="002510C8">
          <w:rPr>
            <w:rStyle w:val="Hyperlink"/>
            <w:noProof/>
          </w:rPr>
          <w:t>3.2.1</w:t>
        </w:r>
        <w:r>
          <w:rPr>
            <w:rFonts w:eastAsiaTheme="minorEastAsia"/>
            <w:noProof/>
            <w:spacing w:val="0"/>
            <w:sz w:val="22"/>
            <w:lang w:eastAsia="en-AU"/>
          </w:rPr>
          <w:tab/>
        </w:r>
        <w:r w:rsidRPr="002510C8">
          <w:rPr>
            <w:rStyle w:val="Hyperlink"/>
            <w:noProof/>
          </w:rPr>
          <w:t>Taxation</w:t>
        </w:r>
        <w:r>
          <w:rPr>
            <w:noProof/>
            <w:webHidden/>
          </w:rPr>
          <w:tab/>
        </w:r>
        <w:r>
          <w:rPr>
            <w:noProof/>
            <w:webHidden/>
          </w:rPr>
          <w:fldChar w:fldCharType="begin"/>
        </w:r>
        <w:r>
          <w:rPr>
            <w:noProof/>
            <w:webHidden/>
          </w:rPr>
          <w:instrText xml:space="preserve"> PAGEREF _Toc117172216 \h </w:instrText>
        </w:r>
        <w:r>
          <w:rPr>
            <w:noProof/>
            <w:webHidden/>
          </w:rPr>
        </w:r>
        <w:r>
          <w:rPr>
            <w:noProof/>
            <w:webHidden/>
          </w:rPr>
          <w:fldChar w:fldCharType="separate"/>
        </w:r>
        <w:r w:rsidR="00087BE6">
          <w:rPr>
            <w:noProof/>
            <w:webHidden/>
          </w:rPr>
          <w:t>42</w:t>
        </w:r>
        <w:r>
          <w:rPr>
            <w:noProof/>
            <w:webHidden/>
          </w:rPr>
          <w:fldChar w:fldCharType="end"/>
        </w:r>
      </w:hyperlink>
    </w:p>
    <w:p w14:paraId="44425DAC" w14:textId="7EC1DBC7" w:rsidR="00C424E5" w:rsidRDefault="00087BE6">
      <w:pPr>
        <w:pStyle w:val="TOC9"/>
        <w:rPr>
          <w:rFonts w:eastAsiaTheme="minorEastAsia"/>
          <w:noProof/>
          <w:spacing w:val="0"/>
          <w:sz w:val="22"/>
          <w:lang w:eastAsia="en-AU"/>
        </w:rPr>
      </w:pPr>
      <w:hyperlink w:anchor="_Toc117172217" w:history="1">
        <w:r w:rsidR="00C424E5" w:rsidRPr="002510C8">
          <w:rPr>
            <w:rStyle w:val="Hyperlink"/>
            <w:noProof/>
          </w:rPr>
          <w:t>3.2.2</w:t>
        </w:r>
        <w:r w:rsidR="00C424E5">
          <w:rPr>
            <w:rFonts w:eastAsiaTheme="minorEastAsia"/>
            <w:noProof/>
            <w:spacing w:val="0"/>
            <w:sz w:val="22"/>
            <w:lang w:eastAsia="en-AU"/>
          </w:rPr>
          <w:tab/>
        </w:r>
        <w:r w:rsidR="00C424E5" w:rsidRPr="002510C8">
          <w:rPr>
            <w:rStyle w:val="Hyperlink"/>
            <w:noProof/>
          </w:rPr>
          <w:t xml:space="preserve">Dividends, income tax equivalent </w:t>
        </w:r>
        <w:r w:rsidR="00C424E5">
          <w:rPr>
            <w:rStyle w:val="Hyperlink"/>
            <w:noProof/>
          </w:rPr>
          <w:br/>
        </w:r>
        <w:r w:rsidR="00C424E5" w:rsidRPr="002510C8">
          <w:rPr>
            <w:rStyle w:val="Hyperlink"/>
            <w:noProof/>
          </w:rPr>
          <w:t>and rate equivalent income</w:t>
        </w:r>
        <w:r w:rsidR="00C424E5">
          <w:rPr>
            <w:noProof/>
            <w:webHidden/>
          </w:rPr>
          <w:tab/>
        </w:r>
        <w:r w:rsidR="00C424E5">
          <w:rPr>
            <w:noProof/>
            <w:webHidden/>
          </w:rPr>
          <w:fldChar w:fldCharType="begin"/>
        </w:r>
        <w:r w:rsidR="00C424E5">
          <w:rPr>
            <w:noProof/>
            <w:webHidden/>
          </w:rPr>
          <w:instrText xml:space="preserve"> PAGEREF _Toc117172217 \h </w:instrText>
        </w:r>
        <w:r w:rsidR="00C424E5">
          <w:rPr>
            <w:noProof/>
            <w:webHidden/>
          </w:rPr>
        </w:r>
        <w:r w:rsidR="00C424E5">
          <w:rPr>
            <w:noProof/>
            <w:webHidden/>
          </w:rPr>
          <w:fldChar w:fldCharType="separate"/>
        </w:r>
        <w:r>
          <w:rPr>
            <w:noProof/>
            <w:webHidden/>
          </w:rPr>
          <w:t>43</w:t>
        </w:r>
        <w:r w:rsidR="00C424E5">
          <w:rPr>
            <w:noProof/>
            <w:webHidden/>
          </w:rPr>
          <w:fldChar w:fldCharType="end"/>
        </w:r>
      </w:hyperlink>
    </w:p>
    <w:p w14:paraId="411057CA" w14:textId="5C6B1194" w:rsidR="00C424E5" w:rsidRDefault="00087BE6">
      <w:pPr>
        <w:pStyle w:val="TOC9"/>
        <w:rPr>
          <w:rFonts w:eastAsiaTheme="minorEastAsia"/>
          <w:noProof/>
          <w:spacing w:val="0"/>
          <w:sz w:val="22"/>
          <w:lang w:eastAsia="en-AU"/>
        </w:rPr>
      </w:pPr>
      <w:hyperlink w:anchor="_Toc117172218" w:history="1">
        <w:r w:rsidR="00C424E5" w:rsidRPr="002510C8">
          <w:rPr>
            <w:rStyle w:val="Hyperlink"/>
            <w:noProof/>
          </w:rPr>
          <w:t>3.2.3</w:t>
        </w:r>
        <w:r w:rsidR="00C424E5">
          <w:rPr>
            <w:rFonts w:eastAsiaTheme="minorEastAsia"/>
            <w:noProof/>
            <w:spacing w:val="0"/>
            <w:sz w:val="22"/>
            <w:lang w:eastAsia="en-AU"/>
          </w:rPr>
          <w:tab/>
        </w:r>
        <w:r w:rsidR="00C424E5" w:rsidRPr="002510C8">
          <w:rPr>
            <w:rStyle w:val="Hyperlink"/>
            <w:noProof/>
          </w:rPr>
          <w:t>Sales of goods and services</w:t>
        </w:r>
        <w:r w:rsidR="00C424E5">
          <w:rPr>
            <w:noProof/>
            <w:webHidden/>
          </w:rPr>
          <w:tab/>
        </w:r>
        <w:r w:rsidR="00C424E5">
          <w:rPr>
            <w:noProof/>
            <w:webHidden/>
          </w:rPr>
          <w:fldChar w:fldCharType="begin"/>
        </w:r>
        <w:r w:rsidR="00C424E5">
          <w:rPr>
            <w:noProof/>
            <w:webHidden/>
          </w:rPr>
          <w:instrText xml:space="preserve"> PAGEREF _Toc117172218 \h </w:instrText>
        </w:r>
        <w:r w:rsidR="00C424E5">
          <w:rPr>
            <w:noProof/>
            <w:webHidden/>
          </w:rPr>
        </w:r>
        <w:r w:rsidR="00C424E5">
          <w:rPr>
            <w:noProof/>
            <w:webHidden/>
          </w:rPr>
          <w:fldChar w:fldCharType="separate"/>
        </w:r>
        <w:r>
          <w:rPr>
            <w:noProof/>
            <w:webHidden/>
          </w:rPr>
          <w:t>44</w:t>
        </w:r>
        <w:r w:rsidR="00C424E5">
          <w:rPr>
            <w:noProof/>
            <w:webHidden/>
          </w:rPr>
          <w:fldChar w:fldCharType="end"/>
        </w:r>
      </w:hyperlink>
    </w:p>
    <w:p w14:paraId="2B04C517" w14:textId="75D260FA" w:rsidR="00C424E5" w:rsidRDefault="00087BE6">
      <w:pPr>
        <w:pStyle w:val="TOC9"/>
        <w:rPr>
          <w:rFonts w:eastAsiaTheme="minorEastAsia"/>
          <w:noProof/>
          <w:spacing w:val="0"/>
          <w:sz w:val="22"/>
          <w:lang w:eastAsia="en-AU"/>
        </w:rPr>
      </w:pPr>
      <w:hyperlink w:anchor="_Toc117172219" w:history="1">
        <w:r w:rsidR="00C424E5" w:rsidRPr="002510C8">
          <w:rPr>
            <w:rStyle w:val="Hyperlink"/>
            <w:noProof/>
          </w:rPr>
          <w:t>3.2.4</w:t>
        </w:r>
        <w:r w:rsidR="00C424E5">
          <w:rPr>
            <w:rFonts w:eastAsiaTheme="minorEastAsia"/>
            <w:noProof/>
            <w:spacing w:val="0"/>
            <w:sz w:val="22"/>
            <w:lang w:eastAsia="en-AU"/>
          </w:rPr>
          <w:tab/>
        </w:r>
        <w:r w:rsidR="00C424E5" w:rsidRPr="002510C8">
          <w:rPr>
            <w:rStyle w:val="Hyperlink"/>
            <w:noProof/>
          </w:rPr>
          <w:t>Grants</w:t>
        </w:r>
        <w:r w:rsidR="00C424E5">
          <w:rPr>
            <w:noProof/>
            <w:webHidden/>
          </w:rPr>
          <w:tab/>
        </w:r>
        <w:r w:rsidR="00C424E5">
          <w:rPr>
            <w:noProof/>
            <w:webHidden/>
          </w:rPr>
          <w:fldChar w:fldCharType="begin"/>
        </w:r>
        <w:r w:rsidR="00C424E5">
          <w:rPr>
            <w:noProof/>
            <w:webHidden/>
          </w:rPr>
          <w:instrText xml:space="preserve"> PAGEREF _Toc117172219 \h </w:instrText>
        </w:r>
        <w:r w:rsidR="00C424E5">
          <w:rPr>
            <w:noProof/>
            <w:webHidden/>
          </w:rPr>
        </w:r>
        <w:r w:rsidR="00C424E5">
          <w:rPr>
            <w:noProof/>
            <w:webHidden/>
          </w:rPr>
          <w:fldChar w:fldCharType="separate"/>
        </w:r>
        <w:r>
          <w:rPr>
            <w:noProof/>
            <w:webHidden/>
          </w:rPr>
          <w:t>44</w:t>
        </w:r>
        <w:r w:rsidR="00C424E5">
          <w:rPr>
            <w:noProof/>
            <w:webHidden/>
          </w:rPr>
          <w:fldChar w:fldCharType="end"/>
        </w:r>
      </w:hyperlink>
    </w:p>
    <w:p w14:paraId="7109BBA0" w14:textId="6A62B239" w:rsidR="00C424E5" w:rsidRDefault="00087BE6">
      <w:pPr>
        <w:pStyle w:val="TOC9"/>
        <w:rPr>
          <w:rFonts w:eastAsiaTheme="minorEastAsia"/>
          <w:noProof/>
          <w:spacing w:val="0"/>
          <w:sz w:val="22"/>
          <w:lang w:eastAsia="en-AU"/>
        </w:rPr>
      </w:pPr>
      <w:hyperlink w:anchor="_Toc117172220" w:history="1">
        <w:r w:rsidR="00C424E5" w:rsidRPr="002510C8">
          <w:rPr>
            <w:rStyle w:val="Hyperlink"/>
            <w:noProof/>
          </w:rPr>
          <w:t>3.2.5</w:t>
        </w:r>
        <w:r w:rsidR="00C424E5">
          <w:rPr>
            <w:rFonts w:eastAsiaTheme="minorEastAsia"/>
            <w:noProof/>
            <w:spacing w:val="0"/>
            <w:sz w:val="22"/>
            <w:lang w:eastAsia="en-AU"/>
          </w:rPr>
          <w:tab/>
        </w:r>
        <w:r w:rsidR="00C424E5" w:rsidRPr="002510C8">
          <w:rPr>
            <w:rStyle w:val="Hyperlink"/>
            <w:noProof/>
          </w:rPr>
          <w:t>Other revenue and income</w:t>
        </w:r>
        <w:r w:rsidR="00C424E5">
          <w:rPr>
            <w:noProof/>
            <w:webHidden/>
          </w:rPr>
          <w:tab/>
        </w:r>
        <w:r w:rsidR="00C424E5">
          <w:rPr>
            <w:noProof/>
            <w:webHidden/>
          </w:rPr>
          <w:fldChar w:fldCharType="begin"/>
        </w:r>
        <w:r w:rsidR="00C424E5">
          <w:rPr>
            <w:noProof/>
            <w:webHidden/>
          </w:rPr>
          <w:instrText xml:space="preserve"> PAGEREF _Toc117172220 \h </w:instrText>
        </w:r>
        <w:r w:rsidR="00C424E5">
          <w:rPr>
            <w:noProof/>
            <w:webHidden/>
          </w:rPr>
        </w:r>
        <w:r w:rsidR="00C424E5">
          <w:rPr>
            <w:noProof/>
            <w:webHidden/>
          </w:rPr>
          <w:fldChar w:fldCharType="separate"/>
        </w:r>
        <w:r>
          <w:rPr>
            <w:noProof/>
            <w:webHidden/>
          </w:rPr>
          <w:t>45</w:t>
        </w:r>
        <w:r w:rsidR="00C424E5">
          <w:rPr>
            <w:noProof/>
            <w:webHidden/>
          </w:rPr>
          <w:fldChar w:fldCharType="end"/>
        </w:r>
      </w:hyperlink>
    </w:p>
    <w:p w14:paraId="1D6FD2C7" w14:textId="77777777" w:rsidR="00C424E5" w:rsidRDefault="00C424E5" w:rsidP="006206EF">
      <w:r>
        <w:rPr>
          <w:b/>
          <w:bCs/>
          <w:noProof/>
          <w:lang w:val="en-US"/>
        </w:rPr>
        <w:fldChar w:fldCharType="end"/>
      </w:r>
    </w:p>
    <w:p w14:paraId="65F5D443" w14:textId="77777777" w:rsidR="00C424E5" w:rsidRDefault="00C424E5" w:rsidP="006206EF">
      <w:r>
        <w:br w:type="page"/>
      </w:r>
    </w:p>
    <w:p w14:paraId="22DD027B" w14:textId="77777777" w:rsidR="00C424E5" w:rsidRDefault="00C424E5" w:rsidP="006206EF">
      <w:pPr>
        <w:sectPr w:rsidR="00C424E5" w:rsidSect="001D2C42">
          <w:type w:val="continuous"/>
          <w:pgSz w:w="9979" w:h="14175" w:code="9"/>
          <w:pgMar w:top="1134" w:right="1134" w:bottom="1134" w:left="1134" w:header="624" w:footer="567" w:gutter="0"/>
          <w:cols w:num="2" w:space="708"/>
          <w:titlePg/>
          <w:docGrid w:linePitch="360"/>
        </w:sectPr>
      </w:pPr>
    </w:p>
    <w:p w14:paraId="13B4F0FE" w14:textId="77777777" w:rsidR="00C424E5" w:rsidRDefault="00C424E5" w:rsidP="006206EF">
      <w:pPr>
        <w:pStyle w:val="Heading3"/>
        <w:spacing w:before="0" w:after="60"/>
        <w:rPr>
          <w:sz w:val="20"/>
          <w:szCs w:val="20"/>
        </w:rPr>
      </w:pPr>
      <w:bookmarkStart w:id="50" w:name="_Toc85010020"/>
      <w:bookmarkStart w:id="51" w:name="_Toc117172216"/>
      <w:bookmarkStart w:id="52" w:name="Section_2"/>
      <w:r w:rsidRPr="00953777">
        <w:rPr>
          <w:sz w:val="21"/>
          <w:szCs w:val="21"/>
        </w:rPr>
        <w:lastRenderedPageBreak/>
        <w:t xml:space="preserve">Taxation </w:t>
      </w:r>
      <w:r w:rsidRPr="00FF6C61">
        <w:rPr>
          <w:sz w:val="20"/>
          <w:szCs w:val="20"/>
        </w:rPr>
        <w:tab/>
        <w:t>($ million)</w:t>
      </w:r>
      <w:bookmarkEnd w:id="50"/>
      <w:bookmarkEnd w:id="51"/>
    </w:p>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925B88" w14:paraId="5E831648" w14:textId="77777777" w:rsidTr="00A836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1F8DFE9E" w14:textId="505093E8" w:rsidR="00925B88" w:rsidRDefault="00925B88"/>
        </w:tc>
        <w:tc>
          <w:tcPr>
            <w:tcW w:w="794" w:type="dxa"/>
          </w:tcPr>
          <w:p w14:paraId="256DABAC" w14:textId="3F7FA9FC" w:rsidR="00925B88" w:rsidRDefault="00925B88" w:rsidP="00F53B7F">
            <w:pPr>
              <w:cnfStyle w:val="100000000000" w:firstRow="1" w:lastRow="0" w:firstColumn="0" w:lastColumn="0" w:oddVBand="0" w:evenVBand="0" w:oddHBand="0" w:evenHBand="0" w:firstRowFirstColumn="0" w:firstRowLastColumn="0" w:lastRowFirstColumn="0" w:lastRowLastColumn="0"/>
            </w:pPr>
            <w:r>
              <w:t>2022</w:t>
            </w:r>
            <w:r>
              <w:noBreakHyphen/>
              <w:t>23</w:t>
            </w:r>
            <w:r w:rsidR="00F70B1C">
              <w:rPr>
                <w:i w:val="0"/>
              </w:rPr>
              <w:br/>
            </w:r>
            <w:r>
              <w:t>budget</w:t>
            </w:r>
          </w:p>
        </w:tc>
        <w:tc>
          <w:tcPr>
            <w:tcW w:w="794" w:type="dxa"/>
          </w:tcPr>
          <w:p w14:paraId="7B5FA8C4" w14:textId="2EED82BF" w:rsidR="00925B88" w:rsidRDefault="00925B88" w:rsidP="00E445BE">
            <w:pPr>
              <w:cnfStyle w:val="100000000000" w:firstRow="1" w:lastRow="0" w:firstColumn="0" w:lastColumn="0" w:oddVBand="0" w:evenVBand="0" w:oddHBand="0" w:evenHBand="0" w:firstRowFirstColumn="0" w:firstRowLastColumn="0" w:lastRowFirstColumn="0" w:lastRowLastColumn="0"/>
            </w:pPr>
            <w:r>
              <w:t>2022</w:t>
            </w:r>
            <w:r>
              <w:noBreakHyphen/>
              <w:t>23</w:t>
            </w:r>
            <w:r w:rsidR="00F70B1C">
              <w:rPr>
                <w:i w:val="0"/>
              </w:rPr>
              <w:br/>
            </w:r>
            <w:r>
              <w:t>revised</w:t>
            </w:r>
          </w:p>
        </w:tc>
        <w:tc>
          <w:tcPr>
            <w:tcW w:w="794" w:type="dxa"/>
          </w:tcPr>
          <w:p w14:paraId="1FDA6BC1" w14:textId="4DA06BA0" w:rsidR="00925B88" w:rsidRDefault="00925B88" w:rsidP="000A14CF">
            <w:pPr>
              <w:cnfStyle w:val="100000000000" w:firstRow="1" w:lastRow="0" w:firstColumn="0" w:lastColumn="0" w:oddVBand="0" w:evenVBand="0" w:oddHBand="0" w:evenHBand="0" w:firstRowFirstColumn="0" w:firstRowLastColumn="0" w:lastRowFirstColumn="0" w:lastRowLastColumn="0"/>
            </w:pPr>
            <w:r>
              <w:t>2023</w:t>
            </w:r>
            <w:r>
              <w:noBreakHyphen/>
              <w:t>24</w:t>
            </w:r>
            <w:r w:rsidR="00F70B1C">
              <w:rPr>
                <w:i w:val="0"/>
              </w:rPr>
              <w:br/>
            </w:r>
            <w:r>
              <w:t>estimate</w:t>
            </w:r>
          </w:p>
        </w:tc>
        <w:tc>
          <w:tcPr>
            <w:tcW w:w="794" w:type="dxa"/>
          </w:tcPr>
          <w:p w14:paraId="19648B08" w14:textId="269AF69C" w:rsidR="00925B88" w:rsidRDefault="00925B88" w:rsidP="00986C15">
            <w:pPr>
              <w:cnfStyle w:val="100000000000" w:firstRow="1" w:lastRow="0" w:firstColumn="0" w:lastColumn="0" w:oddVBand="0" w:evenVBand="0" w:oddHBand="0" w:evenHBand="0" w:firstRowFirstColumn="0" w:firstRowLastColumn="0" w:lastRowFirstColumn="0" w:lastRowLastColumn="0"/>
            </w:pPr>
            <w:r>
              <w:t>2024</w:t>
            </w:r>
            <w:r>
              <w:noBreakHyphen/>
              <w:t>25</w:t>
            </w:r>
            <w:r w:rsidR="00F70B1C">
              <w:rPr>
                <w:i w:val="0"/>
              </w:rPr>
              <w:br/>
            </w:r>
            <w:r>
              <w:t>estimate</w:t>
            </w:r>
          </w:p>
        </w:tc>
        <w:tc>
          <w:tcPr>
            <w:tcW w:w="794" w:type="dxa"/>
          </w:tcPr>
          <w:p w14:paraId="4136630F" w14:textId="175D0037" w:rsidR="00925B88" w:rsidRDefault="00925B88" w:rsidP="00EF37D4">
            <w:pPr>
              <w:cnfStyle w:val="100000000000" w:firstRow="1" w:lastRow="0" w:firstColumn="0" w:lastColumn="0" w:oddVBand="0" w:evenVBand="0" w:oddHBand="0" w:evenHBand="0" w:firstRowFirstColumn="0" w:firstRowLastColumn="0" w:lastRowFirstColumn="0" w:lastRowLastColumn="0"/>
            </w:pPr>
            <w:r>
              <w:t>2025</w:t>
            </w:r>
            <w:r>
              <w:noBreakHyphen/>
              <w:t>26</w:t>
            </w:r>
            <w:r w:rsidR="00F70B1C">
              <w:rPr>
                <w:i w:val="0"/>
              </w:rPr>
              <w:br/>
            </w:r>
            <w:r>
              <w:t>estimate</w:t>
            </w:r>
          </w:p>
        </w:tc>
      </w:tr>
      <w:tr w:rsidR="00C424E5" w14:paraId="1756643A" w14:textId="77777777">
        <w:tc>
          <w:tcPr>
            <w:cnfStyle w:val="001000000000" w:firstRow="0" w:lastRow="0" w:firstColumn="1" w:lastColumn="0" w:oddVBand="0" w:evenVBand="0" w:oddHBand="0" w:evenHBand="0" w:firstRowFirstColumn="0" w:firstRowLastColumn="0" w:lastRowFirstColumn="0" w:lastRowLastColumn="0"/>
            <w:tcW w:w="3740" w:type="dxa"/>
          </w:tcPr>
          <w:p w14:paraId="65C7ADCC" w14:textId="77777777" w:rsidR="00C424E5" w:rsidRDefault="00C424E5">
            <w:r>
              <w:rPr>
                <w:b/>
              </w:rPr>
              <w:t>Taxes on employers’ payroll and labour force</w:t>
            </w:r>
          </w:p>
        </w:tc>
        <w:tc>
          <w:tcPr>
            <w:tcW w:w="794" w:type="dxa"/>
          </w:tcPr>
          <w:p w14:paraId="386345C7"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5378A587"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56731BC3"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18FCDB03"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376ACD65"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4327C053" w14:textId="77777777">
        <w:tc>
          <w:tcPr>
            <w:cnfStyle w:val="001000000000" w:firstRow="0" w:lastRow="0" w:firstColumn="1" w:lastColumn="0" w:oddVBand="0" w:evenVBand="0" w:oddHBand="0" w:evenHBand="0" w:firstRowFirstColumn="0" w:firstRowLastColumn="0" w:lastRowFirstColumn="0" w:lastRowLastColumn="0"/>
            <w:tcW w:w="3740" w:type="dxa"/>
          </w:tcPr>
          <w:p w14:paraId="684FB1F3" w14:textId="77777777" w:rsidR="00C424E5" w:rsidRDefault="00C424E5">
            <w:r>
              <w:t>Payroll tax</w:t>
            </w:r>
          </w:p>
        </w:tc>
        <w:tc>
          <w:tcPr>
            <w:tcW w:w="794" w:type="dxa"/>
          </w:tcPr>
          <w:p w14:paraId="546AAFE9" w14:textId="77777777" w:rsidR="00C424E5" w:rsidRDefault="00C424E5">
            <w:pPr>
              <w:cnfStyle w:val="000000000000" w:firstRow="0" w:lastRow="0" w:firstColumn="0" w:lastColumn="0" w:oddVBand="0" w:evenVBand="0" w:oddHBand="0" w:evenHBand="0" w:firstRowFirstColumn="0" w:firstRowLastColumn="0" w:lastRowFirstColumn="0" w:lastRowLastColumn="0"/>
            </w:pPr>
            <w:r>
              <w:t>6 815</w:t>
            </w:r>
          </w:p>
        </w:tc>
        <w:tc>
          <w:tcPr>
            <w:tcW w:w="794" w:type="dxa"/>
          </w:tcPr>
          <w:p w14:paraId="1BEB686B" w14:textId="77777777" w:rsidR="00C424E5" w:rsidRDefault="00C424E5">
            <w:pPr>
              <w:cnfStyle w:val="000000000000" w:firstRow="0" w:lastRow="0" w:firstColumn="0" w:lastColumn="0" w:oddVBand="0" w:evenVBand="0" w:oddHBand="0" w:evenHBand="0" w:firstRowFirstColumn="0" w:firstRowLastColumn="0" w:lastRowFirstColumn="0" w:lastRowLastColumn="0"/>
            </w:pPr>
            <w:r>
              <w:t>7 145</w:t>
            </w:r>
          </w:p>
        </w:tc>
        <w:tc>
          <w:tcPr>
            <w:tcW w:w="794" w:type="dxa"/>
          </w:tcPr>
          <w:p w14:paraId="3111A47E" w14:textId="77777777" w:rsidR="00C424E5" w:rsidRDefault="00C424E5">
            <w:pPr>
              <w:cnfStyle w:val="000000000000" w:firstRow="0" w:lastRow="0" w:firstColumn="0" w:lastColumn="0" w:oddVBand="0" w:evenVBand="0" w:oddHBand="0" w:evenHBand="0" w:firstRowFirstColumn="0" w:firstRowLastColumn="0" w:lastRowFirstColumn="0" w:lastRowLastColumn="0"/>
            </w:pPr>
            <w:r>
              <w:t>7 809</w:t>
            </w:r>
          </w:p>
        </w:tc>
        <w:tc>
          <w:tcPr>
            <w:tcW w:w="794" w:type="dxa"/>
          </w:tcPr>
          <w:p w14:paraId="0CE04487" w14:textId="77777777" w:rsidR="00C424E5" w:rsidRDefault="00C424E5">
            <w:pPr>
              <w:cnfStyle w:val="000000000000" w:firstRow="0" w:lastRow="0" w:firstColumn="0" w:lastColumn="0" w:oddVBand="0" w:evenVBand="0" w:oddHBand="0" w:evenHBand="0" w:firstRowFirstColumn="0" w:firstRowLastColumn="0" w:lastRowFirstColumn="0" w:lastRowLastColumn="0"/>
            </w:pPr>
            <w:r>
              <w:t>8 134</w:t>
            </w:r>
          </w:p>
        </w:tc>
        <w:tc>
          <w:tcPr>
            <w:tcW w:w="794" w:type="dxa"/>
          </w:tcPr>
          <w:p w14:paraId="12B19EDA" w14:textId="77777777" w:rsidR="00C424E5" w:rsidRDefault="00C424E5">
            <w:pPr>
              <w:cnfStyle w:val="000000000000" w:firstRow="0" w:lastRow="0" w:firstColumn="0" w:lastColumn="0" w:oddVBand="0" w:evenVBand="0" w:oddHBand="0" w:evenHBand="0" w:firstRowFirstColumn="0" w:firstRowLastColumn="0" w:lastRowFirstColumn="0" w:lastRowLastColumn="0"/>
            </w:pPr>
            <w:r>
              <w:t>8 526</w:t>
            </w:r>
          </w:p>
        </w:tc>
      </w:tr>
      <w:tr w:rsidR="00C424E5" w14:paraId="025735FB"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670A13A8" w14:textId="77777777" w:rsidR="00C424E5" w:rsidRDefault="00C424E5">
            <w:r>
              <w:t>Mental Health and Wellbeing Levy</w:t>
            </w:r>
          </w:p>
        </w:tc>
        <w:tc>
          <w:tcPr>
            <w:tcW w:w="794" w:type="dxa"/>
            <w:tcBorders>
              <w:bottom w:val="single" w:sz="6" w:space="0" w:color="auto"/>
            </w:tcBorders>
          </w:tcPr>
          <w:p w14:paraId="08A0F644" w14:textId="77777777" w:rsidR="00C424E5" w:rsidRDefault="00C424E5">
            <w:pPr>
              <w:cnfStyle w:val="000000000000" w:firstRow="0" w:lastRow="0" w:firstColumn="0" w:lastColumn="0" w:oddVBand="0" w:evenVBand="0" w:oddHBand="0" w:evenHBand="0" w:firstRowFirstColumn="0" w:firstRowLastColumn="0" w:lastRowFirstColumn="0" w:lastRowLastColumn="0"/>
            </w:pPr>
            <w:r>
              <w:t>819</w:t>
            </w:r>
          </w:p>
        </w:tc>
        <w:tc>
          <w:tcPr>
            <w:tcW w:w="794" w:type="dxa"/>
            <w:tcBorders>
              <w:bottom w:val="single" w:sz="6" w:space="0" w:color="auto"/>
            </w:tcBorders>
          </w:tcPr>
          <w:p w14:paraId="22144734" w14:textId="77777777" w:rsidR="00C424E5" w:rsidRDefault="00C424E5">
            <w:pPr>
              <w:cnfStyle w:val="000000000000" w:firstRow="0" w:lastRow="0" w:firstColumn="0" w:lastColumn="0" w:oddVBand="0" w:evenVBand="0" w:oddHBand="0" w:evenHBand="0" w:firstRowFirstColumn="0" w:firstRowLastColumn="0" w:lastRowFirstColumn="0" w:lastRowLastColumn="0"/>
            </w:pPr>
            <w:r>
              <w:t>858</w:t>
            </w:r>
          </w:p>
        </w:tc>
        <w:tc>
          <w:tcPr>
            <w:tcW w:w="794" w:type="dxa"/>
            <w:tcBorders>
              <w:bottom w:val="single" w:sz="6" w:space="0" w:color="auto"/>
            </w:tcBorders>
          </w:tcPr>
          <w:p w14:paraId="7EFC47B7" w14:textId="77777777" w:rsidR="00C424E5" w:rsidRDefault="00C424E5">
            <w:pPr>
              <w:cnfStyle w:val="000000000000" w:firstRow="0" w:lastRow="0" w:firstColumn="0" w:lastColumn="0" w:oddVBand="0" w:evenVBand="0" w:oddHBand="0" w:evenHBand="0" w:firstRowFirstColumn="0" w:firstRowLastColumn="0" w:lastRowFirstColumn="0" w:lastRowLastColumn="0"/>
            </w:pPr>
            <w:r>
              <w:t>893</w:t>
            </w:r>
          </w:p>
        </w:tc>
        <w:tc>
          <w:tcPr>
            <w:tcW w:w="794" w:type="dxa"/>
            <w:tcBorders>
              <w:bottom w:val="single" w:sz="6" w:space="0" w:color="auto"/>
            </w:tcBorders>
          </w:tcPr>
          <w:p w14:paraId="2F582FAB" w14:textId="77777777" w:rsidR="00C424E5" w:rsidRDefault="00C424E5">
            <w:pPr>
              <w:cnfStyle w:val="000000000000" w:firstRow="0" w:lastRow="0" w:firstColumn="0" w:lastColumn="0" w:oddVBand="0" w:evenVBand="0" w:oddHBand="0" w:evenHBand="0" w:firstRowFirstColumn="0" w:firstRowLastColumn="0" w:lastRowFirstColumn="0" w:lastRowLastColumn="0"/>
            </w:pPr>
            <w:r>
              <w:t>936</w:t>
            </w:r>
          </w:p>
        </w:tc>
        <w:tc>
          <w:tcPr>
            <w:tcW w:w="794" w:type="dxa"/>
            <w:tcBorders>
              <w:bottom w:val="single" w:sz="6" w:space="0" w:color="auto"/>
            </w:tcBorders>
          </w:tcPr>
          <w:p w14:paraId="65297415" w14:textId="77777777" w:rsidR="00C424E5" w:rsidRDefault="00C424E5">
            <w:pPr>
              <w:cnfStyle w:val="000000000000" w:firstRow="0" w:lastRow="0" w:firstColumn="0" w:lastColumn="0" w:oddVBand="0" w:evenVBand="0" w:oddHBand="0" w:evenHBand="0" w:firstRowFirstColumn="0" w:firstRowLastColumn="0" w:lastRowFirstColumn="0" w:lastRowLastColumn="0"/>
            </w:pPr>
            <w:r>
              <w:t>985</w:t>
            </w:r>
          </w:p>
        </w:tc>
      </w:tr>
      <w:tr w:rsidR="00C424E5" w14:paraId="443223B5"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66BE8452" w14:textId="77777777" w:rsidR="00C424E5" w:rsidRDefault="00C424E5">
            <w:r>
              <w:rPr>
                <w:b/>
              </w:rPr>
              <w:t>Total taxes on employers’ payroll and labour force</w:t>
            </w:r>
          </w:p>
        </w:tc>
        <w:tc>
          <w:tcPr>
            <w:tcW w:w="794" w:type="dxa"/>
            <w:tcBorders>
              <w:top w:val="single" w:sz="6" w:space="0" w:color="auto"/>
              <w:bottom w:val="single" w:sz="6" w:space="0" w:color="auto"/>
            </w:tcBorders>
          </w:tcPr>
          <w:p w14:paraId="35E72917"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7 634</w:t>
            </w:r>
          </w:p>
        </w:tc>
        <w:tc>
          <w:tcPr>
            <w:tcW w:w="794" w:type="dxa"/>
            <w:tcBorders>
              <w:top w:val="single" w:sz="6" w:space="0" w:color="auto"/>
              <w:bottom w:val="single" w:sz="6" w:space="0" w:color="auto"/>
            </w:tcBorders>
          </w:tcPr>
          <w:p w14:paraId="00202609"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8 003</w:t>
            </w:r>
          </w:p>
        </w:tc>
        <w:tc>
          <w:tcPr>
            <w:tcW w:w="794" w:type="dxa"/>
            <w:tcBorders>
              <w:top w:val="single" w:sz="6" w:space="0" w:color="auto"/>
              <w:bottom w:val="single" w:sz="6" w:space="0" w:color="auto"/>
            </w:tcBorders>
          </w:tcPr>
          <w:p w14:paraId="6C5FD01A"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8 702</w:t>
            </w:r>
          </w:p>
        </w:tc>
        <w:tc>
          <w:tcPr>
            <w:tcW w:w="794" w:type="dxa"/>
            <w:tcBorders>
              <w:top w:val="single" w:sz="6" w:space="0" w:color="auto"/>
              <w:bottom w:val="single" w:sz="6" w:space="0" w:color="auto"/>
            </w:tcBorders>
          </w:tcPr>
          <w:p w14:paraId="32BF756D"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9 070</w:t>
            </w:r>
          </w:p>
        </w:tc>
        <w:tc>
          <w:tcPr>
            <w:tcW w:w="794" w:type="dxa"/>
            <w:tcBorders>
              <w:top w:val="single" w:sz="6" w:space="0" w:color="auto"/>
              <w:bottom w:val="single" w:sz="6" w:space="0" w:color="auto"/>
            </w:tcBorders>
          </w:tcPr>
          <w:p w14:paraId="7608A1BF"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9 511</w:t>
            </w:r>
          </w:p>
        </w:tc>
      </w:tr>
      <w:tr w:rsidR="00C424E5" w14:paraId="345CAABE"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5290B264" w14:textId="77777777" w:rsidR="00C424E5" w:rsidRDefault="00C424E5">
            <w:r>
              <w:rPr>
                <w:b/>
              </w:rPr>
              <w:t>Taxes on immovable property</w:t>
            </w:r>
          </w:p>
        </w:tc>
        <w:tc>
          <w:tcPr>
            <w:tcW w:w="794" w:type="dxa"/>
            <w:tcBorders>
              <w:top w:val="single" w:sz="6" w:space="0" w:color="auto"/>
            </w:tcBorders>
          </w:tcPr>
          <w:p w14:paraId="141885CA"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0BD15999"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966F36F"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D95D3A5"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7E5578D"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3B1EEBED" w14:textId="77777777">
        <w:tc>
          <w:tcPr>
            <w:cnfStyle w:val="001000000000" w:firstRow="0" w:lastRow="0" w:firstColumn="1" w:lastColumn="0" w:oddVBand="0" w:evenVBand="0" w:oddHBand="0" w:evenHBand="0" w:firstRowFirstColumn="0" w:firstRowLastColumn="0" w:lastRowFirstColumn="0" w:lastRowLastColumn="0"/>
            <w:tcW w:w="3740" w:type="dxa"/>
          </w:tcPr>
          <w:p w14:paraId="620F11DD" w14:textId="77777777" w:rsidR="00C424E5" w:rsidRDefault="00C424E5">
            <w:r>
              <w:t>Land tax</w:t>
            </w:r>
          </w:p>
        </w:tc>
        <w:tc>
          <w:tcPr>
            <w:tcW w:w="794" w:type="dxa"/>
          </w:tcPr>
          <w:p w14:paraId="772D3921" w14:textId="77777777" w:rsidR="00C424E5" w:rsidRDefault="00C424E5">
            <w:pPr>
              <w:cnfStyle w:val="000000000000" w:firstRow="0" w:lastRow="0" w:firstColumn="0" w:lastColumn="0" w:oddVBand="0" w:evenVBand="0" w:oddHBand="0" w:evenHBand="0" w:firstRowFirstColumn="0" w:firstRowLastColumn="0" w:lastRowFirstColumn="0" w:lastRowLastColumn="0"/>
            </w:pPr>
            <w:r>
              <w:t>4 836</w:t>
            </w:r>
          </w:p>
        </w:tc>
        <w:tc>
          <w:tcPr>
            <w:tcW w:w="794" w:type="dxa"/>
          </w:tcPr>
          <w:p w14:paraId="1CF58BC5" w14:textId="77777777" w:rsidR="00C424E5" w:rsidRDefault="00C424E5">
            <w:pPr>
              <w:cnfStyle w:val="000000000000" w:firstRow="0" w:lastRow="0" w:firstColumn="0" w:lastColumn="0" w:oddVBand="0" w:evenVBand="0" w:oddHBand="0" w:evenHBand="0" w:firstRowFirstColumn="0" w:firstRowLastColumn="0" w:lastRowFirstColumn="0" w:lastRowLastColumn="0"/>
            </w:pPr>
            <w:r>
              <w:t>5 158</w:t>
            </w:r>
          </w:p>
        </w:tc>
        <w:tc>
          <w:tcPr>
            <w:tcW w:w="794" w:type="dxa"/>
          </w:tcPr>
          <w:p w14:paraId="12FFC3E2" w14:textId="77777777" w:rsidR="00C424E5" w:rsidRDefault="00C424E5">
            <w:pPr>
              <w:cnfStyle w:val="000000000000" w:firstRow="0" w:lastRow="0" w:firstColumn="0" w:lastColumn="0" w:oddVBand="0" w:evenVBand="0" w:oddHBand="0" w:evenHBand="0" w:firstRowFirstColumn="0" w:firstRowLastColumn="0" w:lastRowFirstColumn="0" w:lastRowLastColumn="0"/>
            </w:pPr>
            <w:r>
              <w:t>5 217</w:t>
            </w:r>
          </w:p>
        </w:tc>
        <w:tc>
          <w:tcPr>
            <w:tcW w:w="794" w:type="dxa"/>
          </w:tcPr>
          <w:p w14:paraId="790A7B3B" w14:textId="77777777" w:rsidR="00C424E5" w:rsidRDefault="00C424E5">
            <w:pPr>
              <w:cnfStyle w:val="000000000000" w:firstRow="0" w:lastRow="0" w:firstColumn="0" w:lastColumn="0" w:oddVBand="0" w:evenVBand="0" w:oddHBand="0" w:evenHBand="0" w:firstRowFirstColumn="0" w:firstRowLastColumn="0" w:lastRowFirstColumn="0" w:lastRowLastColumn="0"/>
            </w:pPr>
            <w:r>
              <w:t>5 398</w:t>
            </w:r>
          </w:p>
        </w:tc>
        <w:tc>
          <w:tcPr>
            <w:tcW w:w="794" w:type="dxa"/>
          </w:tcPr>
          <w:p w14:paraId="2226873D" w14:textId="77777777" w:rsidR="00C424E5" w:rsidRDefault="00C424E5">
            <w:pPr>
              <w:cnfStyle w:val="000000000000" w:firstRow="0" w:lastRow="0" w:firstColumn="0" w:lastColumn="0" w:oddVBand="0" w:evenVBand="0" w:oddHBand="0" w:evenHBand="0" w:firstRowFirstColumn="0" w:firstRowLastColumn="0" w:lastRowFirstColumn="0" w:lastRowLastColumn="0"/>
            </w:pPr>
            <w:r>
              <w:t>5 868</w:t>
            </w:r>
          </w:p>
        </w:tc>
      </w:tr>
      <w:tr w:rsidR="00C424E5" w14:paraId="038693FD" w14:textId="77777777">
        <w:tc>
          <w:tcPr>
            <w:cnfStyle w:val="001000000000" w:firstRow="0" w:lastRow="0" w:firstColumn="1" w:lastColumn="0" w:oddVBand="0" w:evenVBand="0" w:oddHBand="0" w:evenHBand="0" w:firstRowFirstColumn="0" w:firstRowLastColumn="0" w:lastRowFirstColumn="0" w:lastRowLastColumn="0"/>
            <w:tcW w:w="3740" w:type="dxa"/>
          </w:tcPr>
          <w:p w14:paraId="2C4DC8DA" w14:textId="77777777" w:rsidR="00C424E5" w:rsidRDefault="00C424E5">
            <w:r>
              <w:t>Fire Services Property Levy</w:t>
            </w:r>
          </w:p>
        </w:tc>
        <w:tc>
          <w:tcPr>
            <w:tcW w:w="794" w:type="dxa"/>
          </w:tcPr>
          <w:p w14:paraId="3F1F204C" w14:textId="77777777" w:rsidR="00C424E5" w:rsidRDefault="00C424E5">
            <w:pPr>
              <w:cnfStyle w:val="000000000000" w:firstRow="0" w:lastRow="0" w:firstColumn="0" w:lastColumn="0" w:oddVBand="0" w:evenVBand="0" w:oddHBand="0" w:evenHBand="0" w:firstRowFirstColumn="0" w:firstRowLastColumn="0" w:lastRowFirstColumn="0" w:lastRowLastColumn="0"/>
            </w:pPr>
            <w:r>
              <w:t>800</w:t>
            </w:r>
          </w:p>
        </w:tc>
        <w:tc>
          <w:tcPr>
            <w:tcW w:w="794" w:type="dxa"/>
          </w:tcPr>
          <w:p w14:paraId="2826D9EE" w14:textId="77777777" w:rsidR="00C424E5" w:rsidRDefault="00C424E5">
            <w:pPr>
              <w:cnfStyle w:val="000000000000" w:firstRow="0" w:lastRow="0" w:firstColumn="0" w:lastColumn="0" w:oddVBand="0" w:evenVBand="0" w:oddHBand="0" w:evenHBand="0" w:firstRowFirstColumn="0" w:firstRowLastColumn="0" w:lastRowFirstColumn="0" w:lastRowLastColumn="0"/>
            </w:pPr>
            <w:r>
              <w:t>800</w:t>
            </w:r>
          </w:p>
        </w:tc>
        <w:tc>
          <w:tcPr>
            <w:tcW w:w="794" w:type="dxa"/>
          </w:tcPr>
          <w:p w14:paraId="75833C86" w14:textId="77777777" w:rsidR="00C424E5" w:rsidRDefault="00C424E5">
            <w:pPr>
              <w:cnfStyle w:val="000000000000" w:firstRow="0" w:lastRow="0" w:firstColumn="0" w:lastColumn="0" w:oddVBand="0" w:evenVBand="0" w:oddHBand="0" w:evenHBand="0" w:firstRowFirstColumn="0" w:firstRowLastColumn="0" w:lastRowFirstColumn="0" w:lastRowLastColumn="0"/>
            </w:pPr>
            <w:r>
              <w:t>839</w:t>
            </w:r>
          </w:p>
        </w:tc>
        <w:tc>
          <w:tcPr>
            <w:tcW w:w="794" w:type="dxa"/>
          </w:tcPr>
          <w:p w14:paraId="46B5E24E" w14:textId="77777777" w:rsidR="00C424E5" w:rsidRDefault="00C424E5">
            <w:pPr>
              <w:cnfStyle w:val="000000000000" w:firstRow="0" w:lastRow="0" w:firstColumn="0" w:lastColumn="0" w:oddVBand="0" w:evenVBand="0" w:oddHBand="0" w:evenHBand="0" w:firstRowFirstColumn="0" w:firstRowLastColumn="0" w:lastRowFirstColumn="0" w:lastRowLastColumn="0"/>
            </w:pPr>
            <w:r>
              <w:t>873</w:t>
            </w:r>
          </w:p>
        </w:tc>
        <w:tc>
          <w:tcPr>
            <w:tcW w:w="794" w:type="dxa"/>
          </w:tcPr>
          <w:p w14:paraId="4AB7AD77" w14:textId="77777777" w:rsidR="00C424E5" w:rsidRDefault="00C424E5">
            <w:pPr>
              <w:cnfStyle w:val="000000000000" w:firstRow="0" w:lastRow="0" w:firstColumn="0" w:lastColumn="0" w:oddVBand="0" w:evenVBand="0" w:oddHBand="0" w:evenHBand="0" w:firstRowFirstColumn="0" w:firstRowLastColumn="0" w:lastRowFirstColumn="0" w:lastRowLastColumn="0"/>
            </w:pPr>
            <w:r>
              <w:t>895</w:t>
            </w:r>
          </w:p>
        </w:tc>
      </w:tr>
      <w:tr w:rsidR="00C424E5" w14:paraId="31B62B9A" w14:textId="77777777">
        <w:tc>
          <w:tcPr>
            <w:cnfStyle w:val="001000000000" w:firstRow="0" w:lastRow="0" w:firstColumn="1" w:lastColumn="0" w:oddVBand="0" w:evenVBand="0" w:oddHBand="0" w:evenHBand="0" w:firstRowFirstColumn="0" w:firstRowLastColumn="0" w:lastRowFirstColumn="0" w:lastRowLastColumn="0"/>
            <w:tcW w:w="3740" w:type="dxa"/>
          </w:tcPr>
          <w:p w14:paraId="5CE7F7A6" w14:textId="77777777" w:rsidR="00C424E5" w:rsidRDefault="00C424E5">
            <w:r>
              <w:t>Congestion levy</w:t>
            </w:r>
          </w:p>
        </w:tc>
        <w:tc>
          <w:tcPr>
            <w:tcW w:w="794" w:type="dxa"/>
          </w:tcPr>
          <w:p w14:paraId="4A14719F" w14:textId="77777777" w:rsidR="00C424E5" w:rsidRDefault="00C424E5">
            <w:pPr>
              <w:cnfStyle w:val="000000000000" w:firstRow="0" w:lastRow="0" w:firstColumn="0" w:lastColumn="0" w:oddVBand="0" w:evenVBand="0" w:oddHBand="0" w:evenHBand="0" w:firstRowFirstColumn="0" w:firstRowLastColumn="0" w:lastRowFirstColumn="0" w:lastRowLastColumn="0"/>
            </w:pPr>
            <w:r>
              <w:t>108</w:t>
            </w:r>
          </w:p>
        </w:tc>
        <w:tc>
          <w:tcPr>
            <w:tcW w:w="794" w:type="dxa"/>
          </w:tcPr>
          <w:p w14:paraId="0D57C432" w14:textId="77777777" w:rsidR="00C424E5" w:rsidRDefault="00C424E5">
            <w:pPr>
              <w:cnfStyle w:val="000000000000" w:firstRow="0" w:lastRow="0" w:firstColumn="0" w:lastColumn="0" w:oddVBand="0" w:evenVBand="0" w:oddHBand="0" w:evenHBand="0" w:firstRowFirstColumn="0" w:firstRowLastColumn="0" w:lastRowFirstColumn="0" w:lastRowLastColumn="0"/>
            </w:pPr>
            <w:r>
              <w:t>117</w:t>
            </w:r>
          </w:p>
        </w:tc>
        <w:tc>
          <w:tcPr>
            <w:tcW w:w="794" w:type="dxa"/>
          </w:tcPr>
          <w:p w14:paraId="7B0E670F" w14:textId="77777777" w:rsidR="00C424E5" w:rsidRDefault="00C424E5">
            <w:pPr>
              <w:cnfStyle w:val="000000000000" w:firstRow="0" w:lastRow="0" w:firstColumn="0" w:lastColumn="0" w:oddVBand="0" w:evenVBand="0" w:oddHBand="0" w:evenHBand="0" w:firstRowFirstColumn="0" w:firstRowLastColumn="0" w:lastRowFirstColumn="0" w:lastRowLastColumn="0"/>
            </w:pPr>
            <w:r>
              <w:t>121</w:t>
            </w:r>
          </w:p>
        </w:tc>
        <w:tc>
          <w:tcPr>
            <w:tcW w:w="794" w:type="dxa"/>
          </w:tcPr>
          <w:p w14:paraId="7294B3CA" w14:textId="77777777" w:rsidR="00C424E5" w:rsidRDefault="00C424E5">
            <w:pPr>
              <w:cnfStyle w:val="000000000000" w:firstRow="0" w:lastRow="0" w:firstColumn="0" w:lastColumn="0" w:oddVBand="0" w:evenVBand="0" w:oddHBand="0" w:evenHBand="0" w:firstRowFirstColumn="0" w:firstRowLastColumn="0" w:lastRowFirstColumn="0" w:lastRowLastColumn="0"/>
            </w:pPr>
            <w:r>
              <w:t>124</w:t>
            </w:r>
          </w:p>
        </w:tc>
        <w:tc>
          <w:tcPr>
            <w:tcW w:w="794" w:type="dxa"/>
          </w:tcPr>
          <w:p w14:paraId="4DC24AA3" w14:textId="77777777" w:rsidR="00C424E5" w:rsidRDefault="00C424E5">
            <w:pPr>
              <w:cnfStyle w:val="000000000000" w:firstRow="0" w:lastRow="0" w:firstColumn="0" w:lastColumn="0" w:oddVBand="0" w:evenVBand="0" w:oddHBand="0" w:evenHBand="0" w:firstRowFirstColumn="0" w:firstRowLastColumn="0" w:lastRowFirstColumn="0" w:lastRowLastColumn="0"/>
            </w:pPr>
            <w:r>
              <w:t>127</w:t>
            </w:r>
          </w:p>
        </w:tc>
      </w:tr>
      <w:tr w:rsidR="00C424E5" w14:paraId="61A1D4F0" w14:textId="77777777">
        <w:tc>
          <w:tcPr>
            <w:cnfStyle w:val="001000000000" w:firstRow="0" w:lastRow="0" w:firstColumn="1" w:lastColumn="0" w:oddVBand="0" w:evenVBand="0" w:oddHBand="0" w:evenHBand="0" w:firstRowFirstColumn="0" w:firstRowLastColumn="0" w:lastRowFirstColumn="0" w:lastRowLastColumn="0"/>
            <w:tcW w:w="3740" w:type="dxa"/>
          </w:tcPr>
          <w:p w14:paraId="34B38B5D" w14:textId="77777777" w:rsidR="00C424E5" w:rsidRDefault="00C424E5">
            <w:r>
              <w:t>Metropolitan improvement levy</w:t>
            </w:r>
          </w:p>
        </w:tc>
        <w:tc>
          <w:tcPr>
            <w:tcW w:w="794" w:type="dxa"/>
          </w:tcPr>
          <w:p w14:paraId="66F62F26" w14:textId="77777777" w:rsidR="00C424E5" w:rsidRDefault="00C424E5">
            <w:pPr>
              <w:cnfStyle w:val="000000000000" w:firstRow="0" w:lastRow="0" w:firstColumn="0" w:lastColumn="0" w:oddVBand="0" w:evenVBand="0" w:oddHBand="0" w:evenHBand="0" w:firstRowFirstColumn="0" w:firstRowLastColumn="0" w:lastRowFirstColumn="0" w:lastRowLastColumn="0"/>
            </w:pPr>
            <w:r>
              <w:t>215</w:t>
            </w:r>
          </w:p>
        </w:tc>
        <w:tc>
          <w:tcPr>
            <w:tcW w:w="794" w:type="dxa"/>
          </w:tcPr>
          <w:p w14:paraId="0D7B9FC5" w14:textId="77777777" w:rsidR="00C424E5" w:rsidRDefault="00C424E5">
            <w:pPr>
              <w:cnfStyle w:val="000000000000" w:firstRow="0" w:lastRow="0" w:firstColumn="0" w:lastColumn="0" w:oddVBand="0" w:evenVBand="0" w:oddHBand="0" w:evenHBand="0" w:firstRowFirstColumn="0" w:firstRowLastColumn="0" w:lastRowFirstColumn="0" w:lastRowLastColumn="0"/>
            </w:pPr>
            <w:r>
              <w:t>202</w:t>
            </w:r>
          </w:p>
        </w:tc>
        <w:tc>
          <w:tcPr>
            <w:tcW w:w="794" w:type="dxa"/>
          </w:tcPr>
          <w:p w14:paraId="5AAD0FAC" w14:textId="77777777" w:rsidR="00C424E5" w:rsidRDefault="00C424E5">
            <w:pPr>
              <w:cnfStyle w:val="000000000000" w:firstRow="0" w:lastRow="0" w:firstColumn="0" w:lastColumn="0" w:oddVBand="0" w:evenVBand="0" w:oddHBand="0" w:evenHBand="0" w:firstRowFirstColumn="0" w:firstRowLastColumn="0" w:lastRowFirstColumn="0" w:lastRowLastColumn="0"/>
            </w:pPr>
            <w:r>
              <w:t>208</w:t>
            </w:r>
          </w:p>
        </w:tc>
        <w:tc>
          <w:tcPr>
            <w:tcW w:w="794" w:type="dxa"/>
          </w:tcPr>
          <w:p w14:paraId="3C3F21C9" w14:textId="77777777" w:rsidR="00C424E5" w:rsidRDefault="00C424E5">
            <w:pPr>
              <w:cnfStyle w:val="000000000000" w:firstRow="0" w:lastRow="0" w:firstColumn="0" w:lastColumn="0" w:oddVBand="0" w:evenVBand="0" w:oddHBand="0" w:evenHBand="0" w:firstRowFirstColumn="0" w:firstRowLastColumn="0" w:lastRowFirstColumn="0" w:lastRowLastColumn="0"/>
            </w:pPr>
            <w:r>
              <w:t>214</w:t>
            </w:r>
          </w:p>
        </w:tc>
        <w:tc>
          <w:tcPr>
            <w:tcW w:w="794" w:type="dxa"/>
          </w:tcPr>
          <w:p w14:paraId="5CFFEFDD" w14:textId="77777777" w:rsidR="00C424E5" w:rsidRDefault="00C424E5">
            <w:pPr>
              <w:cnfStyle w:val="000000000000" w:firstRow="0" w:lastRow="0" w:firstColumn="0" w:lastColumn="0" w:oddVBand="0" w:evenVBand="0" w:oddHBand="0" w:evenHBand="0" w:firstRowFirstColumn="0" w:firstRowLastColumn="0" w:lastRowFirstColumn="0" w:lastRowLastColumn="0"/>
            </w:pPr>
            <w:r>
              <w:t>221</w:t>
            </w:r>
          </w:p>
        </w:tc>
      </w:tr>
      <w:tr w:rsidR="00C424E5" w14:paraId="62EA33F5"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1872EB5C" w14:textId="77777777" w:rsidR="00C424E5" w:rsidRDefault="00C424E5">
            <w:r>
              <w:t>Windfall gains tax</w:t>
            </w:r>
          </w:p>
        </w:tc>
        <w:tc>
          <w:tcPr>
            <w:tcW w:w="794" w:type="dxa"/>
            <w:tcBorders>
              <w:bottom w:val="single" w:sz="6" w:space="0" w:color="auto"/>
            </w:tcBorders>
          </w:tcPr>
          <w:p w14:paraId="0BBBD8AE"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40743DCA"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46733929" w14:textId="77777777" w:rsidR="00C424E5" w:rsidRDefault="00C424E5">
            <w:pPr>
              <w:cnfStyle w:val="000000000000" w:firstRow="0" w:lastRow="0" w:firstColumn="0" w:lastColumn="0" w:oddVBand="0" w:evenVBand="0" w:oddHBand="0" w:evenHBand="0" w:firstRowFirstColumn="0" w:firstRowLastColumn="0" w:lastRowFirstColumn="0" w:lastRowLastColumn="0"/>
            </w:pPr>
            <w:r>
              <w:t>42</w:t>
            </w:r>
          </w:p>
        </w:tc>
        <w:tc>
          <w:tcPr>
            <w:tcW w:w="794" w:type="dxa"/>
            <w:tcBorders>
              <w:bottom w:val="single" w:sz="6" w:space="0" w:color="auto"/>
            </w:tcBorders>
          </w:tcPr>
          <w:p w14:paraId="4D64BE5F" w14:textId="77777777" w:rsidR="00C424E5" w:rsidRDefault="00C424E5">
            <w:pPr>
              <w:cnfStyle w:val="000000000000" w:firstRow="0" w:lastRow="0" w:firstColumn="0" w:lastColumn="0" w:oddVBand="0" w:evenVBand="0" w:oddHBand="0" w:evenHBand="0" w:firstRowFirstColumn="0" w:firstRowLastColumn="0" w:lastRowFirstColumn="0" w:lastRowLastColumn="0"/>
            </w:pPr>
            <w:r>
              <w:t>62</w:t>
            </w:r>
          </w:p>
        </w:tc>
        <w:tc>
          <w:tcPr>
            <w:tcW w:w="794" w:type="dxa"/>
            <w:tcBorders>
              <w:bottom w:val="single" w:sz="6" w:space="0" w:color="auto"/>
            </w:tcBorders>
          </w:tcPr>
          <w:p w14:paraId="2CE8329B" w14:textId="77777777" w:rsidR="00C424E5" w:rsidRDefault="00C424E5">
            <w:pPr>
              <w:cnfStyle w:val="000000000000" w:firstRow="0" w:lastRow="0" w:firstColumn="0" w:lastColumn="0" w:oddVBand="0" w:evenVBand="0" w:oddHBand="0" w:evenHBand="0" w:firstRowFirstColumn="0" w:firstRowLastColumn="0" w:lastRowFirstColumn="0" w:lastRowLastColumn="0"/>
            </w:pPr>
            <w:r>
              <w:t>90</w:t>
            </w:r>
          </w:p>
        </w:tc>
      </w:tr>
      <w:tr w:rsidR="00C424E5" w14:paraId="090139FD"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4DD81B10" w14:textId="77777777" w:rsidR="00C424E5" w:rsidRDefault="00C424E5">
            <w:r>
              <w:rPr>
                <w:b/>
              </w:rPr>
              <w:t>Total taxes on property</w:t>
            </w:r>
          </w:p>
        </w:tc>
        <w:tc>
          <w:tcPr>
            <w:tcW w:w="794" w:type="dxa"/>
            <w:tcBorders>
              <w:top w:val="single" w:sz="6" w:space="0" w:color="auto"/>
              <w:bottom w:val="single" w:sz="6" w:space="0" w:color="auto"/>
            </w:tcBorders>
          </w:tcPr>
          <w:p w14:paraId="76932594"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5 959</w:t>
            </w:r>
          </w:p>
        </w:tc>
        <w:tc>
          <w:tcPr>
            <w:tcW w:w="794" w:type="dxa"/>
            <w:tcBorders>
              <w:top w:val="single" w:sz="6" w:space="0" w:color="auto"/>
              <w:bottom w:val="single" w:sz="6" w:space="0" w:color="auto"/>
            </w:tcBorders>
          </w:tcPr>
          <w:p w14:paraId="061586C5"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6 276</w:t>
            </w:r>
          </w:p>
        </w:tc>
        <w:tc>
          <w:tcPr>
            <w:tcW w:w="794" w:type="dxa"/>
            <w:tcBorders>
              <w:top w:val="single" w:sz="6" w:space="0" w:color="auto"/>
              <w:bottom w:val="single" w:sz="6" w:space="0" w:color="auto"/>
            </w:tcBorders>
          </w:tcPr>
          <w:p w14:paraId="02DFEB8B"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6 426</w:t>
            </w:r>
          </w:p>
        </w:tc>
        <w:tc>
          <w:tcPr>
            <w:tcW w:w="794" w:type="dxa"/>
            <w:tcBorders>
              <w:top w:val="single" w:sz="6" w:space="0" w:color="auto"/>
              <w:bottom w:val="single" w:sz="6" w:space="0" w:color="auto"/>
            </w:tcBorders>
          </w:tcPr>
          <w:p w14:paraId="635BDAE8"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6 672</w:t>
            </w:r>
          </w:p>
        </w:tc>
        <w:tc>
          <w:tcPr>
            <w:tcW w:w="794" w:type="dxa"/>
            <w:tcBorders>
              <w:top w:val="single" w:sz="6" w:space="0" w:color="auto"/>
              <w:bottom w:val="single" w:sz="6" w:space="0" w:color="auto"/>
            </w:tcBorders>
          </w:tcPr>
          <w:p w14:paraId="55E9E4F4"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7 202</w:t>
            </w:r>
          </w:p>
        </w:tc>
      </w:tr>
      <w:tr w:rsidR="00C424E5" w14:paraId="406C3077"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0F1A4E1E" w14:textId="77777777" w:rsidR="00C424E5" w:rsidRDefault="00C424E5">
            <w:r>
              <w:rPr>
                <w:b/>
              </w:rPr>
              <w:t>Taxes on the provision of goods and services</w:t>
            </w:r>
          </w:p>
        </w:tc>
        <w:tc>
          <w:tcPr>
            <w:tcW w:w="794" w:type="dxa"/>
            <w:tcBorders>
              <w:top w:val="single" w:sz="6" w:space="0" w:color="auto"/>
            </w:tcBorders>
          </w:tcPr>
          <w:p w14:paraId="7F339901"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981BFD5"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01A953FB"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58077290"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0C2E8DD"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72D202F8" w14:textId="77777777">
        <w:tc>
          <w:tcPr>
            <w:cnfStyle w:val="001000000000" w:firstRow="0" w:lastRow="0" w:firstColumn="1" w:lastColumn="0" w:oddVBand="0" w:evenVBand="0" w:oddHBand="0" w:evenHBand="0" w:firstRowFirstColumn="0" w:firstRowLastColumn="0" w:lastRowFirstColumn="0" w:lastRowLastColumn="0"/>
            <w:tcW w:w="3740" w:type="dxa"/>
          </w:tcPr>
          <w:p w14:paraId="118C1854" w14:textId="77777777" w:rsidR="00C424E5" w:rsidRDefault="00C424E5">
            <w:r>
              <w:rPr>
                <w:b/>
              </w:rPr>
              <w:t>Gambling taxes</w:t>
            </w:r>
          </w:p>
        </w:tc>
        <w:tc>
          <w:tcPr>
            <w:tcW w:w="794" w:type="dxa"/>
          </w:tcPr>
          <w:p w14:paraId="468E12DA"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537601D9"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7131B4B3"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1AEE3330"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3F2E6B2A"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0E7CAB30" w14:textId="77777777">
        <w:tc>
          <w:tcPr>
            <w:cnfStyle w:val="001000000000" w:firstRow="0" w:lastRow="0" w:firstColumn="1" w:lastColumn="0" w:oddVBand="0" w:evenVBand="0" w:oddHBand="0" w:evenHBand="0" w:firstRowFirstColumn="0" w:firstRowLastColumn="0" w:lastRowFirstColumn="0" w:lastRowLastColumn="0"/>
            <w:tcW w:w="3740" w:type="dxa"/>
          </w:tcPr>
          <w:p w14:paraId="7DC8E6B1" w14:textId="77777777" w:rsidR="00C424E5" w:rsidRDefault="00C424E5">
            <w:r>
              <w:t>Public lotteries</w:t>
            </w:r>
            <w:r>
              <w:rPr>
                <w:vertAlign w:val="superscript"/>
              </w:rPr>
              <w:t xml:space="preserve"> (a)</w:t>
            </w:r>
          </w:p>
        </w:tc>
        <w:tc>
          <w:tcPr>
            <w:tcW w:w="794" w:type="dxa"/>
          </w:tcPr>
          <w:p w14:paraId="1F470538" w14:textId="77777777" w:rsidR="00C424E5" w:rsidRDefault="00C424E5">
            <w:pPr>
              <w:cnfStyle w:val="000000000000" w:firstRow="0" w:lastRow="0" w:firstColumn="0" w:lastColumn="0" w:oddVBand="0" w:evenVBand="0" w:oddHBand="0" w:evenHBand="0" w:firstRowFirstColumn="0" w:firstRowLastColumn="0" w:lastRowFirstColumn="0" w:lastRowLastColumn="0"/>
            </w:pPr>
            <w:r>
              <w:t>690</w:t>
            </w:r>
          </w:p>
        </w:tc>
        <w:tc>
          <w:tcPr>
            <w:tcW w:w="794" w:type="dxa"/>
          </w:tcPr>
          <w:p w14:paraId="02A004FF" w14:textId="77777777" w:rsidR="00C424E5" w:rsidRDefault="00C424E5">
            <w:pPr>
              <w:cnfStyle w:val="000000000000" w:firstRow="0" w:lastRow="0" w:firstColumn="0" w:lastColumn="0" w:oddVBand="0" w:evenVBand="0" w:oddHBand="0" w:evenHBand="0" w:firstRowFirstColumn="0" w:firstRowLastColumn="0" w:lastRowFirstColumn="0" w:lastRowLastColumn="0"/>
            </w:pPr>
            <w:r>
              <w:t>636</w:t>
            </w:r>
          </w:p>
        </w:tc>
        <w:tc>
          <w:tcPr>
            <w:tcW w:w="794" w:type="dxa"/>
          </w:tcPr>
          <w:p w14:paraId="4FEC6155" w14:textId="77777777" w:rsidR="00C424E5" w:rsidRDefault="00C424E5">
            <w:pPr>
              <w:cnfStyle w:val="000000000000" w:firstRow="0" w:lastRow="0" w:firstColumn="0" w:lastColumn="0" w:oddVBand="0" w:evenVBand="0" w:oddHBand="0" w:evenHBand="0" w:firstRowFirstColumn="0" w:firstRowLastColumn="0" w:lastRowFirstColumn="0" w:lastRowLastColumn="0"/>
            </w:pPr>
            <w:r>
              <w:t>681</w:t>
            </w:r>
          </w:p>
        </w:tc>
        <w:tc>
          <w:tcPr>
            <w:tcW w:w="794" w:type="dxa"/>
          </w:tcPr>
          <w:p w14:paraId="3A5EEAA6" w14:textId="77777777" w:rsidR="00C424E5" w:rsidRDefault="00C424E5">
            <w:pPr>
              <w:cnfStyle w:val="000000000000" w:firstRow="0" w:lastRow="0" w:firstColumn="0" w:lastColumn="0" w:oddVBand="0" w:evenVBand="0" w:oddHBand="0" w:evenHBand="0" w:firstRowFirstColumn="0" w:firstRowLastColumn="0" w:lastRowFirstColumn="0" w:lastRowLastColumn="0"/>
            </w:pPr>
            <w:r>
              <w:t>710</w:t>
            </w:r>
          </w:p>
        </w:tc>
        <w:tc>
          <w:tcPr>
            <w:tcW w:w="794" w:type="dxa"/>
          </w:tcPr>
          <w:p w14:paraId="665CBAF1" w14:textId="77777777" w:rsidR="00C424E5" w:rsidRDefault="00C424E5">
            <w:pPr>
              <w:cnfStyle w:val="000000000000" w:firstRow="0" w:lastRow="0" w:firstColumn="0" w:lastColumn="0" w:oddVBand="0" w:evenVBand="0" w:oddHBand="0" w:evenHBand="0" w:firstRowFirstColumn="0" w:firstRowLastColumn="0" w:lastRowFirstColumn="0" w:lastRowLastColumn="0"/>
            </w:pPr>
            <w:r>
              <w:t>733</w:t>
            </w:r>
          </w:p>
        </w:tc>
      </w:tr>
      <w:tr w:rsidR="00C424E5" w14:paraId="6B2DD2CC" w14:textId="77777777">
        <w:tc>
          <w:tcPr>
            <w:cnfStyle w:val="001000000000" w:firstRow="0" w:lastRow="0" w:firstColumn="1" w:lastColumn="0" w:oddVBand="0" w:evenVBand="0" w:oddHBand="0" w:evenHBand="0" w:firstRowFirstColumn="0" w:firstRowLastColumn="0" w:lastRowFirstColumn="0" w:lastRowLastColumn="0"/>
            <w:tcW w:w="3740" w:type="dxa"/>
          </w:tcPr>
          <w:p w14:paraId="5FBFF8AC" w14:textId="77777777" w:rsidR="00C424E5" w:rsidRDefault="00C424E5">
            <w:r>
              <w:t>Electronic gaming machines</w:t>
            </w:r>
            <w:r>
              <w:rPr>
                <w:vertAlign w:val="superscript"/>
              </w:rPr>
              <w:t xml:space="preserve"> (a)</w:t>
            </w:r>
          </w:p>
        </w:tc>
        <w:tc>
          <w:tcPr>
            <w:tcW w:w="794" w:type="dxa"/>
          </w:tcPr>
          <w:p w14:paraId="62B3CD14" w14:textId="77777777" w:rsidR="00C424E5" w:rsidRDefault="00C424E5">
            <w:pPr>
              <w:cnfStyle w:val="000000000000" w:firstRow="0" w:lastRow="0" w:firstColumn="0" w:lastColumn="0" w:oddVBand="0" w:evenVBand="0" w:oddHBand="0" w:evenHBand="0" w:firstRowFirstColumn="0" w:firstRowLastColumn="0" w:lastRowFirstColumn="0" w:lastRowLastColumn="0"/>
            </w:pPr>
            <w:r>
              <w:t>1 206</w:t>
            </w:r>
          </w:p>
        </w:tc>
        <w:tc>
          <w:tcPr>
            <w:tcW w:w="794" w:type="dxa"/>
          </w:tcPr>
          <w:p w14:paraId="26CF5601" w14:textId="77777777" w:rsidR="00C424E5" w:rsidRDefault="00C424E5">
            <w:pPr>
              <w:cnfStyle w:val="000000000000" w:firstRow="0" w:lastRow="0" w:firstColumn="0" w:lastColumn="0" w:oddVBand="0" w:evenVBand="0" w:oddHBand="0" w:evenHBand="0" w:firstRowFirstColumn="0" w:firstRowLastColumn="0" w:lastRowFirstColumn="0" w:lastRowLastColumn="0"/>
            </w:pPr>
            <w:r>
              <w:t>1 348</w:t>
            </w:r>
          </w:p>
        </w:tc>
        <w:tc>
          <w:tcPr>
            <w:tcW w:w="794" w:type="dxa"/>
          </w:tcPr>
          <w:p w14:paraId="7B2320C1" w14:textId="77777777" w:rsidR="00C424E5" w:rsidRDefault="00C424E5">
            <w:pPr>
              <w:cnfStyle w:val="000000000000" w:firstRow="0" w:lastRow="0" w:firstColumn="0" w:lastColumn="0" w:oddVBand="0" w:evenVBand="0" w:oddHBand="0" w:evenHBand="0" w:firstRowFirstColumn="0" w:firstRowLastColumn="0" w:lastRowFirstColumn="0" w:lastRowLastColumn="0"/>
            </w:pPr>
            <w:r>
              <w:t>1 401</w:t>
            </w:r>
          </w:p>
        </w:tc>
        <w:tc>
          <w:tcPr>
            <w:tcW w:w="794" w:type="dxa"/>
          </w:tcPr>
          <w:p w14:paraId="0DAC7564" w14:textId="77777777" w:rsidR="00C424E5" w:rsidRDefault="00C424E5">
            <w:pPr>
              <w:cnfStyle w:val="000000000000" w:firstRow="0" w:lastRow="0" w:firstColumn="0" w:lastColumn="0" w:oddVBand="0" w:evenVBand="0" w:oddHBand="0" w:evenHBand="0" w:firstRowFirstColumn="0" w:firstRowLastColumn="0" w:lastRowFirstColumn="0" w:lastRowLastColumn="0"/>
            </w:pPr>
            <w:r>
              <w:t>1 449</w:t>
            </w:r>
          </w:p>
        </w:tc>
        <w:tc>
          <w:tcPr>
            <w:tcW w:w="794" w:type="dxa"/>
          </w:tcPr>
          <w:p w14:paraId="2C2038BF" w14:textId="77777777" w:rsidR="00C424E5" w:rsidRDefault="00C424E5">
            <w:pPr>
              <w:cnfStyle w:val="000000000000" w:firstRow="0" w:lastRow="0" w:firstColumn="0" w:lastColumn="0" w:oddVBand="0" w:evenVBand="0" w:oddHBand="0" w:evenHBand="0" w:firstRowFirstColumn="0" w:firstRowLastColumn="0" w:lastRowFirstColumn="0" w:lastRowLastColumn="0"/>
            </w:pPr>
            <w:r>
              <w:t>1 497</w:t>
            </w:r>
          </w:p>
        </w:tc>
      </w:tr>
      <w:tr w:rsidR="00C424E5" w14:paraId="1FF2AF75" w14:textId="77777777">
        <w:tc>
          <w:tcPr>
            <w:cnfStyle w:val="001000000000" w:firstRow="0" w:lastRow="0" w:firstColumn="1" w:lastColumn="0" w:oddVBand="0" w:evenVBand="0" w:oddHBand="0" w:evenHBand="0" w:firstRowFirstColumn="0" w:firstRowLastColumn="0" w:lastRowFirstColumn="0" w:lastRowLastColumn="0"/>
            <w:tcW w:w="3740" w:type="dxa"/>
          </w:tcPr>
          <w:p w14:paraId="57FCCD06" w14:textId="77777777" w:rsidR="00C424E5" w:rsidRDefault="00C424E5">
            <w:r>
              <w:t>Casino</w:t>
            </w:r>
            <w:r>
              <w:rPr>
                <w:vertAlign w:val="superscript"/>
              </w:rPr>
              <w:t xml:space="preserve"> (a)</w:t>
            </w:r>
          </w:p>
        </w:tc>
        <w:tc>
          <w:tcPr>
            <w:tcW w:w="794" w:type="dxa"/>
          </w:tcPr>
          <w:p w14:paraId="18525532" w14:textId="77777777" w:rsidR="00C424E5" w:rsidRDefault="00C424E5">
            <w:pPr>
              <w:cnfStyle w:val="000000000000" w:firstRow="0" w:lastRow="0" w:firstColumn="0" w:lastColumn="0" w:oddVBand="0" w:evenVBand="0" w:oddHBand="0" w:evenHBand="0" w:firstRowFirstColumn="0" w:firstRowLastColumn="0" w:lastRowFirstColumn="0" w:lastRowLastColumn="0"/>
            </w:pPr>
            <w:r>
              <w:t>223</w:t>
            </w:r>
          </w:p>
        </w:tc>
        <w:tc>
          <w:tcPr>
            <w:tcW w:w="794" w:type="dxa"/>
          </w:tcPr>
          <w:p w14:paraId="299B15DD" w14:textId="77777777" w:rsidR="00C424E5" w:rsidRDefault="00C424E5">
            <w:pPr>
              <w:cnfStyle w:val="000000000000" w:firstRow="0" w:lastRow="0" w:firstColumn="0" w:lastColumn="0" w:oddVBand="0" w:evenVBand="0" w:oddHBand="0" w:evenHBand="0" w:firstRowFirstColumn="0" w:firstRowLastColumn="0" w:lastRowFirstColumn="0" w:lastRowLastColumn="0"/>
            </w:pPr>
            <w:r>
              <w:t>183</w:t>
            </w:r>
          </w:p>
        </w:tc>
        <w:tc>
          <w:tcPr>
            <w:tcW w:w="794" w:type="dxa"/>
          </w:tcPr>
          <w:p w14:paraId="3DA289B0" w14:textId="77777777" w:rsidR="00C424E5" w:rsidRDefault="00C424E5">
            <w:pPr>
              <w:cnfStyle w:val="000000000000" w:firstRow="0" w:lastRow="0" w:firstColumn="0" w:lastColumn="0" w:oddVBand="0" w:evenVBand="0" w:oddHBand="0" w:evenHBand="0" w:firstRowFirstColumn="0" w:firstRowLastColumn="0" w:lastRowFirstColumn="0" w:lastRowLastColumn="0"/>
            </w:pPr>
            <w:r>
              <w:t>219</w:t>
            </w:r>
          </w:p>
        </w:tc>
        <w:tc>
          <w:tcPr>
            <w:tcW w:w="794" w:type="dxa"/>
          </w:tcPr>
          <w:p w14:paraId="1F890CF1" w14:textId="77777777" w:rsidR="00C424E5" w:rsidRDefault="00C424E5">
            <w:pPr>
              <w:cnfStyle w:val="000000000000" w:firstRow="0" w:lastRow="0" w:firstColumn="0" w:lastColumn="0" w:oddVBand="0" w:evenVBand="0" w:oddHBand="0" w:evenHBand="0" w:firstRowFirstColumn="0" w:firstRowLastColumn="0" w:lastRowFirstColumn="0" w:lastRowLastColumn="0"/>
            </w:pPr>
            <w:r>
              <w:t>227</w:t>
            </w:r>
          </w:p>
        </w:tc>
        <w:tc>
          <w:tcPr>
            <w:tcW w:w="794" w:type="dxa"/>
          </w:tcPr>
          <w:p w14:paraId="67C23185" w14:textId="77777777" w:rsidR="00C424E5" w:rsidRDefault="00C424E5">
            <w:pPr>
              <w:cnfStyle w:val="000000000000" w:firstRow="0" w:lastRow="0" w:firstColumn="0" w:lastColumn="0" w:oddVBand="0" w:evenVBand="0" w:oddHBand="0" w:evenHBand="0" w:firstRowFirstColumn="0" w:firstRowLastColumn="0" w:lastRowFirstColumn="0" w:lastRowLastColumn="0"/>
            </w:pPr>
            <w:r>
              <w:t>233</w:t>
            </w:r>
          </w:p>
        </w:tc>
      </w:tr>
      <w:tr w:rsidR="00C424E5" w14:paraId="3B5BD9B2" w14:textId="77777777">
        <w:tc>
          <w:tcPr>
            <w:cnfStyle w:val="001000000000" w:firstRow="0" w:lastRow="0" w:firstColumn="1" w:lastColumn="0" w:oddVBand="0" w:evenVBand="0" w:oddHBand="0" w:evenHBand="0" w:firstRowFirstColumn="0" w:firstRowLastColumn="0" w:lastRowFirstColumn="0" w:lastRowLastColumn="0"/>
            <w:tcW w:w="3740" w:type="dxa"/>
          </w:tcPr>
          <w:p w14:paraId="3C41E3CF" w14:textId="77777777" w:rsidR="00C424E5" w:rsidRDefault="00C424E5">
            <w:r>
              <w:t>Racing and other sports betting</w:t>
            </w:r>
            <w:r>
              <w:rPr>
                <w:vertAlign w:val="superscript"/>
              </w:rPr>
              <w:t xml:space="preserve"> (a)</w:t>
            </w:r>
          </w:p>
        </w:tc>
        <w:tc>
          <w:tcPr>
            <w:tcW w:w="794" w:type="dxa"/>
          </w:tcPr>
          <w:p w14:paraId="46CD60E7" w14:textId="77777777" w:rsidR="00C424E5" w:rsidRDefault="00C424E5">
            <w:pPr>
              <w:cnfStyle w:val="000000000000" w:firstRow="0" w:lastRow="0" w:firstColumn="0" w:lastColumn="0" w:oddVBand="0" w:evenVBand="0" w:oddHBand="0" w:evenHBand="0" w:firstRowFirstColumn="0" w:firstRowLastColumn="0" w:lastRowFirstColumn="0" w:lastRowLastColumn="0"/>
            </w:pPr>
            <w:r>
              <w:t>304</w:t>
            </w:r>
          </w:p>
        </w:tc>
        <w:tc>
          <w:tcPr>
            <w:tcW w:w="794" w:type="dxa"/>
          </w:tcPr>
          <w:p w14:paraId="500B5C8D" w14:textId="77777777" w:rsidR="00C424E5" w:rsidRDefault="00C424E5">
            <w:pPr>
              <w:cnfStyle w:val="000000000000" w:firstRow="0" w:lastRow="0" w:firstColumn="0" w:lastColumn="0" w:oddVBand="0" w:evenVBand="0" w:oddHBand="0" w:evenHBand="0" w:firstRowFirstColumn="0" w:firstRowLastColumn="0" w:lastRowFirstColumn="0" w:lastRowLastColumn="0"/>
            </w:pPr>
            <w:r>
              <w:t>309</w:t>
            </w:r>
          </w:p>
        </w:tc>
        <w:tc>
          <w:tcPr>
            <w:tcW w:w="794" w:type="dxa"/>
          </w:tcPr>
          <w:p w14:paraId="5EEA76DF" w14:textId="77777777" w:rsidR="00C424E5" w:rsidRDefault="00C424E5">
            <w:pPr>
              <w:cnfStyle w:val="000000000000" w:firstRow="0" w:lastRow="0" w:firstColumn="0" w:lastColumn="0" w:oddVBand="0" w:evenVBand="0" w:oddHBand="0" w:evenHBand="0" w:firstRowFirstColumn="0" w:firstRowLastColumn="0" w:lastRowFirstColumn="0" w:lastRowLastColumn="0"/>
            </w:pPr>
            <w:r>
              <w:t>326</w:t>
            </w:r>
          </w:p>
        </w:tc>
        <w:tc>
          <w:tcPr>
            <w:tcW w:w="794" w:type="dxa"/>
          </w:tcPr>
          <w:p w14:paraId="63DF2732" w14:textId="77777777" w:rsidR="00C424E5" w:rsidRDefault="00C424E5">
            <w:pPr>
              <w:cnfStyle w:val="000000000000" w:firstRow="0" w:lastRow="0" w:firstColumn="0" w:lastColumn="0" w:oddVBand="0" w:evenVBand="0" w:oddHBand="0" w:evenHBand="0" w:firstRowFirstColumn="0" w:firstRowLastColumn="0" w:lastRowFirstColumn="0" w:lastRowLastColumn="0"/>
            </w:pPr>
            <w:r>
              <w:t>340</w:t>
            </w:r>
          </w:p>
        </w:tc>
        <w:tc>
          <w:tcPr>
            <w:tcW w:w="794" w:type="dxa"/>
          </w:tcPr>
          <w:p w14:paraId="02EF8F5F" w14:textId="77777777" w:rsidR="00C424E5" w:rsidRDefault="00C424E5">
            <w:pPr>
              <w:cnfStyle w:val="000000000000" w:firstRow="0" w:lastRow="0" w:firstColumn="0" w:lastColumn="0" w:oddVBand="0" w:evenVBand="0" w:oddHBand="0" w:evenHBand="0" w:firstRowFirstColumn="0" w:firstRowLastColumn="0" w:lastRowFirstColumn="0" w:lastRowLastColumn="0"/>
            </w:pPr>
            <w:r>
              <w:t>353</w:t>
            </w:r>
          </w:p>
        </w:tc>
      </w:tr>
      <w:tr w:rsidR="00C424E5" w14:paraId="0E1058FA" w14:textId="77777777">
        <w:tc>
          <w:tcPr>
            <w:cnfStyle w:val="001000000000" w:firstRow="0" w:lastRow="0" w:firstColumn="1" w:lastColumn="0" w:oddVBand="0" w:evenVBand="0" w:oddHBand="0" w:evenHBand="0" w:firstRowFirstColumn="0" w:firstRowLastColumn="0" w:lastRowFirstColumn="0" w:lastRowLastColumn="0"/>
            <w:tcW w:w="3740" w:type="dxa"/>
          </w:tcPr>
          <w:p w14:paraId="4DBB659F" w14:textId="77777777" w:rsidR="00C424E5" w:rsidRDefault="00C424E5">
            <w:r>
              <w:t>Other</w:t>
            </w:r>
            <w:r>
              <w:rPr>
                <w:vertAlign w:val="superscript"/>
              </w:rPr>
              <w:t xml:space="preserve"> (a)</w:t>
            </w:r>
          </w:p>
        </w:tc>
        <w:tc>
          <w:tcPr>
            <w:tcW w:w="794" w:type="dxa"/>
          </w:tcPr>
          <w:p w14:paraId="29365B15" w14:textId="77777777" w:rsidR="00C424E5" w:rsidRDefault="00C424E5">
            <w:pPr>
              <w:cnfStyle w:val="000000000000" w:firstRow="0" w:lastRow="0" w:firstColumn="0" w:lastColumn="0" w:oddVBand="0" w:evenVBand="0" w:oddHBand="0" w:evenHBand="0" w:firstRowFirstColumn="0" w:firstRowLastColumn="0" w:lastRowFirstColumn="0" w:lastRowLastColumn="0"/>
            </w:pPr>
            <w:r>
              <w:t>14</w:t>
            </w:r>
          </w:p>
        </w:tc>
        <w:tc>
          <w:tcPr>
            <w:tcW w:w="794" w:type="dxa"/>
          </w:tcPr>
          <w:p w14:paraId="2550F1B3" w14:textId="77777777" w:rsidR="00C424E5" w:rsidRDefault="00C424E5">
            <w:pPr>
              <w:cnfStyle w:val="000000000000" w:firstRow="0" w:lastRow="0" w:firstColumn="0" w:lastColumn="0" w:oddVBand="0" w:evenVBand="0" w:oddHBand="0" w:evenHBand="0" w:firstRowFirstColumn="0" w:firstRowLastColumn="0" w:lastRowFirstColumn="0" w:lastRowLastColumn="0"/>
            </w:pPr>
            <w:r>
              <w:t>14</w:t>
            </w:r>
          </w:p>
        </w:tc>
        <w:tc>
          <w:tcPr>
            <w:tcW w:w="794" w:type="dxa"/>
          </w:tcPr>
          <w:p w14:paraId="2D5514EE" w14:textId="77777777" w:rsidR="00C424E5" w:rsidRDefault="00C424E5">
            <w:pPr>
              <w:cnfStyle w:val="000000000000" w:firstRow="0" w:lastRow="0" w:firstColumn="0" w:lastColumn="0" w:oddVBand="0" w:evenVBand="0" w:oddHBand="0" w:evenHBand="0" w:firstRowFirstColumn="0" w:firstRowLastColumn="0" w:lastRowFirstColumn="0" w:lastRowLastColumn="0"/>
            </w:pPr>
            <w:r>
              <w:t>15</w:t>
            </w:r>
          </w:p>
        </w:tc>
        <w:tc>
          <w:tcPr>
            <w:tcW w:w="794" w:type="dxa"/>
          </w:tcPr>
          <w:p w14:paraId="3410AB14" w14:textId="77777777" w:rsidR="00C424E5" w:rsidRDefault="00C424E5">
            <w:pPr>
              <w:cnfStyle w:val="000000000000" w:firstRow="0" w:lastRow="0" w:firstColumn="0" w:lastColumn="0" w:oddVBand="0" w:evenVBand="0" w:oddHBand="0" w:evenHBand="0" w:firstRowFirstColumn="0" w:firstRowLastColumn="0" w:lastRowFirstColumn="0" w:lastRowLastColumn="0"/>
            </w:pPr>
            <w:r>
              <w:t>16</w:t>
            </w:r>
          </w:p>
        </w:tc>
        <w:tc>
          <w:tcPr>
            <w:tcW w:w="794" w:type="dxa"/>
          </w:tcPr>
          <w:p w14:paraId="7E7FF614" w14:textId="77777777" w:rsidR="00C424E5" w:rsidRDefault="00C424E5">
            <w:pPr>
              <w:cnfStyle w:val="000000000000" w:firstRow="0" w:lastRow="0" w:firstColumn="0" w:lastColumn="0" w:oddVBand="0" w:evenVBand="0" w:oddHBand="0" w:evenHBand="0" w:firstRowFirstColumn="0" w:firstRowLastColumn="0" w:lastRowFirstColumn="0" w:lastRowLastColumn="0"/>
            </w:pPr>
            <w:r>
              <w:t>18</w:t>
            </w:r>
          </w:p>
        </w:tc>
      </w:tr>
      <w:tr w:rsidR="00C424E5" w14:paraId="6588192A" w14:textId="77777777">
        <w:tc>
          <w:tcPr>
            <w:cnfStyle w:val="001000000000" w:firstRow="0" w:lastRow="0" w:firstColumn="1" w:lastColumn="0" w:oddVBand="0" w:evenVBand="0" w:oddHBand="0" w:evenHBand="0" w:firstRowFirstColumn="0" w:firstRowLastColumn="0" w:lastRowFirstColumn="0" w:lastRowLastColumn="0"/>
            <w:tcW w:w="3740" w:type="dxa"/>
          </w:tcPr>
          <w:p w14:paraId="24321E1A" w14:textId="77777777" w:rsidR="00C424E5" w:rsidRDefault="00C424E5">
            <w:r>
              <w:rPr>
                <w:b/>
              </w:rPr>
              <w:t>Financial and capital transactions</w:t>
            </w:r>
          </w:p>
        </w:tc>
        <w:tc>
          <w:tcPr>
            <w:tcW w:w="794" w:type="dxa"/>
          </w:tcPr>
          <w:p w14:paraId="31B99686"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37D06CAB"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51E5BBBB"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755FC614"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763EE29A"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3F4C2E14" w14:textId="77777777">
        <w:tc>
          <w:tcPr>
            <w:cnfStyle w:val="001000000000" w:firstRow="0" w:lastRow="0" w:firstColumn="1" w:lastColumn="0" w:oddVBand="0" w:evenVBand="0" w:oddHBand="0" w:evenHBand="0" w:firstRowFirstColumn="0" w:firstRowLastColumn="0" w:lastRowFirstColumn="0" w:lastRowLastColumn="0"/>
            <w:tcW w:w="3740" w:type="dxa"/>
          </w:tcPr>
          <w:p w14:paraId="313A5DC4" w14:textId="77777777" w:rsidR="00C424E5" w:rsidRDefault="00C424E5">
            <w:r>
              <w:t>Land transfer duty</w:t>
            </w:r>
          </w:p>
        </w:tc>
        <w:tc>
          <w:tcPr>
            <w:tcW w:w="794" w:type="dxa"/>
          </w:tcPr>
          <w:p w14:paraId="272BE532" w14:textId="77777777" w:rsidR="00C424E5" w:rsidRDefault="00C424E5">
            <w:pPr>
              <w:cnfStyle w:val="000000000000" w:firstRow="0" w:lastRow="0" w:firstColumn="0" w:lastColumn="0" w:oddVBand="0" w:evenVBand="0" w:oddHBand="0" w:evenHBand="0" w:firstRowFirstColumn="0" w:firstRowLastColumn="0" w:lastRowFirstColumn="0" w:lastRowLastColumn="0"/>
            </w:pPr>
            <w:r>
              <w:t>8 226</w:t>
            </w:r>
          </w:p>
        </w:tc>
        <w:tc>
          <w:tcPr>
            <w:tcW w:w="794" w:type="dxa"/>
          </w:tcPr>
          <w:p w14:paraId="5A048375" w14:textId="77777777" w:rsidR="00C424E5" w:rsidRDefault="00C424E5">
            <w:pPr>
              <w:cnfStyle w:val="000000000000" w:firstRow="0" w:lastRow="0" w:firstColumn="0" w:lastColumn="0" w:oddVBand="0" w:evenVBand="0" w:oddHBand="0" w:evenHBand="0" w:firstRowFirstColumn="0" w:firstRowLastColumn="0" w:lastRowFirstColumn="0" w:lastRowLastColumn="0"/>
            </w:pPr>
            <w:r>
              <w:t>8 064</w:t>
            </w:r>
          </w:p>
        </w:tc>
        <w:tc>
          <w:tcPr>
            <w:tcW w:w="794" w:type="dxa"/>
          </w:tcPr>
          <w:p w14:paraId="7A34069A" w14:textId="77777777" w:rsidR="00C424E5" w:rsidRDefault="00C424E5">
            <w:pPr>
              <w:cnfStyle w:val="000000000000" w:firstRow="0" w:lastRow="0" w:firstColumn="0" w:lastColumn="0" w:oddVBand="0" w:evenVBand="0" w:oddHBand="0" w:evenHBand="0" w:firstRowFirstColumn="0" w:firstRowLastColumn="0" w:lastRowFirstColumn="0" w:lastRowLastColumn="0"/>
            </w:pPr>
            <w:r>
              <w:t>8 249</w:t>
            </w:r>
          </w:p>
        </w:tc>
        <w:tc>
          <w:tcPr>
            <w:tcW w:w="794" w:type="dxa"/>
          </w:tcPr>
          <w:p w14:paraId="38EE3FC0" w14:textId="77777777" w:rsidR="00C424E5" w:rsidRDefault="00C424E5">
            <w:pPr>
              <w:cnfStyle w:val="000000000000" w:firstRow="0" w:lastRow="0" w:firstColumn="0" w:lastColumn="0" w:oddVBand="0" w:evenVBand="0" w:oddHBand="0" w:evenHBand="0" w:firstRowFirstColumn="0" w:firstRowLastColumn="0" w:lastRowFirstColumn="0" w:lastRowLastColumn="0"/>
            </w:pPr>
            <w:r>
              <w:t>8 494</w:t>
            </w:r>
          </w:p>
        </w:tc>
        <w:tc>
          <w:tcPr>
            <w:tcW w:w="794" w:type="dxa"/>
          </w:tcPr>
          <w:p w14:paraId="271081B1" w14:textId="77777777" w:rsidR="00C424E5" w:rsidRDefault="00C424E5">
            <w:pPr>
              <w:cnfStyle w:val="000000000000" w:firstRow="0" w:lastRow="0" w:firstColumn="0" w:lastColumn="0" w:oddVBand="0" w:evenVBand="0" w:oddHBand="0" w:evenHBand="0" w:firstRowFirstColumn="0" w:firstRowLastColumn="0" w:lastRowFirstColumn="0" w:lastRowLastColumn="0"/>
            </w:pPr>
            <w:r>
              <w:t>8 820</w:t>
            </w:r>
          </w:p>
        </w:tc>
      </w:tr>
      <w:tr w:rsidR="00C424E5" w14:paraId="78C087D0" w14:textId="77777777">
        <w:tc>
          <w:tcPr>
            <w:cnfStyle w:val="001000000000" w:firstRow="0" w:lastRow="0" w:firstColumn="1" w:lastColumn="0" w:oddVBand="0" w:evenVBand="0" w:oddHBand="0" w:evenHBand="0" w:firstRowFirstColumn="0" w:firstRowLastColumn="0" w:lastRowFirstColumn="0" w:lastRowLastColumn="0"/>
            <w:tcW w:w="3740" w:type="dxa"/>
          </w:tcPr>
          <w:p w14:paraId="689099BE" w14:textId="77777777" w:rsidR="00C424E5" w:rsidRDefault="00C424E5">
            <w:r>
              <w:t>Metropolitan planning levy</w:t>
            </w:r>
          </w:p>
        </w:tc>
        <w:tc>
          <w:tcPr>
            <w:tcW w:w="794" w:type="dxa"/>
          </w:tcPr>
          <w:p w14:paraId="0E66FE1F" w14:textId="77777777" w:rsidR="00C424E5" w:rsidRDefault="00C424E5">
            <w:pPr>
              <w:cnfStyle w:val="000000000000" w:firstRow="0" w:lastRow="0" w:firstColumn="0" w:lastColumn="0" w:oddVBand="0" w:evenVBand="0" w:oddHBand="0" w:evenHBand="0" w:firstRowFirstColumn="0" w:firstRowLastColumn="0" w:lastRowFirstColumn="0" w:lastRowLastColumn="0"/>
            </w:pPr>
            <w:r>
              <w:t>20</w:t>
            </w:r>
          </w:p>
        </w:tc>
        <w:tc>
          <w:tcPr>
            <w:tcW w:w="794" w:type="dxa"/>
          </w:tcPr>
          <w:p w14:paraId="202F948D" w14:textId="77777777" w:rsidR="00C424E5" w:rsidRDefault="00C424E5">
            <w:pPr>
              <w:cnfStyle w:val="000000000000" w:firstRow="0" w:lastRow="0" w:firstColumn="0" w:lastColumn="0" w:oddVBand="0" w:evenVBand="0" w:oddHBand="0" w:evenHBand="0" w:firstRowFirstColumn="0" w:firstRowLastColumn="0" w:lastRowFirstColumn="0" w:lastRowLastColumn="0"/>
            </w:pPr>
            <w:r>
              <w:t>22</w:t>
            </w:r>
          </w:p>
        </w:tc>
        <w:tc>
          <w:tcPr>
            <w:tcW w:w="794" w:type="dxa"/>
          </w:tcPr>
          <w:p w14:paraId="5C629BEB" w14:textId="77777777" w:rsidR="00C424E5" w:rsidRDefault="00C424E5">
            <w:pPr>
              <w:cnfStyle w:val="000000000000" w:firstRow="0" w:lastRow="0" w:firstColumn="0" w:lastColumn="0" w:oddVBand="0" w:evenVBand="0" w:oddHBand="0" w:evenHBand="0" w:firstRowFirstColumn="0" w:firstRowLastColumn="0" w:lastRowFirstColumn="0" w:lastRowLastColumn="0"/>
            </w:pPr>
            <w:r>
              <w:t>21</w:t>
            </w:r>
          </w:p>
        </w:tc>
        <w:tc>
          <w:tcPr>
            <w:tcW w:w="794" w:type="dxa"/>
          </w:tcPr>
          <w:p w14:paraId="4E047723" w14:textId="77777777" w:rsidR="00C424E5" w:rsidRDefault="00C424E5">
            <w:pPr>
              <w:cnfStyle w:val="000000000000" w:firstRow="0" w:lastRow="0" w:firstColumn="0" w:lastColumn="0" w:oddVBand="0" w:evenVBand="0" w:oddHBand="0" w:evenHBand="0" w:firstRowFirstColumn="0" w:firstRowLastColumn="0" w:lastRowFirstColumn="0" w:lastRowLastColumn="0"/>
            </w:pPr>
            <w:r>
              <w:t>22</w:t>
            </w:r>
          </w:p>
        </w:tc>
        <w:tc>
          <w:tcPr>
            <w:tcW w:w="794" w:type="dxa"/>
          </w:tcPr>
          <w:p w14:paraId="1C5B61B8" w14:textId="77777777" w:rsidR="00C424E5" w:rsidRDefault="00C424E5">
            <w:pPr>
              <w:cnfStyle w:val="000000000000" w:firstRow="0" w:lastRow="0" w:firstColumn="0" w:lastColumn="0" w:oddVBand="0" w:evenVBand="0" w:oddHBand="0" w:evenHBand="0" w:firstRowFirstColumn="0" w:firstRowLastColumn="0" w:lastRowFirstColumn="0" w:lastRowLastColumn="0"/>
            </w:pPr>
            <w:r>
              <w:t>23</w:t>
            </w:r>
          </w:p>
        </w:tc>
      </w:tr>
      <w:tr w:rsidR="00C424E5" w14:paraId="0C00B83A" w14:textId="77777777">
        <w:tc>
          <w:tcPr>
            <w:cnfStyle w:val="001000000000" w:firstRow="0" w:lastRow="0" w:firstColumn="1" w:lastColumn="0" w:oddVBand="0" w:evenVBand="0" w:oddHBand="0" w:evenHBand="0" w:firstRowFirstColumn="0" w:firstRowLastColumn="0" w:lastRowFirstColumn="0" w:lastRowLastColumn="0"/>
            <w:tcW w:w="3740" w:type="dxa"/>
          </w:tcPr>
          <w:p w14:paraId="0D272AB4" w14:textId="77777777" w:rsidR="00C424E5" w:rsidRDefault="00C424E5">
            <w:r>
              <w:t>Financial accommodation levy</w:t>
            </w:r>
          </w:p>
        </w:tc>
        <w:tc>
          <w:tcPr>
            <w:tcW w:w="794" w:type="dxa"/>
          </w:tcPr>
          <w:p w14:paraId="329E03D9" w14:textId="77777777" w:rsidR="00C424E5" w:rsidRDefault="00C424E5">
            <w:pPr>
              <w:cnfStyle w:val="000000000000" w:firstRow="0" w:lastRow="0" w:firstColumn="0" w:lastColumn="0" w:oddVBand="0" w:evenVBand="0" w:oddHBand="0" w:evenHBand="0" w:firstRowFirstColumn="0" w:firstRowLastColumn="0" w:lastRowFirstColumn="0" w:lastRowLastColumn="0"/>
            </w:pPr>
            <w:r>
              <w:t>184</w:t>
            </w:r>
          </w:p>
        </w:tc>
        <w:tc>
          <w:tcPr>
            <w:tcW w:w="794" w:type="dxa"/>
          </w:tcPr>
          <w:p w14:paraId="7306681B" w14:textId="77777777" w:rsidR="00C424E5" w:rsidRDefault="00C424E5">
            <w:pPr>
              <w:cnfStyle w:val="000000000000" w:firstRow="0" w:lastRow="0" w:firstColumn="0" w:lastColumn="0" w:oddVBand="0" w:evenVBand="0" w:oddHBand="0" w:evenHBand="0" w:firstRowFirstColumn="0" w:firstRowLastColumn="0" w:lastRowFirstColumn="0" w:lastRowLastColumn="0"/>
            </w:pPr>
            <w:r>
              <w:t>160</w:t>
            </w:r>
          </w:p>
        </w:tc>
        <w:tc>
          <w:tcPr>
            <w:tcW w:w="794" w:type="dxa"/>
          </w:tcPr>
          <w:p w14:paraId="57D4D090" w14:textId="77777777" w:rsidR="00C424E5" w:rsidRDefault="00C424E5">
            <w:pPr>
              <w:cnfStyle w:val="000000000000" w:firstRow="0" w:lastRow="0" w:firstColumn="0" w:lastColumn="0" w:oddVBand="0" w:evenVBand="0" w:oddHBand="0" w:evenHBand="0" w:firstRowFirstColumn="0" w:firstRowLastColumn="0" w:lastRowFirstColumn="0" w:lastRowLastColumn="0"/>
            </w:pPr>
            <w:r>
              <w:t>172</w:t>
            </w:r>
          </w:p>
        </w:tc>
        <w:tc>
          <w:tcPr>
            <w:tcW w:w="794" w:type="dxa"/>
          </w:tcPr>
          <w:p w14:paraId="1A520ECA" w14:textId="77777777" w:rsidR="00C424E5" w:rsidRDefault="00C424E5">
            <w:pPr>
              <w:cnfStyle w:val="000000000000" w:firstRow="0" w:lastRow="0" w:firstColumn="0" w:lastColumn="0" w:oddVBand="0" w:evenVBand="0" w:oddHBand="0" w:evenHBand="0" w:firstRowFirstColumn="0" w:firstRowLastColumn="0" w:lastRowFirstColumn="0" w:lastRowLastColumn="0"/>
            </w:pPr>
            <w:r>
              <w:t>178</w:t>
            </w:r>
          </w:p>
        </w:tc>
        <w:tc>
          <w:tcPr>
            <w:tcW w:w="794" w:type="dxa"/>
          </w:tcPr>
          <w:p w14:paraId="590E1321" w14:textId="77777777" w:rsidR="00C424E5" w:rsidRDefault="00C424E5">
            <w:pPr>
              <w:cnfStyle w:val="000000000000" w:firstRow="0" w:lastRow="0" w:firstColumn="0" w:lastColumn="0" w:oddVBand="0" w:evenVBand="0" w:oddHBand="0" w:evenHBand="0" w:firstRowFirstColumn="0" w:firstRowLastColumn="0" w:lastRowFirstColumn="0" w:lastRowLastColumn="0"/>
            </w:pPr>
            <w:r>
              <w:t>182</w:t>
            </w:r>
          </w:p>
        </w:tc>
      </w:tr>
      <w:tr w:rsidR="00C424E5" w14:paraId="0796E743" w14:textId="77777777">
        <w:tc>
          <w:tcPr>
            <w:cnfStyle w:val="001000000000" w:firstRow="0" w:lastRow="0" w:firstColumn="1" w:lastColumn="0" w:oddVBand="0" w:evenVBand="0" w:oddHBand="0" w:evenHBand="0" w:firstRowFirstColumn="0" w:firstRowLastColumn="0" w:lastRowFirstColumn="0" w:lastRowLastColumn="0"/>
            <w:tcW w:w="3740" w:type="dxa"/>
          </w:tcPr>
          <w:p w14:paraId="12A83761" w14:textId="77777777" w:rsidR="00C424E5" w:rsidRDefault="00C424E5">
            <w:r>
              <w:t>Growth areas infrastructure contributions</w:t>
            </w:r>
          </w:p>
        </w:tc>
        <w:tc>
          <w:tcPr>
            <w:tcW w:w="794" w:type="dxa"/>
          </w:tcPr>
          <w:p w14:paraId="5A614174" w14:textId="77777777" w:rsidR="00C424E5" w:rsidRDefault="00C424E5">
            <w:pPr>
              <w:cnfStyle w:val="000000000000" w:firstRow="0" w:lastRow="0" w:firstColumn="0" w:lastColumn="0" w:oddVBand="0" w:evenVBand="0" w:oddHBand="0" w:evenHBand="0" w:firstRowFirstColumn="0" w:firstRowLastColumn="0" w:lastRowFirstColumn="0" w:lastRowLastColumn="0"/>
            </w:pPr>
            <w:r>
              <w:t>280</w:t>
            </w:r>
          </w:p>
        </w:tc>
        <w:tc>
          <w:tcPr>
            <w:tcW w:w="794" w:type="dxa"/>
          </w:tcPr>
          <w:p w14:paraId="6018E857" w14:textId="77777777" w:rsidR="00C424E5" w:rsidRDefault="00C424E5">
            <w:pPr>
              <w:cnfStyle w:val="000000000000" w:firstRow="0" w:lastRow="0" w:firstColumn="0" w:lastColumn="0" w:oddVBand="0" w:evenVBand="0" w:oddHBand="0" w:evenHBand="0" w:firstRowFirstColumn="0" w:firstRowLastColumn="0" w:lastRowFirstColumn="0" w:lastRowLastColumn="0"/>
            </w:pPr>
            <w:r>
              <w:t>320</w:t>
            </w:r>
          </w:p>
        </w:tc>
        <w:tc>
          <w:tcPr>
            <w:tcW w:w="794" w:type="dxa"/>
          </w:tcPr>
          <w:p w14:paraId="36962C58" w14:textId="77777777" w:rsidR="00C424E5" w:rsidRDefault="00C424E5">
            <w:pPr>
              <w:cnfStyle w:val="000000000000" w:firstRow="0" w:lastRow="0" w:firstColumn="0" w:lastColumn="0" w:oddVBand="0" w:evenVBand="0" w:oddHBand="0" w:evenHBand="0" w:firstRowFirstColumn="0" w:firstRowLastColumn="0" w:lastRowFirstColumn="0" w:lastRowLastColumn="0"/>
            </w:pPr>
            <w:r>
              <w:t>328</w:t>
            </w:r>
          </w:p>
        </w:tc>
        <w:tc>
          <w:tcPr>
            <w:tcW w:w="794" w:type="dxa"/>
          </w:tcPr>
          <w:p w14:paraId="3A300489" w14:textId="77777777" w:rsidR="00C424E5" w:rsidRDefault="00C424E5">
            <w:pPr>
              <w:cnfStyle w:val="000000000000" w:firstRow="0" w:lastRow="0" w:firstColumn="0" w:lastColumn="0" w:oddVBand="0" w:evenVBand="0" w:oddHBand="0" w:evenHBand="0" w:firstRowFirstColumn="0" w:firstRowLastColumn="0" w:lastRowFirstColumn="0" w:lastRowLastColumn="0"/>
            </w:pPr>
            <w:r>
              <w:t>336</w:t>
            </w:r>
          </w:p>
        </w:tc>
        <w:tc>
          <w:tcPr>
            <w:tcW w:w="794" w:type="dxa"/>
          </w:tcPr>
          <w:p w14:paraId="5F2ACA11" w14:textId="77777777" w:rsidR="00C424E5" w:rsidRDefault="00C424E5">
            <w:pPr>
              <w:cnfStyle w:val="000000000000" w:firstRow="0" w:lastRow="0" w:firstColumn="0" w:lastColumn="0" w:oddVBand="0" w:evenVBand="0" w:oddHBand="0" w:evenHBand="0" w:firstRowFirstColumn="0" w:firstRowLastColumn="0" w:lastRowFirstColumn="0" w:lastRowLastColumn="0"/>
            </w:pPr>
            <w:r>
              <w:t>344</w:t>
            </w:r>
          </w:p>
        </w:tc>
      </w:tr>
      <w:tr w:rsidR="00C424E5" w14:paraId="6B907EAA" w14:textId="77777777">
        <w:tc>
          <w:tcPr>
            <w:cnfStyle w:val="001000000000" w:firstRow="0" w:lastRow="0" w:firstColumn="1" w:lastColumn="0" w:oddVBand="0" w:evenVBand="0" w:oddHBand="0" w:evenHBand="0" w:firstRowFirstColumn="0" w:firstRowLastColumn="0" w:lastRowFirstColumn="0" w:lastRowLastColumn="0"/>
            <w:tcW w:w="3740" w:type="dxa"/>
          </w:tcPr>
          <w:p w14:paraId="4332BD32" w14:textId="77777777" w:rsidR="00C424E5" w:rsidRDefault="00C424E5">
            <w:r>
              <w:rPr>
                <w:b/>
              </w:rPr>
              <w:t>Levies on statutory corporations</w:t>
            </w:r>
            <w:r>
              <w:rPr>
                <w:b/>
                <w:vertAlign w:val="superscript"/>
              </w:rPr>
              <w:t xml:space="preserve"> (b)</w:t>
            </w:r>
          </w:p>
        </w:tc>
        <w:tc>
          <w:tcPr>
            <w:tcW w:w="794" w:type="dxa"/>
          </w:tcPr>
          <w:p w14:paraId="0C91086D"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173</w:t>
            </w:r>
          </w:p>
        </w:tc>
        <w:tc>
          <w:tcPr>
            <w:tcW w:w="794" w:type="dxa"/>
          </w:tcPr>
          <w:p w14:paraId="32FCE83C"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173</w:t>
            </w:r>
          </w:p>
        </w:tc>
        <w:tc>
          <w:tcPr>
            <w:tcW w:w="794" w:type="dxa"/>
          </w:tcPr>
          <w:p w14:paraId="2B6606D6"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173</w:t>
            </w:r>
          </w:p>
        </w:tc>
        <w:tc>
          <w:tcPr>
            <w:tcW w:w="794" w:type="dxa"/>
          </w:tcPr>
          <w:p w14:paraId="04210CB3"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w:t>
            </w:r>
          </w:p>
        </w:tc>
        <w:tc>
          <w:tcPr>
            <w:tcW w:w="794" w:type="dxa"/>
          </w:tcPr>
          <w:p w14:paraId="02F0D10D"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w:t>
            </w:r>
          </w:p>
        </w:tc>
      </w:tr>
      <w:tr w:rsidR="00C424E5" w14:paraId="52FA67D8"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215840A4" w14:textId="77777777" w:rsidR="00C424E5" w:rsidRDefault="00C424E5">
            <w:r>
              <w:rPr>
                <w:b/>
              </w:rPr>
              <w:t>Taxes on insurance</w:t>
            </w:r>
          </w:p>
        </w:tc>
        <w:tc>
          <w:tcPr>
            <w:tcW w:w="794" w:type="dxa"/>
            <w:tcBorders>
              <w:bottom w:val="single" w:sz="6" w:space="0" w:color="auto"/>
            </w:tcBorders>
          </w:tcPr>
          <w:p w14:paraId="51B487F4"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1 829</w:t>
            </w:r>
          </w:p>
        </w:tc>
        <w:tc>
          <w:tcPr>
            <w:tcW w:w="794" w:type="dxa"/>
            <w:tcBorders>
              <w:bottom w:val="single" w:sz="6" w:space="0" w:color="auto"/>
            </w:tcBorders>
          </w:tcPr>
          <w:p w14:paraId="15D07435"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1 846</w:t>
            </w:r>
          </w:p>
        </w:tc>
        <w:tc>
          <w:tcPr>
            <w:tcW w:w="794" w:type="dxa"/>
            <w:tcBorders>
              <w:bottom w:val="single" w:sz="6" w:space="0" w:color="auto"/>
            </w:tcBorders>
          </w:tcPr>
          <w:p w14:paraId="7906E38D"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1 977</w:t>
            </w:r>
          </w:p>
        </w:tc>
        <w:tc>
          <w:tcPr>
            <w:tcW w:w="794" w:type="dxa"/>
            <w:tcBorders>
              <w:bottom w:val="single" w:sz="6" w:space="0" w:color="auto"/>
            </w:tcBorders>
          </w:tcPr>
          <w:p w14:paraId="1854914F"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2 116</w:t>
            </w:r>
          </w:p>
        </w:tc>
        <w:tc>
          <w:tcPr>
            <w:tcW w:w="794" w:type="dxa"/>
            <w:tcBorders>
              <w:bottom w:val="single" w:sz="6" w:space="0" w:color="auto"/>
            </w:tcBorders>
          </w:tcPr>
          <w:p w14:paraId="7F574B8D"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2 263</w:t>
            </w:r>
          </w:p>
        </w:tc>
      </w:tr>
      <w:tr w:rsidR="00C424E5" w14:paraId="2236C7C9"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6B6E9A9D" w14:textId="77777777" w:rsidR="00C424E5" w:rsidRDefault="00C424E5">
            <w:r>
              <w:rPr>
                <w:b/>
              </w:rPr>
              <w:t>Total taxes on the provision of goods and services</w:t>
            </w:r>
          </w:p>
        </w:tc>
        <w:tc>
          <w:tcPr>
            <w:tcW w:w="794" w:type="dxa"/>
            <w:tcBorders>
              <w:top w:val="single" w:sz="6" w:space="0" w:color="auto"/>
              <w:bottom w:val="single" w:sz="6" w:space="0" w:color="auto"/>
            </w:tcBorders>
          </w:tcPr>
          <w:p w14:paraId="0D2E6E60"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13 150</w:t>
            </w:r>
          </w:p>
        </w:tc>
        <w:tc>
          <w:tcPr>
            <w:tcW w:w="794" w:type="dxa"/>
            <w:tcBorders>
              <w:top w:val="single" w:sz="6" w:space="0" w:color="auto"/>
              <w:bottom w:val="single" w:sz="6" w:space="0" w:color="auto"/>
            </w:tcBorders>
          </w:tcPr>
          <w:p w14:paraId="494D1DBC"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13 078</w:t>
            </w:r>
          </w:p>
        </w:tc>
        <w:tc>
          <w:tcPr>
            <w:tcW w:w="794" w:type="dxa"/>
            <w:tcBorders>
              <w:top w:val="single" w:sz="6" w:space="0" w:color="auto"/>
              <w:bottom w:val="single" w:sz="6" w:space="0" w:color="auto"/>
            </w:tcBorders>
          </w:tcPr>
          <w:p w14:paraId="2E7A8C5D"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13 562</w:t>
            </w:r>
          </w:p>
        </w:tc>
        <w:tc>
          <w:tcPr>
            <w:tcW w:w="794" w:type="dxa"/>
            <w:tcBorders>
              <w:top w:val="single" w:sz="6" w:space="0" w:color="auto"/>
              <w:bottom w:val="single" w:sz="6" w:space="0" w:color="auto"/>
            </w:tcBorders>
          </w:tcPr>
          <w:p w14:paraId="2E67A82C"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13 889</w:t>
            </w:r>
          </w:p>
        </w:tc>
        <w:tc>
          <w:tcPr>
            <w:tcW w:w="794" w:type="dxa"/>
            <w:tcBorders>
              <w:top w:val="single" w:sz="6" w:space="0" w:color="auto"/>
              <w:bottom w:val="single" w:sz="6" w:space="0" w:color="auto"/>
            </w:tcBorders>
          </w:tcPr>
          <w:p w14:paraId="59AB7866"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14 465</w:t>
            </w:r>
          </w:p>
        </w:tc>
      </w:tr>
      <w:tr w:rsidR="00253AF8" w14:paraId="1A225BF8" w14:textId="77777777" w:rsidTr="00406EFF">
        <w:tc>
          <w:tcPr>
            <w:cnfStyle w:val="001000000000" w:firstRow="0" w:lastRow="0" w:firstColumn="1" w:lastColumn="0" w:oddVBand="0" w:evenVBand="0" w:oddHBand="0" w:evenHBand="0" w:firstRowFirstColumn="0" w:firstRowLastColumn="0" w:lastRowFirstColumn="0" w:lastRowLastColumn="0"/>
            <w:tcW w:w="4534" w:type="dxa"/>
            <w:gridSpan w:val="2"/>
            <w:tcBorders>
              <w:top w:val="single" w:sz="6" w:space="0" w:color="auto"/>
            </w:tcBorders>
          </w:tcPr>
          <w:p w14:paraId="1BF280DF" w14:textId="4ED1AF8B" w:rsidR="00253AF8" w:rsidRDefault="00253AF8">
            <w:r>
              <w:rPr>
                <w:b/>
              </w:rPr>
              <w:t>Taxes on the use of goods and performance of activities</w:t>
            </w:r>
          </w:p>
        </w:tc>
        <w:tc>
          <w:tcPr>
            <w:tcW w:w="794" w:type="dxa"/>
            <w:tcBorders>
              <w:top w:val="single" w:sz="6" w:space="0" w:color="auto"/>
            </w:tcBorders>
          </w:tcPr>
          <w:p w14:paraId="4146ACF3" w14:textId="77777777" w:rsidR="00253AF8" w:rsidRDefault="00253AF8">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4F65BA1F" w14:textId="77777777" w:rsidR="00253AF8" w:rsidRDefault="00253AF8">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0CA21AEB" w14:textId="77777777" w:rsidR="00253AF8" w:rsidRDefault="00253AF8">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41EF732D" w14:textId="77777777" w:rsidR="00253AF8" w:rsidRDefault="00253AF8">
            <w:pPr>
              <w:cnfStyle w:val="000000000000" w:firstRow="0" w:lastRow="0" w:firstColumn="0" w:lastColumn="0" w:oddVBand="0" w:evenVBand="0" w:oddHBand="0" w:evenHBand="0" w:firstRowFirstColumn="0" w:firstRowLastColumn="0" w:lastRowFirstColumn="0" w:lastRowLastColumn="0"/>
            </w:pPr>
          </w:p>
        </w:tc>
      </w:tr>
      <w:tr w:rsidR="00C424E5" w14:paraId="467FC0A6" w14:textId="77777777">
        <w:tc>
          <w:tcPr>
            <w:cnfStyle w:val="001000000000" w:firstRow="0" w:lastRow="0" w:firstColumn="1" w:lastColumn="0" w:oddVBand="0" w:evenVBand="0" w:oddHBand="0" w:evenHBand="0" w:firstRowFirstColumn="0" w:firstRowLastColumn="0" w:lastRowFirstColumn="0" w:lastRowLastColumn="0"/>
            <w:tcW w:w="3740" w:type="dxa"/>
          </w:tcPr>
          <w:p w14:paraId="332EEBAC" w14:textId="77777777" w:rsidR="00C424E5" w:rsidRDefault="00C424E5">
            <w:r>
              <w:rPr>
                <w:b/>
              </w:rPr>
              <w:t>Motor vehicle taxes</w:t>
            </w:r>
          </w:p>
        </w:tc>
        <w:tc>
          <w:tcPr>
            <w:tcW w:w="794" w:type="dxa"/>
          </w:tcPr>
          <w:p w14:paraId="2A13F044"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59F51ED1"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2BAC2805"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06881778"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2DF90D4B"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32E4ED59" w14:textId="77777777">
        <w:tc>
          <w:tcPr>
            <w:cnfStyle w:val="001000000000" w:firstRow="0" w:lastRow="0" w:firstColumn="1" w:lastColumn="0" w:oddVBand="0" w:evenVBand="0" w:oddHBand="0" w:evenHBand="0" w:firstRowFirstColumn="0" w:firstRowLastColumn="0" w:lastRowFirstColumn="0" w:lastRowLastColumn="0"/>
            <w:tcW w:w="3740" w:type="dxa"/>
          </w:tcPr>
          <w:p w14:paraId="2E0E884E" w14:textId="77777777" w:rsidR="00C424E5" w:rsidRDefault="00C424E5">
            <w:r>
              <w:t>Vehicle registration fees</w:t>
            </w:r>
          </w:p>
        </w:tc>
        <w:tc>
          <w:tcPr>
            <w:tcW w:w="794" w:type="dxa"/>
          </w:tcPr>
          <w:p w14:paraId="7E8FF6AB" w14:textId="77777777" w:rsidR="00C424E5" w:rsidRDefault="00C424E5">
            <w:pPr>
              <w:cnfStyle w:val="000000000000" w:firstRow="0" w:lastRow="0" w:firstColumn="0" w:lastColumn="0" w:oddVBand="0" w:evenVBand="0" w:oddHBand="0" w:evenHBand="0" w:firstRowFirstColumn="0" w:firstRowLastColumn="0" w:lastRowFirstColumn="0" w:lastRowLastColumn="0"/>
            </w:pPr>
            <w:r>
              <w:t>1 994</w:t>
            </w:r>
          </w:p>
        </w:tc>
        <w:tc>
          <w:tcPr>
            <w:tcW w:w="794" w:type="dxa"/>
          </w:tcPr>
          <w:p w14:paraId="73F6F242" w14:textId="77777777" w:rsidR="00C424E5" w:rsidRDefault="00C424E5">
            <w:pPr>
              <w:cnfStyle w:val="000000000000" w:firstRow="0" w:lastRow="0" w:firstColumn="0" w:lastColumn="0" w:oddVBand="0" w:evenVBand="0" w:oddHBand="0" w:evenHBand="0" w:firstRowFirstColumn="0" w:firstRowLastColumn="0" w:lastRowFirstColumn="0" w:lastRowLastColumn="0"/>
            </w:pPr>
            <w:r>
              <w:t>1 976</w:t>
            </w:r>
          </w:p>
        </w:tc>
        <w:tc>
          <w:tcPr>
            <w:tcW w:w="794" w:type="dxa"/>
          </w:tcPr>
          <w:p w14:paraId="63B8BCCB" w14:textId="77777777" w:rsidR="00C424E5" w:rsidRDefault="00C424E5">
            <w:pPr>
              <w:cnfStyle w:val="000000000000" w:firstRow="0" w:lastRow="0" w:firstColumn="0" w:lastColumn="0" w:oddVBand="0" w:evenVBand="0" w:oddHBand="0" w:evenHBand="0" w:firstRowFirstColumn="0" w:firstRowLastColumn="0" w:lastRowFirstColumn="0" w:lastRowLastColumn="0"/>
            </w:pPr>
            <w:r>
              <w:t>2 088</w:t>
            </w:r>
          </w:p>
        </w:tc>
        <w:tc>
          <w:tcPr>
            <w:tcW w:w="794" w:type="dxa"/>
          </w:tcPr>
          <w:p w14:paraId="412FAA76" w14:textId="77777777" w:rsidR="00C424E5" w:rsidRDefault="00C424E5">
            <w:pPr>
              <w:cnfStyle w:val="000000000000" w:firstRow="0" w:lastRow="0" w:firstColumn="0" w:lastColumn="0" w:oddVBand="0" w:evenVBand="0" w:oddHBand="0" w:evenHBand="0" w:firstRowFirstColumn="0" w:firstRowLastColumn="0" w:lastRowFirstColumn="0" w:lastRowLastColumn="0"/>
            </w:pPr>
            <w:r>
              <w:t>2 192</w:t>
            </w:r>
          </w:p>
        </w:tc>
        <w:tc>
          <w:tcPr>
            <w:tcW w:w="794" w:type="dxa"/>
          </w:tcPr>
          <w:p w14:paraId="5CAB4E3A" w14:textId="77777777" w:rsidR="00C424E5" w:rsidRDefault="00C424E5">
            <w:pPr>
              <w:cnfStyle w:val="000000000000" w:firstRow="0" w:lastRow="0" w:firstColumn="0" w:lastColumn="0" w:oddVBand="0" w:evenVBand="0" w:oddHBand="0" w:evenHBand="0" w:firstRowFirstColumn="0" w:firstRowLastColumn="0" w:lastRowFirstColumn="0" w:lastRowLastColumn="0"/>
            </w:pPr>
            <w:r>
              <w:t>2 297</w:t>
            </w:r>
          </w:p>
        </w:tc>
      </w:tr>
      <w:tr w:rsidR="00C424E5" w14:paraId="19C8A8C2" w14:textId="77777777">
        <w:tc>
          <w:tcPr>
            <w:cnfStyle w:val="001000000000" w:firstRow="0" w:lastRow="0" w:firstColumn="1" w:lastColumn="0" w:oddVBand="0" w:evenVBand="0" w:oddHBand="0" w:evenHBand="0" w:firstRowFirstColumn="0" w:firstRowLastColumn="0" w:lastRowFirstColumn="0" w:lastRowLastColumn="0"/>
            <w:tcW w:w="3740" w:type="dxa"/>
          </w:tcPr>
          <w:p w14:paraId="137246DA" w14:textId="77777777" w:rsidR="00C424E5" w:rsidRDefault="00C424E5">
            <w:r>
              <w:t>Duty on vehicle registrations and transfers</w:t>
            </w:r>
          </w:p>
        </w:tc>
        <w:tc>
          <w:tcPr>
            <w:tcW w:w="794" w:type="dxa"/>
          </w:tcPr>
          <w:p w14:paraId="2214D2AB" w14:textId="77777777" w:rsidR="00C424E5" w:rsidRDefault="00C424E5">
            <w:pPr>
              <w:cnfStyle w:val="000000000000" w:firstRow="0" w:lastRow="0" w:firstColumn="0" w:lastColumn="0" w:oddVBand="0" w:evenVBand="0" w:oddHBand="0" w:evenHBand="0" w:firstRowFirstColumn="0" w:firstRowLastColumn="0" w:lastRowFirstColumn="0" w:lastRowLastColumn="0"/>
            </w:pPr>
            <w:r>
              <w:t>1 077</w:t>
            </w:r>
          </w:p>
        </w:tc>
        <w:tc>
          <w:tcPr>
            <w:tcW w:w="794" w:type="dxa"/>
          </w:tcPr>
          <w:p w14:paraId="13E2A9D0" w14:textId="77777777" w:rsidR="00C424E5" w:rsidRDefault="00C424E5">
            <w:pPr>
              <w:cnfStyle w:val="000000000000" w:firstRow="0" w:lastRow="0" w:firstColumn="0" w:lastColumn="0" w:oddVBand="0" w:evenVBand="0" w:oddHBand="0" w:evenHBand="0" w:firstRowFirstColumn="0" w:firstRowLastColumn="0" w:lastRowFirstColumn="0" w:lastRowLastColumn="0"/>
            </w:pPr>
            <w:r>
              <w:t>1 176</w:t>
            </w:r>
          </w:p>
        </w:tc>
        <w:tc>
          <w:tcPr>
            <w:tcW w:w="794" w:type="dxa"/>
          </w:tcPr>
          <w:p w14:paraId="7999532C" w14:textId="77777777" w:rsidR="00C424E5" w:rsidRDefault="00C424E5">
            <w:pPr>
              <w:cnfStyle w:val="000000000000" w:firstRow="0" w:lastRow="0" w:firstColumn="0" w:lastColumn="0" w:oddVBand="0" w:evenVBand="0" w:oddHBand="0" w:evenHBand="0" w:firstRowFirstColumn="0" w:firstRowLastColumn="0" w:lastRowFirstColumn="0" w:lastRowLastColumn="0"/>
            </w:pPr>
            <w:r>
              <w:t>1 239</w:t>
            </w:r>
          </w:p>
        </w:tc>
        <w:tc>
          <w:tcPr>
            <w:tcW w:w="794" w:type="dxa"/>
          </w:tcPr>
          <w:p w14:paraId="0A18AB2F" w14:textId="77777777" w:rsidR="00C424E5" w:rsidRDefault="00C424E5">
            <w:pPr>
              <w:cnfStyle w:val="000000000000" w:firstRow="0" w:lastRow="0" w:firstColumn="0" w:lastColumn="0" w:oddVBand="0" w:evenVBand="0" w:oddHBand="0" w:evenHBand="0" w:firstRowFirstColumn="0" w:firstRowLastColumn="0" w:lastRowFirstColumn="0" w:lastRowLastColumn="0"/>
            </w:pPr>
            <w:r>
              <w:t>1 297</w:t>
            </w:r>
          </w:p>
        </w:tc>
        <w:tc>
          <w:tcPr>
            <w:tcW w:w="794" w:type="dxa"/>
          </w:tcPr>
          <w:p w14:paraId="6F6BE8A3" w14:textId="77777777" w:rsidR="00C424E5" w:rsidRDefault="00C424E5">
            <w:pPr>
              <w:cnfStyle w:val="000000000000" w:firstRow="0" w:lastRow="0" w:firstColumn="0" w:lastColumn="0" w:oddVBand="0" w:evenVBand="0" w:oddHBand="0" w:evenHBand="0" w:firstRowFirstColumn="0" w:firstRowLastColumn="0" w:lastRowFirstColumn="0" w:lastRowLastColumn="0"/>
            </w:pPr>
            <w:r>
              <w:t>1 357</w:t>
            </w:r>
          </w:p>
        </w:tc>
      </w:tr>
      <w:tr w:rsidR="00C424E5" w14:paraId="28B64C5C" w14:textId="77777777">
        <w:tc>
          <w:tcPr>
            <w:cnfStyle w:val="001000000000" w:firstRow="0" w:lastRow="0" w:firstColumn="1" w:lastColumn="0" w:oddVBand="0" w:evenVBand="0" w:oddHBand="0" w:evenHBand="0" w:firstRowFirstColumn="0" w:firstRowLastColumn="0" w:lastRowFirstColumn="0" w:lastRowLastColumn="0"/>
            <w:tcW w:w="3740" w:type="dxa"/>
          </w:tcPr>
          <w:p w14:paraId="41FED18D" w14:textId="77777777" w:rsidR="00C424E5" w:rsidRDefault="00C424E5">
            <w:r>
              <w:rPr>
                <w:b/>
              </w:rPr>
              <w:t>Liquor licence fees</w:t>
            </w:r>
          </w:p>
        </w:tc>
        <w:tc>
          <w:tcPr>
            <w:tcW w:w="794" w:type="dxa"/>
          </w:tcPr>
          <w:p w14:paraId="67B9D51A"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26</w:t>
            </w:r>
          </w:p>
        </w:tc>
        <w:tc>
          <w:tcPr>
            <w:tcW w:w="794" w:type="dxa"/>
          </w:tcPr>
          <w:p w14:paraId="5F314034"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27</w:t>
            </w:r>
          </w:p>
        </w:tc>
        <w:tc>
          <w:tcPr>
            <w:tcW w:w="794" w:type="dxa"/>
          </w:tcPr>
          <w:p w14:paraId="7F78EB18"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29</w:t>
            </w:r>
          </w:p>
        </w:tc>
        <w:tc>
          <w:tcPr>
            <w:tcW w:w="794" w:type="dxa"/>
          </w:tcPr>
          <w:p w14:paraId="5CE0009C"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30</w:t>
            </w:r>
          </w:p>
        </w:tc>
        <w:tc>
          <w:tcPr>
            <w:tcW w:w="794" w:type="dxa"/>
          </w:tcPr>
          <w:p w14:paraId="18845B7B"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32</w:t>
            </w:r>
          </w:p>
        </w:tc>
      </w:tr>
      <w:tr w:rsidR="00C424E5" w14:paraId="7EC80FDA"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749C349E" w14:textId="77777777" w:rsidR="00C424E5" w:rsidRDefault="00C424E5">
            <w:r>
              <w:rPr>
                <w:b/>
              </w:rPr>
              <w:t>Other</w:t>
            </w:r>
          </w:p>
        </w:tc>
        <w:tc>
          <w:tcPr>
            <w:tcW w:w="794" w:type="dxa"/>
            <w:tcBorders>
              <w:bottom w:val="single" w:sz="6" w:space="0" w:color="auto"/>
            </w:tcBorders>
          </w:tcPr>
          <w:p w14:paraId="279B9161"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648</w:t>
            </w:r>
          </w:p>
        </w:tc>
        <w:tc>
          <w:tcPr>
            <w:tcW w:w="794" w:type="dxa"/>
            <w:tcBorders>
              <w:bottom w:val="single" w:sz="6" w:space="0" w:color="auto"/>
            </w:tcBorders>
          </w:tcPr>
          <w:p w14:paraId="1624F302"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629</w:t>
            </w:r>
          </w:p>
        </w:tc>
        <w:tc>
          <w:tcPr>
            <w:tcW w:w="794" w:type="dxa"/>
            <w:tcBorders>
              <w:bottom w:val="single" w:sz="6" w:space="0" w:color="auto"/>
            </w:tcBorders>
          </w:tcPr>
          <w:p w14:paraId="228B531E"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641</w:t>
            </w:r>
          </w:p>
        </w:tc>
        <w:tc>
          <w:tcPr>
            <w:tcW w:w="794" w:type="dxa"/>
            <w:tcBorders>
              <w:bottom w:val="single" w:sz="6" w:space="0" w:color="auto"/>
            </w:tcBorders>
          </w:tcPr>
          <w:p w14:paraId="56007300"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653</w:t>
            </w:r>
          </w:p>
        </w:tc>
        <w:tc>
          <w:tcPr>
            <w:tcW w:w="794" w:type="dxa"/>
            <w:tcBorders>
              <w:bottom w:val="single" w:sz="6" w:space="0" w:color="auto"/>
            </w:tcBorders>
          </w:tcPr>
          <w:p w14:paraId="6A489D51"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691</w:t>
            </w:r>
          </w:p>
        </w:tc>
      </w:tr>
      <w:tr w:rsidR="00C424E5" w14:paraId="18EAA8F5"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5C151FD2" w14:textId="77777777" w:rsidR="00C424E5" w:rsidRDefault="00C424E5">
            <w:r>
              <w:rPr>
                <w:b/>
              </w:rPr>
              <w:t>Total taxes on the use of goods and performance of activities</w:t>
            </w:r>
          </w:p>
        </w:tc>
        <w:tc>
          <w:tcPr>
            <w:tcW w:w="794" w:type="dxa"/>
            <w:tcBorders>
              <w:top w:val="single" w:sz="6" w:space="0" w:color="auto"/>
              <w:bottom w:val="single" w:sz="6" w:space="0" w:color="auto"/>
            </w:tcBorders>
          </w:tcPr>
          <w:p w14:paraId="31729E6C"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3 745</w:t>
            </w:r>
          </w:p>
        </w:tc>
        <w:tc>
          <w:tcPr>
            <w:tcW w:w="794" w:type="dxa"/>
            <w:tcBorders>
              <w:top w:val="single" w:sz="6" w:space="0" w:color="auto"/>
              <w:bottom w:val="single" w:sz="6" w:space="0" w:color="auto"/>
            </w:tcBorders>
          </w:tcPr>
          <w:p w14:paraId="153454A0"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3 808</w:t>
            </w:r>
          </w:p>
        </w:tc>
        <w:tc>
          <w:tcPr>
            <w:tcW w:w="794" w:type="dxa"/>
            <w:tcBorders>
              <w:top w:val="single" w:sz="6" w:space="0" w:color="auto"/>
              <w:bottom w:val="single" w:sz="6" w:space="0" w:color="auto"/>
            </w:tcBorders>
          </w:tcPr>
          <w:p w14:paraId="139F4B3B"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3 996</w:t>
            </w:r>
          </w:p>
        </w:tc>
        <w:tc>
          <w:tcPr>
            <w:tcW w:w="794" w:type="dxa"/>
            <w:tcBorders>
              <w:top w:val="single" w:sz="6" w:space="0" w:color="auto"/>
              <w:bottom w:val="single" w:sz="6" w:space="0" w:color="auto"/>
            </w:tcBorders>
          </w:tcPr>
          <w:p w14:paraId="6115C663"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4 172</w:t>
            </w:r>
          </w:p>
        </w:tc>
        <w:tc>
          <w:tcPr>
            <w:tcW w:w="794" w:type="dxa"/>
            <w:tcBorders>
              <w:top w:val="single" w:sz="6" w:space="0" w:color="auto"/>
              <w:bottom w:val="single" w:sz="6" w:space="0" w:color="auto"/>
            </w:tcBorders>
          </w:tcPr>
          <w:p w14:paraId="1B68A766"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4 376</w:t>
            </w:r>
          </w:p>
        </w:tc>
      </w:tr>
      <w:tr w:rsidR="00C424E5" w14:paraId="7059094D"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7D607B9E" w14:textId="77777777" w:rsidR="00C424E5" w:rsidRDefault="00C424E5">
            <w:r>
              <w:rPr>
                <w:b/>
              </w:rPr>
              <w:t>Total taxation</w:t>
            </w:r>
          </w:p>
        </w:tc>
        <w:tc>
          <w:tcPr>
            <w:tcW w:w="794" w:type="dxa"/>
            <w:tcBorders>
              <w:top w:val="single" w:sz="6" w:space="0" w:color="auto"/>
              <w:bottom w:val="single" w:sz="12" w:space="0" w:color="auto"/>
            </w:tcBorders>
          </w:tcPr>
          <w:p w14:paraId="79735A93"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30 488</w:t>
            </w:r>
          </w:p>
        </w:tc>
        <w:tc>
          <w:tcPr>
            <w:tcW w:w="794" w:type="dxa"/>
            <w:tcBorders>
              <w:top w:val="single" w:sz="6" w:space="0" w:color="auto"/>
              <w:bottom w:val="single" w:sz="12" w:space="0" w:color="auto"/>
            </w:tcBorders>
          </w:tcPr>
          <w:p w14:paraId="5966B51C"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31 166</w:t>
            </w:r>
          </w:p>
        </w:tc>
        <w:tc>
          <w:tcPr>
            <w:tcW w:w="794" w:type="dxa"/>
            <w:tcBorders>
              <w:top w:val="single" w:sz="6" w:space="0" w:color="auto"/>
              <w:bottom w:val="single" w:sz="12" w:space="0" w:color="auto"/>
            </w:tcBorders>
          </w:tcPr>
          <w:p w14:paraId="543EC8D0"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32 686</w:t>
            </w:r>
          </w:p>
        </w:tc>
        <w:tc>
          <w:tcPr>
            <w:tcW w:w="794" w:type="dxa"/>
            <w:tcBorders>
              <w:top w:val="single" w:sz="6" w:space="0" w:color="auto"/>
              <w:bottom w:val="single" w:sz="12" w:space="0" w:color="auto"/>
            </w:tcBorders>
          </w:tcPr>
          <w:p w14:paraId="07AAC502"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33 802</w:t>
            </w:r>
          </w:p>
        </w:tc>
        <w:tc>
          <w:tcPr>
            <w:tcW w:w="794" w:type="dxa"/>
            <w:tcBorders>
              <w:top w:val="single" w:sz="6" w:space="0" w:color="auto"/>
              <w:bottom w:val="single" w:sz="12" w:space="0" w:color="auto"/>
            </w:tcBorders>
          </w:tcPr>
          <w:p w14:paraId="3D54915A" w14:textId="17AFDA26" w:rsidR="00C424E5" w:rsidRDefault="00C424E5">
            <w:pPr>
              <w:cnfStyle w:val="000000000000" w:firstRow="0" w:lastRow="0" w:firstColumn="0" w:lastColumn="0" w:oddVBand="0" w:evenVBand="0" w:oddHBand="0" w:evenHBand="0" w:firstRowFirstColumn="0" w:firstRowLastColumn="0" w:lastRowFirstColumn="0" w:lastRowLastColumn="0"/>
            </w:pPr>
            <w:r>
              <w:rPr>
                <w:b/>
              </w:rPr>
              <w:t>35 554</w:t>
            </w:r>
          </w:p>
        </w:tc>
      </w:tr>
    </w:tbl>
    <w:p w14:paraId="22C6C67C" w14:textId="77777777" w:rsidR="00C424E5" w:rsidRDefault="00C424E5" w:rsidP="006206EF">
      <w:pPr>
        <w:pStyle w:val="Note"/>
        <w:ind w:left="0" w:firstLine="0"/>
      </w:pPr>
      <w:r w:rsidRPr="00D87D22">
        <w:t>Note</w:t>
      </w:r>
      <w:r>
        <w:t>s</w:t>
      </w:r>
      <w:r w:rsidRPr="00D87D22">
        <w:t>:</w:t>
      </w:r>
    </w:p>
    <w:p w14:paraId="3EB95219" w14:textId="77777777" w:rsidR="00C424E5" w:rsidRPr="00B2480C" w:rsidRDefault="00C424E5" w:rsidP="006206EF">
      <w:pPr>
        <w:pStyle w:val="Note"/>
        <w:ind w:right="-86"/>
      </w:pPr>
      <w:r w:rsidRPr="004E331F">
        <w:t>(</w:t>
      </w:r>
      <w:r>
        <w:t>a</w:t>
      </w:r>
      <w:r w:rsidRPr="004E331F">
        <w:t xml:space="preserve">) </w:t>
      </w:r>
      <w:r w:rsidRPr="004E331F">
        <w:tab/>
        <w:t xml:space="preserve">The public lotteries, electronic gaming machines, casino, racing and other sports betting and other gambling taxes balances include gambling licence revenue forecasts </w:t>
      </w:r>
      <w:r w:rsidRPr="008D387C">
        <w:t>of $174 million in 2022-23, $190 million in 2023-24, $190 million in 2024-25 and $190 million in</w:t>
      </w:r>
      <w:r w:rsidRPr="004E331F">
        <w:t xml:space="preserve"> 202</w:t>
      </w:r>
      <w:r>
        <w:t>5</w:t>
      </w:r>
      <w:r w:rsidRPr="004E331F">
        <w:noBreakHyphen/>
        <w:t>2</w:t>
      </w:r>
      <w:r>
        <w:t>6</w:t>
      </w:r>
      <w:r w:rsidRPr="004E331F">
        <w:t>, recognised under AASB 15. The balance of these items is recognised under AASB 1058.</w:t>
      </w:r>
    </w:p>
    <w:p w14:paraId="668F54C2" w14:textId="77777777" w:rsidR="00C424E5" w:rsidRDefault="00C424E5" w:rsidP="006206EF">
      <w:pPr>
        <w:pStyle w:val="Note"/>
        <w:ind w:right="-86"/>
      </w:pPr>
      <w:r w:rsidRPr="00D11A6C">
        <w:t>(</w:t>
      </w:r>
      <w:r>
        <w:t>b</w:t>
      </w:r>
      <w:r w:rsidRPr="00D11A6C">
        <w:t>)</w:t>
      </w:r>
      <w:r w:rsidRPr="00D11A6C">
        <w:tab/>
        <w:t xml:space="preserve">The fifth tranche of the environmental contribution levy </w:t>
      </w:r>
      <w:r>
        <w:t xml:space="preserve">began </w:t>
      </w:r>
      <w:r w:rsidRPr="00D11A6C">
        <w:t>on 1 July 2020 for a period of four years concluding on 30 June 202</w:t>
      </w:r>
      <w:r>
        <w:t>4</w:t>
      </w:r>
      <w:r w:rsidRPr="00D11A6C">
        <w:t>.</w:t>
      </w:r>
    </w:p>
    <w:p w14:paraId="23B381DA" w14:textId="77777777" w:rsidR="00C424E5" w:rsidRDefault="00C424E5" w:rsidP="006206EF">
      <w:pPr>
        <w:pStyle w:val="Note"/>
        <w:ind w:right="-86"/>
      </w:pPr>
    </w:p>
    <w:p w14:paraId="388946D6" w14:textId="77777777" w:rsidR="00C424E5" w:rsidRDefault="00C424E5" w:rsidP="006206EF">
      <w:pPr>
        <w:pStyle w:val="Heading3"/>
        <w:pageBreakBefore/>
        <w:spacing w:after="60"/>
        <w:rPr>
          <w:sz w:val="20"/>
          <w:szCs w:val="20"/>
        </w:rPr>
      </w:pPr>
      <w:bookmarkStart w:id="53" w:name="_Toc85010021"/>
      <w:bookmarkStart w:id="54" w:name="_Toc117172217"/>
      <w:r w:rsidRPr="00846F56">
        <w:rPr>
          <w:sz w:val="20"/>
          <w:szCs w:val="20"/>
        </w:rPr>
        <w:lastRenderedPageBreak/>
        <w:t>Dividends, income tax equivalent and rate equivalent income</w:t>
      </w:r>
      <w:r w:rsidRPr="00846F56">
        <w:rPr>
          <w:sz w:val="20"/>
          <w:szCs w:val="20"/>
        </w:rPr>
        <w:tab/>
        <w:t>($ million)</w:t>
      </w:r>
      <w:bookmarkEnd w:id="53"/>
      <w:bookmarkEnd w:id="54"/>
    </w:p>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925B88" w14:paraId="68BBCC0E" w14:textId="77777777" w:rsidTr="00A836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056F53E4" w14:textId="4922DF53" w:rsidR="00925B88" w:rsidRDefault="00925B88"/>
        </w:tc>
        <w:tc>
          <w:tcPr>
            <w:tcW w:w="794" w:type="dxa"/>
          </w:tcPr>
          <w:p w14:paraId="1AF204A2" w14:textId="10C3CD50" w:rsidR="00925B88" w:rsidRDefault="00925B88" w:rsidP="00F10526">
            <w:pPr>
              <w:cnfStyle w:val="100000000000" w:firstRow="1" w:lastRow="0" w:firstColumn="0" w:lastColumn="0" w:oddVBand="0" w:evenVBand="0" w:oddHBand="0" w:evenHBand="0" w:firstRowFirstColumn="0" w:firstRowLastColumn="0" w:lastRowFirstColumn="0" w:lastRowLastColumn="0"/>
            </w:pPr>
            <w:r>
              <w:t>2022</w:t>
            </w:r>
            <w:r>
              <w:noBreakHyphen/>
              <w:t>23</w:t>
            </w:r>
            <w:r w:rsidR="00F70B1C">
              <w:rPr>
                <w:i w:val="0"/>
              </w:rPr>
              <w:br/>
            </w:r>
            <w:r>
              <w:t>budget</w:t>
            </w:r>
          </w:p>
        </w:tc>
        <w:tc>
          <w:tcPr>
            <w:tcW w:w="794" w:type="dxa"/>
          </w:tcPr>
          <w:p w14:paraId="51A8742C" w14:textId="4B340370" w:rsidR="00925B88" w:rsidRDefault="00925B88" w:rsidP="00A82F0A">
            <w:pPr>
              <w:cnfStyle w:val="100000000000" w:firstRow="1" w:lastRow="0" w:firstColumn="0" w:lastColumn="0" w:oddVBand="0" w:evenVBand="0" w:oddHBand="0" w:evenHBand="0" w:firstRowFirstColumn="0" w:firstRowLastColumn="0" w:lastRowFirstColumn="0" w:lastRowLastColumn="0"/>
            </w:pPr>
            <w:r>
              <w:t>2022</w:t>
            </w:r>
            <w:r>
              <w:noBreakHyphen/>
              <w:t>23</w:t>
            </w:r>
            <w:r w:rsidR="00F70B1C">
              <w:rPr>
                <w:i w:val="0"/>
              </w:rPr>
              <w:br/>
            </w:r>
            <w:r>
              <w:t>revised</w:t>
            </w:r>
          </w:p>
        </w:tc>
        <w:tc>
          <w:tcPr>
            <w:tcW w:w="794" w:type="dxa"/>
          </w:tcPr>
          <w:p w14:paraId="467D941A" w14:textId="0B90AF9D" w:rsidR="00925B88" w:rsidRDefault="00925B88" w:rsidP="00FE78F0">
            <w:pPr>
              <w:cnfStyle w:val="100000000000" w:firstRow="1" w:lastRow="0" w:firstColumn="0" w:lastColumn="0" w:oddVBand="0" w:evenVBand="0" w:oddHBand="0" w:evenHBand="0" w:firstRowFirstColumn="0" w:firstRowLastColumn="0" w:lastRowFirstColumn="0" w:lastRowLastColumn="0"/>
            </w:pPr>
            <w:r>
              <w:t>2023</w:t>
            </w:r>
            <w:r>
              <w:noBreakHyphen/>
              <w:t>24</w:t>
            </w:r>
            <w:r w:rsidR="00F70B1C">
              <w:rPr>
                <w:i w:val="0"/>
              </w:rPr>
              <w:br/>
            </w:r>
            <w:r>
              <w:t>estimate</w:t>
            </w:r>
          </w:p>
        </w:tc>
        <w:tc>
          <w:tcPr>
            <w:tcW w:w="794" w:type="dxa"/>
          </w:tcPr>
          <w:p w14:paraId="5AA7744C" w14:textId="4E672FA0" w:rsidR="00925B88" w:rsidRDefault="00925B88" w:rsidP="0071306A">
            <w:pPr>
              <w:cnfStyle w:val="100000000000" w:firstRow="1" w:lastRow="0" w:firstColumn="0" w:lastColumn="0" w:oddVBand="0" w:evenVBand="0" w:oddHBand="0" w:evenHBand="0" w:firstRowFirstColumn="0" w:firstRowLastColumn="0" w:lastRowFirstColumn="0" w:lastRowLastColumn="0"/>
            </w:pPr>
            <w:r>
              <w:t>2024</w:t>
            </w:r>
            <w:r>
              <w:noBreakHyphen/>
              <w:t>25</w:t>
            </w:r>
            <w:r w:rsidR="00F70B1C">
              <w:rPr>
                <w:i w:val="0"/>
              </w:rPr>
              <w:br/>
            </w:r>
            <w:r>
              <w:t>estimate</w:t>
            </w:r>
          </w:p>
        </w:tc>
        <w:tc>
          <w:tcPr>
            <w:tcW w:w="794" w:type="dxa"/>
          </w:tcPr>
          <w:p w14:paraId="6525730E" w14:textId="3B5971E3" w:rsidR="00925B88" w:rsidRDefault="00925B88" w:rsidP="00B70778">
            <w:pPr>
              <w:cnfStyle w:val="100000000000" w:firstRow="1" w:lastRow="0" w:firstColumn="0" w:lastColumn="0" w:oddVBand="0" w:evenVBand="0" w:oddHBand="0" w:evenHBand="0" w:firstRowFirstColumn="0" w:firstRowLastColumn="0" w:lastRowFirstColumn="0" w:lastRowLastColumn="0"/>
            </w:pPr>
            <w:r>
              <w:t>2025</w:t>
            </w:r>
            <w:r>
              <w:noBreakHyphen/>
              <w:t>26</w:t>
            </w:r>
            <w:r w:rsidR="00F70B1C">
              <w:rPr>
                <w:i w:val="0"/>
              </w:rPr>
              <w:br/>
            </w:r>
            <w:r>
              <w:t>estimate</w:t>
            </w:r>
          </w:p>
        </w:tc>
      </w:tr>
      <w:tr w:rsidR="00C424E5" w14:paraId="7DFCFD51" w14:textId="77777777">
        <w:tc>
          <w:tcPr>
            <w:cnfStyle w:val="001000000000" w:firstRow="0" w:lastRow="0" w:firstColumn="1" w:lastColumn="0" w:oddVBand="0" w:evenVBand="0" w:oddHBand="0" w:evenHBand="0" w:firstRowFirstColumn="0" w:firstRowLastColumn="0" w:lastRowFirstColumn="0" w:lastRowLastColumn="0"/>
            <w:tcW w:w="3740" w:type="dxa"/>
          </w:tcPr>
          <w:p w14:paraId="0F30E58E" w14:textId="77777777" w:rsidR="00C424E5" w:rsidRDefault="00C424E5">
            <w:r>
              <w:t>Dividends from PFC sector</w:t>
            </w:r>
          </w:p>
        </w:tc>
        <w:tc>
          <w:tcPr>
            <w:tcW w:w="794" w:type="dxa"/>
          </w:tcPr>
          <w:p w14:paraId="61E32072" w14:textId="77777777" w:rsidR="00C424E5" w:rsidRDefault="00C424E5">
            <w:pPr>
              <w:cnfStyle w:val="000000000000" w:firstRow="0" w:lastRow="0" w:firstColumn="0" w:lastColumn="0" w:oddVBand="0" w:evenVBand="0" w:oddHBand="0" w:evenHBand="0" w:firstRowFirstColumn="0" w:firstRowLastColumn="0" w:lastRowFirstColumn="0" w:lastRowLastColumn="0"/>
            </w:pPr>
            <w:r>
              <w:t>60</w:t>
            </w:r>
          </w:p>
        </w:tc>
        <w:tc>
          <w:tcPr>
            <w:tcW w:w="794" w:type="dxa"/>
          </w:tcPr>
          <w:p w14:paraId="6160A787" w14:textId="77777777" w:rsidR="00C424E5" w:rsidRDefault="00C424E5">
            <w:pPr>
              <w:cnfStyle w:val="000000000000" w:firstRow="0" w:lastRow="0" w:firstColumn="0" w:lastColumn="0" w:oddVBand="0" w:evenVBand="0" w:oddHBand="0" w:evenHBand="0" w:firstRowFirstColumn="0" w:firstRowLastColumn="0" w:lastRowFirstColumn="0" w:lastRowLastColumn="0"/>
            </w:pPr>
            <w:r>
              <w:t>60</w:t>
            </w:r>
          </w:p>
        </w:tc>
        <w:tc>
          <w:tcPr>
            <w:tcW w:w="794" w:type="dxa"/>
          </w:tcPr>
          <w:p w14:paraId="5407D862" w14:textId="77777777" w:rsidR="00C424E5" w:rsidRDefault="00C424E5">
            <w:pPr>
              <w:cnfStyle w:val="000000000000" w:firstRow="0" w:lastRow="0" w:firstColumn="0" w:lastColumn="0" w:oddVBand="0" w:evenVBand="0" w:oddHBand="0" w:evenHBand="0" w:firstRowFirstColumn="0" w:firstRowLastColumn="0" w:lastRowFirstColumn="0" w:lastRowLastColumn="0"/>
            </w:pPr>
            <w:r>
              <w:t>67</w:t>
            </w:r>
          </w:p>
        </w:tc>
        <w:tc>
          <w:tcPr>
            <w:tcW w:w="794" w:type="dxa"/>
          </w:tcPr>
          <w:p w14:paraId="4C05087C" w14:textId="77777777" w:rsidR="00C424E5" w:rsidRDefault="00C424E5">
            <w:pPr>
              <w:cnfStyle w:val="000000000000" w:firstRow="0" w:lastRow="0" w:firstColumn="0" w:lastColumn="0" w:oddVBand="0" w:evenVBand="0" w:oddHBand="0" w:evenHBand="0" w:firstRowFirstColumn="0" w:firstRowLastColumn="0" w:lastRowFirstColumn="0" w:lastRowLastColumn="0"/>
            </w:pPr>
            <w:r>
              <w:t>79</w:t>
            </w:r>
          </w:p>
        </w:tc>
        <w:tc>
          <w:tcPr>
            <w:tcW w:w="794" w:type="dxa"/>
          </w:tcPr>
          <w:p w14:paraId="78235190" w14:textId="77777777" w:rsidR="00C424E5" w:rsidRDefault="00C424E5">
            <w:pPr>
              <w:cnfStyle w:val="000000000000" w:firstRow="0" w:lastRow="0" w:firstColumn="0" w:lastColumn="0" w:oddVBand="0" w:evenVBand="0" w:oddHBand="0" w:evenHBand="0" w:firstRowFirstColumn="0" w:firstRowLastColumn="0" w:lastRowFirstColumn="0" w:lastRowLastColumn="0"/>
            </w:pPr>
            <w:r>
              <w:t>70</w:t>
            </w:r>
          </w:p>
        </w:tc>
      </w:tr>
      <w:tr w:rsidR="00C424E5" w14:paraId="07D70FF9" w14:textId="77777777">
        <w:tc>
          <w:tcPr>
            <w:cnfStyle w:val="001000000000" w:firstRow="0" w:lastRow="0" w:firstColumn="1" w:lastColumn="0" w:oddVBand="0" w:evenVBand="0" w:oddHBand="0" w:evenHBand="0" w:firstRowFirstColumn="0" w:firstRowLastColumn="0" w:lastRowFirstColumn="0" w:lastRowLastColumn="0"/>
            <w:tcW w:w="3740" w:type="dxa"/>
          </w:tcPr>
          <w:p w14:paraId="6D8EFDF1" w14:textId="77777777" w:rsidR="00C424E5" w:rsidRDefault="00C424E5">
            <w:r>
              <w:t>Dividends from PNFC sector</w:t>
            </w:r>
          </w:p>
        </w:tc>
        <w:tc>
          <w:tcPr>
            <w:tcW w:w="794" w:type="dxa"/>
          </w:tcPr>
          <w:p w14:paraId="21B0E796" w14:textId="77777777" w:rsidR="00C424E5" w:rsidRDefault="00C424E5">
            <w:pPr>
              <w:cnfStyle w:val="000000000000" w:firstRow="0" w:lastRow="0" w:firstColumn="0" w:lastColumn="0" w:oddVBand="0" w:evenVBand="0" w:oddHBand="0" w:evenHBand="0" w:firstRowFirstColumn="0" w:firstRowLastColumn="0" w:lastRowFirstColumn="0" w:lastRowLastColumn="0"/>
            </w:pPr>
            <w:r>
              <w:t>74</w:t>
            </w:r>
          </w:p>
        </w:tc>
        <w:tc>
          <w:tcPr>
            <w:tcW w:w="794" w:type="dxa"/>
          </w:tcPr>
          <w:p w14:paraId="1AB121AA" w14:textId="77777777" w:rsidR="00C424E5" w:rsidRDefault="00C424E5">
            <w:pPr>
              <w:cnfStyle w:val="000000000000" w:firstRow="0" w:lastRow="0" w:firstColumn="0" w:lastColumn="0" w:oddVBand="0" w:evenVBand="0" w:oddHBand="0" w:evenHBand="0" w:firstRowFirstColumn="0" w:firstRowLastColumn="0" w:lastRowFirstColumn="0" w:lastRowLastColumn="0"/>
            </w:pPr>
            <w:r>
              <w:t>100</w:t>
            </w:r>
          </w:p>
        </w:tc>
        <w:tc>
          <w:tcPr>
            <w:tcW w:w="794" w:type="dxa"/>
          </w:tcPr>
          <w:p w14:paraId="186524C4" w14:textId="77777777" w:rsidR="00C424E5" w:rsidRDefault="00C424E5">
            <w:pPr>
              <w:cnfStyle w:val="000000000000" w:firstRow="0" w:lastRow="0" w:firstColumn="0" w:lastColumn="0" w:oddVBand="0" w:evenVBand="0" w:oddHBand="0" w:evenHBand="0" w:firstRowFirstColumn="0" w:firstRowLastColumn="0" w:lastRowFirstColumn="0" w:lastRowLastColumn="0"/>
            </w:pPr>
            <w:r>
              <w:t>145</w:t>
            </w:r>
          </w:p>
        </w:tc>
        <w:tc>
          <w:tcPr>
            <w:tcW w:w="794" w:type="dxa"/>
          </w:tcPr>
          <w:p w14:paraId="7B403AE8" w14:textId="77777777" w:rsidR="00C424E5" w:rsidRDefault="00C424E5">
            <w:pPr>
              <w:cnfStyle w:val="000000000000" w:firstRow="0" w:lastRow="0" w:firstColumn="0" w:lastColumn="0" w:oddVBand="0" w:evenVBand="0" w:oddHBand="0" w:evenHBand="0" w:firstRowFirstColumn="0" w:firstRowLastColumn="0" w:lastRowFirstColumn="0" w:lastRowLastColumn="0"/>
            </w:pPr>
            <w:r>
              <w:t>139</w:t>
            </w:r>
          </w:p>
        </w:tc>
        <w:tc>
          <w:tcPr>
            <w:tcW w:w="794" w:type="dxa"/>
          </w:tcPr>
          <w:p w14:paraId="6A20CFF6" w14:textId="77777777" w:rsidR="00C424E5" w:rsidRDefault="00C424E5">
            <w:pPr>
              <w:cnfStyle w:val="000000000000" w:firstRow="0" w:lastRow="0" w:firstColumn="0" w:lastColumn="0" w:oddVBand="0" w:evenVBand="0" w:oddHBand="0" w:evenHBand="0" w:firstRowFirstColumn="0" w:firstRowLastColumn="0" w:lastRowFirstColumn="0" w:lastRowLastColumn="0"/>
            </w:pPr>
            <w:r>
              <w:t>132</w:t>
            </w:r>
          </w:p>
        </w:tc>
      </w:tr>
      <w:tr w:rsidR="00C424E5" w14:paraId="2F343000"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608C83BE" w14:textId="77777777" w:rsidR="00C424E5" w:rsidRDefault="00C424E5">
            <w:r>
              <w:t>Dividends from non</w:t>
            </w:r>
            <w:r>
              <w:noBreakHyphen/>
              <w:t>public sector</w:t>
            </w:r>
          </w:p>
        </w:tc>
        <w:tc>
          <w:tcPr>
            <w:tcW w:w="794" w:type="dxa"/>
            <w:tcBorders>
              <w:bottom w:val="single" w:sz="6" w:space="0" w:color="auto"/>
            </w:tcBorders>
          </w:tcPr>
          <w:p w14:paraId="09A70A63" w14:textId="77777777" w:rsidR="00C424E5" w:rsidRDefault="00C424E5">
            <w:pPr>
              <w:cnfStyle w:val="000000000000" w:firstRow="0" w:lastRow="0" w:firstColumn="0" w:lastColumn="0" w:oddVBand="0" w:evenVBand="0" w:oddHBand="0" w:evenHBand="0" w:firstRowFirstColumn="0" w:firstRowLastColumn="0" w:lastRowFirstColumn="0" w:lastRowLastColumn="0"/>
            </w:pPr>
            <w:r>
              <w:t>233</w:t>
            </w:r>
          </w:p>
        </w:tc>
        <w:tc>
          <w:tcPr>
            <w:tcW w:w="794" w:type="dxa"/>
            <w:tcBorders>
              <w:bottom w:val="single" w:sz="6" w:space="0" w:color="auto"/>
            </w:tcBorders>
          </w:tcPr>
          <w:p w14:paraId="68461CD4" w14:textId="77777777" w:rsidR="00C424E5" w:rsidRDefault="00C424E5">
            <w:pPr>
              <w:cnfStyle w:val="000000000000" w:firstRow="0" w:lastRow="0" w:firstColumn="0" w:lastColumn="0" w:oddVBand="0" w:evenVBand="0" w:oddHBand="0" w:evenHBand="0" w:firstRowFirstColumn="0" w:firstRowLastColumn="0" w:lastRowFirstColumn="0" w:lastRowLastColumn="0"/>
            </w:pPr>
            <w:r>
              <w:t>150</w:t>
            </w:r>
          </w:p>
        </w:tc>
        <w:tc>
          <w:tcPr>
            <w:tcW w:w="794" w:type="dxa"/>
            <w:tcBorders>
              <w:bottom w:val="single" w:sz="6" w:space="0" w:color="auto"/>
            </w:tcBorders>
          </w:tcPr>
          <w:p w14:paraId="64CCD8F0" w14:textId="77777777" w:rsidR="00C424E5" w:rsidRDefault="00C424E5">
            <w:pPr>
              <w:cnfStyle w:val="000000000000" w:firstRow="0" w:lastRow="0" w:firstColumn="0" w:lastColumn="0" w:oddVBand="0" w:evenVBand="0" w:oddHBand="0" w:evenHBand="0" w:firstRowFirstColumn="0" w:firstRowLastColumn="0" w:lastRowFirstColumn="0" w:lastRowLastColumn="0"/>
            </w:pPr>
            <w:r>
              <w:t>379</w:t>
            </w:r>
          </w:p>
        </w:tc>
        <w:tc>
          <w:tcPr>
            <w:tcW w:w="794" w:type="dxa"/>
            <w:tcBorders>
              <w:bottom w:val="single" w:sz="6" w:space="0" w:color="auto"/>
            </w:tcBorders>
          </w:tcPr>
          <w:p w14:paraId="21AB6CEB" w14:textId="77777777" w:rsidR="00C424E5" w:rsidRDefault="00C424E5">
            <w:pPr>
              <w:cnfStyle w:val="000000000000" w:firstRow="0" w:lastRow="0" w:firstColumn="0" w:lastColumn="0" w:oddVBand="0" w:evenVBand="0" w:oddHBand="0" w:evenHBand="0" w:firstRowFirstColumn="0" w:firstRowLastColumn="0" w:lastRowFirstColumn="0" w:lastRowLastColumn="0"/>
            </w:pPr>
            <w:r>
              <w:t>430</w:t>
            </w:r>
          </w:p>
        </w:tc>
        <w:tc>
          <w:tcPr>
            <w:tcW w:w="794" w:type="dxa"/>
            <w:tcBorders>
              <w:bottom w:val="single" w:sz="6" w:space="0" w:color="auto"/>
            </w:tcBorders>
          </w:tcPr>
          <w:p w14:paraId="487E4544" w14:textId="77777777" w:rsidR="00C424E5" w:rsidRDefault="00C424E5">
            <w:pPr>
              <w:cnfStyle w:val="000000000000" w:firstRow="0" w:lastRow="0" w:firstColumn="0" w:lastColumn="0" w:oddVBand="0" w:evenVBand="0" w:oddHBand="0" w:evenHBand="0" w:firstRowFirstColumn="0" w:firstRowLastColumn="0" w:lastRowFirstColumn="0" w:lastRowLastColumn="0"/>
            </w:pPr>
            <w:r>
              <w:t>616</w:t>
            </w:r>
          </w:p>
        </w:tc>
      </w:tr>
      <w:tr w:rsidR="00C424E5" w14:paraId="5B2CC39E"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002231DE" w14:textId="77777777" w:rsidR="00C424E5" w:rsidRDefault="00C424E5">
            <w:r>
              <w:rPr>
                <w:b/>
              </w:rPr>
              <w:t>Dividends</w:t>
            </w:r>
          </w:p>
        </w:tc>
        <w:tc>
          <w:tcPr>
            <w:tcW w:w="794" w:type="dxa"/>
            <w:tcBorders>
              <w:top w:val="single" w:sz="6" w:space="0" w:color="auto"/>
            </w:tcBorders>
          </w:tcPr>
          <w:p w14:paraId="3ADFB82A"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367</w:t>
            </w:r>
          </w:p>
        </w:tc>
        <w:tc>
          <w:tcPr>
            <w:tcW w:w="794" w:type="dxa"/>
            <w:tcBorders>
              <w:top w:val="single" w:sz="6" w:space="0" w:color="auto"/>
            </w:tcBorders>
          </w:tcPr>
          <w:p w14:paraId="33A8E4AC"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310</w:t>
            </w:r>
          </w:p>
        </w:tc>
        <w:tc>
          <w:tcPr>
            <w:tcW w:w="794" w:type="dxa"/>
            <w:tcBorders>
              <w:top w:val="single" w:sz="6" w:space="0" w:color="auto"/>
            </w:tcBorders>
          </w:tcPr>
          <w:p w14:paraId="7159724C"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592</w:t>
            </w:r>
          </w:p>
        </w:tc>
        <w:tc>
          <w:tcPr>
            <w:tcW w:w="794" w:type="dxa"/>
            <w:tcBorders>
              <w:top w:val="single" w:sz="6" w:space="0" w:color="auto"/>
            </w:tcBorders>
          </w:tcPr>
          <w:p w14:paraId="0F82C952"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648</w:t>
            </w:r>
          </w:p>
        </w:tc>
        <w:tc>
          <w:tcPr>
            <w:tcW w:w="794" w:type="dxa"/>
            <w:tcBorders>
              <w:top w:val="single" w:sz="6" w:space="0" w:color="auto"/>
            </w:tcBorders>
          </w:tcPr>
          <w:p w14:paraId="2771FE12"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817</w:t>
            </w:r>
          </w:p>
        </w:tc>
      </w:tr>
      <w:tr w:rsidR="00C424E5" w14:paraId="50A1D7B1" w14:textId="77777777">
        <w:tc>
          <w:tcPr>
            <w:cnfStyle w:val="001000000000" w:firstRow="0" w:lastRow="0" w:firstColumn="1" w:lastColumn="0" w:oddVBand="0" w:evenVBand="0" w:oddHBand="0" w:evenHBand="0" w:firstRowFirstColumn="0" w:firstRowLastColumn="0" w:lastRowFirstColumn="0" w:lastRowLastColumn="0"/>
            <w:tcW w:w="3740" w:type="dxa"/>
          </w:tcPr>
          <w:p w14:paraId="5F595E63" w14:textId="77777777" w:rsidR="00C424E5" w:rsidRDefault="00C424E5">
            <w:r>
              <w:t>Income tax equivalent income from PFC sector</w:t>
            </w:r>
          </w:p>
        </w:tc>
        <w:tc>
          <w:tcPr>
            <w:tcW w:w="794" w:type="dxa"/>
          </w:tcPr>
          <w:p w14:paraId="0286DB94" w14:textId="77777777" w:rsidR="00C424E5" w:rsidRDefault="00C424E5">
            <w:pPr>
              <w:cnfStyle w:val="000000000000" w:firstRow="0" w:lastRow="0" w:firstColumn="0" w:lastColumn="0" w:oddVBand="0" w:evenVBand="0" w:oddHBand="0" w:evenHBand="0" w:firstRowFirstColumn="0" w:firstRowLastColumn="0" w:lastRowFirstColumn="0" w:lastRowLastColumn="0"/>
            </w:pPr>
            <w:r>
              <w:t>8</w:t>
            </w:r>
          </w:p>
        </w:tc>
        <w:tc>
          <w:tcPr>
            <w:tcW w:w="794" w:type="dxa"/>
          </w:tcPr>
          <w:p w14:paraId="0AA2678E" w14:textId="77777777" w:rsidR="00C424E5" w:rsidRDefault="00C424E5">
            <w:pPr>
              <w:cnfStyle w:val="000000000000" w:firstRow="0" w:lastRow="0" w:firstColumn="0" w:lastColumn="0" w:oddVBand="0" w:evenVBand="0" w:oddHBand="0" w:evenHBand="0" w:firstRowFirstColumn="0" w:firstRowLastColumn="0" w:lastRowFirstColumn="0" w:lastRowLastColumn="0"/>
            </w:pPr>
            <w:r>
              <w:t>8</w:t>
            </w:r>
          </w:p>
        </w:tc>
        <w:tc>
          <w:tcPr>
            <w:tcW w:w="794" w:type="dxa"/>
          </w:tcPr>
          <w:p w14:paraId="136B5B34" w14:textId="77777777" w:rsidR="00C424E5" w:rsidRDefault="00C424E5">
            <w:pPr>
              <w:cnfStyle w:val="000000000000" w:firstRow="0" w:lastRow="0" w:firstColumn="0" w:lastColumn="0" w:oddVBand="0" w:evenVBand="0" w:oddHBand="0" w:evenHBand="0" w:firstRowFirstColumn="0" w:firstRowLastColumn="0" w:lastRowFirstColumn="0" w:lastRowLastColumn="0"/>
            </w:pPr>
            <w:r>
              <w:t>10</w:t>
            </w:r>
          </w:p>
        </w:tc>
        <w:tc>
          <w:tcPr>
            <w:tcW w:w="794" w:type="dxa"/>
          </w:tcPr>
          <w:p w14:paraId="18968F3C" w14:textId="77777777" w:rsidR="00C424E5" w:rsidRDefault="00C424E5">
            <w:pPr>
              <w:cnfStyle w:val="000000000000" w:firstRow="0" w:lastRow="0" w:firstColumn="0" w:lastColumn="0" w:oddVBand="0" w:evenVBand="0" w:oddHBand="0" w:evenHBand="0" w:firstRowFirstColumn="0" w:firstRowLastColumn="0" w:lastRowFirstColumn="0" w:lastRowLastColumn="0"/>
            </w:pPr>
            <w:r>
              <w:t>10</w:t>
            </w:r>
          </w:p>
        </w:tc>
        <w:tc>
          <w:tcPr>
            <w:tcW w:w="794" w:type="dxa"/>
          </w:tcPr>
          <w:p w14:paraId="6301A19C" w14:textId="77777777" w:rsidR="00C424E5" w:rsidRDefault="00C424E5">
            <w:pPr>
              <w:cnfStyle w:val="000000000000" w:firstRow="0" w:lastRow="0" w:firstColumn="0" w:lastColumn="0" w:oddVBand="0" w:evenVBand="0" w:oddHBand="0" w:evenHBand="0" w:firstRowFirstColumn="0" w:firstRowLastColumn="0" w:lastRowFirstColumn="0" w:lastRowLastColumn="0"/>
            </w:pPr>
            <w:r>
              <w:t>10</w:t>
            </w:r>
          </w:p>
        </w:tc>
      </w:tr>
      <w:tr w:rsidR="00C424E5" w14:paraId="0E4D7E13"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6BDC86C0" w14:textId="77777777" w:rsidR="00C424E5" w:rsidRDefault="00C424E5">
            <w:r>
              <w:t>Income tax equivalent income from PNFC sector</w:t>
            </w:r>
          </w:p>
        </w:tc>
        <w:tc>
          <w:tcPr>
            <w:tcW w:w="794" w:type="dxa"/>
            <w:tcBorders>
              <w:bottom w:val="single" w:sz="6" w:space="0" w:color="auto"/>
            </w:tcBorders>
          </w:tcPr>
          <w:p w14:paraId="062A71B5" w14:textId="77777777" w:rsidR="00C424E5" w:rsidRDefault="00C424E5">
            <w:pPr>
              <w:cnfStyle w:val="000000000000" w:firstRow="0" w:lastRow="0" w:firstColumn="0" w:lastColumn="0" w:oddVBand="0" w:evenVBand="0" w:oddHBand="0" w:evenHBand="0" w:firstRowFirstColumn="0" w:firstRowLastColumn="0" w:lastRowFirstColumn="0" w:lastRowLastColumn="0"/>
            </w:pPr>
            <w:r>
              <w:t>221</w:t>
            </w:r>
          </w:p>
        </w:tc>
        <w:tc>
          <w:tcPr>
            <w:tcW w:w="794" w:type="dxa"/>
            <w:tcBorders>
              <w:bottom w:val="single" w:sz="6" w:space="0" w:color="auto"/>
            </w:tcBorders>
          </w:tcPr>
          <w:p w14:paraId="2558ED45" w14:textId="77777777" w:rsidR="00C424E5" w:rsidRDefault="00C424E5">
            <w:pPr>
              <w:cnfStyle w:val="000000000000" w:firstRow="0" w:lastRow="0" w:firstColumn="0" w:lastColumn="0" w:oddVBand="0" w:evenVBand="0" w:oddHBand="0" w:evenHBand="0" w:firstRowFirstColumn="0" w:firstRowLastColumn="0" w:lastRowFirstColumn="0" w:lastRowLastColumn="0"/>
            </w:pPr>
            <w:r>
              <w:t>235</w:t>
            </w:r>
          </w:p>
        </w:tc>
        <w:tc>
          <w:tcPr>
            <w:tcW w:w="794" w:type="dxa"/>
            <w:tcBorders>
              <w:bottom w:val="single" w:sz="6" w:space="0" w:color="auto"/>
            </w:tcBorders>
          </w:tcPr>
          <w:p w14:paraId="5F93329A" w14:textId="77777777" w:rsidR="00C424E5" w:rsidRDefault="00C424E5">
            <w:pPr>
              <w:cnfStyle w:val="000000000000" w:firstRow="0" w:lastRow="0" w:firstColumn="0" w:lastColumn="0" w:oddVBand="0" w:evenVBand="0" w:oddHBand="0" w:evenHBand="0" w:firstRowFirstColumn="0" w:firstRowLastColumn="0" w:lastRowFirstColumn="0" w:lastRowLastColumn="0"/>
            </w:pPr>
            <w:r>
              <w:t>224</w:t>
            </w:r>
          </w:p>
        </w:tc>
        <w:tc>
          <w:tcPr>
            <w:tcW w:w="794" w:type="dxa"/>
            <w:tcBorders>
              <w:bottom w:val="single" w:sz="6" w:space="0" w:color="auto"/>
            </w:tcBorders>
          </w:tcPr>
          <w:p w14:paraId="2D09232D" w14:textId="77777777" w:rsidR="00C424E5" w:rsidRDefault="00C424E5">
            <w:pPr>
              <w:cnfStyle w:val="000000000000" w:firstRow="0" w:lastRow="0" w:firstColumn="0" w:lastColumn="0" w:oddVBand="0" w:evenVBand="0" w:oddHBand="0" w:evenHBand="0" w:firstRowFirstColumn="0" w:firstRowLastColumn="0" w:lastRowFirstColumn="0" w:lastRowLastColumn="0"/>
            </w:pPr>
            <w:r>
              <w:t>214</w:t>
            </w:r>
          </w:p>
        </w:tc>
        <w:tc>
          <w:tcPr>
            <w:tcW w:w="794" w:type="dxa"/>
            <w:tcBorders>
              <w:bottom w:val="single" w:sz="6" w:space="0" w:color="auto"/>
            </w:tcBorders>
          </w:tcPr>
          <w:p w14:paraId="52973808" w14:textId="77777777" w:rsidR="00C424E5" w:rsidRDefault="00C424E5">
            <w:pPr>
              <w:cnfStyle w:val="000000000000" w:firstRow="0" w:lastRow="0" w:firstColumn="0" w:lastColumn="0" w:oddVBand="0" w:evenVBand="0" w:oddHBand="0" w:evenHBand="0" w:firstRowFirstColumn="0" w:firstRowLastColumn="0" w:lastRowFirstColumn="0" w:lastRowLastColumn="0"/>
            </w:pPr>
            <w:r>
              <w:t>224</w:t>
            </w:r>
          </w:p>
        </w:tc>
      </w:tr>
      <w:tr w:rsidR="00C424E5" w14:paraId="67D91BF9"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4DEA5959" w14:textId="77777777" w:rsidR="00C424E5" w:rsidRDefault="00C424E5">
            <w:r>
              <w:rPr>
                <w:b/>
              </w:rPr>
              <w:t>Income tax equivalent income</w:t>
            </w:r>
          </w:p>
        </w:tc>
        <w:tc>
          <w:tcPr>
            <w:tcW w:w="794" w:type="dxa"/>
            <w:tcBorders>
              <w:top w:val="single" w:sz="6" w:space="0" w:color="auto"/>
            </w:tcBorders>
          </w:tcPr>
          <w:p w14:paraId="327278E2"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229</w:t>
            </w:r>
          </w:p>
        </w:tc>
        <w:tc>
          <w:tcPr>
            <w:tcW w:w="794" w:type="dxa"/>
            <w:tcBorders>
              <w:top w:val="single" w:sz="6" w:space="0" w:color="auto"/>
            </w:tcBorders>
          </w:tcPr>
          <w:p w14:paraId="6C944FDD"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244</w:t>
            </w:r>
          </w:p>
        </w:tc>
        <w:tc>
          <w:tcPr>
            <w:tcW w:w="794" w:type="dxa"/>
            <w:tcBorders>
              <w:top w:val="single" w:sz="6" w:space="0" w:color="auto"/>
            </w:tcBorders>
          </w:tcPr>
          <w:p w14:paraId="10C8C25B"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234</w:t>
            </w:r>
          </w:p>
        </w:tc>
        <w:tc>
          <w:tcPr>
            <w:tcW w:w="794" w:type="dxa"/>
            <w:tcBorders>
              <w:top w:val="single" w:sz="6" w:space="0" w:color="auto"/>
            </w:tcBorders>
          </w:tcPr>
          <w:p w14:paraId="00D4D449"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224</w:t>
            </w:r>
          </w:p>
        </w:tc>
        <w:tc>
          <w:tcPr>
            <w:tcW w:w="794" w:type="dxa"/>
            <w:tcBorders>
              <w:top w:val="single" w:sz="6" w:space="0" w:color="auto"/>
            </w:tcBorders>
          </w:tcPr>
          <w:p w14:paraId="7FE0A2F9"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234</w:t>
            </w:r>
          </w:p>
        </w:tc>
      </w:tr>
      <w:tr w:rsidR="00C424E5" w14:paraId="55FAC748"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0F130C08" w14:textId="77777777" w:rsidR="00C424E5" w:rsidRDefault="00C424E5">
            <w:r>
              <w:t>Local government rate equivalent income</w:t>
            </w:r>
          </w:p>
        </w:tc>
        <w:tc>
          <w:tcPr>
            <w:tcW w:w="794" w:type="dxa"/>
            <w:tcBorders>
              <w:bottom w:val="single" w:sz="6" w:space="0" w:color="auto"/>
            </w:tcBorders>
          </w:tcPr>
          <w:p w14:paraId="68C149F3" w14:textId="77777777" w:rsidR="00C424E5" w:rsidRDefault="00C424E5">
            <w:pPr>
              <w:cnfStyle w:val="000000000000" w:firstRow="0" w:lastRow="0" w:firstColumn="0" w:lastColumn="0" w:oddVBand="0" w:evenVBand="0" w:oddHBand="0" w:evenHBand="0" w:firstRowFirstColumn="0" w:firstRowLastColumn="0" w:lastRowFirstColumn="0" w:lastRowLastColumn="0"/>
            </w:pPr>
            <w:r>
              <w:t>5</w:t>
            </w:r>
          </w:p>
        </w:tc>
        <w:tc>
          <w:tcPr>
            <w:tcW w:w="794" w:type="dxa"/>
            <w:tcBorders>
              <w:bottom w:val="single" w:sz="6" w:space="0" w:color="auto"/>
            </w:tcBorders>
          </w:tcPr>
          <w:p w14:paraId="5A3ECE36" w14:textId="77777777" w:rsidR="00C424E5" w:rsidRDefault="00C424E5">
            <w:pPr>
              <w:cnfStyle w:val="000000000000" w:firstRow="0" w:lastRow="0" w:firstColumn="0" w:lastColumn="0" w:oddVBand="0" w:evenVBand="0" w:oddHBand="0" w:evenHBand="0" w:firstRowFirstColumn="0" w:firstRowLastColumn="0" w:lastRowFirstColumn="0" w:lastRowLastColumn="0"/>
            </w:pPr>
            <w:r>
              <w:t>5</w:t>
            </w:r>
          </w:p>
        </w:tc>
        <w:tc>
          <w:tcPr>
            <w:tcW w:w="794" w:type="dxa"/>
            <w:tcBorders>
              <w:bottom w:val="single" w:sz="6" w:space="0" w:color="auto"/>
            </w:tcBorders>
          </w:tcPr>
          <w:p w14:paraId="3679CCC7" w14:textId="77777777" w:rsidR="00C424E5" w:rsidRDefault="00C424E5">
            <w:pPr>
              <w:cnfStyle w:val="000000000000" w:firstRow="0" w:lastRow="0" w:firstColumn="0" w:lastColumn="0" w:oddVBand="0" w:evenVBand="0" w:oddHBand="0" w:evenHBand="0" w:firstRowFirstColumn="0" w:firstRowLastColumn="0" w:lastRowFirstColumn="0" w:lastRowLastColumn="0"/>
            </w:pPr>
            <w:r>
              <w:t>5</w:t>
            </w:r>
          </w:p>
        </w:tc>
        <w:tc>
          <w:tcPr>
            <w:tcW w:w="794" w:type="dxa"/>
            <w:tcBorders>
              <w:bottom w:val="single" w:sz="6" w:space="0" w:color="auto"/>
            </w:tcBorders>
          </w:tcPr>
          <w:p w14:paraId="79B1BBFE" w14:textId="77777777" w:rsidR="00C424E5" w:rsidRDefault="00C424E5">
            <w:pPr>
              <w:cnfStyle w:val="000000000000" w:firstRow="0" w:lastRow="0" w:firstColumn="0" w:lastColumn="0" w:oddVBand="0" w:evenVBand="0" w:oddHBand="0" w:evenHBand="0" w:firstRowFirstColumn="0" w:firstRowLastColumn="0" w:lastRowFirstColumn="0" w:lastRowLastColumn="0"/>
            </w:pPr>
            <w:r>
              <w:t>6</w:t>
            </w:r>
          </w:p>
        </w:tc>
        <w:tc>
          <w:tcPr>
            <w:tcW w:w="794" w:type="dxa"/>
            <w:tcBorders>
              <w:bottom w:val="single" w:sz="6" w:space="0" w:color="auto"/>
            </w:tcBorders>
          </w:tcPr>
          <w:p w14:paraId="3285E6FA" w14:textId="77777777" w:rsidR="00C424E5" w:rsidRDefault="00C424E5">
            <w:pPr>
              <w:cnfStyle w:val="000000000000" w:firstRow="0" w:lastRow="0" w:firstColumn="0" w:lastColumn="0" w:oddVBand="0" w:evenVBand="0" w:oddHBand="0" w:evenHBand="0" w:firstRowFirstColumn="0" w:firstRowLastColumn="0" w:lastRowFirstColumn="0" w:lastRowLastColumn="0"/>
            </w:pPr>
            <w:r>
              <w:t>5</w:t>
            </w:r>
          </w:p>
        </w:tc>
      </w:tr>
      <w:tr w:rsidR="00C424E5" w14:paraId="2AE64227"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10BBF36B" w14:textId="45301A1B" w:rsidR="00C424E5" w:rsidRDefault="00C424E5">
            <w:r>
              <w:rPr>
                <w:b/>
              </w:rPr>
              <w:t xml:space="preserve">Total dividends, income tax equivalent and </w:t>
            </w:r>
            <w:r w:rsidR="00126A6E">
              <w:rPr>
                <w:b/>
              </w:rPr>
              <w:br/>
            </w:r>
            <w:r>
              <w:rPr>
                <w:b/>
              </w:rPr>
              <w:t>rate equivalent income</w:t>
            </w:r>
          </w:p>
        </w:tc>
        <w:tc>
          <w:tcPr>
            <w:tcW w:w="794" w:type="dxa"/>
            <w:tcBorders>
              <w:top w:val="single" w:sz="6" w:space="0" w:color="auto"/>
              <w:bottom w:val="single" w:sz="12" w:space="0" w:color="auto"/>
            </w:tcBorders>
          </w:tcPr>
          <w:p w14:paraId="157616AE"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602</w:t>
            </w:r>
          </w:p>
        </w:tc>
        <w:tc>
          <w:tcPr>
            <w:tcW w:w="794" w:type="dxa"/>
            <w:tcBorders>
              <w:top w:val="single" w:sz="6" w:space="0" w:color="auto"/>
              <w:bottom w:val="single" w:sz="12" w:space="0" w:color="auto"/>
            </w:tcBorders>
          </w:tcPr>
          <w:p w14:paraId="6E50DDA3"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559</w:t>
            </w:r>
          </w:p>
        </w:tc>
        <w:tc>
          <w:tcPr>
            <w:tcW w:w="794" w:type="dxa"/>
            <w:tcBorders>
              <w:top w:val="single" w:sz="6" w:space="0" w:color="auto"/>
              <w:bottom w:val="single" w:sz="12" w:space="0" w:color="auto"/>
            </w:tcBorders>
          </w:tcPr>
          <w:p w14:paraId="2F539A8C"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831</w:t>
            </w:r>
          </w:p>
        </w:tc>
        <w:tc>
          <w:tcPr>
            <w:tcW w:w="794" w:type="dxa"/>
            <w:tcBorders>
              <w:top w:val="single" w:sz="6" w:space="0" w:color="auto"/>
              <w:bottom w:val="single" w:sz="12" w:space="0" w:color="auto"/>
            </w:tcBorders>
          </w:tcPr>
          <w:p w14:paraId="355CA8BA"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877</w:t>
            </w:r>
          </w:p>
        </w:tc>
        <w:tc>
          <w:tcPr>
            <w:tcW w:w="794" w:type="dxa"/>
            <w:tcBorders>
              <w:top w:val="single" w:sz="6" w:space="0" w:color="auto"/>
              <w:bottom w:val="single" w:sz="12" w:space="0" w:color="auto"/>
            </w:tcBorders>
          </w:tcPr>
          <w:p w14:paraId="3EC1C66E" w14:textId="3E471CA6" w:rsidR="00C424E5" w:rsidRDefault="00C424E5">
            <w:pPr>
              <w:cnfStyle w:val="000000000000" w:firstRow="0" w:lastRow="0" w:firstColumn="0" w:lastColumn="0" w:oddVBand="0" w:evenVBand="0" w:oddHBand="0" w:evenHBand="0" w:firstRowFirstColumn="0" w:firstRowLastColumn="0" w:lastRowFirstColumn="0" w:lastRowLastColumn="0"/>
            </w:pPr>
            <w:r>
              <w:rPr>
                <w:b/>
              </w:rPr>
              <w:t>1 056</w:t>
            </w:r>
          </w:p>
        </w:tc>
      </w:tr>
    </w:tbl>
    <w:p w14:paraId="5E84A3FD" w14:textId="77777777" w:rsidR="00C424E5" w:rsidRPr="00846F56" w:rsidRDefault="00C424E5" w:rsidP="006206EF"/>
    <w:p w14:paraId="2194083D" w14:textId="77777777" w:rsidR="00C424E5" w:rsidRDefault="00C424E5" w:rsidP="006206EF">
      <w:pPr>
        <w:pStyle w:val="TableHeading"/>
      </w:pPr>
      <w:r w:rsidRPr="001D2C42">
        <w:t xml:space="preserve">Dividends by entity </w:t>
      </w:r>
      <w:r w:rsidRPr="001D2C42">
        <w:rPr>
          <w:vertAlign w:val="superscript"/>
        </w:rPr>
        <w:t>(a)</w:t>
      </w:r>
      <w:r w:rsidRPr="001D2C42">
        <w:tab/>
        <w:t>($ million)</w:t>
      </w:r>
    </w:p>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925B88" w14:paraId="2C80550F" w14:textId="77777777" w:rsidTr="00A836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470CD225" w14:textId="41B7ECE0" w:rsidR="00925B88" w:rsidRDefault="00925B88"/>
        </w:tc>
        <w:tc>
          <w:tcPr>
            <w:tcW w:w="794" w:type="dxa"/>
          </w:tcPr>
          <w:p w14:paraId="51E6A1F1" w14:textId="60D69FB6" w:rsidR="00925B88" w:rsidRDefault="00925B88" w:rsidP="00EB711A">
            <w:pPr>
              <w:cnfStyle w:val="100000000000" w:firstRow="1" w:lastRow="0" w:firstColumn="0" w:lastColumn="0" w:oddVBand="0" w:evenVBand="0" w:oddHBand="0" w:evenHBand="0" w:firstRowFirstColumn="0" w:firstRowLastColumn="0" w:lastRowFirstColumn="0" w:lastRowLastColumn="0"/>
            </w:pPr>
            <w:r>
              <w:t>2022</w:t>
            </w:r>
            <w:r>
              <w:noBreakHyphen/>
              <w:t>23</w:t>
            </w:r>
            <w:r w:rsidR="00F70B1C">
              <w:rPr>
                <w:i w:val="0"/>
              </w:rPr>
              <w:br/>
            </w:r>
            <w:r>
              <w:t>budget</w:t>
            </w:r>
          </w:p>
        </w:tc>
        <w:tc>
          <w:tcPr>
            <w:tcW w:w="794" w:type="dxa"/>
          </w:tcPr>
          <w:p w14:paraId="17DF85DA" w14:textId="0F85E628" w:rsidR="00925B88" w:rsidRDefault="00925B88" w:rsidP="003D57AA">
            <w:pPr>
              <w:cnfStyle w:val="100000000000" w:firstRow="1" w:lastRow="0" w:firstColumn="0" w:lastColumn="0" w:oddVBand="0" w:evenVBand="0" w:oddHBand="0" w:evenHBand="0" w:firstRowFirstColumn="0" w:firstRowLastColumn="0" w:lastRowFirstColumn="0" w:lastRowLastColumn="0"/>
            </w:pPr>
            <w:r>
              <w:t>2022</w:t>
            </w:r>
            <w:r>
              <w:noBreakHyphen/>
              <w:t>23</w:t>
            </w:r>
            <w:r w:rsidR="00F70B1C">
              <w:rPr>
                <w:i w:val="0"/>
              </w:rPr>
              <w:br/>
            </w:r>
            <w:r>
              <w:t>revised</w:t>
            </w:r>
          </w:p>
        </w:tc>
        <w:tc>
          <w:tcPr>
            <w:tcW w:w="794" w:type="dxa"/>
          </w:tcPr>
          <w:p w14:paraId="751EB3DD" w14:textId="5A8FB147" w:rsidR="00925B88" w:rsidRDefault="00925B88" w:rsidP="009B2F2D">
            <w:pPr>
              <w:cnfStyle w:val="100000000000" w:firstRow="1" w:lastRow="0" w:firstColumn="0" w:lastColumn="0" w:oddVBand="0" w:evenVBand="0" w:oddHBand="0" w:evenHBand="0" w:firstRowFirstColumn="0" w:firstRowLastColumn="0" w:lastRowFirstColumn="0" w:lastRowLastColumn="0"/>
            </w:pPr>
            <w:r>
              <w:t>2023</w:t>
            </w:r>
            <w:r>
              <w:noBreakHyphen/>
              <w:t>24</w:t>
            </w:r>
            <w:r w:rsidR="00F70B1C">
              <w:rPr>
                <w:i w:val="0"/>
              </w:rPr>
              <w:br/>
            </w:r>
            <w:r>
              <w:t>estimate</w:t>
            </w:r>
          </w:p>
        </w:tc>
        <w:tc>
          <w:tcPr>
            <w:tcW w:w="794" w:type="dxa"/>
          </w:tcPr>
          <w:p w14:paraId="35E723EA" w14:textId="32974E09" w:rsidR="00925B88" w:rsidRDefault="00925B88" w:rsidP="003E6EDF">
            <w:pPr>
              <w:cnfStyle w:val="100000000000" w:firstRow="1" w:lastRow="0" w:firstColumn="0" w:lastColumn="0" w:oddVBand="0" w:evenVBand="0" w:oddHBand="0" w:evenHBand="0" w:firstRowFirstColumn="0" w:firstRowLastColumn="0" w:lastRowFirstColumn="0" w:lastRowLastColumn="0"/>
            </w:pPr>
            <w:r>
              <w:t>2024</w:t>
            </w:r>
            <w:r>
              <w:noBreakHyphen/>
              <w:t>25</w:t>
            </w:r>
            <w:r w:rsidR="00F70B1C">
              <w:rPr>
                <w:i w:val="0"/>
              </w:rPr>
              <w:br/>
            </w:r>
            <w:r>
              <w:t>estimate</w:t>
            </w:r>
          </w:p>
        </w:tc>
        <w:tc>
          <w:tcPr>
            <w:tcW w:w="794" w:type="dxa"/>
          </w:tcPr>
          <w:p w14:paraId="7F59A0F2" w14:textId="2A618684" w:rsidR="00925B88" w:rsidRDefault="00925B88" w:rsidP="00CB05B1">
            <w:pPr>
              <w:cnfStyle w:val="100000000000" w:firstRow="1" w:lastRow="0" w:firstColumn="0" w:lastColumn="0" w:oddVBand="0" w:evenVBand="0" w:oddHBand="0" w:evenHBand="0" w:firstRowFirstColumn="0" w:firstRowLastColumn="0" w:lastRowFirstColumn="0" w:lastRowLastColumn="0"/>
            </w:pPr>
            <w:r>
              <w:t>2025</w:t>
            </w:r>
            <w:r>
              <w:noBreakHyphen/>
              <w:t>26</w:t>
            </w:r>
            <w:r w:rsidR="00F70B1C">
              <w:rPr>
                <w:i w:val="0"/>
              </w:rPr>
              <w:br/>
            </w:r>
            <w:r>
              <w:t>estimate</w:t>
            </w:r>
          </w:p>
        </w:tc>
      </w:tr>
      <w:tr w:rsidR="00C424E5" w14:paraId="6A74DD6E" w14:textId="77777777">
        <w:tc>
          <w:tcPr>
            <w:cnfStyle w:val="001000000000" w:firstRow="0" w:lastRow="0" w:firstColumn="1" w:lastColumn="0" w:oddVBand="0" w:evenVBand="0" w:oddHBand="0" w:evenHBand="0" w:firstRowFirstColumn="0" w:firstRowLastColumn="0" w:lastRowFirstColumn="0" w:lastRowLastColumn="0"/>
            <w:tcW w:w="3740" w:type="dxa"/>
          </w:tcPr>
          <w:p w14:paraId="24DFF7C7" w14:textId="77777777" w:rsidR="00C424E5" w:rsidRDefault="00C424E5">
            <w:r>
              <w:rPr>
                <w:b/>
              </w:rPr>
              <w:t>Public financial corporations</w:t>
            </w:r>
          </w:p>
        </w:tc>
        <w:tc>
          <w:tcPr>
            <w:tcW w:w="794" w:type="dxa"/>
          </w:tcPr>
          <w:p w14:paraId="3F31475D"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608BA2DC"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67F3B739"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0BC8F5BA"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3787A940"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085D72A7" w14:textId="77777777">
        <w:tc>
          <w:tcPr>
            <w:cnfStyle w:val="001000000000" w:firstRow="0" w:lastRow="0" w:firstColumn="1" w:lastColumn="0" w:oddVBand="0" w:evenVBand="0" w:oddHBand="0" w:evenHBand="0" w:firstRowFirstColumn="0" w:firstRowLastColumn="0" w:lastRowFirstColumn="0" w:lastRowLastColumn="0"/>
            <w:tcW w:w="3740" w:type="dxa"/>
          </w:tcPr>
          <w:p w14:paraId="205FB55B" w14:textId="77777777" w:rsidR="00C424E5" w:rsidRDefault="00C424E5">
            <w:r>
              <w:t>Victorian Managed Insurance Authority</w:t>
            </w:r>
          </w:p>
        </w:tc>
        <w:tc>
          <w:tcPr>
            <w:tcW w:w="794" w:type="dxa"/>
          </w:tcPr>
          <w:p w14:paraId="12BD2938"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7DE315EB"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0BCCCAA4"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4A86A934"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2B160F80"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r>
      <w:tr w:rsidR="00C424E5" w14:paraId="7A10C976" w14:textId="77777777">
        <w:tc>
          <w:tcPr>
            <w:cnfStyle w:val="001000000000" w:firstRow="0" w:lastRow="0" w:firstColumn="1" w:lastColumn="0" w:oddVBand="0" w:evenVBand="0" w:oddHBand="0" w:evenHBand="0" w:firstRowFirstColumn="0" w:firstRowLastColumn="0" w:lastRowFirstColumn="0" w:lastRowLastColumn="0"/>
            <w:tcW w:w="3740" w:type="dxa"/>
          </w:tcPr>
          <w:p w14:paraId="04041948" w14:textId="77777777" w:rsidR="00C424E5" w:rsidRDefault="00C424E5">
            <w:r>
              <w:t>WorkSafe Victoria</w:t>
            </w:r>
          </w:p>
        </w:tc>
        <w:tc>
          <w:tcPr>
            <w:tcW w:w="794" w:type="dxa"/>
          </w:tcPr>
          <w:p w14:paraId="2C4AA3DE"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467D44C7"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4EC46AEC"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6046B766"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13F6B1D4"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r>
      <w:tr w:rsidR="00C424E5" w14:paraId="508829F1" w14:textId="77777777">
        <w:tc>
          <w:tcPr>
            <w:cnfStyle w:val="001000000000" w:firstRow="0" w:lastRow="0" w:firstColumn="1" w:lastColumn="0" w:oddVBand="0" w:evenVBand="0" w:oddHBand="0" w:evenHBand="0" w:firstRowFirstColumn="0" w:firstRowLastColumn="0" w:lastRowFirstColumn="0" w:lastRowLastColumn="0"/>
            <w:tcW w:w="3740" w:type="dxa"/>
          </w:tcPr>
          <w:p w14:paraId="710D9D97" w14:textId="77777777" w:rsidR="00C424E5" w:rsidRDefault="00C424E5">
            <w:r>
              <w:t>Transport Accident Commission</w:t>
            </w:r>
          </w:p>
        </w:tc>
        <w:tc>
          <w:tcPr>
            <w:tcW w:w="794" w:type="dxa"/>
          </w:tcPr>
          <w:p w14:paraId="32638F16"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307501C1"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13D11CE3"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584DE6C9"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3F9BA14F"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r>
      <w:tr w:rsidR="00C424E5" w14:paraId="4739136B" w14:textId="77777777">
        <w:tc>
          <w:tcPr>
            <w:cnfStyle w:val="001000000000" w:firstRow="0" w:lastRow="0" w:firstColumn="1" w:lastColumn="0" w:oddVBand="0" w:evenVBand="0" w:oddHBand="0" w:evenHBand="0" w:firstRowFirstColumn="0" w:firstRowLastColumn="0" w:lastRowFirstColumn="0" w:lastRowLastColumn="0"/>
            <w:tcW w:w="3740" w:type="dxa"/>
          </w:tcPr>
          <w:p w14:paraId="12BDDF04" w14:textId="77777777" w:rsidR="00C424E5" w:rsidRDefault="00C424E5">
            <w:r>
              <w:t>Treasury Corporation of Victoria</w:t>
            </w:r>
          </w:p>
        </w:tc>
        <w:tc>
          <w:tcPr>
            <w:tcW w:w="794" w:type="dxa"/>
          </w:tcPr>
          <w:p w14:paraId="1921557A" w14:textId="77777777" w:rsidR="00C424E5" w:rsidRDefault="00C424E5">
            <w:pPr>
              <w:cnfStyle w:val="000000000000" w:firstRow="0" w:lastRow="0" w:firstColumn="0" w:lastColumn="0" w:oddVBand="0" w:evenVBand="0" w:oddHBand="0" w:evenHBand="0" w:firstRowFirstColumn="0" w:firstRowLastColumn="0" w:lastRowFirstColumn="0" w:lastRowLastColumn="0"/>
            </w:pPr>
            <w:r>
              <w:t>52</w:t>
            </w:r>
          </w:p>
        </w:tc>
        <w:tc>
          <w:tcPr>
            <w:tcW w:w="794" w:type="dxa"/>
          </w:tcPr>
          <w:p w14:paraId="2ED8E590" w14:textId="77777777" w:rsidR="00C424E5" w:rsidRDefault="00C424E5">
            <w:pPr>
              <w:cnfStyle w:val="000000000000" w:firstRow="0" w:lastRow="0" w:firstColumn="0" w:lastColumn="0" w:oddVBand="0" w:evenVBand="0" w:oddHBand="0" w:evenHBand="0" w:firstRowFirstColumn="0" w:firstRowLastColumn="0" w:lastRowFirstColumn="0" w:lastRowLastColumn="0"/>
            </w:pPr>
            <w:r>
              <w:t>52</w:t>
            </w:r>
          </w:p>
        </w:tc>
        <w:tc>
          <w:tcPr>
            <w:tcW w:w="794" w:type="dxa"/>
          </w:tcPr>
          <w:p w14:paraId="51EBA0A6" w14:textId="77777777" w:rsidR="00C424E5" w:rsidRDefault="00C424E5">
            <w:pPr>
              <w:cnfStyle w:val="000000000000" w:firstRow="0" w:lastRow="0" w:firstColumn="0" w:lastColumn="0" w:oddVBand="0" w:evenVBand="0" w:oddHBand="0" w:evenHBand="0" w:firstRowFirstColumn="0" w:firstRowLastColumn="0" w:lastRowFirstColumn="0" w:lastRowLastColumn="0"/>
            </w:pPr>
            <w:r>
              <w:t>61</w:t>
            </w:r>
          </w:p>
        </w:tc>
        <w:tc>
          <w:tcPr>
            <w:tcW w:w="794" w:type="dxa"/>
          </w:tcPr>
          <w:p w14:paraId="577EEA41" w14:textId="77777777" w:rsidR="00C424E5" w:rsidRDefault="00C424E5">
            <w:pPr>
              <w:cnfStyle w:val="000000000000" w:firstRow="0" w:lastRow="0" w:firstColumn="0" w:lastColumn="0" w:oddVBand="0" w:evenVBand="0" w:oddHBand="0" w:evenHBand="0" w:firstRowFirstColumn="0" w:firstRowLastColumn="0" w:lastRowFirstColumn="0" w:lastRowLastColumn="0"/>
            </w:pPr>
            <w:r>
              <w:t>70</w:t>
            </w:r>
          </w:p>
        </w:tc>
        <w:tc>
          <w:tcPr>
            <w:tcW w:w="794" w:type="dxa"/>
          </w:tcPr>
          <w:p w14:paraId="3AED934F" w14:textId="77777777" w:rsidR="00C424E5" w:rsidRDefault="00C424E5">
            <w:pPr>
              <w:cnfStyle w:val="000000000000" w:firstRow="0" w:lastRow="0" w:firstColumn="0" w:lastColumn="0" w:oddVBand="0" w:evenVBand="0" w:oddHBand="0" w:evenHBand="0" w:firstRowFirstColumn="0" w:firstRowLastColumn="0" w:lastRowFirstColumn="0" w:lastRowLastColumn="0"/>
            </w:pPr>
            <w:r>
              <w:t>60</w:t>
            </w:r>
          </w:p>
        </w:tc>
      </w:tr>
      <w:tr w:rsidR="00C424E5" w14:paraId="0D5BD3A9" w14:textId="77777777">
        <w:tc>
          <w:tcPr>
            <w:cnfStyle w:val="001000000000" w:firstRow="0" w:lastRow="0" w:firstColumn="1" w:lastColumn="0" w:oddVBand="0" w:evenVBand="0" w:oddHBand="0" w:evenHBand="0" w:firstRowFirstColumn="0" w:firstRowLastColumn="0" w:lastRowFirstColumn="0" w:lastRowLastColumn="0"/>
            <w:tcW w:w="3740" w:type="dxa"/>
          </w:tcPr>
          <w:p w14:paraId="73AAC1EA" w14:textId="77777777" w:rsidR="00C424E5" w:rsidRDefault="00C424E5">
            <w:r>
              <w:t>State Trustees Ltd</w:t>
            </w:r>
          </w:p>
        </w:tc>
        <w:tc>
          <w:tcPr>
            <w:tcW w:w="794" w:type="dxa"/>
          </w:tcPr>
          <w:p w14:paraId="78DE2A3C" w14:textId="77777777" w:rsidR="00C424E5" w:rsidRDefault="00C424E5">
            <w:pPr>
              <w:cnfStyle w:val="000000000000" w:firstRow="0" w:lastRow="0" w:firstColumn="0" w:lastColumn="0" w:oddVBand="0" w:evenVBand="0" w:oddHBand="0" w:evenHBand="0" w:firstRowFirstColumn="0" w:firstRowLastColumn="0" w:lastRowFirstColumn="0" w:lastRowLastColumn="0"/>
            </w:pPr>
            <w:r>
              <w:t>1</w:t>
            </w:r>
          </w:p>
        </w:tc>
        <w:tc>
          <w:tcPr>
            <w:tcW w:w="794" w:type="dxa"/>
          </w:tcPr>
          <w:p w14:paraId="7E07464A" w14:textId="77777777" w:rsidR="00C424E5" w:rsidRDefault="00C424E5">
            <w:pPr>
              <w:cnfStyle w:val="000000000000" w:firstRow="0" w:lastRow="0" w:firstColumn="0" w:lastColumn="0" w:oddVBand="0" w:evenVBand="0" w:oddHBand="0" w:evenHBand="0" w:firstRowFirstColumn="0" w:firstRowLastColumn="0" w:lastRowFirstColumn="0" w:lastRowLastColumn="0"/>
            </w:pPr>
            <w:r>
              <w:t>1</w:t>
            </w:r>
          </w:p>
        </w:tc>
        <w:tc>
          <w:tcPr>
            <w:tcW w:w="794" w:type="dxa"/>
          </w:tcPr>
          <w:p w14:paraId="782086E1" w14:textId="77777777" w:rsidR="00C424E5" w:rsidRDefault="00C424E5">
            <w:pPr>
              <w:cnfStyle w:val="000000000000" w:firstRow="0" w:lastRow="0" w:firstColumn="0" w:lastColumn="0" w:oddVBand="0" w:evenVBand="0" w:oddHBand="0" w:evenHBand="0" w:firstRowFirstColumn="0" w:firstRowLastColumn="0" w:lastRowFirstColumn="0" w:lastRowLastColumn="0"/>
            </w:pPr>
            <w:r>
              <w:t>1</w:t>
            </w:r>
          </w:p>
        </w:tc>
        <w:tc>
          <w:tcPr>
            <w:tcW w:w="794" w:type="dxa"/>
          </w:tcPr>
          <w:p w14:paraId="12E36BA3" w14:textId="77777777" w:rsidR="00C424E5" w:rsidRDefault="00C424E5">
            <w:pPr>
              <w:cnfStyle w:val="000000000000" w:firstRow="0" w:lastRow="0" w:firstColumn="0" w:lastColumn="0" w:oddVBand="0" w:evenVBand="0" w:oddHBand="0" w:evenHBand="0" w:firstRowFirstColumn="0" w:firstRowLastColumn="0" w:lastRowFirstColumn="0" w:lastRowLastColumn="0"/>
            </w:pPr>
            <w:r>
              <w:t>1</w:t>
            </w:r>
          </w:p>
        </w:tc>
        <w:tc>
          <w:tcPr>
            <w:tcW w:w="794" w:type="dxa"/>
          </w:tcPr>
          <w:p w14:paraId="39A51678" w14:textId="77777777" w:rsidR="00C424E5" w:rsidRDefault="00C424E5">
            <w:pPr>
              <w:cnfStyle w:val="000000000000" w:firstRow="0" w:lastRow="0" w:firstColumn="0" w:lastColumn="0" w:oddVBand="0" w:evenVBand="0" w:oddHBand="0" w:evenHBand="0" w:firstRowFirstColumn="0" w:firstRowLastColumn="0" w:lastRowFirstColumn="0" w:lastRowLastColumn="0"/>
            </w:pPr>
            <w:r>
              <w:t>1</w:t>
            </w:r>
          </w:p>
        </w:tc>
      </w:tr>
      <w:tr w:rsidR="00C424E5" w14:paraId="2866CD48"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16D3BA9C" w14:textId="77777777" w:rsidR="00C424E5" w:rsidRDefault="00C424E5">
            <w:r>
              <w:t>Victorian Funds Management Corporation</w:t>
            </w:r>
          </w:p>
        </w:tc>
        <w:tc>
          <w:tcPr>
            <w:tcW w:w="794" w:type="dxa"/>
            <w:tcBorders>
              <w:bottom w:val="single" w:sz="6" w:space="0" w:color="auto"/>
            </w:tcBorders>
          </w:tcPr>
          <w:p w14:paraId="53AABFB3" w14:textId="77777777" w:rsidR="00C424E5" w:rsidRDefault="00C424E5">
            <w:pPr>
              <w:cnfStyle w:val="000000000000" w:firstRow="0" w:lastRow="0" w:firstColumn="0" w:lastColumn="0" w:oddVBand="0" w:evenVBand="0" w:oddHBand="0" w:evenHBand="0" w:firstRowFirstColumn="0" w:firstRowLastColumn="0" w:lastRowFirstColumn="0" w:lastRowLastColumn="0"/>
            </w:pPr>
            <w:r>
              <w:t>8</w:t>
            </w:r>
          </w:p>
        </w:tc>
        <w:tc>
          <w:tcPr>
            <w:tcW w:w="794" w:type="dxa"/>
            <w:tcBorders>
              <w:bottom w:val="single" w:sz="6" w:space="0" w:color="auto"/>
            </w:tcBorders>
          </w:tcPr>
          <w:p w14:paraId="58890560" w14:textId="77777777" w:rsidR="00C424E5" w:rsidRDefault="00C424E5">
            <w:pPr>
              <w:cnfStyle w:val="000000000000" w:firstRow="0" w:lastRow="0" w:firstColumn="0" w:lastColumn="0" w:oddVBand="0" w:evenVBand="0" w:oddHBand="0" w:evenHBand="0" w:firstRowFirstColumn="0" w:firstRowLastColumn="0" w:lastRowFirstColumn="0" w:lastRowLastColumn="0"/>
            </w:pPr>
            <w:r>
              <w:t>8</w:t>
            </w:r>
          </w:p>
        </w:tc>
        <w:tc>
          <w:tcPr>
            <w:tcW w:w="794" w:type="dxa"/>
            <w:tcBorders>
              <w:bottom w:val="single" w:sz="6" w:space="0" w:color="auto"/>
            </w:tcBorders>
          </w:tcPr>
          <w:p w14:paraId="1BA01B6E" w14:textId="77777777" w:rsidR="00C424E5" w:rsidRDefault="00C424E5">
            <w:pPr>
              <w:cnfStyle w:val="000000000000" w:firstRow="0" w:lastRow="0" w:firstColumn="0" w:lastColumn="0" w:oddVBand="0" w:evenVBand="0" w:oddHBand="0" w:evenHBand="0" w:firstRowFirstColumn="0" w:firstRowLastColumn="0" w:lastRowFirstColumn="0" w:lastRowLastColumn="0"/>
            </w:pPr>
            <w:r>
              <w:t>6</w:t>
            </w:r>
          </w:p>
        </w:tc>
        <w:tc>
          <w:tcPr>
            <w:tcW w:w="794" w:type="dxa"/>
            <w:tcBorders>
              <w:bottom w:val="single" w:sz="6" w:space="0" w:color="auto"/>
            </w:tcBorders>
          </w:tcPr>
          <w:p w14:paraId="6848FF7C" w14:textId="77777777" w:rsidR="00C424E5" w:rsidRDefault="00C424E5">
            <w:pPr>
              <w:cnfStyle w:val="000000000000" w:firstRow="0" w:lastRow="0" w:firstColumn="0" w:lastColumn="0" w:oddVBand="0" w:evenVBand="0" w:oddHBand="0" w:evenHBand="0" w:firstRowFirstColumn="0" w:firstRowLastColumn="0" w:lastRowFirstColumn="0" w:lastRowLastColumn="0"/>
            </w:pPr>
            <w:r>
              <w:t>9</w:t>
            </w:r>
          </w:p>
        </w:tc>
        <w:tc>
          <w:tcPr>
            <w:tcW w:w="794" w:type="dxa"/>
            <w:tcBorders>
              <w:bottom w:val="single" w:sz="6" w:space="0" w:color="auto"/>
            </w:tcBorders>
          </w:tcPr>
          <w:p w14:paraId="537E1E8C" w14:textId="77777777" w:rsidR="00C424E5" w:rsidRDefault="00C424E5">
            <w:pPr>
              <w:cnfStyle w:val="000000000000" w:firstRow="0" w:lastRow="0" w:firstColumn="0" w:lastColumn="0" w:oddVBand="0" w:evenVBand="0" w:oddHBand="0" w:evenHBand="0" w:firstRowFirstColumn="0" w:firstRowLastColumn="0" w:lastRowFirstColumn="0" w:lastRowLastColumn="0"/>
            </w:pPr>
            <w:r>
              <w:t>9</w:t>
            </w:r>
          </w:p>
        </w:tc>
      </w:tr>
      <w:tr w:rsidR="00C424E5" w14:paraId="19AA4006"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0ADE16A1" w14:textId="77777777" w:rsidR="00C424E5" w:rsidRDefault="00C424E5">
            <w:r>
              <w:rPr>
                <w:b/>
              </w:rPr>
              <w:t>Dividends from PFC sector</w:t>
            </w:r>
          </w:p>
        </w:tc>
        <w:tc>
          <w:tcPr>
            <w:tcW w:w="794" w:type="dxa"/>
            <w:tcBorders>
              <w:top w:val="single" w:sz="6" w:space="0" w:color="auto"/>
              <w:bottom w:val="single" w:sz="12" w:space="0" w:color="auto"/>
            </w:tcBorders>
          </w:tcPr>
          <w:p w14:paraId="0516DF4E"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60</w:t>
            </w:r>
          </w:p>
        </w:tc>
        <w:tc>
          <w:tcPr>
            <w:tcW w:w="794" w:type="dxa"/>
            <w:tcBorders>
              <w:top w:val="single" w:sz="6" w:space="0" w:color="auto"/>
              <w:bottom w:val="single" w:sz="12" w:space="0" w:color="auto"/>
            </w:tcBorders>
          </w:tcPr>
          <w:p w14:paraId="59816B62"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60</w:t>
            </w:r>
          </w:p>
        </w:tc>
        <w:tc>
          <w:tcPr>
            <w:tcW w:w="794" w:type="dxa"/>
            <w:tcBorders>
              <w:top w:val="single" w:sz="6" w:space="0" w:color="auto"/>
              <w:bottom w:val="single" w:sz="12" w:space="0" w:color="auto"/>
            </w:tcBorders>
          </w:tcPr>
          <w:p w14:paraId="55016358"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67</w:t>
            </w:r>
          </w:p>
        </w:tc>
        <w:tc>
          <w:tcPr>
            <w:tcW w:w="794" w:type="dxa"/>
            <w:tcBorders>
              <w:top w:val="single" w:sz="6" w:space="0" w:color="auto"/>
              <w:bottom w:val="single" w:sz="12" w:space="0" w:color="auto"/>
            </w:tcBorders>
          </w:tcPr>
          <w:p w14:paraId="314D1185"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79</w:t>
            </w:r>
          </w:p>
        </w:tc>
        <w:tc>
          <w:tcPr>
            <w:tcW w:w="794" w:type="dxa"/>
            <w:tcBorders>
              <w:top w:val="single" w:sz="6" w:space="0" w:color="auto"/>
              <w:bottom w:val="single" w:sz="12" w:space="0" w:color="auto"/>
            </w:tcBorders>
          </w:tcPr>
          <w:p w14:paraId="74A5DA07"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70</w:t>
            </w:r>
          </w:p>
        </w:tc>
      </w:tr>
      <w:tr w:rsidR="00C424E5" w14:paraId="70CEBFC4"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3366D4DC" w14:textId="77777777" w:rsidR="00C424E5" w:rsidRDefault="00C424E5">
            <w:r>
              <w:rPr>
                <w:b/>
              </w:rPr>
              <w:t>Public non</w:t>
            </w:r>
            <w:r>
              <w:rPr>
                <w:b/>
              </w:rPr>
              <w:noBreakHyphen/>
              <w:t>financial corporations</w:t>
            </w:r>
          </w:p>
        </w:tc>
        <w:tc>
          <w:tcPr>
            <w:tcW w:w="794" w:type="dxa"/>
            <w:tcBorders>
              <w:top w:val="single" w:sz="6" w:space="0" w:color="auto"/>
            </w:tcBorders>
          </w:tcPr>
          <w:p w14:paraId="0B00DBFC"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B0400C7"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239EAEE8"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19A8C13E"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A0A1B85"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06330B13" w14:textId="77777777">
        <w:tc>
          <w:tcPr>
            <w:cnfStyle w:val="001000000000" w:firstRow="0" w:lastRow="0" w:firstColumn="1" w:lastColumn="0" w:oddVBand="0" w:evenVBand="0" w:oddHBand="0" w:evenHBand="0" w:firstRowFirstColumn="0" w:firstRowLastColumn="0" w:lastRowFirstColumn="0" w:lastRowLastColumn="0"/>
            <w:tcW w:w="3740" w:type="dxa"/>
          </w:tcPr>
          <w:p w14:paraId="469FA52F" w14:textId="77777777" w:rsidR="00C424E5" w:rsidRDefault="00C424E5">
            <w:r>
              <w:t>Greater Western Water</w:t>
            </w:r>
          </w:p>
        </w:tc>
        <w:tc>
          <w:tcPr>
            <w:tcW w:w="794" w:type="dxa"/>
          </w:tcPr>
          <w:p w14:paraId="7590D3F6" w14:textId="77777777" w:rsidR="00C424E5" w:rsidRDefault="00C424E5">
            <w:pPr>
              <w:cnfStyle w:val="000000000000" w:firstRow="0" w:lastRow="0" w:firstColumn="0" w:lastColumn="0" w:oddVBand="0" w:evenVBand="0" w:oddHBand="0" w:evenHBand="0" w:firstRowFirstColumn="0" w:firstRowLastColumn="0" w:lastRowFirstColumn="0" w:lastRowLastColumn="0"/>
            </w:pPr>
            <w:r>
              <w:t>15</w:t>
            </w:r>
          </w:p>
        </w:tc>
        <w:tc>
          <w:tcPr>
            <w:tcW w:w="794" w:type="dxa"/>
          </w:tcPr>
          <w:p w14:paraId="5020870B" w14:textId="77777777" w:rsidR="00C424E5" w:rsidRDefault="00C424E5">
            <w:pPr>
              <w:cnfStyle w:val="000000000000" w:firstRow="0" w:lastRow="0" w:firstColumn="0" w:lastColumn="0" w:oddVBand="0" w:evenVBand="0" w:oddHBand="0" w:evenHBand="0" w:firstRowFirstColumn="0" w:firstRowLastColumn="0" w:lastRowFirstColumn="0" w:lastRowLastColumn="0"/>
            </w:pPr>
            <w:r>
              <w:t>20</w:t>
            </w:r>
          </w:p>
        </w:tc>
        <w:tc>
          <w:tcPr>
            <w:tcW w:w="794" w:type="dxa"/>
          </w:tcPr>
          <w:p w14:paraId="0AE98272" w14:textId="77777777" w:rsidR="00C424E5" w:rsidRDefault="00C424E5">
            <w:pPr>
              <w:cnfStyle w:val="000000000000" w:firstRow="0" w:lastRow="0" w:firstColumn="0" w:lastColumn="0" w:oddVBand="0" w:evenVBand="0" w:oddHBand="0" w:evenHBand="0" w:firstRowFirstColumn="0" w:firstRowLastColumn="0" w:lastRowFirstColumn="0" w:lastRowLastColumn="0"/>
            </w:pPr>
            <w:r>
              <w:t>52</w:t>
            </w:r>
          </w:p>
        </w:tc>
        <w:tc>
          <w:tcPr>
            <w:tcW w:w="794" w:type="dxa"/>
          </w:tcPr>
          <w:p w14:paraId="3B3E13E6" w14:textId="77777777" w:rsidR="00C424E5" w:rsidRDefault="00C424E5">
            <w:pPr>
              <w:cnfStyle w:val="000000000000" w:firstRow="0" w:lastRow="0" w:firstColumn="0" w:lastColumn="0" w:oddVBand="0" w:evenVBand="0" w:oddHBand="0" w:evenHBand="0" w:firstRowFirstColumn="0" w:firstRowLastColumn="0" w:lastRowFirstColumn="0" w:lastRowLastColumn="0"/>
            </w:pPr>
            <w:r>
              <w:t>64</w:t>
            </w:r>
          </w:p>
        </w:tc>
        <w:tc>
          <w:tcPr>
            <w:tcW w:w="794" w:type="dxa"/>
          </w:tcPr>
          <w:p w14:paraId="578E3924" w14:textId="77777777" w:rsidR="00C424E5" w:rsidRDefault="00C424E5">
            <w:pPr>
              <w:cnfStyle w:val="000000000000" w:firstRow="0" w:lastRow="0" w:firstColumn="0" w:lastColumn="0" w:oddVBand="0" w:evenVBand="0" w:oddHBand="0" w:evenHBand="0" w:firstRowFirstColumn="0" w:firstRowLastColumn="0" w:lastRowFirstColumn="0" w:lastRowLastColumn="0"/>
            </w:pPr>
            <w:r>
              <w:t>66</w:t>
            </w:r>
          </w:p>
        </w:tc>
      </w:tr>
      <w:tr w:rsidR="00C424E5" w14:paraId="09E087AC" w14:textId="77777777">
        <w:tc>
          <w:tcPr>
            <w:cnfStyle w:val="001000000000" w:firstRow="0" w:lastRow="0" w:firstColumn="1" w:lastColumn="0" w:oddVBand="0" w:evenVBand="0" w:oddHBand="0" w:evenHBand="0" w:firstRowFirstColumn="0" w:firstRowLastColumn="0" w:lastRowFirstColumn="0" w:lastRowLastColumn="0"/>
            <w:tcW w:w="3740" w:type="dxa"/>
          </w:tcPr>
          <w:p w14:paraId="6F3C8814" w14:textId="77777777" w:rsidR="00C424E5" w:rsidRDefault="00C424E5">
            <w:r>
              <w:t>Melbourne Water Corporation</w:t>
            </w:r>
          </w:p>
        </w:tc>
        <w:tc>
          <w:tcPr>
            <w:tcW w:w="794" w:type="dxa"/>
          </w:tcPr>
          <w:p w14:paraId="003D5F9B"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4D8965FF" w14:textId="77777777" w:rsidR="00C424E5" w:rsidRDefault="00C424E5">
            <w:pPr>
              <w:cnfStyle w:val="000000000000" w:firstRow="0" w:lastRow="0" w:firstColumn="0" w:lastColumn="0" w:oddVBand="0" w:evenVBand="0" w:oddHBand="0" w:evenHBand="0" w:firstRowFirstColumn="0" w:firstRowLastColumn="0" w:lastRowFirstColumn="0" w:lastRowLastColumn="0"/>
            </w:pPr>
            <w:r>
              <w:t>14</w:t>
            </w:r>
          </w:p>
        </w:tc>
        <w:tc>
          <w:tcPr>
            <w:tcW w:w="794" w:type="dxa"/>
          </w:tcPr>
          <w:p w14:paraId="2B1AB351" w14:textId="77777777" w:rsidR="00C424E5" w:rsidRDefault="00C424E5">
            <w:pPr>
              <w:cnfStyle w:val="000000000000" w:firstRow="0" w:lastRow="0" w:firstColumn="0" w:lastColumn="0" w:oddVBand="0" w:evenVBand="0" w:oddHBand="0" w:evenHBand="0" w:firstRowFirstColumn="0" w:firstRowLastColumn="0" w:lastRowFirstColumn="0" w:lastRowLastColumn="0"/>
            </w:pPr>
            <w:r>
              <w:t>13</w:t>
            </w:r>
          </w:p>
        </w:tc>
        <w:tc>
          <w:tcPr>
            <w:tcW w:w="794" w:type="dxa"/>
          </w:tcPr>
          <w:p w14:paraId="3A5DFDD2" w14:textId="77777777" w:rsidR="00C424E5" w:rsidRDefault="00C424E5">
            <w:pPr>
              <w:cnfStyle w:val="000000000000" w:firstRow="0" w:lastRow="0" w:firstColumn="0" w:lastColumn="0" w:oddVBand="0" w:evenVBand="0" w:oddHBand="0" w:evenHBand="0" w:firstRowFirstColumn="0" w:firstRowLastColumn="0" w:lastRowFirstColumn="0" w:lastRowLastColumn="0"/>
            </w:pPr>
            <w:r>
              <w:t>5</w:t>
            </w:r>
          </w:p>
        </w:tc>
        <w:tc>
          <w:tcPr>
            <w:tcW w:w="794" w:type="dxa"/>
          </w:tcPr>
          <w:p w14:paraId="42DF417F" w14:textId="77777777" w:rsidR="00C424E5" w:rsidRDefault="00C424E5">
            <w:pPr>
              <w:cnfStyle w:val="000000000000" w:firstRow="0" w:lastRow="0" w:firstColumn="0" w:lastColumn="0" w:oddVBand="0" w:evenVBand="0" w:oddHBand="0" w:evenHBand="0" w:firstRowFirstColumn="0" w:firstRowLastColumn="0" w:lastRowFirstColumn="0" w:lastRowLastColumn="0"/>
            </w:pPr>
            <w:r>
              <w:t>5</w:t>
            </w:r>
          </w:p>
        </w:tc>
      </w:tr>
      <w:tr w:rsidR="00C424E5" w14:paraId="7AA41911" w14:textId="77777777">
        <w:tc>
          <w:tcPr>
            <w:cnfStyle w:val="001000000000" w:firstRow="0" w:lastRow="0" w:firstColumn="1" w:lastColumn="0" w:oddVBand="0" w:evenVBand="0" w:oddHBand="0" w:evenHBand="0" w:firstRowFirstColumn="0" w:firstRowLastColumn="0" w:lastRowFirstColumn="0" w:lastRowLastColumn="0"/>
            <w:tcW w:w="3740" w:type="dxa"/>
          </w:tcPr>
          <w:p w14:paraId="05C17F7F" w14:textId="77777777" w:rsidR="00C424E5" w:rsidRDefault="00C424E5">
            <w:r>
              <w:t>South East Water Corporation</w:t>
            </w:r>
          </w:p>
        </w:tc>
        <w:tc>
          <w:tcPr>
            <w:tcW w:w="794" w:type="dxa"/>
          </w:tcPr>
          <w:p w14:paraId="6B44CC7A" w14:textId="77777777" w:rsidR="00C424E5" w:rsidRDefault="00C424E5">
            <w:pPr>
              <w:cnfStyle w:val="000000000000" w:firstRow="0" w:lastRow="0" w:firstColumn="0" w:lastColumn="0" w:oddVBand="0" w:evenVBand="0" w:oddHBand="0" w:evenHBand="0" w:firstRowFirstColumn="0" w:firstRowLastColumn="0" w:lastRowFirstColumn="0" w:lastRowLastColumn="0"/>
            </w:pPr>
            <w:r>
              <w:t>33</w:t>
            </w:r>
          </w:p>
        </w:tc>
        <w:tc>
          <w:tcPr>
            <w:tcW w:w="794" w:type="dxa"/>
          </w:tcPr>
          <w:p w14:paraId="49655E01" w14:textId="77777777" w:rsidR="00C424E5" w:rsidRDefault="00C424E5">
            <w:pPr>
              <w:cnfStyle w:val="000000000000" w:firstRow="0" w:lastRow="0" w:firstColumn="0" w:lastColumn="0" w:oddVBand="0" w:evenVBand="0" w:oddHBand="0" w:evenHBand="0" w:firstRowFirstColumn="0" w:firstRowLastColumn="0" w:lastRowFirstColumn="0" w:lastRowLastColumn="0"/>
            </w:pPr>
            <w:r>
              <w:t>29</w:t>
            </w:r>
          </w:p>
        </w:tc>
        <w:tc>
          <w:tcPr>
            <w:tcW w:w="794" w:type="dxa"/>
          </w:tcPr>
          <w:p w14:paraId="50D4259A" w14:textId="77777777" w:rsidR="00C424E5" w:rsidRDefault="00C424E5">
            <w:pPr>
              <w:cnfStyle w:val="000000000000" w:firstRow="0" w:lastRow="0" w:firstColumn="0" w:lastColumn="0" w:oddVBand="0" w:evenVBand="0" w:oddHBand="0" w:evenHBand="0" w:firstRowFirstColumn="0" w:firstRowLastColumn="0" w:lastRowFirstColumn="0" w:lastRowLastColumn="0"/>
            </w:pPr>
            <w:r>
              <w:t>33</w:t>
            </w:r>
          </w:p>
        </w:tc>
        <w:tc>
          <w:tcPr>
            <w:tcW w:w="794" w:type="dxa"/>
          </w:tcPr>
          <w:p w14:paraId="75B36B98" w14:textId="77777777" w:rsidR="00C424E5" w:rsidRDefault="00C424E5">
            <w:pPr>
              <w:cnfStyle w:val="000000000000" w:firstRow="0" w:lastRow="0" w:firstColumn="0" w:lastColumn="0" w:oddVBand="0" w:evenVBand="0" w:oddHBand="0" w:evenHBand="0" w:firstRowFirstColumn="0" w:firstRowLastColumn="0" w:lastRowFirstColumn="0" w:lastRowLastColumn="0"/>
            </w:pPr>
            <w:r>
              <w:t>24</w:t>
            </w:r>
          </w:p>
        </w:tc>
        <w:tc>
          <w:tcPr>
            <w:tcW w:w="794" w:type="dxa"/>
          </w:tcPr>
          <w:p w14:paraId="7F33A093" w14:textId="77777777" w:rsidR="00C424E5" w:rsidRDefault="00C424E5">
            <w:pPr>
              <w:cnfStyle w:val="000000000000" w:firstRow="0" w:lastRow="0" w:firstColumn="0" w:lastColumn="0" w:oddVBand="0" w:evenVBand="0" w:oddHBand="0" w:evenHBand="0" w:firstRowFirstColumn="0" w:firstRowLastColumn="0" w:lastRowFirstColumn="0" w:lastRowLastColumn="0"/>
            </w:pPr>
            <w:r>
              <w:t>21</w:t>
            </w:r>
          </w:p>
        </w:tc>
      </w:tr>
      <w:tr w:rsidR="00C424E5" w14:paraId="13BA4591" w14:textId="77777777">
        <w:tc>
          <w:tcPr>
            <w:cnfStyle w:val="001000000000" w:firstRow="0" w:lastRow="0" w:firstColumn="1" w:lastColumn="0" w:oddVBand="0" w:evenVBand="0" w:oddHBand="0" w:evenHBand="0" w:firstRowFirstColumn="0" w:firstRowLastColumn="0" w:lastRowFirstColumn="0" w:lastRowLastColumn="0"/>
            <w:tcW w:w="3740" w:type="dxa"/>
          </w:tcPr>
          <w:p w14:paraId="04629026" w14:textId="77777777" w:rsidR="00C424E5" w:rsidRDefault="00C424E5">
            <w:r>
              <w:t>Yarra Valley Water Corporation</w:t>
            </w:r>
          </w:p>
        </w:tc>
        <w:tc>
          <w:tcPr>
            <w:tcW w:w="794" w:type="dxa"/>
          </w:tcPr>
          <w:p w14:paraId="5440B5BB" w14:textId="77777777" w:rsidR="00C424E5" w:rsidRDefault="00C424E5">
            <w:pPr>
              <w:cnfStyle w:val="000000000000" w:firstRow="0" w:lastRow="0" w:firstColumn="0" w:lastColumn="0" w:oddVBand="0" w:evenVBand="0" w:oddHBand="0" w:evenHBand="0" w:firstRowFirstColumn="0" w:firstRowLastColumn="0" w:lastRowFirstColumn="0" w:lastRowLastColumn="0"/>
            </w:pPr>
            <w:r>
              <w:t>15</w:t>
            </w:r>
          </w:p>
        </w:tc>
        <w:tc>
          <w:tcPr>
            <w:tcW w:w="794" w:type="dxa"/>
          </w:tcPr>
          <w:p w14:paraId="51889C0D" w14:textId="77777777" w:rsidR="00C424E5" w:rsidRDefault="00C424E5">
            <w:pPr>
              <w:cnfStyle w:val="000000000000" w:firstRow="0" w:lastRow="0" w:firstColumn="0" w:lastColumn="0" w:oddVBand="0" w:evenVBand="0" w:oddHBand="0" w:evenHBand="0" w:firstRowFirstColumn="0" w:firstRowLastColumn="0" w:lastRowFirstColumn="0" w:lastRowLastColumn="0"/>
            </w:pPr>
            <w:r>
              <w:t>33</w:t>
            </w:r>
          </w:p>
        </w:tc>
        <w:tc>
          <w:tcPr>
            <w:tcW w:w="794" w:type="dxa"/>
          </w:tcPr>
          <w:p w14:paraId="00D785C1" w14:textId="77777777" w:rsidR="00C424E5" w:rsidRDefault="00C424E5">
            <w:pPr>
              <w:cnfStyle w:val="000000000000" w:firstRow="0" w:lastRow="0" w:firstColumn="0" w:lastColumn="0" w:oddVBand="0" w:evenVBand="0" w:oddHBand="0" w:evenHBand="0" w:firstRowFirstColumn="0" w:firstRowLastColumn="0" w:lastRowFirstColumn="0" w:lastRowLastColumn="0"/>
            </w:pPr>
            <w:r>
              <w:t>13</w:t>
            </w:r>
          </w:p>
        </w:tc>
        <w:tc>
          <w:tcPr>
            <w:tcW w:w="794" w:type="dxa"/>
          </w:tcPr>
          <w:p w14:paraId="6732E739" w14:textId="77777777" w:rsidR="00C424E5" w:rsidRDefault="00C424E5">
            <w:pPr>
              <w:cnfStyle w:val="000000000000" w:firstRow="0" w:lastRow="0" w:firstColumn="0" w:lastColumn="0" w:oddVBand="0" w:evenVBand="0" w:oddHBand="0" w:evenHBand="0" w:firstRowFirstColumn="0" w:firstRowLastColumn="0" w:lastRowFirstColumn="0" w:lastRowLastColumn="0"/>
            </w:pPr>
            <w:r>
              <w:t>11</w:t>
            </w:r>
          </w:p>
        </w:tc>
        <w:tc>
          <w:tcPr>
            <w:tcW w:w="794" w:type="dxa"/>
          </w:tcPr>
          <w:p w14:paraId="26DD52B2" w14:textId="77777777" w:rsidR="00C424E5" w:rsidRDefault="00C424E5">
            <w:pPr>
              <w:cnfStyle w:val="000000000000" w:firstRow="0" w:lastRow="0" w:firstColumn="0" w:lastColumn="0" w:oddVBand="0" w:evenVBand="0" w:oddHBand="0" w:evenHBand="0" w:firstRowFirstColumn="0" w:firstRowLastColumn="0" w:lastRowFirstColumn="0" w:lastRowLastColumn="0"/>
            </w:pPr>
            <w:r>
              <w:t>16</w:t>
            </w:r>
          </w:p>
        </w:tc>
      </w:tr>
      <w:tr w:rsidR="00C424E5" w14:paraId="1840CF96" w14:textId="77777777">
        <w:tc>
          <w:tcPr>
            <w:cnfStyle w:val="001000000000" w:firstRow="0" w:lastRow="0" w:firstColumn="1" w:lastColumn="0" w:oddVBand="0" w:evenVBand="0" w:oddHBand="0" w:evenHBand="0" w:firstRowFirstColumn="0" w:firstRowLastColumn="0" w:lastRowFirstColumn="0" w:lastRowLastColumn="0"/>
            <w:tcW w:w="3740" w:type="dxa"/>
          </w:tcPr>
          <w:p w14:paraId="6C0B896A" w14:textId="77777777" w:rsidR="00C424E5" w:rsidRDefault="00C424E5">
            <w:r>
              <w:t>Development Victoria</w:t>
            </w:r>
          </w:p>
        </w:tc>
        <w:tc>
          <w:tcPr>
            <w:tcW w:w="794" w:type="dxa"/>
          </w:tcPr>
          <w:p w14:paraId="11A39B20" w14:textId="77777777" w:rsidR="00C424E5" w:rsidRDefault="00C424E5">
            <w:pPr>
              <w:cnfStyle w:val="000000000000" w:firstRow="0" w:lastRow="0" w:firstColumn="0" w:lastColumn="0" w:oddVBand="0" w:evenVBand="0" w:oddHBand="0" w:evenHBand="0" w:firstRowFirstColumn="0" w:firstRowLastColumn="0" w:lastRowFirstColumn="0" w:lastRowLastColumn="0"/>
            </w:pPr>
            <w:r>
              <w:t>10</w:t>
            </w:r>
          </w:p>
        </w:tc>
        <w:tc>
          <w:tcPr>
            <w:tcW w:w="794" w:type="dxa"/>
          </w:tcPr>
          <w:p w14:paraId="4C82D897" w14:textId="77777777" w:rsidR="00C424E5" w:rsidRDefault="00C424E5">
            <w:pPr>
              <w:cnfStyle w:val="000000000000" w:firstRow="0" w:lastRow="0" w:firstColumn="0" w:lastColumn="0" w:oddVBand="0" w:evenVBand="0" w:oddHBand="0" w:evenHBand="0" w:firstRowFirstColumn="0" w:firstRowLastColumn="0" w:lastRowFirstColumn="0" w:lastRowLastColumn="0"/>
            </w:pPr>
            <w:r>
              <w:t>4</w:t>
            </w:r>
          </w:p>
        </w:tc>
        <w:tc>
          <w:tcPr>
            <w:tcW w:w="794" w:type="dxa"/>
          </w:tcPr>
          <w:p w14:paraId="52BBFB03" w14:textId="77777777" w:rsidR="00C424E5" w:rsidRDefault="00C424E5">
            <w:pPr>
              <w:cnfStyle w:val="000000000000" w:firstRow="0" w:lastRow="0" w:firstColumn="0" w:lastColumn="0" w:oddVBand="0" w:evenVBand="0" w:oddHBand="0" w:evenHBand="0" w:firstRowFirstColumn="0" w:firstRowLastColumn="0" w:lastRowFirstColumn="0" w:lastRowLastColumn="0"/>
            </w:pPr>
            <w:r>
              <w:t>33</w:t>
            </w:r>
          </w:p>
        </w:tc>
        <w:tc>
          <w:tcPr>
            <w:tcW w:w="794" w:type="dxa"/>
          </w:tcPr>
          <w:p w14:paraId="109979FC" w14:textId="77777777" w:rsidR="00C424E5" w:rsidRDefault="00C424E5">
            <w:pPr>
              <w:cnfStyle w:val="000000000000" w:firstRow="0" w:lastRow="0" w:firstColumn="0" w:lastColumn="0" w:oddVBand="0" w:evenVBand="0" w:oddHBand="0" w:evenHBand="0" w:firstRowFirstColumn="0" w:firstRowLastColumn="0" w:lastRowFirstColumn="0" w:lastRowLastColumn="0"/>
            </w:pPr>
            <w:r>
              <w:t>36</w:t>
            </w:r>
          </w:p>
        </w:tc>
        <w:tc>
          <w:tcPr>
            <w:tcW w:w="794" w:type="dxa"/>
          </w:tcPr>
          <w:p w14:paraId="6AE96E7E" w14:textId="77777777" w:rsidR="00C424E5" w:rsidRDefault="00C424E5">
            <w:pPr>
              <w:cnfStyle w:val="000000000000" w:firstRow="0" w:lastRow="0" w:firstColumn="0" w:lastColumn="0" w:oddVBand="0" w:evenVBand="0" w:oddHBand="0" w:evenHBand="0" w:firstRowFirstColumn="0" w:firstRowLastColumn="0" w:lastRowFirstColumn="0" w:lastRowLastColumn="0"/>
            </w:pPr>
            <w:r>
              <w:t>23</w:t>
            </w:r>
          </w:p>
        </w:tc>
      </w:tr>
      <w:tr w:rsidR="00C424E5" w14:paraId="052123AF"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0968720E" w14:textId="77777777" w:rsidR="00C424E5" w:rsidRDefault="00C424E5">
            <w:r>
              <w:t>Others</w:t>
            </w:r>
          </w:p>
        </w:tc>
        <w:tc>
          <w:tcPr>
            <w:tcW w:w="794" w:type="dxa"/>
            <w:tcBorders>
              <w:bottom w:val="single" w:sz="6" w:space="0" w:color="auto"/>
            </w:tcBorders>
          </w:tcPr>
          <w:p w14:paraId="06EC3E48"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301E16AA"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0D584EAE"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0FCF114D"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15D77145"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r>
      <w:tr w:rsidR="00C424E5" w14:paraId="04566E5B"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6362AC37" w14:textId="77777777" w:rsidR="00C424E5" w:rsidRDefault="00C424E5">
            <w:r>
              <w:rPr>
                <w:b/>
              </w:rPr>
              <w:t>Dividends from PNFC sector</w:t>
            </w:r>
          </w:p>
        </w:tc>
        <w:tc>
          <w:tcPr>
            <w:tcW w:w="794" w:type="dxa"/>
            <w:tcBorders>
              <w:top w:val="single" w:sz="6" w:space="0" w:color="auto"/>
              <w:bottom w:val="single" w:sz="12" w:space="0" w:color="auto"/>
            </w:tcBorders>
          </w:tcPr>
          <w:p w14:paraId="5B75AA4C"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74</w:t>
            </w:r>
          </w:p>
        </w:tc>
        <w:tc>
          <w:tcPr>
            <w:tcW w:w="794" w:type="dxa"/>
            <w:tcBorders>
              <w:top w:val="single" w:sz="6" w:space="0" w:color="auto"/>
              <w:bottom w:val="single" w:sz="12" w:space="0" w:color="auto"/>
            </w:tcBorders>
          </w:tcPr>
          <w:p w14:paraId="4C130A2A"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100</w:t>
            </w:r>
          </w:p>
        </w:tc>
        <w:tc>
          <w:tcPr>
            <w:tcW w:w="794" w:type="dxa"/>
            <w:tcBorders>
              <w:top w:val="single" w:sz="6" w:space="0" w:color="auto"/>
              <w:bottom w:val="single" w:sz="12" w:space="0" w:color="auto"/>
            </w:tcBorders>
          </w:tcPr>
          <w:p w14:paraId="1179BDF5"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145</w:t>
            </w:r>
          </w:p>
        </w:tc>
        <w:tc>
          <w:tcPr>
            <w:tcW w:w="794" w:type="dxa"/>
            <w:tcBorders>
              <w:top w:val="single" w:sz="6" w:space="0" w:color="auto"/>
              <w:bottom w:val="single" w:sz="12" w:space="0" w:color="auto"/>
            </w:tcBorders>
          </w:tcPr>
          <w:p w14:paraId="06792B89"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139</w:t>
            </w:r>
          </w:p>
        </w:tc>
        <w:tc>
          <w:tcPr>
            <w:tcW w:w="794" w:type="dxa"/>
            <w:tcBorders>
              <w:top w:val="single" w:sz="6" w:space="0" w:color="auto"/>
              <w:bottom w:val="single" w:sz="12" w:space="0" w:color="auto"/>
            </w:tcBorders>
          </w:tcPr>
          <w:p w14:paraId="7187DDD7" w14:textId="59DE56E1" w:rsidR="00C424E5" w:rsidRDefault="00C424E5">
            <w:pPr>
              <w:cnfStyle w:val="000000000000" w:firstRow="0" w:lastRow="0" w:firstColumn="0" w:lastColumn="0" w:oddVBand="0" w:evenVBand="0" w:oddHBand="0" w:evenHBand="0" w:firstRowFirstColumn="0" w:firstRowLastColumn="0" w:lastRowFirstColumn="0" w:lastRowLastColumn="0"/>
            </w:pPr>
            <w:r>
              <w:rPr>
                <w:b/>
              </w:rPr>
              <w:t>132</w:t>
            </w:r>
          </w:p>
        </w:tc>
      </w:tr>
    </w:tbl>
    <w:p w14:paraId="02D4463F" w14:textId="77777777" w:rsidR="00C424E5" w:rsidRPr="00307B52" w:rsidRDefault="00C424E5" w:rsidP="006206EF">
      <w:pPr>
        <w:pStyle w:val="Note"/>
        <w:ind w:left="0" w:firstLine="0"/>
      </w:pPr>
      <w:r w:rsidRPr="00307B52">
        <w:t>Note:</w:t>
      </w:r>
    </w:p>
    <w:p w14:paraId="2497804F" w14:textId="77777777" w:rsidR="00C424E5" w:rsidRPr="00A330B7" w:rsidRDefault="00C424E5" w:rsidP="006206EF">
      <w:pPr>
        <w:pStyle w:val="Note"/>
      </w:pPr>
      <w:r w:rsidRPr="00307B52">
        <w:t>(a)</w:t>
      </w:r>
      <w:r w:rsidRPr="00307B52">
        <w:tab/>
      </w:r>
      <w:r>
        <w:t xml:space="preserve">Amounts equivalent to dividends to be paid by the Transport Accident Commission are received and reported as contributions forming part of grant revenue, consistent with the requirements of AASB 1023 </w:t>
      </w:r>
      <w:r w:rsidRPr="003B6C69">
        <w:rPr>
          <w:i w:val="0"/>
          <w:iCs/>
        </w:rPr>
        <w:t xml:space="preserve">General </w:t>
      </w:r>
      <w:r w:rsidRPr="00AC183C">
        <w:rPr>
          <w:i w:val="0"/>
          <w:iCs/>
        </w:rPr>
        <w:t>Insurance Contracts</w:t>
      </w:r>
      <w:r w:rsidRPr="00AC183C">
        <w:t>. The amounts, subject to annual review, that are forecast to be paid are $200 million in 2022-23, $600 million in 2023-24, $900 million in 2024-25 and $1.3 billion in 2025-26. These payments include</w:t>
      </w:r>
      <w:r>
        <w:t xml:space="preserve"> the insurance agencies’ contribution to the Delivering for all Victorians Infrastructure Fund and will acquit the commitment in </w:t>
      </w:r>
      <w:r w:rsidRPr="003367D1">
        <w:rPr>
          <w:i w:val="0"/>
          <w:iCs/>
        </w:rPr>
        <w:t>Labor’s Financial Statement 2018</w:t>
      </w:r>
      <w:r>
        <w:t xml:space="preserve">. Based on current projections, the Transport Accident Commission is expected to remain financially sustainable, with an Insurance Funding Ratio (IFR) above the midpoint of the preferred range, across the forward estimates. </w:t>
      </w:r>
    </w:p>
    <w:p w14:paraId="63220AA0" w14:textId="77777777" w:rsidR="00C424E5" w:rsidRDefault="00C424E5" w:rsidP="006206EF">
      <w:r>
        <w:br w:type="page"/>
      </w:r>
    </w:p>
    <w:p w14:paraId="2BFE8840" w14:textId="77777777" w:rsidR="00C424E5" w:rsidRDefault="00C424E5" w:rsidP="006206EF">
      <w:pPr>
        <w:pStyle w:val="Heading3"/>
        <w:spacing w:after="60"/>
        <w:rPr>
          <w:sz w:val="20"/>
          <w:szCs w:val="20"/>
        </w:rPr>
      </w:pPr>
      <w:bookmarkStart w:id="55" w:name="_Toc117172218"/>
      <w:r w:rsidRPr="00846F56">
        <w:rPr>
          <w:sz w:val="20"/>
          <w:szCs w:val="20"/>
        </w:rPr>
        <w:lastRenderedPageBreak/>
        <w:t>Sales of goods and services</w:t>
      </w:r>
      <w:r w:rsidRPr="00846F56">
        <w:rPr>
          <w:sz w:val="20"/>
          <w:szCs w:val="20"/>
        </w:rPr>
        <w:tab/>
        <w:t>($ million)</w:t>
      </w:r>
      <w:bookmarkEnd w:id="55"/>
    </w:p>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925B88" w14:paraId="7FEE4ECB" w14:textId="77777777" w:rsidTr="00A836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5EBDB6D8" w14:textId="545E8753" w:rsidR="00925B88" w:rsidRDefault="00925B88"/>
        </w:tc>
        <w:tc>
          <w:tcPr>
            <w:tcW w:w="794" w:type="dxa"/>
          </w:tcPr>
          <w:p w14:paraId="2F1C7421" w14:textId="0EBC6CCD" w:rsidR="00925B88" w:rsidRDefault="00925B88" w:rsidP="006328D2">
            <w:pPr>
              <w:cnfStyle w:val="100000000000" w:firstRow="1" w:lastRow="0" w:firstColumn="0" w:lastColumn="0" w:oddVBand="0" w:evenVBand="0" w:oddHBand="0" w:evenHBand="0" w:firstRowFirstColumn="0" w:firstRowLastColumn="0" w:lastRowFirstColumn="0" w:lastRowLastColumn="0"/>
            </w:pPr>
            <w:r>
              <w:t>2022</w:t>
            </w:r>
            <w:r>
              <w:noBreakHyphen/>
              <w:t>23</w:t>
            </w:r>
            <w:r w:rsidR="00F70B1C">
              <w:rPr>
                <w:i w:val="0"/>
              </w:rPr>
              <w:br/>
            </w:r>
            <w:r>
              <w:t>budget</w:t>
            </w:r>
          </w:p>
        </w:tc>
        <w:tc>
          <w:tcPr>
            <w:tcW w:w="794" w:type="dxa"/>
          </w:tcPr>
          <w:p w14:paraId="719FF2E6" w14:textId="2D6EE7FC" w:rsidR="00925B88" w:rsidRDefault="00925B88" w:rsidP="00A762F9">
            <w:pPr>
              <w:cnfStyle w:val="100000000000" w:firstRow="1" w:lastRow="0" w:firstColumn="0" w:lastColumn="0" w:oddVBand="0" w:evenVBand="0" w:oddHBand="0" w:evenHBand="0" w:firstRowFirstColumn="0" w:firstRowLastColumn="0" w:lastRowFirstColumn="0" w:lastRowLastColumn="0"/>
            </w:pPr>
            <w:r>
              <w:t>2022</w:t>
            </w:r>
            <w:r>
              <w:noBreakHyphen/>
              <w:t>23</w:t>
            </w:r>
            <w:r w:rsidR="00F70B1C">
              <w:rPr>
                <w:i w:val="0"/>
              </w:rPr>
              <w:br/>
            </w:r>
            <w:r>
              <w:t>revised</w:t>
            </w:r>
          </w:p>
        </w:tc>
        <w:tc>
          <w:tcPr>
            <w:tcW w:w="794" w:type="dxa"/>
          </w:tcPr>
          <w:p w14:paraId="20364463" w14:textId="64909977" w:rsidR="00925B88" w:rsidRDefault="00925B88" w:rsidP="00A40449">
            <w:pPr>
              <w:cnfStyle w:val="100000000000" w:firstRow="1" w:lastRow="0" w:firstColumn="0" w:lastColumn="0" w:oddVBand="0" w:evenVBand="0" w:oddHBand="0" w:evenHBand="0" w:firstRowFirstColumn="0" w:firstRowLastColumn="0" w:lastRowFirstColumn="0" w:lastRowLastColumn="0"/>
            </w:pPr>
            <w:r>
              <w:t>2023</w:t>
            </w:r>
            <w:r>
              <w:noBreakHyphen/>
              <w:t>24</w:t>
            </w:r>
            <w:r w:rsidR="00F70B1C">
              <w:rPr>
                <w:i w:val="0"/>
              </w:rPr>
              <w:br/>
            </w:r>
            <w:r>
              <w:t>estimate</w:t>
            </w:r>
          </w:p>
        </w:tc>
        <w:tc>
          <w:tcPr>
            <w:tcW w:w="794" w:type="dxa"/>
          </w:tcPr>
          <w:p w14:paraId="5CEA53EB" w14:textId="618C6E1F" w:rsidR="00925B88" w:rsidRDefault="00925B88" w:rsidP="00475D29">
            <w:pPr>
              <w:cnfStyle w:val="100000000000" w:firstRow="1" w:lastRow="0" w:firstColumn="0" w:lastColumn="0" w:oddVBand="0" w:evenVBand="0" w:oddHBand="0" w:evenHBand="0" w:firstRowFirstColumn="0" w:firstRowLastColumn="0" w:lastRowFirstColumn="0" w:lastRowLastColumn="0"/>
            </w:pPr>
            <w:r>
              <w:t>2024</w:t>
            </w:r>
            <w:r>
              <w:noBreakHyphen/>
              <w:t>25</w:t>
            </w:r>
            <w:r w:rsidR="00F70B1C">
              <w:rPr>
                <w:i w:val="0"/>
              </w:rPr>
              <w:br/>
            </w:r>
            <w:r>
              <w:t>estimate</w:t>
            </w:r>
          </w:p>
        </w:tc>
        <w:tc>
          <w:tcPr>
            <w:tcW w:w="794" w:type="dxa"/>
          </w:tcPr>
          <w:p w14:paraId="24A242ED" w14:textId="633F0FC4" w:rsidR="00925B88" w:rsidRDefault="00925B88" w:rsidP="000953A3">
            <w:pPr>
              <w:cnfStyle w:val="100000000000" w:firstRow="1" w:lastRow="0" w:firstColumn="0" w:lastColumn="0" w:oddVBand="0" w:evenVBand="0" w:oddHBand="0" w:evenHBand="0" w:firstRowFirstColumn="0" w:firstRowLastColumn="0" w:lastRowFirstColumn="0" w:lastRowLastColumn="0"/>
            </w:pPr>
            <w:r>
              <w:t>2025</w:t>
            </w:r>
            <w:r>
              <w:noBreakHyphen/>
              <w:t>26</w:t>
            </w:r>
            <w:r w:rsidR="00F70B1C">
              <w:rPr>
                <w:i w:val="0"/>
              </w:rPr>
              <w:br/>
            </w:r>
            <w:r>
              <w:t>estimate</w:t>
            </w:r>
          </w:p>
        </w:tc>
      </w:tr>
      <w:tr w:rsidR="00C424E5" w14:paraId="79FB9169" w14:textId="77777777">
        <w:tc>
          <w:tcPr>
            <w:cnfStyle w:val="001000000000" w:firstRow="0" w:lastRow="0" w:firstColumn="1" w:lastColumn="0" w:oddVBand="0" w:evenVBand="0" w:oddHBand="0" w:evenHBand="0" w:firstRowFirstColumn="0" w:firstRowLastColumn="0" w:lastRowFirstColumn="0" w:lastRowLastColumn="0"/>
            <w:tcW w:w="3740" w:type="dxa"/>
          </w:tcPr>
          <w:p w14:paraId="5257092C" w14:textId="77777777" w:rsidR="00C424E5" w:rsidRDefault="00C424E5">
            <w:r>
              <w:rPr>
                <w:b/>
              </w:rPr>
              <w:t>Amounts recognised as revenue from contracts with customers (AASB 15)</w:t>
            </w:r>
          </w:p>
        </w:tc>
        <w:tc>
          <w:tcPr>
            <w:tcW w:w="794" w:type="dxa"/>
          </w:tcPr>
          <w:p w14:paraId="7007BFD0"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74567ECD"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354B8292"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2CDCFDDF"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35041DE4"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5DDA5796" w14:textId="77777777">
        <w:tc>
          <w:tcPr>
            <w:cnfStyle w:val="001000000000" w:firstRow="0" w:lastRow="0" w:firstColumn="1" w:lastColumn="0" w:oddVBand="0" w:evenVBand="0" w:oddHBand="0" w:evenHBand="0" w:firstRowFirstColumn="0" w:firstRowLastColumn="0" w:lastRowFirstColumn="0" w:lastRowLastColumn="0"/>
            <w:tcW w:w="3740" w:type="dxa"/>
          </w:tcPr>
          <w:p w14:paraId="43066454" w14:textId="77777777" w:rsidR="00C424E5" w:rsidRDefault="00C424E5">
            <w:r>
              <w:t>Sale of goods</w:t>
            </w:r>
          </w:p>
        </w:tc>
        <w:tc>
          <w:tcPr>
            <w:tcW w:w="794" w:type="dxa"/>
          </w:tcPr>
          <w:p w14:paraId="6743B5AB" w14:textId="77777777" w:rsidR="00C424E5" w:rsidRDefault="00C424E5">
            <w:pPr>
              <w:cnfStyle w:val="000000000000" w:firstRow="0" w:lastRow="0" w:firstColumn="0" w:lastColumn="0" w:oddVBand="0" w:evenVBand="0" w:oddHBand="0" w:evenHBand="0" w:firstRowFirstColumn="0" w:firstRowLastColumn="0" w:lastRowFirstColumn="0" w:lastRowLastColumn="0"/>
            </w:pPr>
            <w:r>
              <w:t>90</w:t>
            </w:r>
          </w:p>
        </w:tc>
        <w:tc>
          <w:tcPr>
            <w:tcW w:w="794" w:type="dxa"/>
          </w:tcPr>
          <w:p w14:paraId="2B9D4214" w14:textId="77777777" w:rsidR="00C424E5" w:rsidRDefault="00C424E5">
            <w:pPr>
              <w:cnfStyle w:val="000000000000" w:firstRow="0" w:lastRow="0" w:firstColumn="0" w:lastColumn="0" w:oddVBand="0" w:evenVBand="0" w:oddHBand="0" w:evenHBand="0" w:firstRowFirstColumn="0" w:firstRowLastColumn="0" w:lastRowFirstColumn="0" w:lastRowLastColumn="0"/>
            </w:pPr>
            <w:r>
              <w:t>91</w:t>
            </w:r>
          </w:p>
        </w:tc>
        <w:tc>
          <w:tcPr>
            <w:tcW w:w="794" w:type="dxa"/>
          </w:tcPr>
          <w:p w14:paraId="4AFCD4C1" w14:textId="77777777" w:rsidR="00C424E5" w:rsidRDefault="00C424E5">
            <w:pPr>
              <w:cnfStyle w:val="000000000000" w:firstRow="0" w:lastRow="0" w:firstColumn="0" w:lastColumn="0" w:oddVBand="0" w:evenVBand="0" w:oddHBand="0" w:evenHBand="0" w:firstRowFirstColumn="0" w:firstRowLastColumn="0" w:lastRowFirstColumn="0" w:lastRowLastColumn="0"/>
            </w:pPr>
            <w:r>
              <w:t>92</w:t>
            </w:r>
          </w:p>
        </w:tc>
        <w:tc>
          <w:tcPr>
            <w:tcW w:w="794" w:type="dxa"/>
          </w:tcPr>
          <w:p w14:paraId="607AC1A2" w14:textId="77777777" w:rsidR="00C424E5" w:rsidRDefault="00C424E5">
            <w:pPr>
              <w:cnfStyle w:val="000000000000" w:firstRow="0" w:lastRow="0" w:firstColumn="0" w:lastColumn="0" w:oddVBand="0" w:evenVBand="0" w:oddHBand="0" w:evenHBand="0" w:firstRowFirstColumn="0" w:firstRowLastColumn="0" w:lastRowFirstColumn="0" w:lastRowLastColumn="0"/>
            </w:pPr>
            <w:r>
              <w:t>94</w:t>
            </w:r>
          </w:p>
        </w:tc>
        <w:tc>
          <w:tcPr>
            <w:tcW w:w="794" w:type="dxa"/>
          </w:tcPr>
          <w:p w14:paraId="606355AA" w14:textId="77777777" w:rsidR="00C424E5" w:rsidRDefault="00C424E5">
            <w:pPr>
              <w:cnfStyle w:val="000000000000" w:firstRow="0" w:lastRow="0" w:firstColumn="0" w:lastColumn="0" w:oddVBand="0" w:evenVBand="0" w:oddHBand="0" w:evenHBand="0" w:firstRowFirstColumn="0" w:firstRowLastColumn="0" w:lastRowFirstColumn="0" w:lastRowLastColumn="0"/>
            </w:pPr>
            <w:r>
              <w:t>93</w:t>
            </w:r>
          </w:p>
        </w:tc>
      </w:tr>
      <w:tr w:rsidR="00C424E5" w14:paraId="1E2A280C" w14:textId="77777777">
        <w:tc>
          <w:tcPr>
            <w:cnfStyle w:val="001000000000" w:firstRow="0" w:lastRow="0" w:firstColumn="1" w:lastColumn="0" w:oddVBand="0" w:evenVBand="0" w:oddHBand="0" w:evenHBand="0" w:firstRowFirstColumn="0" w:firstRowLastColumn="0" w:lastRowFirstColumn="0" w:lastRowLastColumn="0"/>
            <w:tcW w:w="3740" w:type="dxa"/>
          </w:tcPr>
          <w:p w14:paraId="1C5F06DC" w14:textId="77777777" w:rsidR="00C424E5" w:rsidRDefault="00C424E5">
            <w:r>
              <w:t>Provision of services</w:t>
            </w:r>
          </w:p>
        </w:tc>
        <w:tc>
          <w:tcPr>
            <w:tcW w:w="794" w:type="dxa"/>
          </w:tcPr>
          <w:p w14:paraId="0496F8F2" w14:textId="77777777" w:rsidR="00C424E5" w:rsidRDefault="00C424E5">
            <w:pPr>
              <w:cnfStyle w:val="000000000000" w:firstRow="0" w:lastRow="0" w:firstColumn="0" w:lastColumn="0" w:oddVBand="0" w:evenVBand="0" w:oddHBand="0" w:evenHBand="0" w:firstRowFirstColumn="0" w:firstRowLastColumn="0" w:lastRowFirstColumn="0" w:lastRowLastColumn="0"/>
            </w:pPr>
            <w:r>
              <w:t>5 230</w:t>
            </w:r>
          </w:p>
        </w:tc>
        <w:tc>
          <w:tcPr>
            <w:tcW w:w="794" w:type="dxa"/>
          </w:tcPr>
          <w:p w14:paraId="2ED91948" w14:textId="77777777" w:rsidR="00C424E5" w:rsidRDefault="00C424E5">
            <w:pPr>
              <w:cnfStyle w:val="000000000000" w:firstRow="0" w:lastRow="0" w:firstColumn="0" w:lastColumn="0" w:oddVBand="0" w:evenVBand="0" w:oddHBand="0" w:evenHBand="0" w:firstRowFirstColumn="0" w:firstRowLastColumn="0" w:lastRowFirstColumn="0" w:lastRowLastColumn="0"/>
            </w:pPr>
            <w:r>
              <w:t>5 052</w:t>
            </w:r>
          </w:p>
        </w:tc>
        <w:tc>
          <w:tcPr>
            <w:tcW w:w="794" w:type="dxa"/>
          </w:tcPr>
          <w:p w14:paraId="59ABAFED" w14:textId="77777777" w:rsidR="00C424E5" w:rsidRDefault="00C424E5">
            <w:pPr>
              <w:cnfStyle w:val="000000000000" w:firstRow="0" w:lastRow="0" w:firstColumn="0" w:lastColumn="0" w:oddVBand="0" w:evenVBand="0" w:oddHBand="0" w:evenHBand="0" w:firstRowFirstColumn="0" w:firstRowLastColumn="0" w:lastRowFirstColumn="0" w:lastRowLastColumn="0"/>
            </w:pPr>
            <w:r>
              <w:t>5 054</w:t>
            </w:r>
          </w:p>
        </w:tc>
        <w:tc>
          <w:tcPr>
            <w:tcW w:w="794" w:type="dxa"/>
          </w:tcPr>
          <w:p w14:paraId="2A890FF5" w14:textId="77777777" w:rsidR="00C424E5" w:rsidRDefault="00C424E5">
            <w:pPr>
              <w:cnfStyle w:val="000000000000" w:firstRow="0" w:lastRow="0" w:firstColumn="0" w:lastColumn="0" w:oddVBand="0" w:evenVBand="0" w:oddHBand="0" w:evenHBand="0" w:firstRowFirstColumn="0" w:firstRowLastColumn="0" w:lastRowFirstColumn="0" w:lastRowLastColumn="0"/>
            </w:pPr>
            <w:r>
              <w:t>5 344</w:t>
            </w:r>
          </w:p>
        </w:tc>
        <w:tc>
          <w:tcPr>
            <w:tcW w:w="794" w:type="dxa"/>
          </w:tcPr>
          <w:p w14:paraId="67360351" w14:textId="77777777" w:rsidR="00C424E5" w:rsidRDefault="00C424E5">
            <w:pPr>
              <w:cnfStyle w:val="000000000000" w:firstRow="0" w:lastRow="0" w:firstColumn="0" w:lastColumn="0" w:oddVBand="0" w:evenVBand="0" w:oddHBand="0" w:evenHBand="0" w:firstRowFirstColumn="0" w:firstRowLastColumn="0" w:lastRowFirstColumn="0" w:lastRowLastColumn="0"/>
            </w:pPr>
            <w:r>
              <w:t>5 373</w:t>
            </w:r>
          </w:p>
        </w:tc>
      </w:tr>
      <w:tr w:rsidR="00C424E5" w14:paraId="3DCF26AF" w14:textId="77777777">
        <w:tc>
          <w:tcPr>
            <w:cnfStyle w:val="001000000000" w:firstRow="0" w:lastRow="0" w:firstColumn="1" w:lastColumn="0" w:oddVBand="0" w:evenVBand="0" w:oddHBand="0" w:evenHBand="0" w:firstRowFirstColumn="0" w:firstRowLastColumn="0" w:lastRowFirstColumn="0" w:lastRowLastColumn="0"/>
            <w:tcW w:w="3740" w:type="dxa"/>
          </w:tcPr>
          <w:p w14:paraId="524F243B" w14:textId="77777777" w:rsidR="00C424E5" w:rsidRDefault="00C424E5">
            <w:r>
              <w:rPr>
                <w:b/>
              </w:rPr>
              <w:t>Amounts recognised as income of not</w:t>
            </w:r>
            <w:r>
              <w:rPr>
                <w:b/>
              </w:rPr>
              <w:noBreakHyphen/>
              <w:t>for</w:t>
            </w:r>
            <w:r>
              <w:rPr>
                <w:b/>
              </w:rPr>
              <w:noBreakHyphen/>
              <w:t>profit entities (AASB 1058)</w:t>
            </w:r>
          </w:p>
        </w:tc>
        <w:tc>
          <w:tcPr>
            <w:tcW w:w="794" w:type="dxa"/>
          </w:tcPr>
          <w:p w14:paraId="412DDD66"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17937676"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0F344FA2"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64DFA742"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73206BA9"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0B502430" w14:textId="77777777">
        <w:tc>
          <w:tcPr>
            <w:cnfStyle w:val="001000000000" w:firstRow="0" w:lastRow="0" w:firstColumn="1" w:lastColumn="0" w:oddVBand="0" w:evenVBand="0" w:oddHBand="0" w:evenHBand="0" w:firstRowFirstColumn="0" w:firstRowLastColumn="0" w:lastRowFirstColumn="0" w:lastRowLastColumn="0"/>
            <w:tcW w:w="3740" w:type="dxa"/>
          </w:tcPr>
          <w:p w14:paraId="4F0BDDD1" w14:textId="77777777" w:rsidR="00C424E5" w:rsidRDefault="00C424E5">
            <w:r>
              <w:t>Motor vehicle regulatory fees</w:t>
            </w:r>
          </w:p>
        </w:tc>
        <w:tc>
          <w:tcPr>
            <w:tcW w:w="794" w:type="dxa"/>
          </w:tcPr>
          <w:p w14:paraId="15497764" w14:textId="77777777" w:rsidR="00C424E5" w:rsidRDefault="00C424E5">
            <w:pPr>
              <w:cnfStyle w:val="000000000000" w:firstRow="0" w:lastRow="0" w:firstColumn="0" w:lastColumn="0" w:oddVBand="0" w:evenVBand="0" w:oddHBand="0" w:evenHBand="0" w:firstRowFirstColumn="0" w:firstRowLastColumn="0" w:lastRowFirstColumn="0" w:lastRowLastColumn="0"/>
            </w:pPr>
            <w:r>
              <w:t>296</w:t>
            </w:r>
          </w:p>
        </w:tc>
        <w:tc>
          <w:tcPr>
            <w:tcW w:w="794" w:type="dxa"/>
          </w:tcPr>
          <w:p w14:paraId="3E75F059" w14:textId="77777777" w:rsidR="00C424E5" w:rsidRDefault="00C424E5">
            <w:pPr>
              <w:cnfStyle w:val="000000000000" w:firstRow="0" w:lastRow="0" w:firstColumn="0" w:lastColumn="0" w:oddVBand="0" w:evenVBand="0" w:oddHBand="0" w:evenHBand="0" w:firstRowFirstColumn="0" w:firstRowLastColumn="0" w:lastRowFirstColumn="0" w:lastRowLastColumn="0"/>
            </w:pPr>
            <w:r>
              <w:t>190</w:t>
            </w:r>
          </w:p>
        </w:tc>
        <w:tc>
          <w:tcPr>
            <w:tcW w:w="794" w:type="dxa"/>
          </w:tcPr>
          <w:p w14:paraId="4D9268F0" w14:textId="77777777" w:rsidR="00C424E5" w:rsidRDefault="00C424E5">
            <w:pPr>
              <w:cnfStyle w:val="000000000000" w:firstRow="0" w:lastRow="0" w:firstColumn="0" w:lastColumn="0" w:oddVBand="0" w:evenVBand="0" w:oddHBand="0" w:evenHBand="0" w:firstRowFirstColumn="0" w:firstRowLastColumn="0" w:lastRowFirstColumn="0" w:lastRowLastColumn="0"/>
            </w:pPr>
            <w:r>
              <w:t>233</w:t>
            </w:r>
          </w:p>
        </w:tc>
        <w:tc>
          <w:tcPr>
            <w:tcW w:w="794" w:type="dxa"/>
          </w:tcPr>
          <w:p w14:paraId="04D09A87" w14:textId="77777777" w:rsidR="00C424E5" w:rsidRDefault="00C424E5">
            <w:pPr>
              <w:cnfStyle w:val="000000000000" w:firstRow="0" w:lastRow="0" w:firstColumn="0" w:lastColumn="0" w:oddVBand="0" w:evenVBand="0" w:oddHBand="0" w:evenHBand="0" w:firstRowFirstColumn="0" w:firstRowLastColumn="0" w:lastRowFirstColumn="0" w:lastRowLastColumn="0"/>
            </w:pPr>
            <w:r>
              <w:t>236</w:t>
            </w:r>
          </w:p>
        </w:tc>
        <w:tc>
          <w:tcPr>
            <w:tcW w:w="794" w:type="dxa"/>
          </w:tcPr>
          <w:p w14:paraId="51C4F0A1" w14:textId="77777777" w:rsidR="00C424E5" w:rsidRDefault="00C424E5">
            <w:pPr>
              <w:cnfStyle w:val="000000000000" w:firstRow="0" w:lastRow="0" w:firstColumn="0" w:lastColumn="0" w:oddVBand="0" w:evenVBand="0" w:oddHBand="0" w:evenHBand="0" w:firstRowFirstColumn="0" w:firstRowLastColumn="0" w:lastRowFirstColumn="0" w:lastRowLastColumn="0"/>
            </w:pPr>
            <w:r>
              <w:t>230</w:t>
            </w:r>
          </w:p>
        </w:tc>
      </w:tr>
      <w:tr w:rsidR="00C424E5" w14:paraId="05D4987F" w14:textId="77777777">
        <w:tc>
          <w:tcPr>
            <w:cnfStyle w:val="001000000000" w:firstRow="0" w:lastRow="0" w:firstColumn="1" w:lastColumn="0" w:oddVBand="0" w:evenVBand="0" w:oddHBand="0" w:evenHBand="0" w:firstRowFirstColumn="0" w:firstRowLastColumn="0" w:lastRowFirstColumn="0" w:lastRowLastColumn="0"/>
            <w:tcW w:w="3740" w:type="dxa"/>
          </w:tcPr>
          <w:p w14:paraId="1C88F4CB" w14:textId="77777777" w:rsidR="00C424E5" w:rsidRDefault="00C424E5">
            <w:r>
              <w:t>Other regulatory fees</w:t>
            </w:r>
          </w:p>
        </w:tc>
        <w:tc>
          <w:tcPr>
            <w:tcW w:w="794" w:type="dxa"/>
          </w:tcPr>
          <w:p w14:paraId="4D23E1CB" w14:textId="77777777" w:rsidR="00C424E5" w:rsidRDefault="00C424E5">
            <w:pPr>
              <w:cnfStyle w:val="000000000000" w:firstRow="0" w:lastRow="0" w:firstColumn="0" w:lastColumn="0" w:oddVBand="0" w:evenVBand="0" w:oddHBand="0" w:evenHBand="0" w:firstRowFirstColumn="0" w:firstRowLastColumn="0" w:lastRowFirstColumn="0" w:lastRowLastColumn="0"/>
            </w:pPr>
            <w:r>
              <w:t>653</w:t>
            </w:r>
          </w:p>
        </w:tc>
        <w:tc>
          <w:tcPr>
            <w:tcW w:w="794" w:type="dxa"/>
          </w:tcPr>
          <w:p w14:paraId="7499FE9C" w14:textId="77777777" w:rsidR="00C424E5" w:rsidRDefault="00C424E5">
            <w:pPr>
              <w:cnfStyle w:val="000000000000" w:firstRow="0" w:lastRow="0" w:firstColumn="0" w:lastColumn="0" w:oddVBand="0" w:evenVBand="0" w:oddHBand="0" w:evenHBand="0" w:firstRowFirstColumn="0" w:firstRowLastColumn="0" w:lastRowFirstColumn="0" w:lastRowLastColumn="0"/>
            </w:pPr>
            <w:r>
              <w:t>639</w:t>
            </w:r>
          </w:p>
        </w:tc>
        <w:tc>
          <w:tcPr>
            <w:tcW w:w="794" w:type="dxa"/>
          </w:tcPr>
          <w:p w14:paraId="52C9AD04" w14:textId="77777777" w:rsidR="00C424E5" w:rsidRDefault="00C424E5">
            <w:pPr>
              <w:cnfStyle w:val="000000000000" w:firstRow="0" w:lastRow="0" w:firstColumn="0" w:lastColumn="0" w:oddVBand="0" w:evenVBand="0" w:oddHBand="0" w:evenHBand="0" w:firstRowFirstColumn="0" w:firstRowLastColumn="0" w:lastRowFirstColumn="0" w:lastRowLastColumn="0"/>
            </w:pPr>
            <w:r>
              <w:t>764</w:t>
            </w:r>
          </w:p>
        </w:tc>
        <w:tc>
          <w:tcPr>
            <w:tcW w:w="794" w:type="dxa"/>
          </w:tcPr>
          <w:p w14:paraId="1DFF6685" w14:textId="77777777" w:rsidR="00C424E5" w:rsidRDefault="00C424E5">
            <w:pPr>
              <w:cnfStyle w:val="000000000000" w:firstRow="0" w:lastRow="0" w:firstColumn="0" w:lastColumn="0" w:oddVBand="0" w:evenVBand="0" w:oddHBand="0" w:evenHBand="0" w:firstRowFirstColumn="0" w:firstRowLastColumn="0" w:lastRowFirstColumn="0" w:lastRowLastColumn="0"/>
            </w:pPr>
            <w:r>
              <w:t>763</w:t>
            </w:r>
          </w:p>
        </w:tc>
        <w:tc>
          <w:tcPr>
            <w:tcW w:w="794" w:type="dxa"/>
          </w:tcPr>
          <w:p w14:paraId="6A0CBDA7" w14:textId="77777777" w:rsidR="00C424E5" w:rsidRDefault="00C424E5">
            <w:pPr>
              <w:cnfStyle w:val="000000000000" w:firstRow="0" w:lastRow="0" w:firstColumn="0" w:lastColumn="0" w:oddVBand="0" w:evenVBand="0" w:oddHBand="0" w:evenHBand="0" w:firstRowFirstColumn="0" w:firstRowLastColumn="0" w:lastRowFirstColumn="0" w:lastRowLastColumn="0"/>
            </w:pPr>
            <w:r>
              <w:t>706</w:t>
            </w:r>
          </w:p>
        </w:tc>
      </w:tr>
      <w:tr w:rsidR="00C424E5" w14:paraId="23C6E7E1" w14:textId="77777777">
        <w:tc>
          <w:tcPr>
            <w:cnfStyle w:val="001000000000" w:firstRow="0" w:lastRow="0" w:firstColumn="1" w:lastColumn="0" w:oddVBand="0" w:evenVBand="0" w:oddHBand="0" w:evenHBand="0" w:firstRowFirstColumn="0" w:firstRowLastColumn="0" w:lastRowFirstColumn="0" w:lastRowLastColumn="0"/>
            <w:tcW w:w="3740" w:type="dxa"/>
          </w:tcPr>
          <w:p w14:paraId="47EAF808" w14:textId="77777777" w:rsidR="00C424E5" w:rsidRDefault="00C424E5">
            <w:r>
              <w:rPr>
                <w:b/>
              </w:rPr>
              <w:t>Amounts recognised as lease income (AASB 16)</w:t>
            </w:r>
          </w:p>
        </w:tc>
        <w:tc>
          <w:tcPr>
            <w:tcW w:w="794" w:type="dxa"/>
          </w:tcPr>
          <w:p w14:paraId="1C3A3814"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008623B2"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351421A1"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605AFFA5"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1E0E4056"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1E88420B"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20BA64E7" w14:textId="77777777" w:rsidR="00C424E5" w:rsidRDefault="00C424E5">
            <w:r>
              <w:t>Rental</w:t>
            </w:r>
          </w:p>
        </w:tc>
        <w:tc>
          <w:tcPr>
            <w:tcW w:w="794" w:type="dxa"/>
            <w:tcBorders>
              <w:bottom w:val="single" w:sz="6" w:space="0" w:color="auto"/>
            </w:tcBorders>
          </w:tcPr>
          <w:p w14:paraId="29BDB44E" w14:textId="77777777" w:rsidR="00C424E5" w:rsidRDefault="00C424E5">
            <w:pPr>
              <w:cnfStyle w:val="000000000000" w:firstRow="0" w:lastRow="0" w:firstColumn="0" w:lastColumn="0" w:oddVBand="0" w:evenVBand="0" w:oddHBand="0" w:evenHBand="0" w:firstRowFirstColumn="0" w:firstRowLastColumn="0" w:lastRowFirstColumn="0" w:lastRowLastColumn="0"/>
            </w:pPr>
            <w:r>
              <w:t>96</w:t>
            </w:r>
          </w:p>
        </w:tc>
        <w:tc>
          <w:tcPr>
            <w:tcW w:w="794" w:type="dxa"/>
            <w:tcBorders>
              <w:bottom w:val="single" w:sz="6" w:space="0" w:color="auto"/>
            </w:tcBorders>
          </w:tcPr>
          <w:p w14:paraId="6DBAEBA0" w14:textId="77777777" w:rsidR="00C424E5" w:rsidRDefault="00C424E5">
            <w:pPr>
              <w:cnfStyle w:val="000000000000" w:firstRow="0" w:lastRow="0" w:firstColumn="0" w:lastColumn="0" w:oddVBand="0" w:evenVBand="0" w:oddHBand="0" w:evenHBand="0" w:firstRowFirstColumn="0" w:firstRowLastColumn="0" w:lastRowFirstColumn="0" w:lastRowLastColumn="0"/>
            </w:pPr>
            <w:r>
              <w:t>94</w:t>
            </w:r>
          </w:p>
        </w:tc>
        <w:tc>
          <w:tcPr>
            <w:tcW w:w="794" w:type="dxa"/>
            <w:tcBorders>
              <w:bottom w:val="single" w:sz="6" w:space="0" w:color="auto"/>
            </w:tcBorders>
          </w:tcPr>
          <w:p w14:paraId="36EE4A6B" w14:textId="77777777" w:rsidR="00C424E5" w:rsidRDefault="00C424E5">
            <w:pPr>
              <w:cnfStyle w:val="000000000000" w:firstRow="0" w:lastRow="0" w:firstColumn="0" w:lastColumn="0" w:oddVBand="0" w:evenVBand="0" w:oddHBand="0" w:evenHBand="0" w:firstRowFirstColumn="0" w:firstRowLastColumn="0" w:lastRowFirstColumn="0" w:lastRowLastColumn="0"/>
            </w:pPr>
            <w:r>
              <w:t>95</w:t>
            </w:r>
          </w:p>
        </w:tc>
        <w:tc>
          <w:tcPr>
            <w:tcW w:w="794" w:type="dxa"/>
            <w:tcBorders>
              <w:bottom w:val="single" w:sz="6" w:space="0" w:color="auto"/>
            </w:tcBorders>
          </w:tcPr>
          <w:p w14:paraId="6EA9B6EC" w14:textId="77777777" w:rsidR="00C424E5" w:rsidRDefault="00C424E5">
            <w:pPr>
              <w:cnfStyle w:val="000000000000" w:firstRow="0" w:lastRow="0" w:firstColumn="0" w:lastColumn="0" w:oddVBand="0" w:evenVBand="0" w:oddHBand="0" w:evenHBand="0" w:firstRowFirstColumn="0" w:firstRowLastColumn="0" w:lastRowFirstColumn="0" w:lastRowLastColumn="0"/>
            </w:pPr>
            <w:r>
              <w:t>98</w:t>
            </w:r>
          </w:p>
        </w:tc>
        <w:tc>
          <w:tcPr>
            <w:tcW w:w="794" w:type="dxa"/>
            <w:tcBorders>
              <w:bottom w:val="single" w:sz="6" w:space="0" w:color="auto"/>
            </w:tcBorders>
          </w:tcPr>
          <w:p w14:paraId="7FDB6395" w14:textId="77777777" w:rsidR="00C424E5" w:rsidRDefault="00C424E5">
            <w:pPr>
              <w:cnfStyle w:val="000000000000" w:firstRow="0" w:lastRow="0" w:firstColumn="0" w:lastColumn="0" w:oddVBand="0" w:evenVBand="0" w:oddHBand="0" w:evenHBand="0" w:firstRowFirstColumn="0" w:firstRowLastColumn="0" w:lastRowFirstColumn="0" w:lastRowLastColumn="0"/>
            </w:pPr>
            <w:r>
              <w:t>98</w:t>
            </w:r>
          </w:p>
        </w:tc>
      </w:tr>
      <w:tr w:rsidR="00C424E5" w14:paraId="5E9C42CE"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6C5A5DA9" w14:textId="77777777" w:rsidR="00C424E5" w:rsidRDefault="00C424E5">
            <w:r>
              <w:rPr>
                <w:b/>
              </w:rPr>
              <w:t>Total sales of goods and services</w:t>
            </w:r>
          </w:p>
        </w:tc>
        <w:tc>
          <w:tcPr>
            <w:tcW w:w="794" w:type="dxa"/>
            <w:tcBorders>
              <w:top w:val="single" w:sz="6" w:space="0" w:color="auto"/>
              <w:bottom w:val="single" w:sz="12" w:space="0" w:color="auto"/>
            </w:tcBorders>
          </w:tcPr>
          <w:p w14:paraId="61C8090A"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6 366</w:t>
            </w:r>
          </w:p>
        </w:tc>
        <w:tc>
          <w:tcPr>
            <w:tcW w:w="794" w:type="dxa"/>
            <w:tcBorders>
              <w:top w:val="single" w:sz="6" w:space="0" w:color="auto"/>
              <w:bottom w:val="single" w:sz="12" w:space="0" w:color="auto"/>
            </w:tcBorders>
          </w:tcPr>
          <w:p w14:paraId="520FAD28"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6 067</w:t>
            </w:r>
          </w:p>
        </w:tc>
        <w:tc>
          <w:tcPr>
            <w:tcW w:w="794" w:type="dxa"/>
            <w:tcBorders>
              <w:top w:val="single" w:sz="6" w:space="0" w:color="auto"/>
              <w:bottom w:val="single" w:sz="12" w:space="0" w:color="auto"/>
            </w:tcBorders>
          </w:tcPr>
          <w:p w14:paraId="3E72C048"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6 238</w:t>
            </w:r>
          </w:p>
        </w:tc>
        <w:tc>
          <w:tcPr>
            <w:tcW w:w="794" w:type="dxa"/>
            <w:tcBorders>
              <w:top w:val="single" w:sz="6" w:space="0" w:color="auto"/>
              <w:bottom w:val="single" w:sz="12" w:space="0" w:color="auto"/>
            </w:tcBorders>
          </w:tcPr>
          <w:p w14:paraId="53476172"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6 535</w:t>
            </w:r>
          </w:p>
        </w:tc>
        <w:tc>
          <w:tcPr>
            <w:tcW w:w="794" w:type="dxa"/>
            <w:tcBorders>
              <w:top w:val="single" w:sz="6" w:space="0" w:color="auto"/>
              <w:bottom w:val="single" w:sz="12" w:space="0" w:color="auto"/>
            </w:tcBorders>
          </w:tcPr>
          <w:p w14:paraId="747243B4" w14:textId="48071FDF" w:rsidR="00C424E5" w:rsidRDefault="00C424E5">
            <w:pPr>
              <w:cnfStyle w:val="000000000000" w:firstRow="0" w:lastRow="0" w:firstColumn="0" w:lastColumn="0" w:oddVBand="0" w:evenVBand="0" w:oddHBand="0" w:evenHBand="0" w:firstRowFirstColumn="0" w:firstRowLastColumn="0" w:lastRowFirstColumn="0" w:lastRowLastColumn="0"/>
            </w:pPr>
            <w:r>
              <w:rPr>
                <w:b/>
              </w:rPr>
              <w:t>6 500</w:t>
            </w:r>
          </w:p>
        </w:tc>
      </w:tr>
    </w:tbl>
    <w:p w14:paraId="2BBBC0C3" w14:textId="77777777" w:rsidR="00C424E5" w:rsidRPr="00846F56" w:rsidRDefault="00C424E5" w:rsidP="006206EF"/>
    <w:p w14:paraId="5CDED034" w14:textId="77777777" w:rsidR="00C424E5" w:rsidRDefault="00C424E5" w:rsidP="006206EF">
      <w:pPr>
        <w:pStyle w:val="Heading3"/>
        <w:spacing w:after="60"/>
        <w:rPr>
          <w:sz w:val="20"/>
          <w:szCs w:val="20"/>
        </w:rPr>
      </w:pPr>
      <w:bookmarkStart w:id="56" w:name="_Toc85010023"/>
      <w:bookmarkStart w:id="57" w:name="_Toc117172219"/>
      <w:r w:rsidRPr="00846F56">
        <w:rPr>
          <w:sz w:val="20"/>
          <w:szCs w:val="20"/>
        </w:rPr>
        <w:t xml:space="preserve">Grants </w:t>
      </w:r>
      <w:r w:rsidRPr="00846F56">
        <w:rPr>
          <w:sz w:val="20"/>
          <w:szCs w:val="20"/>
          <w:vertAlign w:val="superscript"/>
        </w:rPr>
        <w:t>(a)</w:t>
      </w:r>
      <w:r w:rsidRPr="00846F56">
        <w:rPr>
          <w:sz w:val="20"/>
          <w:szCs w:val="20"/>
        </w:rPr>
        <w:tab/>
        <w:t>($ million)</w:t>
      </w:r>
      <w:bookmarkEnd w:id="56"/>
      <w:bookmarkEnd w:id="57"/>
    </w:p>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925B88" w14:paraId="4335DD38" w14:textId="77777777" w:rsidTr="00A836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6AE65326" w14:textId="781243CD" w:rsidR="00925B88" w:rsidRDefault="00925B88"/>
        </w:tc>
        <w:tc>
          <w:tcPr>
            <w:tcW w:w="794" w:type="dxa"/>
          </w:tcPr>
          <w:p w14:paraId="2110C71A" w14:textId="6C28945E" w:rsidR="00925B88" w:rsidRDefault="00925B88" w:rsidP="003A5B1A">
            <w:pPr>
              <w:cnfStyle w:val="100000000000" w:firstRow="1" w:lastRow="0" w:firstColumn="0" w:lastColumn="0" w:oddVBand="0" w:evenVBand="0" w:oddHBand="0" w:evenHBand="0" w:firstRowFirstColumn="0" w:firstRowLastColumn="0" w:lastRowFirstColumn="0" w:lastRowLastColumn="0"/>
            </w:pPr>
            <w:r>
              <w:t>2022</w:t>
            </w:r>
            <w:r>
              <w:noBreakHyphen/>
              <w:t>23</w:t>
            </w:r>
            <w:r w:rsidR="00F70B1C">
              <w:rPr>
                <w:i w:val="0"/>
              </w:rPr>
              <w:br/>
            </w:r>
            <w:r>
              <w:t>budget</w:t>
            </w:r>
          </w:p>
        </w:tc>
        <w:tc>
          <w:tcPr>
            <w:tcW w:w="794" w:type="dxa"/>
          </w:tcPr>
          <w:p w14:paraId="1BB2F24F" w14:textId="464A00F6" w:rsidR="00925B88" w:rsidRDefault="00925B88" w:rsidP="0074680C">
            <w:pPr>
              <w:cnfStyle w:val="100000000000" w:firstRow="1" w:lastRow="0" w:firstColumn="0" w:lastColumn="0" w:oddVBand="0" w:evenVBand="0" w:oddHBand="0" w:evenHBand="0" w:firstRowFirstColumn="0" w:firstRowLastColumn="0" w:lastRowFirstColumn="0" w:lastRowLastColumn="0"/>
            </w:pPr>
            <w:r>
              <w:t>2022</w:t>
            </w:r>
            <w:r>
              <w:noBreakHyphen/>
              <w:t>23</w:t>
            </w:r>
            <w:r w:rsidR="00F70B1C">
              <w:rPr>
                <w:i w:val="0"/>
              </w:rPr>
              <w:br/>
            </w:r>
            <w:r>
              <w:t>revised</w:t>
            </w:r>
          </w:p>
        </w:tc>
        <w:tc>
          <w:tcPr>
            <w:tcW w:w="794" w:type="dxa"/>
          </w:tcPr>
          <w:p w14:paraId="3B068D94" w14:textId="2D1DD84F" w:rsidR="00925B88" w:rsidRDefault="00925B88" w:rsidP="00FD4B26">
            <w:pPr>
              <w:cnfStyle w:val="100000000000" w:firstRow="1" w:lastRow="0" w:firstColumn="0" w:lastColumn="0" w:oddVBand="0" w:evenVBand="0" w:oddHBand="0" w:evenHBand="0" w:firstRowFirstColumn="0" w:firstRowLastColumn="0" w:lastRowFirstColumn="0" w:lastRowLastColumn="0"/>
            </w:pPr>
            <w:r>
              <w:t>2023</w:t>
            </w:r>
            <w:r>
              <w:noBreakHyphen/>
              <w:t>24</w:t>
            </w:r>
            <w:r w:rsidR="00F70B1C">
              <w:rPr>
                <w:i w:val="0"/>
              </w:rPr>
              <w:br/>
            </w:r>
            <w:r>
              <w:t>estimate</w:t>
            </w:r>
          </w:p>
        </w:tc>
        <w:tc>
          <w:tcPr>
            <w:tcW w:w="794" w:type="dxa"/>
          </w:tcPr>
          <w:p w14:paraId="0572282F" w14:textId="39904E46" w:rsidR="00925B88" w:rsidRDefault="00925B88" w:rsidP="00451863">
            <w:pPr>
              <w:cnfStyle w:val="100000000000" w:firstRow="1" w:lastRow="0" w:firstColumn="0" w:lastColumn="0" w:oddVBand="0" w:evenVBand="0" w:oddHBand="0" w:evenHBand="0" w:firstRowFirstColumn="0" w:firstRowLastColumn="0" w:lastRowFirstColumn="0" w:lastRowLastColumn="0"/>
            </w:pPr>
            <w:r>
              <w:t>2024</w:t>
            </w:r>
            <w:r>
              <w:noBreakHyphen/>
              <w:t>25</w:t>
            </w:r>
            <w:r w:rsidR="00F70B1C">
              <w:rPr>
                <w:i w:val="0"/>
              </w:rPr>
              <w:br/>
            </w:r>
            <w:r>
              <w:t>estimate</w:t>
            </w:r>
          </w:p>
        </w:tc>
        <w:tc>
          <w:tcPr>
            <w:tcW w:w="794" w:type="dxa"/>
          </w:tcPr>
          <w:p w14:paraId="077C3625" w14:textId="53B02C28" w:rsidR="00925B88" w:rsidRDefault="00925B88" w:rsidP="0059757A">
            <w:pPr>
              <w:cnfStyle w:val="100000000000" w:firstRow="1" w:lastRow="0" w:firstColumn="0" w:lastColumn="0" w:oddVBand="0" w:evenVBand="0" w:oddHBand="0" w:evenHBand="0" w:firstRowFirstColumn="0" w:firstRowLastColumn="0" w:lastRowFirstColumn="0" w:lastRowLastColumn="0"/>
            </w:pPr>
            <w:r>
              <w:t>2025</w:t>
            </w:r>
            <w:r>
              <w:noBreakHyphen/>
              <w:t>26</w:t>
            </w:r>
            <w:r w:rsidR="00F70B1C">
              <w:rPr>
                <w:i w:val="0"/>
              </w:rPr>
              <w:br/>
            </w:r>
            <w:r>
              <w:t>estimate</w:t>
            </w:r>
          </w:p>
        </w:tc>
      </w:tr>
      <w:tr w:rsidR="00C424E5" w14:paraId="448A7459" w14:textId="77777777">
        <w:tc>
          <w:tcPr>
            <w:cnfStyle w:val="001000000000" w:firstRow="0" w:lastRow="0" w:firstColumn="1" w:lastColumn="0" w:oddVBand="0" w:evenVBand="0" w:oddHBand="0" w:evenHBand="0" w:firstRowFirstColumn="0" w:firstRowLastColumn="0" w:lastRowFirstColumn="0" w:lastRowLastColumn="0"/>
            <w:tcW w:w="3740" w:type="dxa"/>
          </w:tcPr>
          <w:p w14:paraId="3DFBC1BC" w14:textId="77777777" w:rsidR="00C424E5" w:rsidRDefault="00C424E5">
            <w:r>
              <w:t>General purpose grants</w:t>
            </w:r>
          </w:p>
        </w:tc>
        <w:tc>
          <w:tcPr>
            <w:tcW w:w="794" w:type="dxa"/>
          </w:tcPr>
          <w:p w14:paraId="7E44138C" w14:textId="77777777" w:rsidR="00C424E5" w:rsidRDefault="00C424E5">
            <w:pPr>
              <w:cnfStyle w:val="000000000000" w:firstRow="0" w:lastRow="0" w:firstColumn="0" w:lastColumn="0" w:oddVBand="0" w:evenVBand="0" w:oddHBand="0" w:evenHBand="0" w:firstRowFirstColumn="0" w:firstRowLastColumn="0" w:lastRowFirstColumn="0" w:lastRowLastColumn="0"/>
            </w:pPr>
            <w:r>
              <w:t>18 721</w:t>
            </w:r>
          </w:p>
        </w:tc>
        <w:tc>
          <w:tcPr>
            <w:tcW w:w="794" w:type="dxa"/>
          </w:tcPr>
          <w:p w14:paraId="14AEE24A" w14:textId="77777777" w:rsidR="00C424E5" w:rsidRDefault="00C424E5">
            <w:pPr>
              <w:cnfStyle w:val="000000000000" w:firstRow="0" w:lastRow="0" w:firstColumn="0" w:lastColumn="0" w:oddVBand="0" w:evenVBand="0" w:oddHBand="0" w:evenHBand="0" w:firstRowFirstColumn="0" w:firstRowLastColumn="0" w:lastRowFirstColumn="0" w:lastRowLastColumn="0"/>
            </w:pPr>
            <w:r>
              <w:t>18 343</w:t>
            </w:r>
          </w:p>
        </w:tc>
        <w:tc>
          <w:tcPr>
            <w:tcW w:w="794" w:type="dxa"/>
          </w:tcPr>
          <w:p w14:paraId="142BF140" w14:textId="77777777" w:rsidR="00C424E5" w:rsidRDefault="00C424E5">
            <w:pPr>
              <w:cnfStyle w:val="000000000000" w:firstRow="0" w:lastRow="0" w:firstColumn="0" w:lastColumn="0" w:oddVBand="0" w:evenVBand="0" w:oddHBand="0" w:evenHBand="0" w:firstRowFirstColumn="0" w:firstRowLastColumn="0" w:lastRowFirstColumn="0" w:lastRowLastColumn="0"/>
            </w:pPr>
            <w:r>
              <w:t>18 791</w:t>
            </w:r>
          </w:p>
        </w:tc>
        <w:tc>
          <w:tcPr>
            <w:tcW w:w="794" w:type="dxa"/>
          </w:tcPr>
          <w:p w14:paraId="74D2D8D9" w14:textId="77777777" w:rsidR="00C424E5" w:rsidRDefault="00C424E5">
            <w:pPr>
              <w:cnfStyle w:val="000000000000" w:firstRow="0" w:lastRow="0" w:firstColumn="0" w:lastColumn="0" w:oddVBand="0" w:evenVBand="0" w:oddHBand="0" w:evenHBand="0" w:firstRowFirstColumn="0" w:firstRowLastColumn="0" w:lastRowFirstColumn="0" w:lastRowLastColumn="0"/>
            </w:pPr>
            <w:r>
              <w:t>20 551</w:t>
            </w:r>
          </w:p>
        </w:tc>
        <w:tc>
          <w:tcPr>
            <w:tcW w:w="794" w:type="dxa"/>
          </w:tcPr>
          <w:p w14:paraId="57D5EA4D" w14:textId="77777777" w:rsidR="00C424E5" w:rsidRDefault="00C424E5">
            <w:pPr>
              <w:cnfStyle w:val="000000000000" w:firstRow="0" w:lastRow="0" w:firstColumn="0" w:lastColumn="0" w:oddVBand="0" w:evenVBand="0" w:oddHBand="0" w:evenHBand="0" w:firstRowFirstColumn="0" w:firstRowLastColumn="0" w:lastRowFirstColumn="0" w:lastRowLastColumn="0"/>
            </w:pPr>
            <w:r>
              <w:t>21 672</w:t>
            </w:r>
          </w:p>
        </w:tc>
      </w:tr>
      <w:tr w:rsidR="00C424E5" w14:paraId="3D78ACB8" w14:textId="77777777">
        <w:tc>
          <w:tcPr>
            <w:cnfStyle w:val="001000000000" w:firstRow="0" w:lastRow="0" w:firstColumn="1" w:lastColumn="0" w:oddVBand="0" w:evenVBand="0" w:oddHBand="0" w:evenHBand="0" w:firstRowFirstColumn="0" w:firstRowLastColumn="0" w:lastRowFirstColumn="0" w:lastRowLastColumn="0"/>
            <w:tcW w:w="3740" w:type="dxa"/>
          </w:tcPr>
          <w:p w14:paraId="0E9E5526" w14:textId="77777777" w:rsidR="00C424E5" w:rsidRDefault="00C424E5">
            <w:r>
              <w:t>Specific purpose grants for on</w:t>
            </w:r>
            <w:r>
              <w:noBreakHyphen/>
              <w:t>passing</w:t>
            </w:r>
          </w:p>
        </w:tc>
        <w:tc>
          <w:tcPr>
            <w:tcW w:w="794" w:type="dxa"/>
          </w:tcPr>
          <w:p w14:paraId="6B354BF9" w14:textId="77777777" w:rsidR="00C424E5" w:rsidRDefault="00C424E5">
            <w:pPr>
              <w:cnfStyle w:val="000000000000" w:firstRow="0" w:lastRow="0" w:firstColumn="0" w:lastColumn="0" w:oddVBand="0" w:evenVBand="0" w:oddHBand="0" w:evenHBand="0" w:firstRowFirstColumn="0" w:firstRowLastColumn="0" w:lastRowFirstColumn="0" w:lastRowLastColumn="0"/>
            </w:pPr>
            <w:r>
              <w:t>5 171</w:t>
            </w:r>
          </w:p>
        </w:tc>
        <w:tc>
          <w:tcPr>
            <w:tcW w:w="794" w:type="dxa"/>
          </w:tcPr>
          <w:p w14:paraId="76B07FFF" w14:textId="77777777" w:rsidR="00C424E5" w:rsidRDefault="00C424E5">
            <w:pPr>
              <w:cnfStyle w:val="000000000000" w:firstRow="0" w:lastRow="0" w:firstColumn="0" w:lastColumn="0" w:oddVBand="0" w:evenVBand="0" w:oddHBand="0" w:evenHBand="0" w:firstRowFirstColumn="0" w:firstRowLastColumn="0" w:lastRowFirstColumn="0" w:lastRowLastColumn="0"/>
            </w:pPr>
            <w:r>
              <w:t>4 678</w:t>
            </w:r>
          </w:p>
        </w:tc>
        <w:tc>
          <w:tcPr>
            <w:tcW w:w="794" w:type="dxa"/>
          </w:tcPr>
          <w:p w14:paraId="6C2B533E" w14:textId="77777777" w:rsidR="00C424E5" w:rsidRDefault="00C424E5">
            <w:pPr>
              <w:cnfStyle w:val="000000000000" w:firstRow="0" w:lastRow="0" w:firstColumn="0" w:lastColumn="0" w:oddVBand="0" w:evenVBand="0" w:oddHBand="0" w:evenHBand="0" w:firstRowFirstColumn="0" w:firstRowLastColumn="0" w:lastRowFirstColumn="0" w:lastRowLastColumn="0"/>
            </w:pPr>
            <w:r>
              <w:t>5 430</w:t>
            </w:r>
          </w:p>
        </w:tc>
        <w:tc>
          <w:tcPr>
            <w:tcW w:w="794" w:type="dxa"/>
          </w:tcPr>
          <w:p w14:paraId="55256A3B" w14:textId="77777777" w:rsidR="00C424E5" w:rsidRDefault="00C424E5">
            <w:pPr>
              <w:cnfStyle w:val="000000000000" w:firstRow="0" w:lastRow="0" w:firstColumn="0" w:lastColumn="0" w:oddVBand="0" w:evenVBand="0" w:oddHBand="0" w:evenHBand="0" w:firstRowFirstColumn="0" w:firstRowLastColumn="0" w:lastRowFirstColumn="0" w:lastRowLastColumn="0"/>
            </w:pPr>
            <w:r>
              <w:t>5 628</w:t>
            </w:r>
          </w:p>
        </w:tc>
        <w:tc>
          <w:tcPr>
            <w:tcW w:w="794" w:type="dxa"/>
          </w:tcPr>
          <w:p w14:paraId="17694B41" w14:textId="77777777" w:rsidR="00C424E5" w:rsidRDefault="00C424E5">
            <w:pPr>
              <w:cnfStyle w:val="000000000000" w:firstRow="0" w:lastRow="0" w:firstColumn="0" w:lastColumn="0" w:oddVBand="0" w:evenVBand="0" w:oddHBand="0" w:evenHBand="0" w:firstRowFirstColumn="0" w:firstRowLastColumn="0" w:lastRowFirstColumn="0" w:lastRowLastColumn="0"/>
            </w:pPr>
            <w:r>
              <w:t>5 821</w:t>
            </w:r>
          </w:p>
        </w:tc>
      </w:tr>
      <w:tr w:rsidR="00C424E5" w14:paraId="087C0669"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5986D9D9" w14:textId="77777777" w:rsidR="00C424E5" w:rsidRDefault="00C424E5">
            <w:r>
              <w:t>Specific purposes grants</w:t>
            </w:r>
          </w:p>
        </w:tc>
        <w:tc>
          <w:tcPr>
            <w:tcW w:w="794" w:type="dxa"/>
            <w:tcBorders>
              <w:bottom w:val="single" w:sz="6" w:space="0" w:color="auto"/>
            </w:tcBorders>
          </w:tcPr>
          <w:p w14:paraId="25602CDB" w14:textId="77777777" w:rsidR="00C424E5" w:rsidRDefault="00C424E5">
            <w:pPr>
              <w:cnfStyle w:val="000000000000" w:firstRow="0" w:lastRow="0" w:firstColumn="0" w:lastColumn="0" w:oddVBand="0" w:evenVBand="0" w:oddHBand="0" w:evenHBand="0" w:firstRowFirstColumn="0" w:firstRowLastColumn="0" w:lastRowFirstColumn="0" w:lastRowLastColumn="0"/>
            </w:pPr>
            <w:r>
              <w:t>15 741</w:t>
            </w:r>
          </w:p>
        </w:tc>
        <w:tc>
          <w:tcPr>
            <w:tcW w:w="794" w:type="dxa"/>
            <w:tcBorders>
              <w:bottom w:val="single" w:sz="6" w:space="0" w:color="auto"/>
            </w:tcBorders>
          </w:tcPr>
          <w:p w14:paraId="75A58AEC" w14:textId="77777777" w:rsidR="00C424E5" w:rsidRDefault="00C424E5">
            <w:pPr>
              <w:cnfStyle w:val="000000000000" w:firstRow="0" w:lastRow="0" w:firstColumn="0" w:lastColumn="0" w:oddVBand="0" w:evenVBand="0" w:oddHBand="0" w:evenHBand="0" w:firstRowFirstColumn="0" w:firstRowLastColumn="0" w:lastRowFirstColumn="0" w:lastRowLastColumn="0"/>
            </w:pPr>
            <w:r>
              <w:t>15 756</w:t>
            </w:r>
          </w:p>
        </w:tc>
        <w:tc>
          <w:tcPr>
            <w:tcW w:w="794" w:type="dxa"/>
            <w:tcBorders>
              <w:bottom w:val="single" w:sz="6" w:space="0" w:color="auto"/>
            </w:tcBorders>
          </w:tcPr>
          <w:p w14:paraId="6ACF76DE" w14:textId="77777777" w:rsidR="00C424E5" w:rsidRDefault="00C424E5">
            <w:pPr>
              <w:cnfStyle w:val="000000000000" w:firstRow="0" w:lastRow="0" w:firstColumn="0" w:lastColumn="0" w:oddVBand="0" w:evenVBand="0" w:oddHBand="0" w:evenHBand="0" w:firstRowFirstColumn="0" w:firstRowLastColumn="0" w:lastRowFirstColumn="0" w:lastRowLastColumn="0"/>
            </w:pPr>
            <w:r>
              <w:t>15 313</w:t>
            </w:r>
          </w:p>
        </w:tc>
        <w:tc>
          <w:tcPr>
            <w:tcW w:w="794" w:type="dxa"/>
            <w:tcBorders>
              <w:bottom w:val="single" w:sz="6" w:space="0" w:color="auto"/>
            </w:tcBorders>
          </w:tcPr>
          <w:p w14:paraId="34101BA9" w14:textId="77777777" w:rsidR="00C424E5" w:rsidRDefault="00C424E5">
            <w:pPr>
              <w:cnfStyle w:val="000000000000" w:firstRow="0" w:lastRow="0" w:firstColumn="0" w:lastColumn="0" w:oddVBand="0" w:evenVBand="0" w:oddHBand="0" w:evenHBand="0" w:firstRowFirstColumn="0" w:firstRowLastColumn="0" w:lastRowFirstColumn="0" w:lastRowLastColumn="0"/>
            </w:pPr>
            <w:r>
              <w:t>15 834</w:t>
            </w:r>
          </w:p>
        </w:tc>
        <w:tc>
          <w:tcPr>
            <w:tcW w:w="794" w:type="dxa"/>
            <w:tcBorders>
              <w:bottom w:val="single" w:sz="6" w:space="0" w:color="auto"/>
            </w:tcBorders>
          </w:tcPr>
          <w:p w14:paraId="6901E35B" w14:textId="77777777" w:rsidR="00C424E5" w:rsidRDefault="00C424E5">
            <w:pPr>
              <w:cnfStyle w:val="000000000000" w:firstRow="0" w:lastRow="0" w:firstColumn="0" w:lastColumn="0" w:oddVBand="0" w:evenVBand="0" w:oddHBand="0" w:evenHBand="0" w:firstRowFirstColumn="0" w:firstRowLastColumn="0" w:lastRowFirstColumn="0" w:lastRowLastColumn="0"/>
            </w:pPr>
            <w:r>
              <w:t>16 949</w:t>
            </w:r>
          </w:p>
        </w:tc>
      </w:tr>
      <w:tr w:rsidR="00C424E5" w14:paraId="017F0149"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190E9049" w14:textId="77777777" w:rsidR="00C424E5" w:rsidRDefault="00C424E5">
            <w:r>
              <w:rPr>
                <w:b/>
              </w:rPr>
              <w:t>Total</w:t>
            </w:r>
          </w:p>
        </w:tc>
        <w:tc>
          <w:tcPr>
            <w:tcW w:w="794" w:type="dxa"/>
            <w:tcBorders>
              <w:top w:val="single" w:sz="6" w:space="0" w:color="auto"/>
            </w:tcBorders>
          </w:tcPr>
          <w:p w14:paraId="5EC20574"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39 633</w:t>
            </w:r>
          </w:p>
        </w:tc>
        <w:tc>
          <w:tcPr>
            <w:tcW w:w="794" w:type="dxa"/>
            <w:tcBorders>
              <w:top w:val="single" w:sz="6" w:space="0" w:color="auto"/>
            </w:tcBorders>
          </w:tcPr>
          <w:p w14:paraId="5458112D"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38 777</w:t>
            </w:r>
          </w:p>
        </w:tc>
        <w:tc>
          <w:tcPr>
            <w:tcW w:w="794" w:type="dxa"/>
            <w:tcBorders>
              <w:top w:val="single" w:sz="6" w:space="0" w:color="auto"/>
            </w:tcBorders>
          </w:tcPr>
          <w:p w14:paraId="5197C39D"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39 534</w:t>
            </w:r>
          </w:p>
        </w:tc>
        <w:tc>
          <w:tcPr>
            <w:tcW w:w="794" w:type="dxa"/>
            <w:tcBorders>
              <w:top w:val="single" w:sz="6" w:space="0" w:color="auto"/>
            </w:tcBorders>
          </w:tcPr>
          <w:p w14:paraId="463836D3"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42 014</w:t>
            </w:r>
          </w:p>
        </w:tc>
        <w:tc>
          <w:tcPr>
            <w:tcW w:w="794" w:type="dxa"/>
            <w:tcBorders>
              <w:top w:val="single" w:sz="6" w:space="0" w:color="auto"/>
            </w:tcBorders>
          </w:tcPr>
          <w:p w14:paraId="759C1FDB"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44 443</w:t>
            </w:r>
          </w:p>
        </w:tc>
      </w:tr>
      <w:tr w:rsidR="00C424E5" w14:paraId="3E9B9D23"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0060F037" w14:textId="77777777" w:rsidR="00C424E5" w:rsidRDefault="00C424E5">
            <w:r>
              <w:t>Other contributions and grants</w:t>
            </w:r>
          </w:p>
        </w:tc>
        <w:tc>
          <w:tcPr>
            <w:tcW w:w="794" w:type="dxa"/>
            <w:tcBorders>
              <w:bottom w:val="single" w:sz="6" w:space="0" w:color="auto"/>
            </w:tcBorders>
          </w:tcPr>
          <w:p w14:paraId="21EC2548" w14:textId="77777777" w:rsidR="00C424E5" w:rsidRDefault="00C424E5">
            <w:pPr>
              <w:cnfStyle w:val="000000000000" w:firstRow="0" w:lastRow="0" w:firstColumn="0" w:lastColumn="0" w:oddVBand="0" w:evenVBand="0" w:oddHBand="0" w:evenHBand="0" w:firstRowFirstColumn="0" w:firstRowLastColumn="0" w:lastRowFirstColumn="0" w:lastRowLastColumn="0"/>
            </w:pPr>
            <w:r>
              <w:t>718</w:t>
            </w:r>
          </w:p>
        </w:tc>
        <w:tc>
          <w:tcPr>
            <w:tcW w:w="794" w:type="dxa"/>
            <w:tcBorders>
              <w:bottom w:val="single" w:sz="6" w:space="0" w:color="auto"/>
            </w:tcBorders>
          </w:tcPr>
          <w:p w14:paraId="7B5EFC14" w14:textId="77777777" w:rsidR="00C424E5" w:rsidRDefault="00C424E5">
            <w:pPr>
              <w:cnfStyle w:val="000000000000" w:firstRow="0" w:lastRow="0" w:firstColumn="0" w:lastColumn="0" w:oddVBand="0" w:evenVBand="0" w:oddHBand="0" w:evenHBand="0" w:firstRowFirstColumn="0" w:firstRowLastColumn="0" w:lastRowFirstColumn="0" w:lastRowLastColumn="0"/>
            </w:pPr>
            <w:r>
              <w:t>426</w:t>
            </w:r>
          </w:p>
        </w:tc>
        <w:tc>
          <w:tcPr>
            <w:tcW w:w="794" w:type="dxa"/>
            <w:tcBorders>
              <w:bottom w:val="single" w:sz="6" w:space="0" w:color="auto"/>
            </w:tcBorders>
          </w:tcPr>
          <w:p w14:paraId="05F97332" w14:textId="77777777" w:rsidR="00C424E5" w:rsidRDefault="00C424E5">
            <w:pPr>
              <w:cnfStyle w:val="000000000000" w:firstRow="0" w:lastRow="0" w:firstColumn="0" w:lastColumn="0" w:oddVBand="0" w:evenVBand="0" w:oddHBand="0" w:evenHBand="0" w:firstRowFirstColumn="0" w:firstRowLastColumn="0" w:lastRowFirstColumn="0" w:lastRowLastColumn="0"/>
            </w:pPr>
            <w:r>
              <w:t>802</w:t>
            </w:r>
          </w:p>
        </w:tc>
        <w:tc>
          <w:tcPr>
            <w:tcW w:w="794" w:type="dxa"/>
            <w:tcBorders>
              <w:bottom w:val="single" w:sz="6" w:space="0" w:color="auto"/>
            </w:tcBorders>
          </w:tcPr>
          <w:p w14:paraId="4DC4F63E" w14:textId="77777777" w:rsidR="00C424E5" w:rsidRDefault="00C424E5">
            <w:pPr>
              <w:cnfStyle w:val="000000000000" w:firstRow="0" w:lastRow="0" w:firstColumn="0" w:lastColumn="0" w:oddVBand="0" w:evenVBand="0" w:oddHBand="0" w:evenHBand="0" w:firstRowFirstColumn="0" w:firstRowLastColumn="0" w:lastRowFirstColumn="0" w:lastRowLastColumn="0"/>
            </w:pPr>
            <w:r>
              <w:t>1 010</w:t>
            </w:r>
          </w:p>
        </w:tc>
        <w:tc>
          <w:tcPr>
            <w:tcW w:w="794" w:type="dxa"/>
            <w:tcBorders>
              <w:bottom w:val="single" w:sz="6" w:space="0" w:color="auto"/>
            </w:tcBorders>
          </w:tcPr>
          <w:p w14:paraId="18278164" w14:textId="77777777" w:rsidR="00C424E5" w:rsidRDefault="00C424E5">
            <w:pPr>
              <w:cnfStyle w:val="000000000000" w:firstRow="0" w:lastRow="0" w:firstColumn="0" w:lastColumn="0" w:oddVBand="0" w:evenVBand="0" w:oddHBand="0" w:evenHBand="0" w:firstRowFirstColumn="0" w:firstRowLastColumn="0" w:lastRowFirstColumn="0" w:lastRowLastColumn="0"/>
            </w:pPr>
            <w:r>
              <w:t>1 451</w:t>
            </w:r>
          </w:p>
        </w:tc>
      </w:tr>
      <w:tr w:rsidR="00C424E5" w14:paraId="542064E9"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72E83050" w14:textId="77777777" w:rsidR="00C424E5" w:rsidRDefault="00C424E5">
            <w:r>
              <w:rPr>
                <w:b/>
              </w:rPr>
              <w:t>Total grants</w:t>
            </w:r>
          </w:p>
        </w:tc>
        <w:tc>
          <w:tcPr>
            <w:tcW w:w="794" w:type="dxa"/>
            <w:tcBorders>
              <w:top w:val="single" w:sz="6" w:space="0" w:color="auto"/>
              <w:bottom w:val="single" w:sz="12" w:space="0" w:color="auto"/>
            </w:tcBorders>
          </w:tcPr>
          <w:p w14:paraId="50925CC8"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40 351</w:t>
            </w:r>
          </w:p>
        </w:tc>
        <w:tc>
          <w:tcPr>
            <w:tcW w:w="794" w:type="dxa"/>
            <w:tcBorders>
              <w:top w:val="single" w:sz="6" w:space="0" w:color="auto"/>
              <w:bottom w:val="single" w:sz="12" w:space="0" w:color="auto"/>
            </w:tcBorders>
          </w:tcPr>
          <w:p w14:paraId="19FE37E7"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39 204</w:t>
            </w:r>
          </w:p>
        </w:tc>
        <w:tc>
          <w:tcPr>
            <w:tcW w:w="794" w:type="dxa"/>
            <w:tcBorders>
              <w:top w:val="single" w:sz="6" w:space="0" w:color="auto"/>
              <w:bottom w:val="single" w:sz="12" w:space="0" w:color="auto"/>
            </w:tcBorders>
          </w:tcPr>
          <w:p w14:paraId="48B36B30"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40 335</w:t>
            </w:r>
          </w:p>
        </w:tc>
        <w:tc>
          <w:tcPr>
            <w:tcW w:w="794" w:type="dxa"/>
            <w:tcBorders>
              <w:top w:val="single" w:sz="6" w:space="0" w:color="auto"/>
              <w:bottom w:val="single" w:sz="12" w:space="0" w:color="auto"/>
            </w:tcBorders>
          </w:tcPr>
          <w:p w14:paraId="2623FB36"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43 024</w:t>
            </w:r>
          </w:p>
        </w:tc>
        <w:tc>
          <w:tcPr>
            <w:tcW w:w="794" w:type="dxa"/>
            <w:tcBorders>
              <w:top w:val="single" w:sz="6" w:space="0" w:color="auto"/>
              <w:bottom w:val="single" w:sz="12" w:space="0" w:color="auto"/>
            </w:tcBorders>
          </w:tcPr>
          <w:p w14:paraId="4D691A3D" w14:textId="497A68C6" w:rsidR="00C424E5" w:rsidRDefault="00C424E5">
            <w:pPr>
              <w:cnfStyle w:val="000000000000" w:firstRow="0" w:lastRow="0" w:firstColumn="0" w:lastColumn="0" w:oddVBand="0" w:evenVBand="0" w:oddHBand="0" w:evenHBand="0" w:firstRowFirstColumn="0" w:firstRowLastColumn="0" w:lastRowFirstColumn="0" w:lastRowLastColumn="0"/>
            </w:pPr>
            <w:r>
              <w:rPr>
                <w:b/>
              </w:rPr>
              <w:t>45 893</w:t>
            </w:r>
          </w:p>
        </w:tc>
      </w:tr>
    </w:tbl>
    <w:p w14:paraId="79CC14CF" w14:textId="77777777" w:rsidR="00C424E5" w:rsidRPr="00307B52" w:rsidRDefault="00C424E5" w:rsidP="006206EF">
      <w:pPr>
        <w:pStyle w:val="Note"/>
        <w:ind w:left="0" w:firstLine="0"/>
      </w:pPr>
      <w:r w:rsidRPr="00307B52">
        <w:t>Note:</w:t>
      </w:r>
    </w:p>
    <w:p w14:paraId="2547450F" w14:textId="77777777" w:rsidR="00C424E5" w:rsidRPr="00307B52" w:rsidRDefault="00C424E5" w:rsidP="006206EF">
      <w:pPr>
        <w:pStyle w:val="Note"/>
      </w:pPr>
      <w:r w:rsidRPr="00307B52">
        <w:t xml:space="preserve">(a) </w:t>
      </w:r>
      <w:r>
        <w:tab/>
      </w:r>
      <w:r w:rsidRPr="00307B52">
        <w:t>Grants predominantly relate to grants from the Commonwealth Government which are recognised under AASB 1058.</w:t>
      </w:r>
    </w:p>
    <w:p w14:paraId="3A310DAB" w14:textId="77777777" w:rsidR="00C424E5" w:rsidRDefault="00C424E5" w:rsidP="006206EF">
      <w:pPr>
        <w:pStyle w:val="Heading3"/>
        <w:pageBreakBefore/>
        <w:spacing w:after="60"/>
        <w:rPr>
          <w:sz w:val="20"/>
          <w:szCs w:val="20"/>
        </w:rPr>
      </w:pPr>
      <w:bookmarkStart w:id="58" w:name="_Toc85010024"/>
      <w:bookmarkStart w:id="59" w:name="_Toc117172220"/>
      <w:r w:rsidRPr="00846F56">
        <w:rPr>
          <w:sz w:val="20"/>
          <w:szCs w:val="20"/>
        </w:rPr>
        <w:lastRenderedPageBreak/>
        <w:t>Other revenue and income</w:t>
      </w:r>
      <w:r w:rsidRPr="00846F56">
        <w:rPr>
          <w:sz w:val="20"/>
          <w:szCs w:val="20"/>
        </w:rPr>
        <w:tab/>
        <w:t>($ million)</w:t>
      </w:r>
      <w:bookmarkEnd w:id="58"/>
      <w:bookmarkEnd w:id="59"/>
    </w:p>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925B88" w14:paraId="49A172DA" w14:textId="77777777" w:rsidTr="00A836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06E61BF6" w14:textId="34040A2B" w:rsidR="00925B88" w:rsidRDefault="00925B88"/>
        </w:tc>
        <w:tc>
          <w:tcPr>
            <w:tcW w:w="794" w:type="dxa"/>
          </w:tcPr>
          <w:p w14:paraId="44CB60BE" w14:textId="581F832E" w:rsidR="00925B88" w:rsidRDefault="00925B88" w:rsidP="00D06F84">
            <w:pPr>
              <w:cnfStyle w:val="100000000000" w:firstRow="1" w:lastRow="0" w:firstColumn="0" w:lastColumn="0" w:oddVBand="0" w:evenVBand="0" w:oddHBand="0" w:evenHBand="0" w:firstRowFirstColumn="0" w:firstRowLastColumn="0" w:lastRowFirstColumn="0" w:lastRowLastColumn="0"/>
            </w:pPr>
            <w:r>
              <w:t>2022</w:t>
            </w:r>
            <w:r>
              <w:noBreakHyphen/>
              <w:t>23</w:t>
            </w:r>
            <w:r w:rsidR="00F70B1C">
              <w:rPr>
                <w:i w:val="0"/>
              </w:rPr>
              <w:br/>
            </w:r>
            <w:r>
              <w:t>budget</w:t>
            </w:r>
          </w:p>
        </w:tc>
        <w:tc>
          <w:tcPr>
            <w:tcW w:w="794" w:type="dxa"/>
          </w:tcPr>
          <w:p w14:paraId="494B3197" w14:textId="13FEF0FB" w:rsidR="00925B88" w:rsidRDefault="00925B88" w:rsidP="00A33658">
            <w:pPr>
              <w:cnfStyle w:val="100000000000" w:firstRow="1" w:lastRow="0" w:firstColumn="0" w:lastColumn="0" w:oddVBand="0" w:evenVBand="0" w:oddHBand="0" w:evenHBand="0" w:firstRowFirstColumn="0" w:firstRowLastColumn="0" w:lastRowFirstColumn="0" w:lastRowLastColumn="0"/>
            </w:pPr>
            <w:r>
              <w:t>2022</w:t>
            </w:r>
            <w:r>
              <w:noBreakHyphen/>
              <w:t>23</w:t>
            </w:r>
            <w:r w:rsidR="00F70B1C">
              <w:rPr>
                <w:i w:val="0"/>
              </w:rPr>
              <w:br/>
            </w:r>
            <w:r>
              <w:t>revised</w:t>
            </w:r>
          </w:p>
        </w:tc>
        <w:tc>
          <w:tcPr>
            <w:tcW w:w="794" w:type="dxa"/>
          </w:tcPr>
          <w:p w14:paraId="64BA3C27" w14:textId="6E90A619" w:rsidR="00925B88" w:rsidRDefault="00925B88" w:rsidP="00396F8A">
            <w:pPr>
              <w:cnfStyle w:val="100000000000" w:firstRow="1" w:lastRow="0" w:firstColumn="0" w:lastColumn="0" w:oddVBand="0" w:evenVBand="0" w:oddHBand="0" w:evenHBand="0" w:firstRowFirstColumn="0" w:firstRowLastColumn="0" w:lastRowFirstColumn="0" w:lastRowLastColumn="0"/>
            </w:pPr>
            <w:r>
              <w:t>2023</w:t>
            </w:r>
            <w:r>
              <w:noBreakHyphen/>
              <w:t>24</w:t>
            </w:r>
            <w:r w:rsidR="00F70B1C">
              <w:rPr>
                <w:i w:val="0"/>
              </w:rPr>
              <w:br/>
            </w:r>
            <w:r>
              <w:t>estimate</w:t>
            </w:r>
          </w:p>
        </w:tc>
        <w:tc>
          <w:tcPr>
            <w:tcW w:w="794" w:type="dxa"/>
          </w:tcPr>
          <w:p w14:paraId="57A29D40" w14:textId="5FC7455A" w:rsidR="00925B88" w:rsidRDefault="00925B88" w:rsidP="008A0BBA">
            <w:pPr>
              <w:cnfStyle w:val="100000000000" w:firstRow="1" w:lastRow="0" w:firstColumn="0" w:lastColumn="0" w:oddVBand="0" w:evenVBand="0" w:oddHBand="0" w:evenHBand="0" w:firstRowFirstColumn="0" w:firstRowLastColumn="0" w:lastRowFirstColumn="0" w:lastRowLastColumn="0"/>
            </w:pPr>
            <w:r>
              <w:t>2024</w:t>
            </w:r>
            <w:r>
              <w:noBreakHyphen/>
              <w:t>25</w:t>
            </w:r>
            <w:r w:rsidR="00F70B1C">
              <w:rPr>
                <w:i w:val="0"/>
              </w:rPr>
              <w:br/>
            </w:r>
            <w:r>
              <w:t>estimate</w:t>
            </w:r>
          </w:p>
        </w:tc>
        <w:tc>
          <w:tcPr>
            <w:tcW w:w="794" w:type="dxa"/>
          </w:tcPr>
          <w:p w14:paraId="14778E79" w14:textId="2C04801A" w:rsidR="00925B88" w:rsidRDefault="00925B88" w:rsidP="00E24440">
            <w:pPr>
              <w:cnfStyle w:val="100000000000" w:firstRow="1" w:lastRow="0" w:firstColumn="0" w:lastColumn="0" w:oddVBand="0" w:evenVBand="0" w:oddHBand="0" w:evenHBand="0" w:firstRowFirstColumn="0" w:firstRowLastColumn="0" w:lastRowFirstColumn="0" w:lastRowLastColumn="0"/>
            </w:pPr>
            <w:r>
              <w:t>2025</w:t>
            </w:r>
            <w:r>
              <w:noBreakHyphen/>
              <w:t>26</w:t>
            </w:r>
            <w:r w:rsidR="00F70B1C">
              <w:rPr>
                <w:i w:val="0"/>
              </w:rPr>
              <w:br/>
            </w:r>
            <w:r>
              <w:t>estimate</w:t>
            </w:r>
          </w:p>
        </w:tc>
      </w:tr>
      <w:tr w:rsidR="00C424E5" w14:paraId="48AFADCF" w14:textId="77777777">
        <w:tc>
          <w:tcPr>
            <w:cnfStyle w:val="001000000000" w:firstRow="0" w:lastRow="0" w:firstColumn="1" w:lastColumn="0" w:oddVBand="0" w:evenVBand="0" w:oddHBand="0" w:evenHBand="0" w:firstRowFirstColumn="0" w:firstRowLastColumn="0" w:lastRowFirstColumn="0" w:lastRowLastColumn="0"/>
            <w:tcW w:w="3740" w:type="dxa"/>
          </w:tcPr>
          <w:p w14:paraId="25B8DB38" w14:textId="77777777" w:rsidR="00C424E5" w:rsidRDefault="00C424E5">
            <w:r>
              <w:rPr>
                <w:b/>
              </w:rPr>
              <w:t>Amounts recognised as revenue from contracts with customers (AASB 15)</w:t>
            </w:r>
          </w:p>
        </w:tc>
        <w:tc>
          <w:tcPr>
            <w:tcW w:w="794" w:type="dxa"/>
          </w:tcPr>
          <w:p w14:paraId="3FBEC4F1"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149623FA"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5EEED9CD"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0C267F38"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3BEB307B"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558A1265" w14:textId="77777777">
        <w:tc>
          <w:tcPr>
            <w:cnfStyle w:val="001000000000" w:firstRow="0" w:lastRow="0" w:firstColumn="1" w:lastColumn="0" w:oddVBand="0" w:evenVBand="0" w:oddHBand="0" w:evenHBand="0" w:firstRowFirstColumn="0" w:firstRowLastColumn="0" w:lastRowFirstColumn="0" w:lastRowLastColumn="0"/>
            <w:tcW w:w="3740" w:type="dxa"/>
          </w:tcPr>
          <w:p w14:paraId="16ABB0D9" w14:textId="77777777" w:rsidR="00C424E5" w:rsidRDefault="00C424E5">
            <w:r>
              <w:t>Royalties</w:t>
            </w:r>
          </w:p>
        </w:tc>
        <w:tc>
          <w:tcPr>
            <w:tcW w:w="794" w:type="dxa"/>
          </w:tcPr>
          <w:p w14:paraId="53AC35B8" w14:textId="77777777" w:rsidR="00C424E5" w:rsidRDefault="00C424E5">
            <w:pPr>
              <w:cnfStyle w:val="000000000000" w:firstRow="0" w:lastRow="0" w:firstColumn="0" w:lastColumn="0" w:oddVBand="0" w:evenVBand="0" w:oddHBand="0" w:evenHBand="0" w:firstRowFirstColumn="0" w:firstRowLastColumn="0" w:lastRowFirstColumn="0" w:lastRowLastColumn="0"/>
            </w:pPr>
            <w:r>
              <w:t>140</w:t>
            </w:r>
          </w:p>
        </w:tc>
        <w:tc>
          <w:tcPr>
            <w:tcW w:w="794" w:type="dxa"/>
          </w:tcPr>
          <w:p w14:paraId="1095B93A" w14:textId="77777777" w:rsidR="00C424E5" w:rsidRDefault="00C424E5">
            <w:pPr>
              <w:cnfStyle w:val="000000000000" w:firstRow="0" w:lastRow="0" w:firstColumn="0" w:lastColumn="0" w:oddVBand="0" w:evenVBand="0" w:oddHBand="0" w:evenHBand="0" w:firstRowFirstColumn="0" w:firstRowLastColumn="0" w:lastRowFirstColumn="0" w:lastRowLastColumn="0"/>
            </w:pPr>
            <w:r>
              <w:t>140</w:t>
            </w:r>
          </w:p>
        </w:tc>
        <w:tc>
          <w:tcPr>
            <w:tcW w:w="794" w:type="dxa"/>
          </w:tcPr>
          <w:p w14:paraId="5AEF9054" w14:textId="77777777" w:rsidR="00C424E5" w:rsidRDefault="00C424E5">
            <w:pPr>
              <w:cnfStyle w:val="000000000000" w:firstRow="0" w:lastRow="0" w:firstColumn="0" w:lastColumn="0" w:oddVBand="0" w:evenVBand="0" w:oddHBand="0" w:evenHBand="0" w:firstRowFirstColumn="0" w:firstRowLastColumn="0" w:lastRowFirstColumn="0" w:lastRowLastColumn="0"/>
            </w:pPr>
            <w:r>
              <w:t>142</w:t>
            </w:r>
          </w:p>
        </w:tc>
        <w:tc>
          <w:tcPr>
            <w:tcW w:w="794" w:type="dxa"/>
          </w:tcPr>
          <w:p w14:paraId="3380D170" w14:textId="77777777" w:rsidR="00C424E5" w:rsidRDefault="00C424E5">
            <w:pPr>
              <w:cnfStyle w:val="000000000000" w:firstRow="0" w:lastRow="0" w:firstColumn="0" w:lastColumn="0" w:oddVBand="0" w:evenVBand="0" w:oddHBand="0" w:evenHBand="0" w:firstRowFirstColumn="0" w:firstRowLastColumn="0" w:lastRowFirstColumn="0" w:lastRowLastColumn="0"/>
            </w:pPr>
            <w:r>
              <w:t>144</w:t>
            </w:r>
          </w:p>
        </w:tc>
        <w:tc>
          <w:tcPr>
            <w:tcW w:w="794" w:type="dxa"/>
          </w:tcPr>
          <w:p w14:paraId="6FEF973E" w14:textId="77777777" w:rsidR="00C424E5" w:rsidRDefault="00C424E5">
            <w:pPr>
              <w:cnfStyle w:val="000000000000" w:firstRow="0" w:lastRow="0" w:firstColumn="0" w:lastColumn="0" w:oddVBand="0" w:evenVBand="0" w:oddHBand="0" w:evenHBand="0" w:firstRowFirstColumn="0" w:firstRowLastColumn="0" w:lastRowFirstColumn="0" w:lastRowLastColumn="0"/>
            </w:pPr>
            <w:r>
              <w:t>144</w:t>
            </w:r>
          </w:p>
        </w:tc>
      </w:tr>
      <w:tr w:rsidR="00C424E5" w14:paraId="7C3225A7" w14:textId="77777777">
        <w:tc>
          <w:tcPr>
            <w:cnfStyle w:val="001000000000" w:firstRow="0" w:lastRow="0" w:firstColumn="1" w:lastColumn="0" w:oddVBand="0" w:evenVBand="0" w:oddHBand="0" w:evenHBand="0" w:firstRowFirstColumn="0" w:firstRowLastColumn="0" w:lastRowFirstColumn="0" w:lastRowLastColumn="0"/>
            <w:tcW w:w="3740" w:type="dxa"/>
          </w:tcPr>
          <w:p w14:paraId="2CF083AF" w14:textId="77777777" w:rsidR="00C424E5" w:rsidRDefault="00C424E5">
            <w:r>
              <w:t>Other revenue – health</w:t>
            </w:r>
          </w:p>
        </w:tc>
        <w:tc>
          <w:tcPr>
            <w:tcW w:w="794" w:type="dxa"/>
          </w:tcPr>
          <w:p w14:paraId="21F8A5FF" w14:textId="77777777" w:rsidR="00C424E5" w:rsidRDefault="00C424E5">
            <w:pPr>
              <w:cnfStyle w:val="000000000000" w:firstRow="0" w:lastRow="0" w:firstColumn="0" w:lastColumn="0" w:oddVBand="0" w:evenVBand="0" w:oddHBand="0" w:evenHBand="0" w:firstRowFirstColumn="0" w:firstRowLastColumn="0" w:lastRowFirstColumn="0" w:lastRowLastColumn="0"/>
            </w:pPr>
            <w:r>
              <w:t>248</w:t>
            </w:r>
          </w:p>
        </w:tc>
        <w:tc>
          <w:tcPr>
            <w:tcW w:w="794" w:type="dxa"/>
          </w:tcPr>
          <w:p w14:paraId="5B04DDCF" w14:textId="77777777" w:rsidR="00C424E5" w:rsidRDefault="00C424E5">
            <w:pPr>
              <w:cnfStyle w:val="000000000000" w:firstRow="0" w:lastRow="0" w:firstColumn="0" w:lastColumn="0" w:oddVBand="0" w:evenVBand="0" w:oddHBand="0" w:evenHBand="0" w:firstRowFirstColumn="0" w:firstRowLastColumn="0" w:lastRowFirstColumn="0" w:lastRowLastColumn="0"/>
            </w:pPr>
            <w:r>
              <w:t>248</w:t>
            </w:r>
          </w:p>
        </w:tc>
        <w:tc>
          <w:tcPr>
            <w:tcW w:w="794" w:type="dxa"/>
          </w:tcPr>
          <w:p w14:paraId="64BE348D" w14:textId="77777777" w:rsidR="00C424E5" w:rsidRDefault="00C424E5">
            <w:pPr>
              <w:cnfStyle w:val="000000000000" w:firstRow="0" w:lastRow="0" w:firstColumn="0" w:lastColumn="0" w:oddVBand="0" w:evenVBand="0" w:oddHBand="0" w:evenHBand="0" w:firstRowFirstColumn="0" w:firstRowLastColumn="0" w:lastRowFirstColumn="0" w:lastRowLastColumn="0"/>
            </w:pPr>
            <w:r>
              <w:t>254</w:t>
            </w:r>
          </w:p>
        </w:tc>
        <w:tc>
          <w:tcPr>
            <w:tcW w:w="794" w:type="dxa"/>
          </w:tcPr>
          <w:p w14:paraId="6FF2E3B4" w14:textId="77777777" w:rsidR="00C424E5" w:rsidRDefault="00C424E5">
            <w:pPr>
              <w:cnfStyle w:val="000000000000" w:firstRow="0" w:lastRow="0" w:firstColumn="0" w:lastColumn="0" w:oddVBand="0" w:evenVBand="0" w:oddHBand="0" w:evenHBand="0" w:firstRowFirstColumn="0" w:firstRowLastColumn="0" w:lastRowFirstColumn="0" w:lastRowLastColumn="0"/>
            </w:pPr>
            <w:r>
              <w:t>261</w:t>
            </w:r>
          </w:p>
        </w:tc>
        <w:tc>
          <w:tcPr>
            <w:tcW w:w="794" w:type="dxa"/>
          </w:tcPr>
          <w:p w14:paraId="54167277" w14:textId="77777777" w:rsidR="00C424E5" w:rsidRDefault="00C424E5">
            <w:pPr>
              <w:cnfStyle w:val="000000000000" w:firstRow="0" w:lastRow="0" w:firstColumn="0" w:lastColumn="0" w:oddVBand="0" w:evenVBand="0" w:oddHBand="0" w:evenHBand="0" w:firstRowFirstColumn="0" w:firstRowLastColumn="0" w:lastRowFirstColumn="0" w:lastRowLastColumn="0"/>
            </w:pPr>
            <w:r>
              <w:t>261</w:t>
            </w:r>
          </w:p>
        </w:tc>
      </w:tr>
      <w:tr w:rsidR="00C424E5" w14:paraId="3DDECAC7" w14:textId="77777777">
        <w:tc>
          <w:tcPr>
            <w:cnfStyle w:val="001000000000" w:firstRow="0" w:lastRow="0" w:firstColumn="1" w:lastColumn="0" w:oddVBand="0" w:evenVBand="0" w:oddHBand="0" w:evenHBand="0" w:firstRowFirstColumn="0" w:firstRowLastColumn="0" w:lastRowFirstColumn="0" w:lastRowLastColumn="0"/>
            <w:tcW w:w="3740" w:type="dxa"/>
          </w:tcPr>
          <w:p w14:paraId="2ADB837C" w14:textId="77777777" w:rsidR="00C424E5" w:rsidRDefault="00C424E5">
            <w:r>
              <w:t>Other miscellaneous revenue</w:t>
            </w:r>
          </w:p>
        </w:tc>
        <w:tc>
          <w:tcPr>
            <w:tcW w:w="794" w:type="dxa"/>
          </w:tcPr>
          <w:p w14:paraId="425003CA" w14:textId="77777777" w:rsidR="00C424E5" w:rsidRDefault="00C424E5">
            <w:pPr>
              <w:cnfStyle w:val="000000000000" w:firstRow="0" w:lastRow="0" w:firstColumn="0" w:lastColumn="0" w:oddVBand="0" w:evenVBand="0" w:oddHBand="0" w:evenHBand="0" w:firstRowFirstColumn="0" w:firstRowLastColumn="0" w:lastRowFirstColumn="0" w:lastRowLastColumn="0"/>
            </w:pPr>
            <w:r>
              <w:t>676</w:t>
            </w:r>
          </w:p>
        </w:tc>
        <w:tc>
          <w:tcPr>
            <w:tcW w:w="794" w:type="dxa"/>
          </w:tcPr>
          <w:p w14:paraId="12AE2AC3" w14:textId="77777777" w:rsidR="00C424E5" w:rsidRDefault="00C424E5">
            <w:pPr>
              <w:cnfStyle w:val="000000000000" w:firstRow="0" w:lastRow="0" w:firstColumn="0" w:lastColumn="0" w:oddVBand="0" w:evenVBand="0" w:oddHBand="0" w:evenHBand="0" w:firstRowFirstColumn="0" w:firstRowLastColumn="0" w:lastRowFirstColumn="0" w:lastRowLastColumn="0"/>
            </w:pPr>
            <w:r>
              <w:t>812</w:t>
            </w:r>
          </w:p>
        </w:tc>
        <w:tc>
          <w:tcPr>
            <w:tcW w:w="794" w:type="dxa"/>
          </w:tcPr>
          <w:p w14:paraId="3EAB2E2B" w14:textId="77777777" w:rsidR="00C424E5" w:rsidRDefault="00C424E5">
            <w:pPr>
              <w:cnfStyle w:val="000000000000" w:firstRow="0" w:lastRow="0" w:firstColumn="0" w:lastColumn="0" w:oddVBand="0" w:evenVBand="0" w:oddHBand="0" w:evenHBand="0" w:firstRowFirstColumn="0" w:firstRowLastColumn="0" w:lastRowFirstColumn="0" w:lastRowLastColumn="0"/>
            </w:pPr>
            <w:r>
              <w:t>657</w:t>
            </w:r>
          </w:p>
        </w:tc>
        <w:tc>
          <w:tcPr>
            <w:tcW w:w="794" w:type="dxa"/>
          </w:tcPr>
          <w:p w14:paraId="4816EB5B" w14:textId="77777777" w:rsidR="00C424E5" w:rsidRDefault="00C424E5">
            <w:pPr>
              <w:cnfStyle w:val="000000000000" w:firstRow="0" w:lastRow="0" w:firstColumn="0" w:lastColumn="0" w:oddVBand="0" w:evenVBand="0" w:oddHBand="0" w:evenHBand="0" w:firstRowFirstColumn="0" w:firstRowLastColumn="0" w:lastRowFirstColumn="0" w:lastRowLastColumn="0"/>
            </w:pPr>
            <w:r>
              <w:t>677</w:t>
            </w:r>
          </w:p>
        </w:tc>
        <w:tc>
          <w:tcPr>
            <w:tcW w:w="794" w:type="dxa"/>
          </w:tcPr>
          <w:p w14:paraId="324FE3B1" w14:textId="77777777" w:rsidR="00C424E5" w:rsidRDefault="00C424E5">
            <w:pPr>
              <w:cnfStyle w:val="000000000000" w:firstRow="0" w:lastRow="0" w:firstColumn="0" w:lastColumn="0" w:oddVBand="0" w:evenVBand="0" w:oddHBand="0" w:evenHBand="0" w:firstRowFirstColumn="0" w:firstRowLastColumn="0" w:lastRowFirstColumn="0" w:lastRowLastColumn="0"/>
            </w:pPr>
            <w:r>
              <w:t>724</w:t>
            </w:r>
          </w:p>
        </w:tc>
      </w:tr>
      <w:tr w:rsidR="00C424E5" w14:paraId="26817B0C" w14:textId="77777777">
        <w:tc>
          <w:tcPr>
            <w:cnfStyle w:val="001000000000" w:firstRow="0" w:lastRow="0" w:firstColumn="1" w:lastColumn="0" w:oddVBand="0" w:evenVBand="0" w:oddHBand="0" w:evenHBand="0" w:firstRowFirstColumn="0" w:firstRowLastColumn="0" w:lastRowFirstColumn="0" w:lastRowLastColumn="0"/>
            <w:tcW w:w="3740" w:type="dxa"/>
          </w:tcPr>
          <w:p w14:paraId="27160717" w14:textId="77777777" w:rsidR="00C424E5" w:rsidRDefault="00C424E5">
            <w:r>
              <w:rPr>
                <w:b/>
              </w:rPr>
              <w:t>Amounts recognised as income of not‑for‑profit entities (AASB 1058)</w:t>
            </w:r>
          </w:p>
        </w:tc>
        <w:tc>
          <w:tcPr>
            <w:tcW w:w="794" w:type="dxa"/>
          </w:tcPr>
          <w:p w14:paraId="131ACC2F"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0617DDDA"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5CA69F34"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7F3671C4"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66B77146"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30E27495" w14:textId="77777777">
        <w:tc>
          <w:tcPr>
            <w:cnfStyle w:val="001000000000" w:firstRow="0" w:lastRow="0" w:firstColumn="1" w:lastColumn="0" w:oddVBand="0" w:evenVBand="0" w:oddHBand="0" w:evenHBand="0" w:firstRowFirstColumn="0" w:firstRowLastColumn="0" w:lastRowFirstColumn="0" w:lastRowLastColumn="0"/>
            <w:tcW w:w="3740" w:type="dxa"/>
          </w:tcPr>
          <w:p w14:paraId="505A556C" w14:textId="77777777" w:rsidR="00C424E5" w:rsidRDefault="00C424E5">
            <w:r>
              <w:t>Fair value of assets received free of charge or for nominal consideration</w:t>
            </w:r>
            <w:r>
              <w:rPr>
                <w:vertAlign w:val="superscript"/>
              </w:rPr>
              <w:t xml:space="preserve"> (a)</w:t>
            </w:r>
          </w:p>
        </w:tc>
        <w:tc>
          <w:tcPr>
            <w:tcW w:w="794" w:type="dxa"/>
          </w:tcPr>
          <w:p w14:paraId="348BF6D0" w14:textId="77777777" w:rsidR="00C424E5" w:rsidRDefault="00C424E5">
            <w:pPr>
              <w:cnfStyle w:val="000000000000" w:firstRow="0" w:lastRow="0" w:firstColumn="0" w:lastColumn="0" w:oddVBand="0" w:evenVBand="0" w:oddHBand="0" w:evenHBand="0" w:firstRowFirstColumn="0" w:firstRowLastColumn="0" w:lastRowFirstColumn="0" w:lastRowLastColumn="0"/>
            </w:pPr>
            <w:r>
              <w:t>382</w:t>
            </w:r>
          </w:p>
        </w:tc>
        <w:tc>
          <w:tcPr>
            <w:tcW w:w="794" w:type="dxa"/>
          </w:tcPr>
          <w:p w14:paraId="78885696" w14:textId="77777777" w:rsidR="00C424E5" w:rsidRDefault="00C424E5">
            <w:pPr>
              <w:cnfStyle w:val="000000000000" w:firstRow="0" w:lastRow="0" w:firstColumn="0" w:lastColumn="0" w:oddVBand="0" w:evenVBand="0" w:oddHBand="0" w:evenHBand="0" w:firstRowFirstColumn="0" w:firstRowLastColumn="0" w:lastRowFirstColumn="0" w:lastRowLastColumn="0"/>
            </w:pPr>
            <w:r>
              <w:t>384</w:t>
            </w:r>
          </w:p>
        </w:tc>
        <w:tc>
          <w:tcPr>
            <w:tcW w:w="794" w:type="dxa"/>
          </w:tcPr>
          <w:p w14:paraId="216EAE35" w14:textId="77777777" w:rsidR="00C424E5" w:rsidRDefault="00C424E5">
            <w:pPr>
              <w:cnfStyle w:val="000000000000" w:firstRow="0" w:lastRow="0" w:firstColumn="0" w:lastColumn="0" w:oddVBand="0" w:evenVBand="0" w:oddHBand="0" w:evenHBand="0" w:firstRowFirstColumn="0" w:firstRowLastColumn="0" w:lastRowFirstColumn="0" w:lastRowLastColumn="0"/>
            </w:pPr>
            <w:r>
              <w:t>488</w:t>
            </w:r>
          </w:p>
        </w:tc>
        <w:tc>
          <w:tcPr>
            <w:tcW w:w="794" w:type="dxa"/>
          </w:tcPr>
          <w:p w14:paraId="2E1DE885" w14:textId="77777777" w:rsidR="00C424E5" w:rsidRDefault="00C424E5">
            <w:pPr>
              <w:cnfStyle w:val="000000000000" w:firstRow="0" w:lastRow="0" w:firstColumn="0" w:lastColumn="0" w:oddVBand="0" w:evenVBand="0" w:oddHBand="0" w:evenHBand="0" w:firstRowFirstColumn="0" w:firstRowLastColumn="0" w:lastRowFirstColumn="0" w:lastRowLastColumn="0"/>
            </w:pPr>
            <w:r>
              <w:t>2</w:t>
            </w:r>
          </w:p>
        </w:tc>
        <w:tc>
          <w:tcPr>
            <w:tcW w:w="794" w:type="dxa"/>
          </w:tcPr>
          <w:p w14:paraId="4C6DF1CF" w14:textId="77777777" w:rsidR="00C424E5" w:rsidRDefault="00C424E5">
            <w:pPr>
              <w:cnfStyle w:val="000000000000" w:firstRow="0" w:lastRow="0" w:firstColumn="0" w:lastColumn="0" w:oddVBand="0" w:evenVBand="0" w:oddHBand="0" w:evenHBand="0" w:firstRowFirstColumn="0" w:firstRowLastColumn="0" w:lastRowFirstColumn="0" w:lastRowLastColumn="0"/>
            </w:pPr>
            <w:r>
              <w:t>2</w:t>
            </w:r>
          </w:p>
        </w:tc>
      </w:tr>
      <w:tr w:rsidR="00C424E5" w14:paraId="4E75F8D4" w14:textId="77777777">
        <w:tc>
          <w:tcPr>
            <w:cnfStyle w:val="001000000000" w:firstRow="0" w:lastRow="0" w:firstColumn="1" w:lastColumn="0" w:oddVBand="0" w:evenVBand="0" w:oddHBand="0" w:evenHBand="0" w:firstRowFirstColumn="0" w:firstRowLastColumn="0" w:lastRowFirstColumn="0" w:lastRowLastColumn="0"/>
            <w:tcW w:w="3740" w:type="dxa"/>
          </w:tcPr>
          <w:p w14:paraId="7A9F3E8F" w14:textId="77777777" w:rsidR="00C424E5" w:rsidRDefault="00C424E5">
            <w:r>
              <w:t>Fines</w:t>
            </w:r>
          </w:p>
        </w:tc>
        <w:tc>
          <w:tcPr>
            <w:tcW w:w="794" w:type="dxa"/>
          </w:tcPr>
          <w:p w14:paraId="4A2FEA43" w14:textId="77777777" w:rsidR="00C424E5" w:rsidRDefault="00C424E5">
            <w:pPr>
              <w:cnfStyle w:val="000000000000" w:firstRow="0" w:lastRow="0" w:firstColumn="0" w:lastColumn="0" w:oddVBand="0" w:evenVBand="0" w:oddHBand="0" w:evenHBand="0" w:firstRowFirstColumn="0" w:firstRowLastColumn="0" w:lastRowFirstColumn="0" w:lastRowLastColumn="0"/>
            </w:pPr>
            <w:r>
              <w:t>857</w:t>
            </w:r>
          </w:p>
        </w:tc>
        <w:tc>
          <w:tcPr>
            <w:tcW w:w="794" w:type="dxa"/>
          </w:tcPr>
          <w:p w14:paraId="2B3ADEFD" w14:textId="77777777" w:rsidR="00C424E5" w:rsidRDefault="00C424E5">
            <w:pPr>
              <w:cnfStyle w:val="000000000000" w:firstRow="0" w:lastRow="0" w:firstColumn="0" w:lastColumn="0" w:oddVBand="0" w:evenVBand="0" w:oddHBand="0" w:evenHBand="0" w:firstRowFirstColumn="0" w:firstRowLastColumn="0" w:lastRowFirstColumn="0" w:lastRowLastColumn="0"/>
            </w:pPr>
            <w:r>
              <w:t>857</w:t>
            </w:r>
          </w:p>
        </w:tc>
        <w:tc>
          <w:tcPr>
            <w:tcW w:w="794" w:type="dxa"/>
          </w:tcPr>
          <w:p w14:paraId="0C8950CD" w14:textId="77777777" w:rsidR="00C424E5" w:rsidRDefault="00C424E5">
            <w:pPr>
              <w:cnfStyle w:val="000000000000" w:firstRow="0" w:lastRow="0" w:firstColumn="0" w:lastColumn="0" w:oddVBand="0" w:evenVBand="0" w:oddHBand="0" w:evenHBand="0" w:firstRowFirstColumn="0" w:firstRowLastColumn="0" w:lastRowFirstColumn="0" w:lastRowLastColumn="0"/>
            </w:pPr>
            <w:r>
              <w:t>944</w:t>
            </w:r>
          </w:p>
        </w:tc>
        <w:tc>
          <w:tcPr>
            <w:tcW w:w="794" w:type="dxa"/>
          </w:tcPr>
          <w:p w14:paraId="0AED877E" w14:textId="77777777" w:rsidR="00C424E5" w:rsidRDefault="00C424E5">
            <w:pPr>
              <w:cnfStyle w:val="000000000000" w:firstRow="0" w:lastRow="0" w:firstColumn="0" w:lastColumn="0" w:oddVBand="0" w:evenVBand="0" w:oddHBand="0" w:evenHBand="0" w:firstRowFirstColumn="0" w:firstRowLastColumn="0" w:lastRowFirstColumn="0" w:lastRowLastColumn="0"/>
            </w:pPr>
            <w:r>
              <w:t>967</w:t>
            </w:r>
          </w:p>
        </w:tc>
        <w:tc>
          <w:tcPr>
            <w:tcW w:w="794" w:type="dxa"/>
          </w:tcPr>
          <w:p w14:paraId="55739708" w14:textId="77777777" w:rsidR="00C424E5" w:rsidRDefault="00C424E5">
            <w:pPr>
              <w:cnfStyle w:val="000000000000" w:firstRow="0" w:lastRow="0" w:firstColumn="0" w:lastColumn="0" w:oddVBand="0" w:evenVBand="0" w:oddHBand="0" w:evenHBand="0" w:firstRowFirstColumn="0" w:firstRowLastColumn="0" w:lastRowFirstColumn="0" w:lastRowLastColumn="0"/>
            </w:pPr>
            <w:r>
              <w:t>985</w:t>
            </w:r>
          </w:p>
        </w:tc>
      </w:tr>
      <w:tr w:rsidR="00C424E5" w14:paraId="7C96238A" w14:textId="77777777">
        <w:tc>
          <w:tcPr>
            <w:cnfStyle w:val="001000000000" w:firstRow="0" w:lastRow="0" w:firstColumn="1" w:lastColumn="0" w:oddVBand="0" w:evenVBand="0" w:oddHBand="0" w:evenHBand="0" w:firstRowFirstColumn="0" w:firstRowLastColumn="0" w:lastRowFirstColumn="0" w:lastRowLastColumn="0"/>
            <w:tcW w:w="3740" w:type="dxa"/>
          </w:tcPr>
          <w:p w14:paraId="1ED7BE93" w14:textId="77777777" w:rsidR="00C424E5" w:rsidRDefault="00C424E5">
            <w:r>
              <w:t>Donations and gifts</w:t>
            </w:r>
            <w:r>
              <w:rPr>
                <w:vertAlign w:val="superscript"/>
              </w:rPr>
              <w:t xml:space="preserve"> (b)</w:t>
            </w:r>
          </w:p>
        </w:tc>
        <w:tc>
          <w:tcPr>
            <w:tcW w:w="794" w:type="dxa"/>
          </w:tcPr>
          <w:p w14:paraId="55B6D3E9" w14:textId="77777777" w:rsidR="00C424E5" w:rsidRDefault="00C424E5">
            <w:pPr>
              <w:cnfStyle w:val="000000000000" w:firstRow="0" w:lastRow="0" w:firstColumn="0" w:lastColumn="0" w:oddVBand="0" w:evenVBand="0" w:oddHBand="0" w:evenHBand="0" w:firstRowFirstColumn="0" w:firstRowLastColumn="0" w:lastRowFirstColumn="0" w:lastRowLastColumn="0"/>
            </w:pPr>
            <w:r>
              <w:t>209</w:t>
            </w:r>
          </w:p>
        </w:tc>
        <w:tc>
          <w:tcPr>
            <w:tcW w:w="794" w:type="dxa"/>
          </w:tcPr>
          <w:p w14:paraId="61EC688F" w14:textId="77777777" w:rsidR="00C424E5" w:rsidRDefault="00C424E5">
            <w:pPr>
              <w:cnfStyle w:val="000000000000" w:firstRow="0" w:lastRow="0" w:firstColumn="0" w:lastColumn="0" w:oddVBand="0" w:evenVBand="0" w:oddHBand="0" w:evenHBand="0" w:firstRowFirstColumn="0" w:firstRowLastColumn="0" w:lastRowFirstColumn="0" w:lastRowLastColumn="0"/>
            </w:pPr>
            <w:r>
              <w:t>209</w:t>
            </w:r>
          </w:p>
        </w:tc>
        <w:tc>
          <w:tcPr>
            <w:tcW w:w="794" w:type="dxa"/>
          </w:tcPr>
          <w:p w14:paraId="45742AC3" w14:textId="77777777" w:rsidR="00C424E5" w:rsidRDefault="00C424E5">
            <w:pPr>
              <w:cnfStyle w:val="000000000000" w:firstRow="0" w:lastRow="0" w:firstColumn="0" w:lastColumn="0" w:oddVBand="0" w:evenVBand="0" w:oddHBand="0" w:evenHBand="0" w:firstRowFirstColumn="0" w:firstRowLastColumn="0" w:lastRowFirstColumn="0" w:lastRowLastColumn="0"/>
            </w:pPr>
            <w:r>
              <w:t>214</w:t>
            </w:r>
          </w:p>
        </w:tc>
        <w:tc>
          <w:tcPr>
            <w:tcW w:w="794" w:type="dxa"/>
          </w:tcPr>
          <w:p w14:paraId="14995B80" w14:textId="77777777" w:rsidR="00C424E5" w:rsidRDefault="00C424E5">
            <w:pPr>
              <w:cnfStyle w:val="000000000000" w:firstRow="0" w:lastRow="0" w:firstColumn="0" w:lastColumn="0" w:oddVBand="0" w:evenVBand="0" w:oddHBand="0" w:evenHBand="0" w:firstRowFirstColumn="0" w:firstRowLastColumn="0" w:lastRowFirstColumn="0" w:lastRowLastColumn="0"/>
            </w:pPr>
            <w:r>
              <w:t>222</w:t>
            </w:r>
          </w:p>
        </w:tc>
        <w:tc>
          <w:tcPr>
            <w:tcW w:w="794" w:type="dxa"/>
          </w:tcPr>
          <w:p w14:paraId="5A57FD1D" w14:textId="77777777" w:rsidR="00C424E5" w:rsidRDefault="00C424E5">
            <w:pPr>
              <w:cnfStyle w:val="000000000000" w:firstRow="0" w:lastRow="0" w:firstColumn="0" w:lastColumn="0" w:oddVBand="0" w:evenVBand="0" w:oddHBand="0" w:evenHBand="0" w:firstRowFirstColumn="0" w:firstRowLastColumn="0" w:lastRowFirstColumn="0" w:lastRowLastColumn="0"/>
            </w:pPr>
            <w:r>
              <w:t>222</w:t>
            </w:r>
          </w:p>
        </w:tc>
      </w:tr>
      <w:tr w:rsidR="00C424E5" w14:paraId="3638681A" w14:textId="77777777">
        <w:tc>
          <w:tcPr>
            <w:cnfStyle w:val="001000000000" w:firstRow="0" w:lastRow="0" w:firstColumn="1" w:lastColumn="0" w:oddVBand="0" w:evenVBand="0" w:oddHBand="0" w:evenHBand="0" w:firstRowFirstColumn="0" w:firstRowLastColumn="0" w:lastRowFirstColumn="0" w:lastRowLastColumn="0"/>
            <w:tcW w:w="3740" w:type="dxa"/>
          </w:tcPr>
          <w:p w14:paraId="26DE5574" w14:textId="77777777" w:rsidR="00C424E5" w:rsidRDefault="00C424E5">
            <w:r>
              <w:t>Other income – education</w:t>
            </w:r>
          </w:p>
        </w:tc>
        <w:tc>
          <w:tcPr>
            <w:tcW w:w="794" w:type="dxa"/>
          </w:tcPr>
          <w:p w14:paraId="3A810168" w14:textId="77777777" w:rsidR="00C424E5" w:rsidRDefault="00C424E5">
            <w:pPr>
              <w:cnfStyle w:val="000000000000" w:firstRow="0" w:lastRow="0" w:firstColumn="0" w:lastColumn="0" w:oddVBand="0" w:evenVBand="0" w:oddHBand="0" w:evenHBand="0" w:firstRowFirstColumn="0" w:firstRowLastColumn="0" w:lastRowFirstColumn="0" w:lastRowLastColumn="0"/>
            </w:pPr>
            <w:r>
              <w:t>514</w:t>
            </w:r>
          </w:p>
        </w:tc>
        <w:tc>
          <w:tcPr>
            <w:tcW w:w="794" w:type="dxa"/>
          </w:tcPr>
          <w:p w14:paraId="021FCA74" w14:textId="77777777" w:rsidR="00C424E5" w:rsidRDefault="00C424E5">
            <w:pPr>
              <w:cnfStyle w:val="000000000000" w:firstRow="0" w:lastRow="0" w:firstColumn="0" w:lastColumn="0" w:oddVBand="0" w:evenVBand="0" w:oddHBand="0" w:evenHBand="0" w:firstRowFirstColumn="0" w:firstRowLastColumn="0" w:lastRowFirstColumn="0" w:lastRowLastColumn="0"/>
            </w:pPr>
            <w:r>
              <w:t>386</w:t>
            </w:r>
          </w:p>
        </w:tc>
        <w:tc>
          <w:tcPr>
            <w:tcW w:w="794" w:type="dxa"/>
          </w:tcPr>
          <w:p w14:paraId="18A66530" w14:textId="77777777" w:rsidR="00C424E5" w:rsidRDefault="00C424E5">
            <w:pPr>
              <w:cnfStyle w:val="000000000000" w:firstRow="0" w:lastRow="0" w:firstColumn="0" w:lastColumn="0" w:oddVBand="0" w:evenVBand="0" w:oddHBand="0" w:evenHBand="0" w:firstRowFirstColumn="0" w:firstRowLastColumn="0" w:lastRowFirstColumn="0" w:lastRowLastColumn="0"/>
            </w:pPr>
            <w:r>
              <w:t>396</w:t>
            </w:r>
          </w:p>
        </w:tc>
        <w:tc>
          <w:tcPr>
            <w:tcW w:w="794" w:type="dxa"/>
          </w:tcPr>
          <w:p w14:paraId="428499E3" w14:textId="77777777" w:rsidR="00C424E5" w:rsidRDefault="00C424E5">
            <w:pPr>
              <w:cnfStyle w:val="000000000000" w:firstRow="0" w:lastRow="0" w:firstColumn="0" w:lastColumn="0" w:oddVBand="0" w:evenVBand="0" w:oddHBand="0" w:evenHBand="0" w:firstRowFirstColumn="0" w:firstRowLastColumn="0" w:lastRowFirstColumn="0" w:lastRowLastColumn="0"/>
            </w:pPr>
            <w:r>
              <w:t>406</w:t>
            </w:r>
          </w:p>
        </w:tc>
        <w:tc>
          <w:tcPr>
            <w:tcW w:w="794" w:type="dxa"/>
          </w:tcPr>
          <w:p w14:paraId="741073D3" w14:textId="77777777" w:rsidR="00C424E5" w:rsidRDefault="00C424E5">
            <w:pPr>
              <w:cnfStyle w:val="000000000000" w:firstRow="0" w:lastRow="0" w:firstColumn="0" w:lastColumn="0" w:oddVBand="0" w:evenVBand="0" w:oddHBand="0" w:evenHBand="0" w:firstRowFirstColumn="0" w:firstRowLastColumn="0" w:lastRowFirstColumn="0" w:lastRowLastColumn="0"/>
            </w:pPr>
            <w:r>
              <w:t>417</w:t>
            </w:r>
          </w:p>
        </w:tc>
      </w:tr>
      <w:tr w:rsidR="00C424E5" w14:paraId="57F6F500" w14:textId="77777777">
        <w:tc>
          <w:tcPr>
            <w:cnfStyle w:val="001000000000" w:firstRow="0" w:lastRow="0" w:firstColumn="1" w:lastColumn="0" w:oddVBand="0" w:evenVBand="0" w:oddHBand="0" w:evenHBand="0" w:firstRowFirstColumn="0" w:firstRowLastColumn="0" w:lastRowFirstColumn="0" w:lastRowLastColumn="0"/>
            <w:tcW w:w="3740" w:type="dxa"/>
          </w:tcPr>
          <w:p w14:paraId="2CFE906D" w14:textId="77777777" w:rsidR="00C424E5" w:rsidRDefault="00C424E5">
            <w:r>
              <w:rPr>
                <w:b/>
              </w:rPr>
              <w:t>Amounts recognised as lease income (AASB 16)</w:t>
            </w:r>
          </w:p>
        </w:tc>
        <w:tc>
          <w:tcPr>
            <w:tcW w:w="794" w:type="dxa"/>
          </w:tcPr>
          <w:p w14:paraId="3CF77D6A"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7D9320D9"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106020C4"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52D5C376"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6DB871E9"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4BEF8E49" w14:textId="77777777">
        <w:tc>
          <w:tcPr>
            <w:cnfStyle w:val="001000000000" w:firstRow="0" w:lastRow="0" w:firstColumn="1" w:lastColumn="0" w:oddVBand="0" w:evenVBand="0" w:oddHBand="0" w:evenHBand="0" w:firstRowFirstColumn="0" w:firstRowLastColumn="0" w:lastRowFirstColumn="0" w:lastRowLastColumn="0"/>
            <w:tcW w:w="3740" w:type="dxa"/>
          </w:tcPr>
          <w:p w14:paraId="3821D67E" w14:textId="77777777" w:rsidR="00C424E5" w:rsidRDefault="00C424E5">
            <w:r>
              <w:t>Other non</w:t>
            </w:r>
            <w:r>
              <w:noBreakHyphen/>
              <w:t>property rental</w:t>
            </w:r>
          </w:p>
        </w:tc>
        <w:tc>
          <w:tcPr>
            <w:tcW w:w="794" w:type="dxa"/>
          </w:tcPr>
          <w:p w14:paraId="052E8348" w14:textId="77777777" w:rsidR="00C424E5" w:rsidRDefault="00C424E5">
            <w:pPr>
              <w:cnfStyle w:val="000000000000" w:firstRow="0" w:lastRow="0" w:firstColumn="0" w:lastColumn="0" w:oddVBand="0" w:evenVBand="0" w:oddHBand="0" w:evenHBand="0" w:firstRowFirstColumn="0" w:firstRowLastColumn="0" w:lastRowFirstColumn="0" w:lastRowLastColumn="0"/>
            </w:pPr>
            <w:r>
              <w:t>29</w:t>
            </w:r>
          </w:p>
        </w:tc>
        <w:tc>
          <w:tcPr>
            <w:tcW w:w="794" w:type="dxa"/>
          </w:tcPr>
          <w:p w14:paraId="646F1D06" w14:textId="77777777" w:rsidR="00C424E5" w:rsidRDefault="00C424E5">
            <w:pPr>
              <w:cnfStyle w:val="000000000000" w:firstRow="0" w:lastRow="0" w:firstColumn="0" w:lastColumn="0" w:oddVBand="0" w:evenVBand="0" w:oddHBand="0" w:evenHBand="0" w:firstRowFirstColumn="0" w:firstRowLastColumn="0" w:lastRowFirstColumn="0" w:lastRowLastColumn="0"/>
            </w:pPr>
            <w:r>
              <w:t>29</w:t>
            </w:r>
          </w:p>
        </w:tc>
        <w:tc>
          <w:tcPr>
            <w:tcW w:w="794" w:type="dxa"/>
          </w:tcPr>
          <w:p w14:paraId="15B94E0B" w14:textId="77777777" w:rsidR="00C424E5" w:rsidRDefault="00C424E5">
            <w:pPr>
              <w:cnfStyle w:val="000000000000" w:firstRow="0" w:lastRow="0" w:firstColumn="0" w:lastColumn="0" w:oddVBand="0" w:evenVBand="0" w:oddHBand="0" w:evenHBand="0" w:firstRowFirstColumn="0" w:firstRowLastColumn="0" w:lastRowFirstColumn="0" w:lastRowLastColumn="0"/>
            </w:pPr>
            <w:r>
              <w:t>29</w:t>
            </w:r>
          </w:p>
        </w:tc>
        <w:tc>
          <w:tcPr>
            <w:tcW w:w="794" w:type="dxa"/>
          </w:tcPr>
          <w:p w14:paraId="00F3ADD4" w14:textId="77777777" w:rsidR="00C424E5" w:rsidRDefault="00C424E5">
            <w:pPr>
              <w:cnfStyle w:val="000000000000" w:firstRow="0" w:lastRow="0" w:firstColumn="0" w:lastColumn="0" w:oddVBand="0" w:evenVBand="0" w:oddHBand="0" w:evenHBand="0" w:firstRowFirstColumn="0" w:firstRowLastColumn="0" w:lastRowFirstColumn="0" w:lastRowLastColumn="0"/>
            </w:pPr>
            <w:r>
              <w:t>29</w:t>
            </w:r>
          </w:p>
        </w:tc>
        <w:tc>
          <w:tcPr>
            <w:tcW w:w="794" w:type="dxa"/>
          </w:tcPr>
          <w:p w14:paraId="1F60497A" w14:textId="77777777" w:rsidR="00C424E5" w:rsidRDefault="00C424E5">
            <w:pPr>
              <w:cnfStyle w:val="000000000000" w:firstRow="0" w:lastRow="0" w:firstColumn="0" w:lastColumn="0" w:oddVBand="0" w:evenVBand="0" w:oddHBand="0" w:evenHBand="0" w:firstRowFirstColumn="0" w:firstRowLastColumn="0" w:lastRowFirstColumn="0" w:lastRowLastColumn="0"/>
            </w:pPr>
            <w:r>
              <w:t>29</w:t>
            </w:r>
          </w:p>
        </w:tc>
      </w:tr>
      <w:tr w:rsidR="00C424E5" w14:paraId="7F185E8E" w14:textId="77777777">
        <w:tc>
          <w:tcPr>
            <w:cnfStyle w:val="001000000000" w:firstRow="0" w:lastRow="0" w:firstColumn="1" w:lastColumn="0" w:oddVBand="0" w:evenVBand="0" w:oddHBand="0" w:evenHBand="0" w:firstRowFirstColumn="0" w:firstRowLastColumn="0" w:lastRowFirstColumn="0" w:lastRowLastColumn="0"/>
            <w:tcW w:w="3740" w:type="dxa"/>
          </w:tcPr>
          <w:p w14:paraId="40325801" w14:textId="77777777" w:rsidR="00C424E5" w:rsidRDefault="00C424E5">
            <w:r>
              <w:rPr>
                <w:b/>
              </w:rPr>
              <w:t>Revenue items accounted for under AASB 1059</w:t>
            </w:r>
          </w:p>
        </w:tc>
        <w:tc>
          <w:tcPr>
            <w:tcW w:w="794" w:type="dxa"/>
          </w:tcPr>
          <w:p w14:paraId="6666F979"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177D925E"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4764D9D8"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03060811"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19702A6D"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78D34509"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64F05EF3" w14:textId="77777777" w:rsidR="00C424E5" w:rsidRDefault="00C424E5">
            <w:r>
              <w:t>Revenue related to economic service concession arrangements</w:t>
            </w:r>
          </w:p>
        </w:tc>
        <w:tc>
          <w:tcPr>
            <w:tcW w:w="794" w:type="dxa"/>
            <w:tcBorders>
              <w:bottom w:val="single" w:sz="6" w:space="0" w:color="auto"/>
            </w:tcBorders>
          </w:tcPr>
          <w:p w14:paraId="747789BC" w14:textId="77777777" w:rsidR="00C424E5" w:rsidRDefault="00C424E5">
            <w:pPr>
              <w:cnfStyle w:val="000000000000" w:firstRow="0" w:lastRow="0" w:firstColumn="0" w:lastColumn="0" w:oddVBand="0" w:evenVBand="0" w:oddHBand="0" w:evenHBand="0" w:firstRowFirstColumn="0" w:firstRowLastColumn="0" w:lastRowFirstColumn="0" w:lastRowLastColumn="0"/>
            </w:pPr>
            <w:r>
              <w:t>405</w:t>
            </w:r>
          </w:p>
        </w:tc>
        <w:tc>
          <w:tcPr>
            <w:tcW w:w="794" w:type="dxa"/>
            <w:tcBorders>
              <w:bottom w:val="single" w:sz="6" w:space="0" w:color="auto"/>
            </w:tcBorders>
          </w:tcPr>
          <w:p w14:paraId="28EBDBFF" w14:textId="77777777" w:rsidR="00C424E5" w:rsidRDefault="00C424E5">
            <w:pPr>
              <w:cnfStyle w:val="000000000000" w:firstRow="0" w:lastRow="0" w:firstColumn="0" w:lastColumn="0" w:oddVBand="0" w:evenVBand="0" w:oddHBand="0" w:evenHBand="0" w:firstRowFirstColumn="0" w:firstRowLastColumn="0" w:lastRowFirstColumn="0" w:lastRowLastColumn="0"/>
            </w:pPr>
            <w:r>
              <w:t>483</w:t>
            </w:r>
          </w:p>
        </w:tc>
        <w:tc>
          <w:tcPr>
            <w:tcW w:w="794" w:type="dxa"/>
            <w:tcBorders>
              <w:bottom w:val="single" w:sz="6" w:space="0" w:color="auto"/>
            </w:tcBorders>
          </w:tcPr>
          <w:p w14:paraId="7B639249" w14:textId="77777777" w:rsidR="00C424E5" w:rsidRDefault="00C424E5">
            <w:pPr>
              <w:cnfStyle w:val="000000000000" w:firstRow="0" w:lastRow="0" w:firstColumn="0" w:lastColumn="0" w:oddVBand="0" w:evenVBand="0" w:oddHBand="0" w:evenHBand="0" w:firstRowFirstColumn="0" w:firstRowLastColumn="0" w:lastRowFirstColumn="0" w:lastRowLastColumn="0"/>
            </w:pPr>
            <w:r>
              <w:t>515</w:t>
            </w:r>
          </w:p>
        </w:tc>
        <w:tc>
          <w:tcPr>
            <w:tcW w:w="794" w:type="dxa"/>
            <w:tcBorders>
              <w:bottom w:val="single" w:sz="6" w:space="0" w:color="auto"/>
            </w:tcBorders>
          </w:tcPr>
          <w:p w14:paraId="35EFF3C1" w14:textId="77777777" w:rsidR="00C424E5" w:rsidRDefault="00C424E5">
            <w:pPr>
              <w:cnfStyle w:val="000000000000" w:firstRow="0" w:lastRow="0" w:firstColumn="0" w:lastColumn="0" w:oddVBand="0" w:evenVBand="0" w:oddHBand="0" w:evenHBand="0" w:firstRowFirstColumn="0" w:firstRowLastColumn="0" w:lastRowFirstColumn="0" w:lastRowLastColumn="0"/>
            </w:pPr>
            <w:r>
              <w:t>502</w:t>
            </w:r>
          </w:p>
        </w:tc>
        <w:tc>
          <w:tcPr>
            <w:tcW w:w="794" w:type="dxa"/>
            <w:tcBorders>
              <w:bottom w:val="single" w:sz="6" w:space="0" w:color="auto"/>
            </w:tcBorders>
          </w:tcPr>
          <w:p w14:paraId="5167090E" w14:textId="77777777" w:rsidR="00C424E5" w:rsidRDefault="00C424E5">
            <w:pPr>
              <w:cnfStyle w:val="000000000000" w:firstRow="0" w:lastRow="0" w:firstColumn="0" w:lastColumn="0" w:oddVBand="0" w:evenVBand="0" w:oddHBand="0" w:evenHBand="0" w:firstRowFirstColumn="0" w:firstRowLastColumn="0" w:lastRowFirstColumn="0" w:lastRowLastColumn="0"/>
            </w:pPr>
            <w:r>
              <w:t>648</w:t>
            </w:r>
          </w:p>
        </w:tc>
      </w:tr>
      <w:tr w:rsidR="00C424E5" w14:paraId="75235F4B"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5C0C5A23" w14:textId="77777777" w:rsidR="00C424E5" w:rsidRDefault="00C424E5">
            <w:r>
              <w:rPr>
                <w:b/>
              </w:rPr>
              <w:t>Total other revenue and income</w:t>
            </w:r>
          </w:p>
        </w:tc>
        <w:tc>
          <w:tcPr>
            <w:tcW w:w="794" w:type="dxa"/>
            <w:tcBorders>
              <w:top w:val="single" w:sz="6" w:space="0" w:color="auto"/>
              <w:bottom w:val="single" w:sz="12" w:space="0" w:color="auto"/>
            </w:tcBorders>
          </w:tcPr>
          <w:p w14:paraId="60EAD1E5"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3 459</w:t>
            </w:r>
          </w:p>
        </w:tc>
        <w:tc>
          <w:tcPr>
            <w:tcW w:w="794" w:type="dxa"/>
            <w:tcBorders>
              <w:top w:val="single" w:sz="6" w:space="0" w:color="auto"/>
              <w:bottom w:val="single" w:sz="12" w:space="0" w:color="auto"/>
            </w:tcBorders>
          </w:tcPr>
          <w:p w14:paraId="2B832E96"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3 547</w:t>
            </w:r>
          </w:p>
        </w:tc>
        <w:tc>
          <w:tcPr>
            <w:tcW w:w="794" w:type="dxa"/>
            <w:tcBorders>
              <w:top w:val="single" w:sz="6" w:space="0" w:color="auto"/>
              <w:bottom w:val="single" w:sz="12" w:space="0" w:color="auto"/>
            </w:tcBorders>
          </w:tcPr>
          <w:p w14:paraId="629EF5A6"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3 639</w:t>
            </w:r>
          </w:p>
        </w:tc>
        <w:tc>
          <w:tcPr>
            <w:tcW w:w="794" w:type="dxa"/>
            <w:tcBorders>
              <w:top w:val="single" w:sz="6" w:space="0" w:color="auto"/>
              <w:bottom w:val="single" w:sz="12" w:space="0" w:color="auto"/>
            </w:tcBorders>
          </w:tcPr>
          <w:p w14:paraId="0742D440"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3 210</w:t>
            </w:r>
          </w:p>
        </w:tc>
        <w:tc>
          <w:tcPr>
            <w:tcW w:w="794" w:type="dxa"/>
            <w:tcBorders>
              <w:top w:val="single" w:sz="6" w:space="0" w:color="auto"/>
              <w:bottom w:val="single" w:sz="12" w:space="0" w:color="auto"/>
            </w:tcBorders>
          </w:tcPr>
          <w:p w14:paraId="29D540CA" w14:textId="6FC00170" w:rsidR="00C424E5" w:rsidRDefault="00C424E5">
            <w:pPr>
              <w:cnfStyle w:val="000000000000" w:firstRow="0" w:lastRow="0" w:firstColumn="0" w:lastColumn="0" w:oddVBand="0" w:evenVBand="0" w:oddHBand="0" w:evenHBand="0" w:firstRowFirstColumn="0" w:firstRowLastColumn="0" w:lastRowFirstColumn="0" w:lastRowLastColumn="0"/>
            </w:pPr>
            <w:r>
              <w:rPr>
                <w:b/>
              </w:rPr>
              <w:t>3 432</w:t>
            </w:r>
          </w:p>
        </w:tc>
      </w:tr>
    </w:tbl>
    <w:p w14:paraId="690BBF3F" w14:textId="77777777" w:rsidR="00C424E5" w:rsidRPr="00307B52" w:rsidRDefault="00C424E5" w:rsidP="006206EF">
      <w:pPr>
        <w:pStyle w:val="Note"/>
        <w:ind w:left="0" w:firstLine="0"/>
      </w:pPr>
      <w:r w:rsidRPr="00307B52">
        <w:t>Note</w:t>
      </w:r>
      <w:r>
        <w:t>s</w:t>
      </w:r>
      <w:r w:rsidRPr="00307B52">
        <w:t xml:space="preserve">: </w:t>
      </w:r>
    </w:p>
    <w:p w14:paraId="02B4CF99" w14:textId="77777777" w:rsidR="00C424E5" w:rsidRDefault="00C424E5" w:rsidP="006206EF">
      <w:pPr>
        <w:pStyle w:val="Note"/>
      </w:pPr>
      <w:r w:rsidRPr="00307B52">
        <w:t>(a)</w:t>
      </w:r>
      <w:r w:rsidRPr="00307B52">
        <w:tab/>
        <w:t xml:space="preserve">The </w:t>
      </w:r>
      <w:r>
        <w:t xml:space="preserve">funding </w:t>
      </w:r>
      <w:r w:rsidRPr="00307B52">
        <w:t xml:space="preserve">profile of the Fair value of assets received free of charge or for nominal consideration </w:t>
      </w:r>
      <w:r>
        <w:t xml:space="preserve">in 2022-23 and 2023-24 </w:t>
      </w:r>
      <w:r w:rsidRPr="00307B52">
        <w:t xml:space="preserve">includes Cross Yarra Partnership Consortium’s contribution to </w:t>
      </w:r>
      <w:r>
        <w:t xml:space="preserve">the </w:t>
      </w:r>
      <w:r w:rsidRPr="00307B52">
        <w:t>additional costs borne by the operator as part of the Metro Tunnel settlement.</w:t>
      </w:r>
    </w:p>
    <w:p w14:paraId="6D8CCFC9" w14:textId="77777777" w:rsidR="00C424E5" w:rsidRDefault="00C424E5" w:rsidP="006206EF">
      <w:pPr>
        <w:pStyle w:val="Note"/>
      </w:pPr>
      <w:r w:rsidRPr="00307B52">
        <w:t>(</w:t>
      </w:r>
      <w:r>
        <w:t>b</w:t>
      </w:r>
      <w:r w:rsidRPr="00307B52">
        <w:t>)</w:t>
      </w:r>
      <w:r w:rsidRPr="00307B52">
        <w:tab/>
      </w:r>
      <w:r>
        <w:t>Primarily relates to donations to health services from non-government sources.</w:t>
      </w:r>
    </w:p>
    <w:p w14:paraId="4E0C3C7F" w14:textId="77777777" w:rsidR="00C424E5" w:rsidRPr="00307B52" w:rsidRDefault="00C424E5" w:rsidP="006206EF"/>
    <w:p w14:paraId="4679A2E3" w14:textId="77777777" w:rsidR="00C424E5" w:rsidRDefault="00C424E5" w:rsidP="006206EF"/>
    <w:bookmarkEnd w:id="52"/>
    <w:p w14:paraId="436AB4A2" w14:textId="77777777" w:rsidR="00C424E5" w:rsidRDefault="00C424E5" w:rsidP="006206EF"/>
    <w:p w14:paraId="6FA08058" w14:textId="77777777" w:rsidR="00C424E5" w:rsidRDefault="00C424E5" w:rsidP="006206EF">
      <w:pPr>
        <w:sectPr w:rsidR="00C424E5" w:rsidSect="00647267">
          <w:footerReference w:type="first" r:id="rId43"/>
          <w:type w:val="continuous"/>
          <w:pgSz w:w="9979" w:h="14175" w:code="9"/>
          <w:pgMar w:top="1134" w:right="1134" w:bottom="1134" w:left="1134" w:header="624" w:footer="567" w:gutter="0"/>
          <w:cols w:space="708"/>
          <w:docGrid w:linePitch="360"/>
        </w:sectPr>
      </w:pPr>
    </w:p>
    <w:p w14:paraId="7B689378" w14:textId="77777777" w:rsidR="00C424E5" w:rsidRDefault="00C424E5" w:rsidP="006206EF">
      <w:pPr>
        <w:pStyle w:val="Heading2"/>
      </w:pPr>
      <w:r w:rsidRPr="007F4217">
        <w:lastRenderedPageBreak/>
        <w:t>HOW FUNDS ARE SPENT</w:t>
      </w:r>
    </w:p>
    <w:p w14:paraId="75EE6B2F" w14:textId="77777777" w:rsidR="00C424E5" w:rsidRDefault="00C424E5" w:rsidP="006206EF">
      <w:pPr>
        <w:sectPr w:rsidR="00C424E5" w:rsidSect="00647267">
          <w:pgSz w:w="9979" w:h="14175" w:code="9"/>
          <w:pgMar w:top="1134" w:right="1134" w:bottom="1134" w:left="1134" w:header="624" w:footer="567" w:gutter="0"/>
          <w:cols w:space="708"/>
          <w:docGrid w:linePitch="360"/>
        </w:sectPr>
      </w:pPr>
    </w:p>
    <w:p w14:paraId="5692EF5F" w14:textId="77777777" w:rsidR="00C424E5" w:rsidRDefault="00C424E5" w:rsidP="006206EF">
      <w:pPr>
        <w:pStyle w:val="Heading30"/>
      </w:pPr>
      <w:r w:rsidRPr="007F4217">
        <w:t>Introduction</w:t>
      </w:r>
    </w:p>
    <w:p w14:paraId="5DF5EEBE" w14:textId="77777777" w:rsidR="00C424E5" w:rsidRDefault="00C424E5" w:rsidP="006206EF">
      <w:r w:rsidRPr="00FC6AC0">
        <w:t xml:space="preserve">This section </w:t>
      </w:r>
      <w:r>
        <w:t>presents</w:t>
      </w:r>
      <w:r w:rsidRPr="00FC6AC0">
        <w:t xml:space="preserve"> the major components of expenditure incurred by the State towards the delivery of services and on capital or infrastructure projects during the year.</w:t>
      </w:r>
    </w:p>
    <w:p w14:paraId="3ED4EA0E" w14:textId="77777777" w:rsidR="00C424E5" w:rsidRDefault="00C424E5" w:rsidP="006206EF">
      <w:pPr>
        <w:pStyle w:val="Heading30"/>
      </w:pPr>
      <w:r>
        <w:br w:type="column"/>
      </w:r>
      <w:r w:rsidRPr="007F4217">
        <w:t>Structure</w:t>
      </w:r>
    </w:p>
    <w:p w14:paraId="0923FEAB" w14:textId="529B378A" w:rsidR="00C424E5" w:rsidRDefault="00C424E5">
      <w:pPr>
        <w:pStyle w:val="TOC9"/>
        <w:rPr>
          <w:rFonts w:eastAsiaTheme="minorEastAsia"/>
          <w:noProof/>
          <w:spacing w:val="0"/>
          <w:sz w:val="22"/>
          <w:lang w:eastAsia="en-AU"/>
        </w:rPr>
      </w:pPr>
      <w:r>
        <w:fldChar w:fldCharType="begin"/>
      </w:r>
      <w:r>
        <w:instrText xml:space="preserve"> TOC \h \z \t "Heading 3 (#),9" \b Section_3 \* MERGEFORMAT </w:instrText>
      </w:r>
      <w:r>
        <w:fldChar w:fldCharType="separate"/>
      </w:r>
      <w:hyperlink w:anchor="_Toc117172278" w:history="1">
        <w:r w:rsidRPr="00CF0000">
          <w:rPr>
            <w:rStyle w:val="Hyperlink"/>
            <w:noProof/>
          </w:rPr>
          <w:t>3.3.1</w:t>
        </w:r>
        <w:r>
          <w:rPr>
            <w:rFonts w:eastAsiaTheme="minorEastAsia"/>
            <w:noProof/>
            <w:spacing w:val="0"/>
            <w:sz w:val="22"/>
            <w:lang w:eastAsia="en-AU"/>
          </w:rPr>
          <w:tab/>
        </w:r>
        <w:r w:rsidRPr="00CF0000">
          <w:rPr>
            <w:rStyle w:val="Hyperlink"/>
            <w:noProof/>
          </w:rPr>
          <w:t xml:space="preserve">Employee expenses and provision </w:t>
        </w:r>
        <w:r>
          <w:rPr>
            <w:rStyle w:val="Hyperlink"/>
            <w:noProof/>
          </w:rPr>
          <w:br/>
        </w:r>
        <w:r w:rsidRPr="00CF0000">
          <w:rPr>
            <w:rStyle w:val="Hyperlink"/>
            <w:noProof/>
          </w:rPr>
          <w:t>for outstanding employee benefits</w:t>
        </w:r>
        <w:r>
          <w:rPr>
            <w:noProof/>
            <w:webHidden/>
          </w:rPr>
          <w:tab/>
        </w:r>
        <w:r>
          <w:rPr>
            <w:noProof/>
            <w:webHidden/>
          </w:rPr>
          <w:fldChar w:fldCharType="begin"/>
        </w:r>
        <w:r>
          <w:rPr>
            <w:noProof/>
            <w:webHidden/>
          </w:rPr>
          <w:instrText xml:space="preserve"> PAGEREF _Toc117172278 \h </w:instrText>
        </w:r>
        <w:r>
          <w:rPr>
            <w:noProof/>
            <w:webHidden/>
          </w:rPr>
        </w:r>
        <w:r>
          <w:rPr>
            <w:noProof/>
            <w:webHidden/>
          </w:rPr>
          <w:fldChar w:fldCharType="separate"/>
        </w:r>
        <w:r w:rsidR="00087BE6">
          <w:rPr>
            <w:noProof/>
            <w:webHidden/>
          </w:rPr>
          <w:t>46</w:t>
        </w:r>
        <w:r>
          <w:rPr>
            <w:noProof/>
            <w:webHidden/>
          </w:rPr>
          <w:fldChar w:fldCharType="end"/>
        </w:r>
      </w:hyperlink>
    </w:p>
    <w:p w14:paraId="44EDA8F5" w14:textId="6C118591" w:rsidR="00C424E5" w:rsidRDefault="00087BE6">
      <w:pPr>
        <w:pStyle w:val="TOC9"/>
        <w:rPr>
          <w:rFonts w:eastAsiaTheme="minorEastAsia"/>
          <w:noProof/>
          <w:spacing w:val="0"/>
          <w:sz w:val="22"/>
          <w:lang w:eastAsia="en-AU"/>
        </w:rPr>
      </w:pPr>
      <w:hyperlink w:anchor="_Toc117172279" w:history="1">
        <w:r w:rsidR="00C424E5" w:rsidRPr="00CF0000">
          <w:rPr>
            <w:rStyle w:val="Hyperlink"/>
            <w:noProof/>
          </w:rPr>
          <w:t>3.3.2</w:t>
        </w:r>
        <w:r w:rsidR="00C424E5">
          <w:rPr>
            <w:rFonts w:eastAsiaTheme="minorEastAsia"/>
            <w:noProof/>
            <w:spacing w:val="0"/>
            <w:sz w:val="22"/>
            <w:lang w:eastAsia="en-AU"/>
          </w:rPr>
          <w:tab/>
        </w:r>
        <w:r w:rsidR="00C424E5" w:rsidRPr="00CF0000">
          <w:rPr>
            <w:rStyle w:val="Hyperlink"/>
            <w:noProof/>
          </w:rPr>
          <w:t>Superannuation expense</w:t>
        </w:r>
        <w:r w:rsidR="00C424E5">
          <w:rPr>
            <w:noProof/>
            <w:webHidden/>
          </w:rPr>
          <w:tab/>
        </w:r>
        <w:r w:rsidR="00C424E5">
          <w:rPr>
            <w:noProof/>
            <w:webHidden/>
          </w:rPr>
          <w:fldChar w:fldCharType="begin"/>
        </w:r>
        <w:r w:rsidR="00C424E5">
          <w:rPr>
            <w:noProof/>
            <w:webHidden/>
          </w:rPr>
          <w:instrText xml:space="preserve"> PAGEREF _Toc117172279 \h </w:instrText>
        </w:r>
        <w:r w:rsidR="00C424E5">
          <w:rPr>
            <w:noProof/>
            <w:webHidden/>
          </w:rPr>
        </w:r>
        <w:r w:rsidR="00C424E5">
          <w:rPr>
            <w:noProof/>
            <w:webHidden/>
          </w:rPr>
          <w:fldChar w:fldCharType="separate"/>
        </w:r>
        <w:r>
          <w:rPr>
            <w:noProof/>
            <w:webHidden/>
          </w:rPr>
          <w:t>47</w:t>
        </w:r>
        <w:r w:rsidR="00C424E5">
          <w:rPr>
            <w:noProof/>
            <w:webHidden/>
          </w:rPr>
          <w:fldChar w:fldCharType="end"/>
        </w:r>
      </w:hyperlink>
    </w:p>
    <w:p w14:paraId="6C7799BD" w14:textId="216073AA" w:rsidR="00C424E5" w:rsidRDefault="00087BE6">
      <w:pPr>
        <w:pStyle w:val="TOC9"/>
        <w:rPr>
          <w:rFonts w:eastAsiaTheme="minorEastAsia"/>
          <w:noProof/>
          <w:spacing w:val="0"/>
          <w:sz w:val="22"/>
          <w:lang w:eastAsia="en-AU"/>
        </w:rPr>
      </w:pPr>
      <w:hyperlink w:anchor="_Toc117172280" w:history="1">
        <w:r w:rsidR="00C424E5" w:rsidRPr="00CF0000">
          <w:rPr>
            <w:rStyle w:val="Hyperlink"/>
            <w:noProof/>
          </w:rPr>
          <w:t>3.3.3</w:t>
        </w:r>
        <w:r w:rsidR="00C424E5">
          <w:rPr>
            <w:rFonts w:eastAsiaTheme="minorEastAsia"/>
            <w:noProof/>
            <w:spacing w:val="0"/>
            <w:sz w:val="22"/>
            <w:lang w:eastAsia="en-AU"/>
          </w:rPr>
          <w:tab/>
        </w:r>
        <w:r w:rsidR="00C424E5" w:rsidRPr="00CF0000">
          <w:rPr>
            <w:rStyle w:val="Hyperlink"/>
            <w:noProof/>
          </w:rPr>
          <w:t>Grant expense</w:t>
        </w:r>
        <w:r w:rsidR="00C424E5">
          <w:rPr>
            <w:noProof/>
            <w:webHidden/>
          </w:rPr>
          <w:tab/>
        </w:r>
        <w:r w:rsidR="00C424E5">
          <w:rPr>
            <w:noProof/>
            <w:webHidden/>
          </w:rPr>
          <w:fldChar w:fldCharType="begin"/>
        </w:r>
        <w:r w:rsidR="00C424E5">
          <w:rPr>
            <w:noProof/>
            <w:webHidden/>
          </w:rPr>
          <w:instrText xml:space="preserve"> PAGEREF _Toc117172280 \h </w:instrText>
        </w:r>
        <w:r w:rsidR="00C424E5">
          <w:rPr>
            <w:noProof/>
            <w:webHidden/>
          </w:rPr>
        </w:r>
        <w:r w:rsidR="00C424E5">
          <w:rPr>
            <w:noProof/>
            <w:webHidden/>
          </w:rPr>
          <w:fldChar w:fldCharType="separate"/>
        </w:r>
        <w:r>
          <w:rPr>
            <w:noProof/>
            <w:webHidden/>
          </w:rPr>
          <w:t>48</w:t>
        </w:r>
        <w:r w:rsidR="00C424E5">
          <w:rPr>
            <w:noProof/>
            <w:webHidden/>
          </w:rPr>
          <w:fldChar w:fldCharType="end"/>
        </w:r>
      </w:hyperlink>
    </w:p>
    <w:p w14:paraId="4351E697" w14:textId="5B31DD39" w:rsidR="00C424E5" w:rsidRDefault="00087BE6">
      <w:pPr>
        <w:pStyle w:val="TOC9"/>
        <w:rPr>
          <w:rFonts w:eastAsiaTheme="minorEastAsia"/>
          <w:noProof/>
          <w:spacing w:val="0"/>
          <w:sz w:val="22"/>
          <w:lang w:eastAsia="en-AU"/>
        </w:rPr>
      </w:pPr>
      <w:hyperlink w:anchor="_Toc117172281" w:history="1">
        <w:r w:rsidR="00C424E5" w:rsidRPr="00CF0000">
          <w:rPr>
            <w:rStyle w:val="Hyperlink"/>
            <w:noProof/>
          </w:rPr>
          <w:t>3.3.4</w:t>
        </w:r>
        <w:r w:rsidR="00C424E5">
          <w:rPr>
            <w:rFonts w:eastAsiaTheme="minorEastAsia"/>
            <w:noProof/>
            <w:spacing w:val="0"/>
            <w:sz w:val="22"/>
            <w:lang w:eastAsia="en-AU"/>
          </w:rPr>
          <w:tab/>
        </w:r>
        <w:r w:rsidR="00C424E5" w:rsidRPr="00CF0000">
          <w:rPr>
            <w:rStyle w:val="Hyperlink"/>
            <w:noProof/>
          </w:rPr>
          <w:t>Other operating expenses</w:t>
        </w:r>
        <w:r w:rsidR="00C424E5">
          <w:rPr>
            <w:noProof/>
            <w:webHidden/>
          </w:rPr>
          <w:tab/>
        </w:r>
        <w:r w:rsidR="00C424E5">
          <w:rPr>
            <w:noProof/>
            <w:webHidden/>
          </w:rPr>
          <w:fldChar w:fldCharType="begin"/>
        </w:r>
        <w:r w:rsidR="00C424E5">
          <w:rPr>
            <w:noProof/>
            <w:webHidden/>
          </w:rPr>
          <w:instrText xml:space="preserve"> PAGEREF _Toc117172281 \h </w:instrText>
        </w:r>
        <w:r w:rsidR="00C424E5">
          <w:rPr>
            <w:noProof/>
            <w:webHidden/>
          </w:rPr>
        </w:r>
        <w:r w:rsidR="00C424E5">
          <w:rPr>
            <w:noProof/>
            <w:webHidden/>
          </w:rPr>
          <w:fldChar w:fldCharType="separate"/>
        </w:r>
        <w:r>
          <w:rPr>
            <w:noProof/>
            <w:webHidden/>
          </w:rPr>
          <w:t>49</w:t>
        </w:r>
        <w:r w:rsidR="00C424E5">
          <w:rPr>
            <w:noProof/>
            <w:webHidden/>
          </w:rPr>
          <w:fldChar w:fldCharType="end"/>
        </w:r>
      </w:hyperlink>
    </w:p>
    <w:p w14:paraId="3807FD4E" w14:textId="6EFFC3A5" w:rsidR="00C424E5" w:rsidRDefault="00087BE6">
      <w:pPr>
        <w:pStyle w:val="TOC9"/>
        <w:rPr>
          <w:rFonts w:eastAsiaTheme="minorEastAsia"/>
          <w:noProof/>
          <w:spacing w:val="0"/>
          <w:sz w:val="22"/>
          <w:lang w:eastAsia="en-AU"/>
        </w:rPr>
      </w:pPr>
      <w:hyperlink w:anchor="_Toc117172282" w:history="1">
        <w:r w:rsidR="00C424E5" w:rsidRPr="00CF0000">
          <w:rPr>
            <w:rStyle w:val="Hyperlink"/>
            <w:noProof/>
          </w:rPr>
          <w:t>3.3.5</w:t>
        </w:r>
        <w:r w:rsidR="00C424E5">
          <w:rPr>
            <w:rFonts w:eastAsiaTheme="minorEastAsia"/>
            <w:noProof/>
            <w:spacing w:val="0"/>
            <w:sz w:val="22"/>
            <w:lang w:eastAsia="en-AU"/>
          </w:rPr>
          <w:tab/>
        </w:r>
        <w:r w:rsidR="00C424E5" w:rsidRPr="00CF0000">
          <w:rPr>
            <w:rStyle w:val="Hyperlink"/>
            <w:noProof/>
          </w:rPr>
          <w:t xml:space="preserve">Total expenses by classification of </w:t>
        </w:r>
        <w:r w:rsidR="00C424E5">
          <w:rPr>
            <w:rStyle w:val="Hyperlink"/>
            <w:noProof/>
          </w:rPr>
          <w:br/>
        </w:r>
        <w:r w:rsidR="00C424E5" w:rsidRPr="00CF0000">
          <w:rPr>
            <w:rStyle w:val="Hyperlink"/>
            <w:noProof/>
          </w:rPr>
          <w:t xml:space="preserve">the functions of government and </w:t>
        </w:r>
        <w:r w:rsidR="00C424E5">
          <w:rPr>
            <w:rStyle w:val="Hyperlink"/>
            <w:noProof/>
          </w:rPr>
          <w:br/>
        </w:r>
        <w:r w:rsidR="00C424E5" w:rsidRPr="00CF0000">
          <w:rPr>
            <w:rStyle w:val="Hyperlink"/>
            <w:noProof/>
          </w:rPr>
          <w:t>by portfolio department</w:t>
        </w:r>
        <w:r w:rsidR="00C424E5">
          <w:rPr>
            <w:noProof/>
            <w:webHidden/>
          </w:rPr>
          <w:tab/>
        </w:r>
        <w:r w:rsidR="00C424E5">
          <w:rPr>
            <w:noProof/>
            <w:webHidden/>
          </w:rPr>
          <w:fldChar w:fldCharType="begin"/>
        </w:r>
        <w:r w:rsidR="00C424E5">
          <w:rPr>
            <w:noProof/>
            <w:webHidden/>
          </w:rPr>
          <w:instrText xml:space="preserve"> PAGEREF _Toc117172282 \h </w:instrText>
        </w:r>
        <w:r w:rsidR="00C424E5">
          <w:rPr>
            <w:noProof/>
            <w:webHidden/>
          </w:rPr>
        </w:r>
        <w:r w:rsidR="00C424E5">
          <w:rPr>
            <w:noProof/>
            <w:webHidden/>
          </w:rPr>
          <w:fldChar w:fldCharType="separate"/>
        </w:r>
        <w:r>
          <w:rPr>
            <w:noProof/>
            <w:webHidden/>
          </w:rPr>
          <w:t>50</w:t>
        </w:r>
        <w:r w:rsidR="00C424E5">
          <w:rPr>
            <w:noProof/>
            <w:webHidden/>
          </w:rPr>
          <w:fldChar w:fldCharType="end"/>
        </w:r>
      </w:hyperlink>
    </w:p>
    <w:p w14:paraId="258D79FF" w14:textId="0744148A" w:rsidR="00C424E5" w:rsidRDefault="00087BE6">
      <w:pPr>
        <w:pStyle w:val="TOC9"/>
        <w:rPr>
          <w:rFonts w:eastAsiaTheme="minorEastAsia"/>
          <w:noProof/>
          <w:spacing w:val="0"/>
          <w:sz w:val="22"/>
          <w:lang w:eastAsia="en-AU"/>
        </w:rPr>
      </w:pPr>
      <w:hyperlink w:anchor="_Toc117172283" w:history="1">
        <w:r w:rsidR="00C424E5" w:rsidRPr="00CF0000">
          <w:rPr>
            <w:rStyle w:val="Hyperlink"/>
            <w:noProof/>
          </w:rPr>
          <w:t>3.3.6</w:t>
        </w:r>
        <w:r w:rsidR="00C424E5">
          <w:rPr>
            <w:rFonts w:eastAsiaTheme="minorEastAsia"/>
            <w:noProof/>
            <w:spacing w:val="0"/>
            <w:sz w:val="22"/>
            <w:lang w:eastAsia="en-AU"/>
          </w:rPr>
          <w:tab/>
        </w:r>
        <w:r w:rsidR="00C424E5" w:rsidRPr="00CF0000">
          <w:rPr>
            <w:rStyle w:val="Hyperlink"/>
            <w:noProof/>
          </w:rPr>
          <w:t xml:space="preserve">Purchases of non-financial assets </w:t>
        </w:r>
        <w:r w:rsidR="00C424E5">
          <w:rPr>
            <w:rStyle w:val="Hyperlink"/>
            <w:noProof/>
          </w:rPr>
          <w:br/>
        </w:r>
        <w:r w:rsidR="00C424E5" w:rsidRPr="00CF0000">
          <w:rPr>
            <w:rStyle w:val="Hyperlink"/>
            <w:noProof/>
          </w:rPr>
          <w:t xml:space="preserve">by classification of the functions </w:t>
        </w:r>
        <w:r w:rsidR="00C424E5">
          <w:rPr>
            <w:rStyle w:val="Hyperlink"/>
            <w:noProof/>
          </w:rPr>
          <w:br/>
        </w:r>
        <w:r w:rsidR="00C424E5" w:rsidRPr="00CF0000">
          <w:rPr>
            <w:rStyle w:val="Hyperlink"/>
            <w:noProof/>
          </w:rPr>
          <w:t>of government and by portfolio department</w:t>
        </w:r>
        <w:r w:rsidR="00C424E5">
          <w:rPr>
            <w:noProof/>
            <w:webHidden/>
          </w:rPr>
          <w:tab/>
        </w:r>
        <w:r w:rsidR="00C424E5">
          <w:rPr>
            <w:noProof/>
            <w:webHidden/>
          </w:rPr>
          <w:fldChar w:fldCharType="begin"/>
        </w:r>
        <w:r w:rsidR="00C424E5">
          <w:rPr>
            <w:noProof/>
            <w:webHidden/>
          </w:rPr>
          <w:instrText xml:space="preserve"> PAGEREF _Toc117172283 \h </w:instrText>
        </w:r>
        <w:r w:rsidR="00C424E5">
          <w:rPr>
            <w:noProof/>
            <w:webHidden/>
          </w:rPr>
        </w:r>
        <w:r w:rsidR="00C424E5">
          <w:rPr>
            <w:noProof/>
            <w:webHidden/>
          </w:rPr>
          <w:fldChar w:fldCharType="separate"/>
        </w:r>
        <w:r>
          <w:rPr>
            <w:noProof/>
            <w:webHidden/>
          </w:rPr>
          <w:t>51</w:t>
        </w:r>
        <w:r w:rsidR="00C424E5">
          <w:rPr>
            <w:noProof/>
            <w:webHidden/>
          </w:rPr>
          <w:fldChar w:fldCharType="end"/>
        </w:r>
      </w:hyperlink>
    </w:p>
    <w:p w14:paraId="3F8DEB40" w14:textId="4C8652FE" w:rsidR="00C424E5" w:rsidRDefault="00087BE6">
      <w:pPr>
        <w:pStyle w:val="TOC9"/>
        <w:rPr>
          <w:rFonts w:eastAsiaTheme="minorEastAsia"/>
          <w:noProof/>
          <w:spacing w:val="0"/>
          <w:sz w:val="22"/>
          <w:lang w:eastAsia="en-AU"/>
        </w:rPr>
      </w:pPr>
      <w:hyperlink w:anchor="_Toc117172284" w:history="1">
        <w:r w:rsidR="00C424E5" w:rsidRPr="00CF0000">
          <w:rPr>
            <w:rStyle w:val="Hyperlink"/>
            <w:noProof/>
          </w:rPr>
          <w:t>3.3.7</w:t>
        </w:r>
        <w:r w:rsidR="00C424E5">
          <w:rPr>
            <w:rFonts w:eastAsiaTheme="minorEastAsia"/>
            <w:noProof/>
            <w:spacing w:val="0"/>
            <w:sz w:val="22"/>
            <w:lang w:eastAsia="en-AU"/>
          </w:rPr>
          <w:tab/>
        </w:r>
        <w:r w:rsidR="00C424E5" w:rsidRPr="00CF0000">
          <w:rPr>
            <w:rStyle w:val="Hyperlink"/>
            <w:noProof/>
          </w:rPr>
          <w:t xml:space="preserve">Net acquisition of non-financial </w:t>
        </w:r>
        <w:r w:rsidR="002E4CB0">
          <w:rPr>
            <w:rStyle w:val="Hyperlink"/>
            <w:noProof/>
          </w:rPr>
          <w:br/>
        </w:r>
        <w:r w:rsidR="00C424E5" w:rsidRPr="00CF0000">
          <w:rPr>
            <w:rStyle w:val="Hyperlink"/>
            <w:noProof/>
          </w:rPr>
          <w:t>assets from transactions</w:t>
        </w:r>
        <w:r w:rsidR="00C424E5">
          <w:rPr>
            <w:noProof/>
            <w:webHidden/>
          </w:rPr>
          <w:tab/>
        </w:r>
        <w:r w:rsidR="00C424E5">
          <w:rPr>
            <w:noProof/>
            <w:webHidden/>
          </w:rPr>
          <w:fldChar w:fldCharType="begin"/>
        </w:r>
        <w:r w:rsidR="00C424E5">
          <w:rPr>
            <w:noProof/>
            <w:webHidden/>
          </w:rPr>
          <w:instrText xml:space="preserve"> PAGEREF _Toc117172284 \h </w:instrText>
        </w:r>
        <w:r w:rsidR="00C424E5">
          <w:rPr>
            <w:noProof/>
            <w:webHidden/>
          </w:rPr>
        </w:r>
        <w:r w:rsidR="00C424E5">
          <w:rPr>
            <w:noProof/>
            <w:webHidden/>
          </w:rPr>
          <w:fldChar w:fldCharType="separate"/>
        </w:r>
        <w:r>
          <w:rPr>
            <w:noProof/>
            <w:webHidden/>
          </w:rPr>
          <w:t>53</w:t>
        </w:r>
        <w:r w:rsidR="00C424E5">
          <w:rPr>
            <w:noProof/>
            <w:webHidden/>
          </w:rPr>
          <w:fldChar w:fldCharType="end"/>
        </w:r>
      </w:hyperlink>
    </w:p>
    <w:p w14:paraId="4286D842" w14:textId="77777777" w:rsidR="00C424E5" w:rsidRDefault="00C424E5" w:rsidP="006206EF">
      <w:pPr>
        <w:sectPr w:rsidR="00C424E5" w:rsidSect="007F4217">
          <w:type w:val="continuous"/>
          <w:pgSz w:w="9979" w:h="14175" w:code="9"/>
          <w:pgMar w:top="1134" w:right="1134" w:bottom="1134" w:left="1134" w:header="624" w:footer="567" w:gutter="0"/>
          <w:cols w:num="2" w:space="708"/>
          <w:titlePg/>
          <w:docGrid w:linePitch="360"/>
        </w:sectPr>
      </w:pPr>
      <w:r>
        <w:rPr>
          <w:noProof/>
          <w:lang w:val="en-US"/>
        </w:rPr>
        <w:fldChar w:fldCharType="end"/>
      </w:r>
    </w:p>
    <w:p w14:paraId="4A2325EE" w14:textId="77777777" w:rsidR="00C424E5" w:rsidRDefault="00C424E5" w:rsidP="006206EF">
      <w:pPr>
        <w:pStyle w:val="Heading3"/>
      </w:pPr>
      <w:bookmarkStart w:id="60" w:name="_Toc117172278"/>
      <w:bookmarkStart w:id="61" w:name="Section_3"/>
      <w:r w:rsidRPr="007F4217">
        <w:t>Employee expenses and provision for outstanding employee benefits</w:t>
      </w:r>
      <w:bookmarkEnd w:id="60"/>
    </w:p>
    <w:p w14:paraId="41730004" w14:textId="77777777" w:rsidR="00C424E5" w:rsidRDefault="00C424E5" w:rsidP="006206EF">
      <w:r>
        <w:t>Employee expenses and employee benefits are forecast on the basis of staffing profiles and current salaries, conditions and on-costs. For the forecast period, employee expenses and employee benefits mainly include the expected financial impact of employing more staff to increase service delivery in accordance with budget decisions and approved wage outcomes in line with wages policy. Forecast employee expenses also reflect the estimated impact of budget decisions that affect employee expense levels. The majority of employee expenses in the operating statement are salaries and wages. Employee expenses are recognised in the period in which the employee provides the services.</w:t>
      </w:r>
    </w:p>
    <w:p w14:paraId="73D46A26" w14:textId="77777777" w:rsidR="00C424E5" w:rsidRDefault="00C424E5" w:rsidP="006206EF">
      <w:pPr>
        <w:pStyle w:val="TableHeading"/>
      </w:pPr>
      <w:r w:rsidRPr="007F4217">
        <w:t>Employee benefits (balance sheet)</w:t>
      </w:r>
      <w:r w:rsidRPr="007F4217">
        <w:tab/>
        <w:t>($ million)</w:t>
      </w:r>
    </w:p>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925B88" w14:paraId="4CF95EF0" w14:textId="77777777" w:rsidTr="00A836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36F925B2" w14:textId="14697538" w:rsidR="00925B88" w:rsidRDefault="00925B88"/>
        </w:tc>
        <w:tc>
          <w:tcPr>
            <w:tcW w:w="794" w:type="dxa"/>
          </w:tcPr>
          <w:p w14:paraId="0F27FB1A" w14:textId="4D703220" w:rsidR="00925B88" w:rsidRDefault="00925B88" w:rsidP="00510474">
            <w:pPr>
              <w:cnfStyle w:val="100000000000" w:firstRow="1" w:lastRow="0" w:firstColumn="0" w:lastColumn="0" w:oddVBand="0" w:evenVBand="0" w:oddHBand="0" w:evenHBand="0" w:firstRowFirstColumn="0" w:firstRowLastColumn="0" w:lastRowFirstColumn="0" w:lastRowLastColumn="0"/>
            </w:pPr>
            <w:r>
              <w:t>2023</w:t>
            </w:r>
            <w:r w:rsidR="00F70B1C">
              <w:rPr>
                <w:i w:val="0"/>
              </w:rPr>
              <w:br/>
            </w:r>
            <w:r>
              <w:t>budget</w:t>
            </w:r>
          </w:p>
        </w:tc>
        <w:tc>
          <w:tcPr>
            <w:tcW w:w="794" w:type="dxa"/>
          </w:tcPr>
          <w:p w14:paraId="0BD8DB55" w14:textId="7D7A2BBF" w:rsidR="00925B88" w:rsidRDefault="00925B88" w:rsidP="00734FEB">
            <w:pPr>
              <w:cnfStyle w:val="100000000000" w:firstRow="1" w:lastRow="0" w:firstColumn="0" w:lastColumn="0" w:oddVBand="0" w:evenVBand="0" w:oddHBand="0" w:evenHBand="0" w:firstRowFirstColumn="0" w:firstRowLastColumn="0" w:lastRowFirstColumn="0" w:lastRowLastColumn="0"/>
            </w:pPr>
            <w:r>
              <w:t>2023</w:t>
            </w:r>
            <w:r w:rsidR="00F70B1C">
              <w:rPr>
                <w:i w:val="0"/>
              </w:rPr>
              <w:br/>
            </w:r>
            <w:r>
              <w:t>revised</w:t>
            </w:r>
          </w:p>
        </w:tc>
        <w:tc>
          <w:tcPr>
            <w:tcW w:w="794" w:type="dxa"/>
          </w:tcPr>
          <w:p w14:paraId="1962F8EA" w14:textId="71730504" w:rsidR="00925B88" w:rsidRDefault="00925B88" w:rsidP="007911D0">
            <w:pPr>
              <w:cnfStyle w:val="100000000000" w:firstRow="1" w:lastRow="0" w:firstColumn="0" w:lastColumn="0" w:oddVBand="0" w:evenVBand="0" w:oddHBand="0" w:evenHBand="0" w:firstRowFirstColumn="0" w:firstRowLastColumn="0" w:lastRowFirstColumn="0" w:lastRowLastColumn="0"/>
            </w:pPr>
            <w:r>
              <w:t>2024</w:t>
            </w:r>
            <w:r w:rsidR="00F70B1C">
              <w:rPr>
                <w:i w:val="0"/>
              </w:rPr>
              <w:br/>
            </w:r>
            <w:r>
              <w:t>estimate</w:t>
            </w:r>
          </w:p>
        </w:tc>
        <w:tc>
          <w:tcPr>
            <w:tcW w:w="794" w:type="dxa"/>
          </w:tcPr>
          <w:p w14:paraId="04F3E2DB" w14:textId="29D2C320" w:rsidR="00925B88" w:rsidRDefault="00925B88" w:rsidP="00225162">
            <w:pPr>
              <w:cnfStyle w:val="100000000000" w:firstRow="1" w:lastRow="0" w:firstColumn="0" w:lastColumn="0" w:oddVBand="0" w:evenVBand="0" w:oddHBand="0" w:evenHBand="0" w:firstRowFirstColumn="0" w:firstRowLastColumn="0" w:lastRowFirstColumn="0" w:lastRowLastColumn="0"/>
            </w:pPr>
            <w:r>
              <w:t>2025</w:t>
            </w:r>
            <w:r w:rsidR="00F70B1C">
              <w:rPr>
                <w:i w:val="0"/>
              </w:rPr>
              <w:br/>
            </w:r>
            <w:r>
              <w:t>estimate</w:t>
            </w:r>
          </w:p>
        </w:tc>
        <w:tc>
          <w:tcPr>
            <w:tcW w:w="794" w:type="dxa"/>
          </w:tcPr>
          <w:p w14:paraId="1B52A7BB" w14:textId="7B6C5EED" w:rsidR="00925B88" w:rsidRDefault="00925B88" w:rsidP="007C6EAC">
            <w:pPr>
              <w:cnfStyle w:val="100000000000" w:firstRow="1" w:lastRow="0" w:firstColumn="0" w:lastColumn="0" w:oddVBand="0" w:evenVBand="0" w:oddHBand="0" w:evenHBand="0" w:firstRowFirstColumn="0" w:firstRowLastColumn="0" w:lastRowFirstColumn="0" w:lastRowLastColumn="0"/>
            </w:pPr>
            <w:r>
              <w:t>2026</w:t>
            </w:r>
            <w:r w:rsidR="00F70B1C">
              <w:rPr>
                <w:i w:val="0"/>
              </w:rPr>
              <w:br/>
            </w:r>
            <w:r>
              <w:t>estimate</w:t>
            </w:r>
          </w:p>
        </w:tc>
      </w:tr>
      <w:tr w:rsidR="00C424E5" w14:paraId="231A49C1" w14:textId="77777777">
        <w:tc>
          <w:tcPr>
            <w:cnfStyle w:val="001000000000" w:firstRow="0" w:lastRow="0" w:firstColumn="1" w:lastColumn="0" w:oddVBand="0" w:evenVBand="0" w:oddHBand="0" w:evenHBand="0" w:firstRowFirstColumn="0" w:firstRowLastColumn="0" w:lastRowFirstColumn="0" w:lastRowLastColumn="0"/>
            <w:tcW w:w="3740" w:type="dxa"/>
          </w:tcPr>
          <w:p w14:paraId="77379B9F" w14:textId="77777777" w:rsidR="00C424E5" w:rsidRDefault="00C424E5">
            <w:r>
              <w:rPr>
                <w:b/>
              </w:rPr>
              <w:t>Current</w:t>
            </w:r>
          </w:p>
        </w:tc>
        <w:tc>
          <w:tcPr>
            <w:tcW w:w="794" w:type="dxa"/>
          </w:tcPr>
          <w:p w14:paraId="2B5A13FB"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39BD4958"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2DB3818C"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5A7DA3C3"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210049C2"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353ED0A7" w14:textId="77777777">
        <w:tc>
          <w:tcPr>
            <w:cnfStyle w:val="001000000000" w:firstRow="0" w:lastRow="0" w:firstColumn="1" w:lastColumn="0" w:oddVBand="0" w:evenVBand="0" w:oddHBand="0" w:evenHBand="0" w:firstRowFirstColumn="0" w:firstRowLastColumn="0" w:lastRowFirstColumn="0" w:lastRowLastColumn="0"/>
            <w:tcW w:w="3740" w:type="dxa"/>
          </w:tcPr>
          <w:p w14:paraId="428C4662" w14:textId="77777777" w:rsidR="00C424E5" w:rsidRDefault="00C424E5">
            <w:r>
              <w:t>Accrued salaries and wages</w:t>
            </w:r>
          </w:p>
        </w:tc>
        <w:tc>
          <w:tcPr>
            <w:tcW w:w="794" w:type="dxa"/>
          </w:tcPr>
          <w:p w14:paraId="1A74EC34" w14:textId="77777777" w:rsidR="00C424E5" w:rsidRDefault="00C424E5">
            <w:pPr>
              <w:cnfStyle w:val="000000000000" w:firstRow="0" w:lastRow="0" w:firstColumn="0" w:lastColumn="0" w:oddVBand="0" w:evenVBand="0" w:oddHBand="0" w:evenHBand="0" w:firstRowFirstColumn="0" w:firstRowLastColumn="0" w:lastRowFirstColumn="0" w:lastRowLastColumn="0"/>
            </w:pPr>
            <w:r>
              <w:t>787</w:t>
            </w:r>
          </w:p>
        </w:tc>
        <w:tc>
          <w:tcPr>
            <w:tcW w:w="794" w:type="dxa"/>
          </w:tcPr>
          <w:p w14:paraId="12964F20" w14:textId="77777777" w:rsidR="00C424E5" w:rsidRDefault="00C424E5">
            <w:pPr>
              <w:cnfStyle w:val="000000000000" w:firstRow="0" w:lastRow="0" w:firstColumn="0" w:lastColumn="0" w:oddVBand="0" w:evenVBand="0" w:oddHBand="0" w:evenHBand="0" w:firstRowFirstColumn="0" w:firstRowLastColumn="0" w:lastRowFirstColumn="0" w:lastRowLastColumn="0"/>
            </w:pPr>
            <w:r>
              <w:t>787</w:t>
            </w:r>
          </w:p>
        </w:tc>
        <w:tc>
          <w:tcPr>
            <w:tcW w:w="794" w:type="dxa"/>
          </w:tcPr>
          <w:p w14:paraId="2B663600" w14:textId="77777777" w:rsidR="00C424E5" w:rsidRDefault="00C424E5">
            <w:pPr>
              <w:cnfStyle w:val="000000000000" w:firstRow="0" w:lastRow="0" w:firstColumn="0" w:lastColumn="0" w:oddVBand="0" w:evenVBand="0" w:oddHBand="0" w:evenHBand="0" w:firstRowFirstColumn="0" w:firstRowLastColumn="0" w:lastRowFirstColumn="0" w:lastRowLastColumn="0"/>
            </w:pPr>
            <w:r>
              <w:t>802</w:t>
            </w:r>
          </w:p>
        </w:tc>
        <w:tc>
          <w:tcPr>
            <w:tcW w:w="794" w:type="dxa"/>
          </w:tcPr>
          <w:p w14:paraId="0B325A65" w14:textId="77777777" w:rsidR="00C424E5" w:rsidRDefault="00C424E5">
            <w:pPr>
              <w:cnfStyle w:val="000000000000" w:firstRow="0" w:lastRow="0" w:firstColumn="0" w:lastColumn="0" w:oddVBand="0" w:evenVBand="0" w:oddHBand="0" w:evenHBand="0" w:firstRowFirstColumn="0" w:firstRowLastColumn="0" w:lastRowFirstColumn="0" w:lastRowLastColumn="0"/>
            </w:pPr>
            <w:r>
              <w:t>817</w:t>
            </w:r>
          </w:p>
        </w:tc>
        <w:tc>
          <w:tcPr>
            <w:tcW w:w="794" w:type="dxa"/>
          </w:tcPr>
          <w:p w14:paraId="25C2979B" w14:textId="77777777" w:rsidR="00C424E5" w:rsidRDefault="00C424E5">
            <w:pPr>
              <w:cnfStyle w:val="000000000000" w:firstRow="0" w:lastRow="0" w:firstColumn="0" w:lastColumn="0" w:oddVBand="0" w:evenVBand="0" w:oddHBand="0" w:evenHBand="0" w:firstRowFirstColumn="0" w:firstRowLastColumn="0" w:lastRowFirstColumn="0" w:lastRowLastColumn="0"/>
            </w:pPr>
            <w:r>
              <w:t>833</w:t>
            </w:r>
          </w:p>
        </w:tc>
      </w:tr>
      <w:tr w:rsidR="00C424E5" w14:paraId="7A46EA18" w14:textId="77777777">
        <w:tc>
          <w:tcPr>
            <w:cnfStyle w:val="001000000000" w:firstRow="0" w:lastRow="0" w:firstColumn="1" w:lastColumn="0" w:oddVBand="0" w:evenVBand="0" w:oddHBand="0" w:evenHBand="0" w:firstRowFirstColumn="0" w:firstRowLastColumn="0" w:lastRowFirstColumn="0" w:lastRowLastColumn="0"/>
            <w:tcW w:w="3740" w:type="dxa"/>
          </w:tcPr>
          <w:p w14:paraId="45D76B1D" w14:textId="77777777" w:rsidR="00C424E5" w:rsidRDefault="00C424E5">
            <w:r>
              <w:t>Other employee benefits</w:t>
            </w:r>
          </w:p>
        </w:tc>
        <w:tc>
          <w:tcPr>
            <w:tcW w:w="794" w:type="dxa"/>
          </w:tcPr>
          <w:p w14:paraId="74350635" w14:textId="77777777" w:rsidR="00C424E5" w:rsidRDefault="00C424E5">
            <w:pPr>
              <w:cnfStyle w:val="000000000000" w:firstRow="0" w:lastRow="0" w:firstColumn="0" w:lastColumn="0" w:oddVBand="0" w:evenVBand="0" w:oddHBand="0" w:evenHBand="0" w:firstRowFirstColumn="0" w:firstRowLastColumn="0" w:lastRowFirstColumn="0" w:lastRowLastColumn="0"/>
            </w:pPr>
            <w:r>
              <w:t>209</w:t>
            </w:r>
          </w:p>
        </w:tc>
        <w:tc>
          <w:tcPr>
            <w:tcW w:w="794" w:type="dxa"/>
          </w:tcPr>
          <w:p w14:paraId="313C14D1" w14:textId="77777777" w:rsidR="00C424E5" w:rsidRDefault="00C424E5">
            <w:pPr>
              <w:cnfStyle w:val="000000000000" w:firstRow="0" w:lastRow="0" w:firstColumn="0" w:lastColumn="0" w:oddVBand="0" w:evenVBand="0" w:oddHBand="0" w:evenHBand="0" w:firstRowFirstColumn="0" w:firstRowLastColumn="0" w:lastRowFirstColumn="0" w:lastRowLastColumn="0"/>
            </w:pPr>
            <w:r>
              <w:t>141</w:t>
            </w:r>
          </w:p>
        </w:tc>
        <w:tc>
          <w:tcPr>
            <w:tcW w:w="794" w:type="dxa"/>
          </w:tcPr>
          <w:p w14:paraId="68F76F9D" w14:textId="77777777" w:rsidR="00C424E5" w:rsidRDefault="00C424E5">
            <w:pPr>
              <w:cnfStyle w:val="000000000000" w:firstRow="0" w:lastRow="0" w:firstColumn="0" w:lastColumn="0" w:oddVBand="0" w:evenVBand="0" w:oddHBand="0" w:evenHBand="0" w:firstRowFirstColumn="0" w:firstRowLastColumn="0" w:lastRowFirstColumn="0" w:lastRowLastColumn="0"/>
            </w:pPr>
            <w:r>
              <w:t>141</w:t>
            </w:r>
          </w:p>
        </w:tc>
        <w:tc>
          <w:tcPr>
            <w:tcW w:w="794" w:type="dxa"/>
          </w:tcPr>
          <w:p w14:paraId="7781C421" w14:textId="77777777" w:rsidR="00C424E5" w:rsidRDefault="00C424E5">
            <w:pPr>
              <w:cnfStyle w:val="000000000000" w:firstRow="0" w:lastRow="0" w:firstColumn="0" w:lastColumn="0" w:oddVBand="0" w:evenVBand="0" w:oddHBand="0" w:evenHBand="0" w:firstRowFirstColumn="0" w:firstRowLastColumn="0" w:lastRowFirstColumn="0" w:lastRowLastColumn="0"/>
            </w:pPr>
            <w:r>
              <w:t>141</w:t>
            </w:r>
          </w:p>
        </w:tc>
        <w:tc>
          <w:tcPr>
            <w:tcW w:w="794" w:type="dxa"/>
          </w:tcPr>
          <w:p w14:paraId="484E2DFC" w14:textId="77777777" w:rsidR="00C424E5" w:rsidRDefault="00C424E5">
            <w:pPr>
              <w:cnfStyle w:val="000000000000" w:firstRow="0" w:lastRow="0" w:firstColumn="0" w:lastColumn="0" w:oddVBand="0" w:evenVBand="0" w:oddHBand="0" w:evenHBand="0" w:firstRowFirstColumn="0" w:firstRowLastColumn="0" w:lastRowFirstColumn="0" w:lastRowLastColumn="0"/>
            </w:pPr>
            <w:r>
              <w:t>141</w:t>
            </w:r>
          </w:p>
        </w:tc>
      </w:tr>
      <w:tr w:rsidR="00C424E5" w14:paraId="4F0CAF06" w14:textId="77777777">
        <w:tc>
          <w:tcPr>
            <w:cnfStyle w:val="001000000000" w:firstRow="0" w:lastRow="0" w:firstColumn="1" w:lastColumn="0" w:oddVBand="0" w:evenVBand="0" w:oddHBand="0" w:evenHBand="0" w:firstRowFirstColumn="0" w:firstRowLastColumn="0" w:lastRowFirstColumn="0" w:lastRowLastColumn="0"/>
            <w:tcW w:w="3740" w:type="dxa"/>
          </w:tcPr>
          <w:p w14:paraId="0D8F9AD9" w14:textId="77777777" w:rsidR="00C424E5" w:rsidRDefault="00C424E5">
            <w:r>
              <w:t>Annual leave</w:t>
            </w:r>
          </w:p>
        </w:tc>
        <w:tc>
          <w:tcPr>
            <w:tcW w:w="794" w:type="dxa"/>
          </w:tcPr>
          <w:p w14:paraId="593441AF" w14:textId="77777777" w:rsidR="00C424E5" w:rsidRDefault="00C424E5">
            <w:pPr>
              <w:cnfStyle w:val="000000000000" w:firstRow="0" w:lastRow="0" w:firstColumn="0" w:lastColumn="0" w:oddVBand="0" w:evenVBand="0" w:oddHBand="0" w:evenHBand="0" w:firstRowFirstColumn="0" w:firstRowLastColumn="0" w:lastRowFirstColumn="0" w:lastRowLastColumn="0"/>
            </w:pPr>
            <w:r>
              <w:t>2 598</w:t>
            </w:r>
          </w:p>
        </w:tc>
        <w:tc>
          <w:tcPr>
            <w:tcW w:w="794" w:type="dxa"/>
          </w:tcPr>
          <w:p w14:paraId="44C8C205" w14:textId="77777777" w:rsidR="00C424E5" w:rsidRDefault="00C424E5">
            <w:pPr>
              <w:cnfStyle w:val="000000000000" w:firstRow="0" w:lastRow="0" w:firstColumn="0" w:lastColumn="0" w:oddVBand="0" w:evenVBand="0" w:oddHBand="0" w:evenHBand="0" w:firstRowFirstColumn="0" w:firstRowLastColumn="0" w:lastRowFirstColumn="0" w:lastRowLastColumn="0"/>
            </w:pPr>
            <w:r>
              <w:t>2 581</w:t>
            </w:r>
          </w:p>
        </w:tc>
        <w:tc>
          <w:tcPr>
            <w:tcW w:w="794" w:type="dxa"/>
          </w:tcPr>
          <w:p w14:paraId="64C825C9" w14:textId="77777777" w:rsidR="00C424E5" w:rsidRDefault="00C424E5">
            <w:pPr>
              <w:cnfStyle w:val="000000000000" w:firstRow="0" w:lastRow="0" w:firstColumn="0" w:lastColumn="0" w:oddVBand="0" w:evenVBand="0" w:oddHBand="0" w:evenHBand="0" w:firstRowFirstColumn="0" w:firstRowLastColumn="0" w:lastRowFirstColumn="0" w:lastRowLastColumn="0"/>
            </w:pPr>
            <w:r>
              <w:t>2 616</w:t>
            </w:r>
          </w:p>
        </w:tc>
        <w:tc>
          <w:tcPr>
            <w:tcW w:w="794" w:type="dxa"/>
          </w:tcPr>
          <w:p w14:paraId="6D5E8667" w14:textId="77777777" w:rsidR="00C424E5" w:rsidRDefault="00C424E5">
            <w:pPr>
              <w:cnfStyle w:val="000000000000" w:firstRow="0" w:lastRow="0" w:firstColumn="0" w:lastColumn="0" w:oddVBand="0" w:evenVBand="0" w:oddHBand="0" w:evenHBand="0" w:firstRowFirstColumn="0" w:firstRowLastColumn="0" w:lastRowFirstColumn="0" w:lastRowLastColumn="0"/>
            </w:pPr>
            <w:r>
              <w:t>2 651</w:t>
            </w:r>
          </w:p>
        </w:tc>
        <w:tc>
          <w:tcPr>
            <w:tcW w:w="794" w:type="dxa"/>
          </w:tcPr>
          <w:p w14:paraId="5E571D52" w14:textId="77777777" w:rsidR="00C424E5" w:rsidRDefault="00C424E5">
            <w:pPr>
              <w:cnfStyle w:val="000000000000" w:firstRow="0" w:lastRow="0" w:firstColumn="0" w:lastColumn="0" w:oddVBand="0" w:evenVBand="0" w:oddHBand="0" w:evenHBand="0" w:firstRowFirstColumn="0" w:firstRowLastColumn="0" w:lastRowFirstColumn="0" w:lastRowLastColumn="0"/>
            </w:pPr>
            <w:r>
              <w:t>2 686</w:t>
            </w:r>
          </w:p>
        </w:tc>
      </w:tr>
      <w:tr w:rsidR="00C424E5" w14:paraId="3AB5A327"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34A36A06" w14:textId="77777777" w:rsidR="00C424E5" w:rsidRDefault="00C424E5">
            <w:r>
              <w:t>Long service leave</w:t>
            </w:r>
          </w:p>
        </w:tc>
        <w:tc>
          <w:tcPr>
            <w:tcW w:w="794" w:type="dxa"/>
            <w:tcBorders>
              <w:bottom w:val="single" w:sz="6" w:space="0" w:color="auto"/>
            </w:tcBorders>
          </w:tcPr>
          <w:p w14:paraId="7C2730C8" w14:textId="77777777" w:rsidR="00C424E5" w:rsidRDefault="00C424E5">
            <w:pPr>
              <w:cnfStyle w:val="000000000000" w:firstRow="0" w:lastRow="0" w:firstColumn="0" w:lastColumn="0" w:oddVBand="0" w:evenVBand="0" w:oddHBand="0" w:evenHBand="0" w:firstRowFirstColumn="0" w:firstRowLastColumn="0" w:lastRowFirstColumn="0" w:lastRowLastColumn="0"/>
            </w:pPr>
            <w:r>
              <w:t>5 385</w:t>
            </w:r>
          </w:p>
        </w:tc>
        <w:tc>
          <w:tcPr>
            <w:tcW w:w="794" w:type="dxa"/>
            <w:tcBorders>
              <w:bottom w:val="single" w:sz="6" w:space="0" w:color="auto"/>
            </w:tcBorders>
          </w:tcPr>
          <w:p w14:paraId="0687693D" w14:textId="77777777" w:rsidR="00C424E5" w:rsidRDefault="00C424E5">
            <w:pPr>
              <w:cnfStyle w:val="000000000000" w:firstRow="0" w:lastRow="0" w:firstColumn="0" w:lastColumn="0" w:oddVBand="0" w:evenVBand="0" w:oddHBand="0" w:evenHBand="0" w:firstRowFirstColumn="0" w:firstRowLastColumn="0" w:lastRowFirstColumn="0" w:lastRowLastColumn="0"/>
            </w:pPr>
            <w:r>
              <w:t>5 387</w:t>
            </w:r>
          </w:p>
        </w:tc>
        <w:tc>
          <w:tcPr>
            <w:tcW w:w="794" w:type="dxa"/>
            <w:tcBorders>
              <w:bottom w:val="single" w:sz="6" w:space="0" w:color="auto"/>
            </w:tcBorders>
          </w:tcPr>
          <w:p w14:paraId="13DCF0F3" w14:textId="77777777" w:rsidR="00C424E5" w:rsidRDefault="00C424E5">
            <w:pPr>
              <w:cnfStyle w:val="000000000000" w:firstRow="0" w:lastRow="0" w:firstColumn="0" w:lastColumn="0" w:oddVBand="0" w:evenVBand="0" w:oddHBand="0" w:evenHBand="0" w:firstRowFirstColumn="0" w:firstRowLastColumn="0" w:lastRowFirstColumn="0" w:lastRowLastColumn="0"/>
            </w:pPr>
            <w:r>
              <w:t>5 532</w:t>
            </w:r>
          </w:p>
        </w:tc>
        <w:tc>
          <w:tcPr>
            <w:tcW w:w="794" w:type="dxa"/>
            <w:tcBorders>
              <w:bottom w:val="single" w:sz="6" w:space="0" w:color="auto"/>
            </w:tcBorders>
          </w:tcPr>
          <w:p w14:paraId="1E145F10" w14:textId="77777777" w:rsidR="00C424E5" w:rsidRDefault="00C424E5">
            <w:pPr>
              <w:cnfStyle w:val="000000000000" w:firstRow="0" w:lastRow="0" w:firstColumn="0" w:lastColumn="0" w:oddVBand="0" w:evenVBand="0" w:oddHBand="0" w:evenHBand="0" w:firstRowFirstColumn="0" w:firstRowLastColumn="0" w:lastRowFirstColumn="0" w:lastRowLastColumn="0"/>
            </w:pPr>
            <w:r>
              <w:t>5 678</w:t>
            </w:r>
          </w:p>
        </w:tc>
        <w:tc>
          <w:tcPr>
            <w:tcW w:w="794" w:type="dxa"/>
            <w:tcBorders>
              <w:bottom w:val="single" w:sz="6" w:space="0" w:color="auto"/>
            </w:tcBorders>
          </w:tcPr>
          <w:p w14:paraId="0E8FB8EA" w14:textId="77777777" w:rsidR="00C424E5" w:rsidRDefault="00C424E5">
            <w:pPr>
              <w:cnfStyle w:val="000000000000" w:firstRow="0" w:lastRow="0" w:firstColumn="0" w:lastColumn="0" w:oddVBand="0" w:evenVBand="0" w:oddHBand="0" w:evenHBand="0" w:firstRowFirstColumn="0" w:firstRowLastColumn="0" w:lastRowFirstColumn="0" w:lastRowLastColumn="0"/>
            </w:pPr>
            <w:r>
              <w:t>5 825</w:t>
            </w:r>
          </w:p>
        </w:tc>
      </w:tr>
      <w:tr w:rsidR="00C424E5" w14:paraId="689365BB"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6540E735" w14:textId="77777777" w:rsidR="00C424E5" w:rsidRDefault="00C424E5">
            <w:r>
              <w:rPr>
                <w:b/>
              </w:rPr>
              <w:t>Total current employee benefits and on</w:t>
            </w:r>
            <w:r>
              <w:rPr>
                <w:b/>
              </w:rPr>
              <w:noBreakHyphen/>
              <w:t>costs</w:t>
            </w:r>
          </w:p>
        </w:tc>
        <w:tc>
          <w:tcPr>
            <w:tcW w:w="794" w:type="dxa"/>
            <w:tcBorders>
              <w:top w:val="single" w:sz="6" w:space="0" w:color="auto"/>
            </w:tcBorders>
          </w:tcPr>
          <w:p w14:paraId="05F2C682"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8 979</w:t>
            </w:r>
          </w:p>
        </w:tc>
        <w:tc>
          <w:tcPr>
            <w:tcW w:w="794" w:type="dxa"/>
            <w:tcBorders>
              <w:top w:val="single" w:sz="6" w:space="0" w:color="auto"/>
            </w:tcBorders>
          </w:tcPr>
          <w:p w14:paraId="4DB60C11"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8 896</w:t>
            </w:r>
          </w:p>
        </w:tc>
        <w:tc>
          <w:tcPr>
            <w:tcW w:w="794" w:type="dxa"/>
            <w:tcBorders>
              <w:top w:val="single" w:sz="6" w:space="0" w:color="auto"/>
            </w:tcBorders>
          </w:tcPr>
          <w:p w14:paraId="5BF9D3C5"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9 091</w:t>
            </w:r>
          </w:p>
        </w:tc>
        <w:tc>
          <w:tcPr>
            <w:tcW w:w="794" w:type="dxa"/>
            <w:tcBorders>
              <w:top w:val="single" w:sz="6" w:space="0" w:color="auto"/>
            </w:tcBorders>
          </w:tcPr>
          <w:p w14:paraId="1A3E267A"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9 288</w:t>
            </w:r>
          </w:p>
        </w:tc>
        <w:tc>
          <w:tcPr>
            <w:tcW w:w="794" w:type="dxa"/>
            <w:tcBorders>
              <w:top w:val="single" w:sz="6" w:space="0" w:color="auto"/>
            </w:tcBorders>
          </w:tcPr>
          <w:p w14:paraId="5D56DE1A"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9 486</w:t>
            </w:r>
          </w:p>
        </w:tc>
      </w:tr>
      <w:tr w:rsidR="00C424E5" w14:paraId="0C3A60AD" w14:textId="77777777">
        <w:tc>
          <w:tcPr>
            <w:cnfStyle w:val="001000000000" w:firstRow="0" w:lastRow="0" w:firstColumn="1" w:lastColumn="0" w:oddVBand="0" w:evenVBand="0" w:oddHBand="0" w:evenHBand="0" w:firstRowFirstColumn="0" w:firstRowLastColumn="0" w:lastRowFirstColumn="0" w:lastRowLastColumn="0"/>
            <w:tcW w:w="3740" w:type="dxa"/>
          </w:tcPr>
          <w:p w14:paraId="79B2B26A" w14:textId="77777777" w:rsidR="00C424E5" w:rsidRDefault="00C424E5">
            <w:r>
              <w:rPr>
                <w:b/>
              </w:rPr>
              <w:t>Non</w:t>
            </w:r>
            <w:r>
              <w:rPr>
                <w:b/>
              </w:rPr>
              <w:noBreakHyphen/>
              <w:t>current</w:t>
            </w:r>
          </w:p>
        </w:tc>
        <w:tc>
          <w:tcPr>
            <w:tcW w:w="794" w:type="dxa"/>
          </w:tcPr>
          <w:p w14:paraId="57737388"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03241F52"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1BD24A62"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6D7C50EA"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55392482"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4BD12327"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369B9155" w14:textId="77777777" w:rsidR="00C424E5" w:rsidRDefault="00C424E5">
            <w:r>
              <w:t>Long service leave</w:t>
            </w:r>
          </w:p>
        </w:tc>
        <w:tc>
          <w:tcPr>
            <w:tcW w:w="794" w:type="dxa"/>
            <w:tcBorders>
              <w:bottom w:val="single" w:sz="6" w:space="0" w:color="auto"/>
            </w:tcBorders>
          </w:tcPr>
          <w:p w14:paraId="09234479" w14:textId="77777777" w:rsidR="00C424E5" w:rsidRDefault="00C424E5">
            <w:pPr>
              <w:cnfStyle w:val="000000000000" w:firstRow="0" w:lastRow="0" w:firstColumn="0" w:lastColumn="0" w:oddVBand="0" w:evenVBand="0" w:oddHBand="0" w:evenHBand="0" w:firstRowFirstColumn="0" w:firstRowLastColumn="0" w:lastRowFirstColumn="0" w:lastRowLastColumn="0"/>
            </w:pPr>
            <w:r>
              <w:t>1 200</w:t>
            </w:r>
          </w:p>
        </w:tc>
        <w:tc>
          <w:tcPr>
            <w:tcW w:w="794" w:type="dxa"/>
            <w:tcBorders>
              <w:bottom w:val="single" w:sz="6" w:space="0" w:color="auto"/>
            </w:tcBorders>
          </w:tcPr>
          <w:p w14:paraId="29067A39" w14:textId="77777777" w:rsidR="00C424E5" w:rsidRDefault="00C424E5">
            <w:pPr>
              <w:cnfStyle w:val="000000000000" w:firstRow="0" w:lastRow="0" w:firstColumn="0" w:lastColumn="0" w:oddVBand="0" w:evenVBand="0" w:oddHBand="0" w:evenHBand="0" w:firstRowFirstColumn="0" w:firstRowLastColumn="0" w:lastRowFirstColumn="0" w:lastRowLastColumn="0"/>
            </w:pPr>
            <w:r>
              <w:t>1 203</w:t>
            </w:r>
          </w:p>
        </w:tc>
        <w:tc>
          <w:tcPr>
            <w:tcW w:w="794" w:type="dxa"/>
            <w:tcBorders>
              <w:bottom w:val="single" w:sz="6" w:space="0" w:color="auto"/>
            </w:tcBorders>
          </w:tcPr>
          <w:p w14:paraId="788BB33F" w14:textId="77777777" w:rsidR="00C424E5" w:rsidRDefault="00C424E5">
            <w:pPr>
              <w:cnfStyle w:val="000000000000" w:firstRow="0" w:lastRow="0" w:firstColumn="0" w:lastColumn="0" w:oddVBand="0" w:evenVBand="0" w:oddHBand="0" w:evenHBand="0" w:firstRowFirstColumn="0" w:firstRowLastColumn="0" w:lastRowFirstColumn="0" w:lastRowLastColumn="0"/>
            </w:pPr>
            <w:r>
              <w:t>1 337</w:t>
            </w:r>
          </w:p>
        </w:tc>
        <w:tc>
          <w:tcPr>
            <w:tcW w:w="794" w:type="dxa"/>
            <w:tcBorders>
              <w:bottom w:val="single" w:sz="6" w:space="0" w:color="auto"/>
            </w:tcBorders>
          </w:tcPr>
          <w:p w14:paraId="22687039" w14:textId="77777777" w:rsidR="00C424E5" w:rsidRDefault="00C424E5">
            <w:pPr>
              <w:cnfStyle w:val="000000000000" w:firstRow="0" w:lastRow="0" w:firstColumn="0" w:lastColumn="0" w:oddVBand="0" w:evenVBand="0" w:oddHBand="0" w:evenHBand="0" w:firstRowFirstColumn="0" w:firstRowLastColumn="0" w:lastRowFirstColumn="0" w:lastRowLastColumn="0"/>
            </w:pPr>
            <w:r>
              <w:t>1 478</w:t>
            </w:r>
          </w:p>
        </w:tc>
        <w:tc>
          <w:tcPr>
            <w:tcW w:w="794" w:type="dxa"/>
            <w:tcBorders>
              <w:bottom w:val="single" w:sz="6" w:space="0" w:color="auto"/>
            </w:tcBorders>
          </w:tcPr>
          <w:p w14:paraId="1BA609C2" w14:textId="77777777" w:rsidR="00C424E5" w:rsidRDefault="00C424E5">
            <w:pPr>
              <w:cnfStyle w:val="000000000000" w:firstRow="0" w:lastRow="0" w:firstColumn="0" w:lastColumn="0" w:oddVBand="0" w:evenVBand="0" w:oddHBand="0" w:evenHBand="0" w:firstRowFirstColumn="0" w:firstRowLastColumn="0" w:lastRowFirstColumn="0" w:lastRowLastColumn="0"/>
            </w:pPr>
            <w:r>
              <w:t>1 623</w:t>
            </w:r>
          </w:p>
        </w:tc>
      </w:tr>
      <w:tr w:rsidR="00C424E5" w14:paraId="573E8D95"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313E7A8B" w14:textId="77777777" w:rsidR="00C424E5" w:rsidRDefault="00C424E5">
            <w:r>
              <w:rPr>
                <w:b/>
              </w:rPr>
              <w:t>Total non</w:t>
            </w:r>
            <w:r>
              <w:rPr>
                <w:b/>
              </w:rPr>
              <w:noBreakHyphen/>
              <w:t>current employee benefits and on</w:t>
            </w:r>
            <w:r>
              <w:rPr>
                <w:b/>
              </w:rPr>
              <w:noBreakHyphen/>
              <w:t>costs</w:t>
            </w:r>
          </w:p>
        </w:tc>
        <w:tc>
          <w:tcPr>
            <w:tcW w:w="794" w:type="dxa"/>
            <w:tcBorders>
              <w:top w:val="single" w:sz="6" w:space="0" w:color="auto"/>
              <w:bottom w:val="single" w:sz="6" w:space="0" w:color="auto"/>
            </w:tcBorders>
          </w:tcPr>
          <w:p w14:paraId="44EFE523"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1 200</w:t>
            </w:r>
          </w:p>
        </w:tc>
        <w:tc>
          <w:tcPr>
            <w:tcW w:w="794" w:type="dxa"/>
            <w:tcBorders>
              <w:top w:val="single" w:sz="6" w:space="0" w:color="auto"/>
              <w:bottom w:val="single" w:sz="6" w:space="0" w:color="auto"/>
            </w:tcBorders>
          </w:tcPr>
          <w:p w14:paraId="423643DC"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1 203</w:t>
            </w:r>
          </w:p>
        </w:tc>
        <w:tc>
          <w:tcPr>
            <w:tcW w:w="794" w:type="dxa"/>
            <w:tcBorders>
              <w:top w:val="single" w:sz="6" w:space="0" w:color="auto"/>
              <w:bottom w:val="single" w:sz="6" w:space="0" w:color="auto"/>
            </w:tcBorders>
          </w:tcPr>
          <w:p w14:paraId="36D62816"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1 337</w:t>
            </w:r>
          </w:p>
        </w:tc>
        <w:tc>
          <w:tcPr>
            <w:tcW w:w="794" w:type="dxa"/>
            <w:tcBorders>
              <w:top w:val="single" w:sz="6" w:space="0" w:color="auto"/>
              <w:bottom w:val="single" w:sz="6" w:space="0" w:color="auto"/>
            </w:tcBorders>
          </w:tcPr>
          <w:p w14:paraId="50CCB3AD"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1 478</w:t>
            </w:r>
          </w:p>
        </w:tc>
        <w:tc>
          <w:tcPr>
            <w:tcW w:w="794" w:type="dxa"/>
            <w:tcBorders>
              <w:top w:val="single" w:sz="6" w:space="0" w:color="auto"/>
              <w:bottom w:val="single" w:sz="6" w:space="0" w:color="auto"/>
            </w:tcBorders>
          </w:tcPr>
          <w:p w14:paraId="5815CBF6"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1 623</w:t>
            </w:r>
          </w:p>
        </w:tc>
      </w:tr>
      <w:tr w:rsidR="00C424E5" w14:paraId="5B24FAC3"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15CA7894" w14:textId="77777777" w:rsidR="00C424E5" w:rsidRDefault="00C424E5">
            <w:r>
              <w:rPr>
                <w:b/>
              </w:rPr>
              <w:t>Total employee benefits</w:t>
            </w:r>
          </w:p>
        </w:tc>
        <w:tc>
          <w:tcPr>
            <w:tcW w:w="794" w:type="dxa"/>
            <w:tcBorders>
              <w:top w:val="single" w:sz="6" w:space="0" w:color="auto"/>
              <w:bottom w:val="single" w:sz="12" w:space="0" w:color="auto"/>
            </w:tcBorders>
          </w:tcPr>
          <w:p w14:paraId="13808B61"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10 179</w:t>
            </w:r>
          </w:p>
        </w:tc>
        <w:tc>
          <w:tcPr>
            <w:tcW w:w="794" w:type="dxa"/>
            <w:tcBorders>
              <w:top w:val="single" w:sz="6" w:space="0" w:color="auto"/>
              <w:bottom w:val="single" w:sz="12" w:space="0" w:color="auto"/>
            </w:tcBorders>
          </w:tcPr>
          <w:p w14:paraId="456FB1E6"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10 099</w:t>
            </w:r>
          </w:p>
        </w:tc>
        <w:tc>
          <w:tcPr>
            <w:tcW w:w="794" w:type="dxa"/>
            <w:tcBorders>
              <w:top w:val="single" w:sz="6" w:space="0" w:color="auto"/>
              <w:bottom w:val="single" w:sz="12" w:space="0" w:color="auto"/>
            </w:tcBorders>
          </w:tcPr>
          <w:p w14:paraId="69089E18"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10 429</w:t>
            </w:r>
          </w:p>
        </w:tc>
        <w:tc>
          <w:tcPr>
            <w:tcW w:w="794" w:type="dxa"/>
            <w:tcBorders>
              <w:top w:val="single" w:sz="6" w:space="0" w:color="auto"/>
              <w:bottom w:val="single" w:sz="12" w:space="0" w:color="auto"/>
            </w:tcBorders>
          </w:tcPr>
          <w:p w14:paraId="0AA5DAE2"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10 766</w:t>
            </w:r>
          </w:p>
        </w:tc>
        <w:tc>
          <w:tcPr>
            <w:tcW w:w="794" w:type="dxa"/>
            <w:tcBorders>
              <w:top w:val="single" w:sz="6" w:space="0" w:color="auto"/>
              <w:bottom w:val="single" w:sz="12" w:space="0" w:color="auto"/>
            </w:tcBorders>
          </w:tcPr>
          <w:p w14:paraId="17CAD39D" w14:textId="1A06DD6E" w:rsidR="00C424E5" w:rsidRDefault="00C424E5">
            <w:pPr>
              <w:cnfStyle w:val="000000000000" w:firstRow="0" w:lastRow="0" w:firstColumn="0" w:lastColumn="0" w:oddVBand="0" w:evenVBand="0" w:oddHBand="0" w:evenHBand="0" w:firstRowFirstColumn="0" w:firstRowLastColumn="0" w:lastRowFirstColumn="0" w:lastRowLastColumn="0"/>
            </w:pPr>
            <w:r>
              <w:rPr>
                <w:b/>
              </w:rPr>
              <w:t>11 109</w:t>
            </w:r>
          </w:p>
        </w:tc>
      </w:tr>
    </w:tbl>
    <w:p w14:paraId="34B4E4AE" w14:textId="77777777" w:rsidR="00C424E5" w:rsidRDefault="00C424E5" w:rsidP="006206EF">
      <w:pPr>
        <w:pStyle w:val="Heading3"/>
        <w:pageBreakBefore/>
      </w:pPr>
      <w:bookmarkStart w:id="62" w:name="_Toc117172279"/>
      <w:r>
        <w:lastRenderedPageBreak/>
        <w:t>Superannuation expense</w:t>
      </w:r>
      <w:bookmarkEnd w:id="62"/>
    </w:p>
    <w:p w14:paraId="1AB5B8E3" w14:textId="77777777" w:rsidR="00C424E5" w:rsidRDefault="00C424E5" w:rsidP="006206EF">
      <w:pPr>
        <w:pStyle w:val="TableHeading"/>
      </w:pPr>
      <w:r>
        <w:t>Superannuation expense recognised in the operating statement</w:t>
      </w:r>
      <w:r>
        <w:tab/>
        <w:t>($ million)</w:t>
      </w:r>
    </w:p>
    <w:tbl>
      <w:tblPr>
        <w:tblStyle w:val="DTFTableNumeric"/>
        <w:tblW w:w="7710" w:type="dxa"/>
        <w:tblLayout w:type="fixed"/>
        <w:tblLook w:val="06A0" w:firstRow="1" w:lastRow="0" w:firstColumn="1" w:lastColumn="0" w:noHBand="1" w:noVBand="1"/>
      </w:tblPr>
      <w:tblGrid>
        <w:gridCol w:w="3740"/>
        <w:gridCol w:w="138"/>
        <w:gridCol w:w="656"/>
        <w:gridCol w:w="794"/>
        <w:gridCol w:w="794"/>
        <w:gridCol w:w="794"/>
        <w:gridCol w:w="794"/>
      </w:tblGrid>
      <w:tr w:rsidR="00925B88" w14:paraId="473F65DB" w14:textId="77777777" w:rsidTr="00A836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48828F7E" w14:textId="404B0383" w:rsidR="00925B88" w:rsidRDefault="00925B88"/>
        </w:tc>
        <w:tc>
          <w:tcPr>
            <w:tcW w:w="794" w:type="dxa"/>
            <w:gridSpan w:val="2"/>
          </w:tcPr>
          <w:p w14:paraId="53C7A2FF" w14:textId="3AAC7F11" w:rsidR="00925B88" w:rsidRDefault="00925B88" w:rsidP="00FA7877">
            <w:pPr>
              <w:cnfStyle w:val="100000000000" w:firstRow="1" w:lastRow="0" w:firstColumn="0" w:lastColumn="0" w:oddVBand="0" w:evenVBand="0" w:oddHBand="0" w:evenHBand="0" w:firstRowFirstColumn="0" w:firstRowLastColumn="0" w:lastRowFirstColumn="0" w:lastRowLastColumn="0"/>
            </w:pPr>
            <w:r>
              <w:t>2022</w:t>
            </w:r>
            <w:r>
              <w:noBreakHyphen/>
              <w:t>23</w:t>
            </w:r>
            <w:r w:rsidR="00F70B1C">
              <w:rPr>
                <w:i w:val="0"/>
              </w:rPr>
              <w:br/>
            </w:r>
            <w:r>
              <w:t>budget</w:t>
            </w:r>
          </w:p>
        </w:tc>
        <w:tc>
          <w:tcPr>
            <w:tcW w:w="794" w:type="dxa"/>
          </w:tcPr>
          <w:p w14:paraId="2CC502C1" w14:textId="65F644DF" w:rsidR="00925B88" w:rsidRDefault="00925B88" w:rsidP="005B4714">
            <w:pPr>
              <w:cnfStyle w:val="100000000000" w:firstRow="1" w:lastRow="0" w:firstColumn="0" w:lastColumn="0" w:oddVBand="0" w:evenVBand="0" w:oddHBand="0" w:evenHBand="0" w:firstRowFirstColumn="0" w:firstRowLastColumn="0" w:lastRowFirstColumn="0" w:lastRowLastColumn="0"/>
            </w:pPr>
            <w:r>
              <w:t>2022</w:t>
            </w:r>
            <w:r>
              <w:noBreakHyphen/>
              <w:t>23</w:t>
            </w:r>
            <w:r w:rsidR="00F70B1C">
              <w:rPr>
                <w:i w:val="0"/>
              </w:rPr>
              <w:br/>
            </w:r>
            <w:r>
              <w:t>revised</w:t>
            </w:r>
          </w:p>
        </w:tc>
        <w:tc>
          <w:tcPr>
            <w:tcW w:w="794" w:type="dxa"/>
          </w:tcPr>
          <w:p w14:paraId="1D077218" w14:textId="77554A51" w:rsidR="00925B88" w:rsidRDefault="00925B88" w:rsidP="00B445FA">
            <w:pPr>
              <w:cnfStyle w:val="100000000000" w:firstRow="1" w:lastRow="0" w:firstColumn="0" w:lastColumn="0" w:oddVBand="0" w:evenVBand="0" w:oddHBand="0" w:evenHBand="0" w:firstRowFirstColumn="0" w:firstRowLastColumn="0" w:lastRowFirstColumn="0" w:lastRowLastColumn="0"/>
            </w:pPr>
            <w:r>
              <w:t>2023</w:t>
            </w:r>
            <w:r>
              <w:noBreakHyphen/>
              <w:t>24</w:t>
            </w:r>
            <w:r w:rsidR="00F70B1C">
              <w:rPr>
                <w:i w:val="0"/>
              </w:rPr>
              <w:br/>
            </w:r>
            <w:r>
              <w:t>estimate</w:t>
            </w:r>
          </w:p>
        </w:tc>
        <w:tc>
          <w:tcPr>
            <w:tcW w:w="794" w:type="dxa"/>
          </w:tcPr>
          <w:p w14:paraId="41B0BD3D" w14:textId="0C097AB9" w:rsidR="00925B88" w:rsidRDefault="00925B88" w:rsidP="00860040">
            <w:pPr>
              <w:cnfStyle w:val="100000000000" w:firstRow="1" w:lastRow="0" w:firstColumn="0" w:lastColumn="0" w:oddVBand="0" w:evenVBand="0" w:oddHBand="0" w:evenHBand="0" w:firstRowFirstColumn="0" w:firstRowLastColumn="0" w:lastRowFirstColumn="0" w:lastRowLastColumn="0"/>
            </w:pPr>
            <w:r>
              <w:t>2024</w:t>
            </w:r>
            <w:r>
              <w:noBreakHyphen/>
              <w:t>25</w:t>
            </w:r>
            <w:r w:rsidR="00F70B1C">
              <w:rPr>
                <w:i w:val="0"/>
              </w:rPr>
              <w:br/>
            </w:r>
            <w:r>
              <w:t>estimate</w:t>
            </w:r>
          </w:p>
        </w:tc>
        <w:tc>
          <w:tcPr>
            <w:tcW w:w="794" w:type="dxa"/>
          </w:tcPr>
          <w:p w14:paraId="3458A1AE" w14:textId="70333ED3" w:rsidR="00925B88" w:rsidRDefault="00925B88" w:rsidP="00B14691">
            <w:pPr>
              <w:cnfStyle w:val="100000000000" w:firstRow="1" w:lastRow="0" w:firstColumn="0" w:lastColumn="0" w:oddVBand="0" w:evenVBand="0" w:oddHBand="0" w:evenHBand="0" w:firstRowFirstColumn="0" w:firstRowLastColumn="0" w:lastRowFirstColumn="0" w:lastRowLastColumn="0"/>
            </w:pPr>
            <w:r>
              <w:t>2025</w:t>
            </w:r>
            <w:r>
              <w:noBreakHyphen/>
              <w:t>26</w:t>
            </w:r>
            <w:r w:rsidR="00F70B1C">
              <w:rPr>
                <w:i w:val="0"/>
              </w:rPr>
              <w:br/>
            </w:r>
            <w:r>
              <w:t>estimate</w:t>
            </w:r>
          </w:p>
        </w:tc>
      </w:tr>
      <w:tr w:rsidR="00C424E5" w14:paraId="10D7DFA0" w14:textId="77777777">
        <w:tc>
          <w:tcPr>
            <w:cnfStyle w:val="001000000000" w:firstRow="0" w:lastRow="0" w:firstColumn="1" w:lastColumn="0" w:oddVBand="0" w:evenVBand="0" w:oddHBand="0" w:evenHBand="0" w:firstRowFirstColumn="0" w:firstRowLastColumn="0" w:lastRowFirstColumn="0" w:lastRowLastColumn="0"/>
            <w:tcW w:w="3740" w:type="dxa"/>
          </w:tcPr>
          <w:p w14:paraId="5B9D09CA" w14:textId="77777777" w:rsidR="00C424E5" w:rsidRDefault="00C424E5">
            <w:r>
              <w:rPr>
                <w:b/>
              </w:rPr>
              <w:t>Defined benefit plans</w:t>
            </w:r>
          </w:p>
        </w:tc>
        <w:tc>
          <w:tcPr>
            <w:tcW w:w="794" w:type="dxa"/>
            <w:gridSpan w:val="2"/>
          </w:tcPr>
          <w:p w14:paraId="328D844B"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7A18F906"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2B165BD5"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13CDCF93"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59A10208"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20CCAE8C" w14:textId="77777777">
        <w:tc>
          <w:tcPr>
            <w:cnfStyle w:val="001000000000" w:firstRow="0" w:lastRow="0" w:firstColumn="1" w:lastColumn="0" w:oddVBand="0" w:evenVBand="0" w:oddHBand="0" w:evenHBand="0" w:firstRowFirstColumn="0" w:firstRowLastColumn="0" w:lastRowFirstColumn="0" w:lastRowLastColumn="0"/>
            <w:tcW w:w="3740" w:type="dxa"/>
          </w:tcPr>
          <w:p w14:paraId="44AAB41F" w14:textId="77777777" w:rsidR="00C424E5" w:rsidRDefault="00C424E5">
            <w:r>
              <w:t>Net superannuation interest expense</w:t>
            </w:r>
          </w:p>
        </w:tc>
        <w:tc>
          <w:tcPr>
            <w:tcW w:w="794" w:type="dxa"/>
            <w:gridSpan w:val="2"/>
          </w:tcPr>
          <w:p w14:paraId="63CCEF89" w14:textId="77777777" w:rsidR="00C424E5" w:rsidRDefault="00C424E5">
            <w:pPr>
              <w:cnfStyle w:val="000000000000" w:firstRow="0" w:lastRow="0" w:firstColumn="0" w:lastColumn="0" w:oddVBand="0" w:evenVBand="0" w:oddHBand="0" w:evenHBand="0" w:firstRowFirstColumn="0" w:firstRowLastColumn="0" w:lastRowFirstColumn="0" w:lastRowLastColumn="0"/>
            </w:pPr>
            <w:r>
              <w:t>682</w:t>
            </w:r>
          </w:p>
        </w:tc>
        <w:tc>
          <w:tcPr>
            <w:tcW w:w="794" w:type="dxa"/>
          </w:tcPr>
          <w:p w14:paraId="480E58A6" w14:textId="77777777" w:rsidR="00C424E5" w:rsidRDefault="00C424E5">
            <w:pPr>
              <w:cnfStyle w:val="000000000000" w:firstRow="0" w:lastRow="0" w:firstColumn="0" w:lastColumn="0" w:oddVBand="0" w:evenVBand="0" w:oddHBand="0" w:evenHBand="0" w:firstRowFirstColumn="0" w:firstRowLastColumn="0" w:lastRowFirstColumn="0" w:lastRowLastColumn="0"/>
            </w:pPr>
            <w:r>
              <w:t>719</w:t>
            </w:r>
          </w:p>
        </w:tc>
        <w:tc>
          <w:tcPr>
            <w:tcW w:w="794" w:type="dxa"/>
          </w:tcPr>
          <w:p w14:paraId="696BB823" w14:textId="77777777" w:rsidR="00C424E5" w:rsidRDefault="00C424E5">
            <w:pPr>
              <w:cnfStyle w:val="000000000000" w:firstRow="0" w:lastRow="0" w:firstColumn="0" w:lastColumn="0" w:oddVBand="0" w:evenVBand="0" w:oddHBand="0" w:evenHBand="0" w:firstRowFirstColumn="0" w:firstRowLastColumn="0" w:lastRowFirstColumn="0" w:lastRowLastColumn="0"/>
            </w:pPr>
            <w:r>
              <w:t>716</w:t>
            </w:r>
          </w:p>
        </w:tc>
        <w:tc>
          <w:tcPr>
            <w:tcW w:w="794" w:type="dxa"/>
          </w:tcPr>
          <w:p w14:paraId="6483FCC4" w14:textId="77777777" w:rsidR="00C424E5" w:rsidRDefault="00C424E5">
            <w:pPr>
              <w:cnfStyle w:val="000000000000" w:firstRow="0" w:lastRow="0" w:firstColumn="0" w:lastColumn="0" w:oddVBand="0" w:evenVBand="0" w:oddHBand="0" w:evenHBand="0" w:firstRowFirstColumn="0" w:firstRowLastColumn="0" w:lastRowFirstColumn="0" w:lastRowLastColumn="0"/>
            </w:pPr>
            <w:r>
              <w:t>690</w:t>
            </w:r>
          </w:p>
        </w:tc>
        <w:tc>
          <w:tcPr>
            <w:tcW w:w="794" w:type="dxa"/>
          </w:tcPr>
          <w:p w14:paraId="3684D42E" w14:textId="77777777" w:rsidR="00C424E5" w:rsidRDefault="00C424E5">
            <w:pPr>
              <w:cnfStyle w:val="000000000000" w:firstRow="0" w:lastRow="0" w:firstColumn="0" w:lastColumn="0" w:oddVBand="0" w:evenVBand="0" w:oddHBand="0" w:evenHBand="0" w:firstRowFirstColumn="0" w:firstRowLastColumn="0" w:lastRowFirstColumn="0" w:lastRowLastColumn="0"/>
            </w:pPr>
            <w:r>
              <w:t>668</w:t>
            </w:r>
          </w:p>
        </w:tc>
      </w:tr>
      <w:tr w:rsidR="00C424E5" w14:paraId="4CEC4B81" w14:textId="77777777">
        <w:tc>
          <w:tcPr>
            <w:cnfStyle w:val="001000000000" w:firstRow="0" w:lastRow="0" w:firstColumn="1" w:lastColumn="0" w:oddVBand="0" w:evenVBand="0" w:oddHBand="0" w:evenHBand="0" w:firstRowFirstColumn="0" w:firstRowLastColumn="0" w:lastRowFirstColumn="0" w:lastRowLastColumn="0"/>
            <w:tcW w:w="3740" w:type="dxa"/>
          </w:tcPr>
          <w:p w14:paraId="6750EF6C" w14:textId="77777777" w:rsidR="00C424E5" w:rsidRDefault="00C424E5">
            <w:r>
              <w:t>Current service cost</w:t>
            </w:r>
          </w:p>
        </w:tc>
        <w:tc>
          <w:tcPr>
            <w:tcW w:w="794" w:type="dxa"/>
            <w:gridSpan w:val="2"/>
          </w:tcPr>
          <w:p w14:paraId="26FDF5C7" w14:textId="77777777" w:rsidR="00C424E5" w:rsidRDefault="00C424E5">
            <w:pPr>
              <w:cnfStyle w:val="000000000000" w:firstRow="0" w:lastRow="0" w:firstColumn="0" w:lastColumn="0" w:oddVBand="0" w:evenVBand="0" w:oddHBand="0" w:evenHBand="0" w:firstRowFirstColumn="0" w:firstRowLastColumn="0" w:lastRowFirstColumn="0" w:lastRowLastColumn="0"/>
            </w:pPr>
            <w:r>
              <w:t>1 418</w:t>
            </w:r>
          </w:p>
        </w:tc>
        <w:tc>
          <w:tcPr>
            <w:tcW w:w="794" w:type="dxa"/>
          </w:tcPr>
          <w:p w14:paraId="77CA8A36" w14:textId="77777777" w:rsidR="00C424E5" w:rsidRDefault="00C424E5">
            <w:pPr>
              <w:cnfStyle w:val="000000000000" w:firstRow="0" w:lastRow="0" w:firstColumn="0" w:lastColumn="0" w:oddVBand="0" w:evenVBand="0" w:oddHBand="0" w:evenHBand="0" w:firstRowFirstColumn="0" w:firstRowLastColumn="0" w:lastRowFirstColumn="0" w:lastRowLastColumn="0"/>
            </w:pPr>
            <w:r>
              <w:t>988</w:t>
            </w:r>
          </w:p>
        </w:tc>
        <w:tc>
          <w:tcPr>
            <w:tcW w:w="794" w:type="dxa"/>
          </w:tcPr>
          <w:p w14:paraId="30253F4A" w14:textId="77777777" w:rsidR="00C424E5" w:rsidRDefault="00C424E5">
            <w:pPr>
              <w:cnfStyle w:val="000000000000" w:firstRow="0" w:lastRow="0" w:firstColumn="0" w:lastColumn="0" w:oddVBand="0" w:evenVBand="0" w:oddHBand="0" w:evenHBand="0" w:firstRowFirstColumn="0" w:firstRowLastColumn="0" w:lastRowFirstColumn="0" w:lastRowLastColumn="0"/>
            </w:pPr>
            <w:r>
              <w:t>1 046</w:t>
            </w:r>
          </w:p>
        </w:tc>
        <w:tc>
          <w:tcPr>
            <w:tcW w:w="794" w:type="dxa"/>
          </w:tcPr>
          <w:p w14:paraId="1FF9D586" w14:textId="77777777" w:rsidR="00C424E5" w:rsidRDefault="00C424E5">
            <w:pPr>
              <w:cnfStyle w:val="000000000000" w:firstRow="0" w:lastRow="0" w:firstColumn="0" w:lastColumn="0" w:oddVBand="0" w:evenVBand="0" w:oddHBand="0" w:evenHBand="0" w:firstRowFirstColumn="0" w:firstRowLastColumn="0" w:lastRowFirstColumn="0" w:lastRowLastColumn="0"/>
            </w:pPr>
            <w:r>
              <w:t>1 129</w:t>
            </w:r>
          </w:p>
        </w:tc>
        <w:tc>
          <w:tcPr>
            <w:tcW w:w="794" w:type="dxa"/>
          </w:tcPr>
          <w:p w14:paraId="4E812EC6" w14:textId="77777777" w:rsidR="00C424E5" w:rsidRDefault="00C424E5">
            <w:pPr>
              <w:cnfStyle w:val="000000000000" w:firstRow="0" w:lastRow="0" w:firstColumn="0" w:lastColumn="0" w:oddVBand="0" w:evenVBand="0" w:oddHBand="0" w:evenHBand="0" w:firstRowFirstColumn="0" w:firstRowLastColumn="0" w:lastRowFirstColumn="0" w:lastRowLastColumn="0"/>
            </w:pPr>
            <w:r>
              <w:t>1 221</w:t>
            </w:r>
          </w:p>
        </w:tc>
      </w:tr>
      <w:tr w:rsidR="00C424E5" w14:paraId="121EB96C" w14:textId="77777777">
        <w:tc>
          <w:tcPr>
            <w:cnfStyle w:val="001000000000" w:firstRow="0" w:lastRow="0" w:firstColumn="1" w:lastColumn="0" w:oddVBand="0" w:evenVBand="0" w:oddHBand="0" w:evenHBand="0" w:firstRowFirstColumn="0" w:firstRowLastColumn="0" w:lastRowFirstColumn="0" w:lastRowLastColumn="0"/>
            <w:tcW w:w="3740" w:type="dxa"/>
          </w:tcPr>
          <w:p w14:paraId="20196B15" w14:textId="77777777" w:rsidR="00C424E5" w:rsidRDefault="00C424E5">
            <w:r>
              <w:t>Remeasurements:</w:t>
            </w:r>
          </w:p>
        </w:tc>
        <w:tc>
          <w:tcPr>
            <w:tcW w:w="794" w:type="dxa"/>
            <w:gridSpan w:val="2"/>
          </w:tcPr>
          <w:p w14:paraId="0A2DC898"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19751908"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3C4E0905"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18BCD8BD"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1FD38EEC"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4CEEB326" w14:textId="77777777">
        <w:tc>
          <w:tcPr>
            <w:cnfStyle w:val="001000000000" w:firstRow="0" w:lastRow="0" w:firstColumn="1" w:lastColumn="0" w:oddVBand="0" w:evenVBand="0" w:oddHBand="0" w:evenHBand="0" w:firstRowFirstColumn="0" w:firstRowLastColumn="0" w:lastRowFirstColumn="0" w:lastRowLastColumn="0"/>
            <w:tcW w:w="3740" w:type="dxa"/>
          </w:tcPr>
          <w:p w14:paraId="3FBC14DD" w14:textId="77777777" w:rsidR="00C424E5" w:rsidRDefault="00C424E5">
            <w:r>
              <w:t>Expected return on superannuation assets excluding interest income</w:t>
            </w:r>
          </w:p>
        </w:tc>
        <w:tc>
          <w:tcPr>
            <w:tcW w:w="794" w:type="dxa"/>
            <w:gridSpan w:val="2"/>
          </w:tcPr>
          <w:p w14:paraId="2D7937B4" w14:textId="77777777" w:rsidR="00C424E5" w:rsidRDefault="00C424E5">
            <w:pPr>
              <w:cnfStyle w:val="000000000000" w:firstRow="0" w:lastRow="0" w:firstColumn="0" w:lastColumn="0" w:oddVBand="0" w:evenVBand="0" w:oddHBand="0" w:evenHBand="0" w:firstRowFirstColumn="0" w:firstRowLastColumn="0" w:lastRowFirstColumn="0" w:lastRowLastColumn="0"/>
            </w:pPr>
            <w:r>
              <w:t>(984)</w:t>
            </w:r>
          </w:p>
        </w:tc>
        <w:tc>
          <w:tcPr>
            <w:tcW w:w="794" w:type="dxa"/>
          </w:tcPr>
          <w:p w14:paraId="1E5AD0EE" w14:textId="77777777" w:rsidR="00C424E5" w:rsidRDefault="00C424E5">
            <w:pPr>
              <w:cnfStyle w:val="000000000000" w:firstRow="0" w:lastRow="0" w:firstColumn="0" w:lastColumn="0" w:oddVBand="0" w:evenVBand="0" w:oddHBand="0" w:evenHBand="0" w:firstRowFirstColumn="0" w:firstRowLastColumn="0" w:lastRowFirstColumn="0" w:lastRowLastColumn="0"/>
            </w:pPr>
            <w:r>
              <w:t>(836)</w:t>
            </w:r>
          </w:p>
        </w:tc>
        <w:tc>
          <w:tcPr>
            <w:tcW w:w="794" w:type="dxa"/>
          </w:tcPr>
          <w:p w14:paraId="1D0DFA74" w14:textId="77777777" w:rsidR="00C424E5" w:rsidRDefault="00C424E5">
            <w:pPr>
              <w:cnfStyle w:val="000000000000" w:firstRow="0" w:lastRow="0" w:firstColumn="0" w:lastColumn="0" w:oddVBand="0" w:evenVBand="0" w:oddHBand="0" w:evenHBand="0" w:firstRowFirstColumn="0" w:firstRowLastColumn="0" w:lastRowFirstColumn="0" w:lastRowLastColumn="0"/>
            </w:pPr>
            <w:r>
              <w:t>(672)</w:t>
            </w:r>
          </w:p>
        </w:tc>
        <w:tc>
          <w:tcPr>
            <w:tcW w:w="794" w:type="dxa"/>
          </w:tcPr>
          <w:p w14:paraId="3C4DEC43" w14:textId="77777777" w:rsidR="00C424E5" w:rsidRDefault="00C424E5">
            <w:pPr>
              <w:cnfStyle w:val="000000000000" w:firstRow="0" w:lastRow="0" w:firstColumn="0" w:lastColumn="0" w:oddVBand="0" w:evenVBand="0" w:oddHBand="0" w:evenHBand="0" w:firstRowFirstColumn="0" w:firstRowLastColumn="0" w:lastRowFirstColumn="0" w:lastRowLastColumn="0"/>
            </w:pPr>
            <w:r>
              <w:t>(676)</w:t>
            </w:r>
          </w:p>
        </w:tc>
        <w:tc>
          <w:tcPr>
            <w:tcW w:w="794" w:type="dxa"/>
          </w:tcPr>
          <w:p w14:paraId="146DA20E" w14:textId="77777777" w:rsidR="00C424E5" w:rsidRDefault="00C424E5">
            <w:pPr>
              <w:cnfStyle w:val="000000000000" w:firstRow="0" w:lastRow="0" w:firstColumn="0" w:lastColumn="0" w:oddVBand="0" w:evenVBand="0" w:oddHBand="0" w:evenHBand="0" w:firstRowFirstColumn="0" w:firstRowLastColumn="0" w:lastRowFirstColumn="0" w:lastRowLastColumn="0"/>
            </w:pPr>
            <w:r>
              <w:t>(677)</w:t>
            </w:r>
          </w:p>
        </w:tc>
      </w:tr>
      <w:tr w:rsidR="00C424E5" w14:paraId="6FD499AB" w14:textId="77777777">
        <w:tc>
          <w:tcPr>
            <w:cnfStyle w:val="001000000000" w:firstRow="0" w:lastRow="0" w:firstColumn="1" w:lastColumn="0" w:oddVBand="0" w:evenVBand="0" w:oddHBand="0" w:evenHBand="0" w:firstRowFirstColumn="0" w:firstRowLastColumn="0" w:lastRowFirstColumn="0" w:lastRowLastColumn="0"/>
            <w:tcW w:w="3740" w:type="dxa"/>
          </w:tcPr>
          <w:p w14:paraId="7C5B9E41" w14:textId="77777777" w:rsidR="00C424E5" w:rsidRDefault="00C424E5">
            <w:r>
              <w:t>Other actuarial (gain)/loss on superannuation assets</w:t>
            </w:r>
          </w:p>
        </w:tc>
        <w:tc>
          <w:tcPr>
            <w:tcW w:w="794" w:type="dxa"/>
            <w:gridSpan w:val="2"/>
          </w:tcPr>
          <w:p w14:paraId="61D32191"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7BBB9E8D" w14:textId="77777777" w:rsidR="00C424E5" w:rsidRDefault="00C424E5">
            <w:pPr>
              <w:cnfStyle w:val="000000000000" w:firstRow="0" w:lastRow="0" w:firstColumn="0" w:lastColumn="0" w:oddVBand="0" w:evenVBand="0" w:oddHBand="0" w:evenHBand="0" w:firstRowFirstColumn="0" w:firstRowLastColumn="0" w:lastRowFirstColumn="0" w:lastRowLastColumn="0"/>
            </w:pPr>
            <w:r>
              <w:t>407</w:t>
            </w:r>
          </w:p>
        </w:tc>
        <w:tc>
          <w:tcPr>
            <w:tcW w:w="794" w:type="dxa"/>
          </w:tcPr>
          <w:p w14:paraId="67BE701F"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0FE03A7E"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2830B676"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r>
      <w:tr w:rsidR="00C424E5" w14:paraId="78AC2CA1"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4A1815EE" w14:textId="77777777" w:rsidR="00C424E5" w:rsidRDefault="00C424E5">
            <w:r>
              <w:t>Actuarial and other adjustments to unfunded superannuation liability</w:t>
            </w:r>
          </w:p>
        </w:tc>
        <w:tc>
          <w:tcPr>
            <w:tcW w:w="794" w:type="dxa"/>
            <w:gridSpan w:val="2"/>
            <w:tcBorders>
              <w:bottom w:val="single" w:sz="6" w:space="0" w:color="auto"/>
            </w:tcBorders>
          </w:tcPr>
          <w:p w14:paraId="190E1904"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4CE261DA" w14:textId="77777777" w:rsidR="00C424E5" w:rsidRDefault="00C424E5">
            <w:pPr>
              <w:cnfStyle w:val="000000000000" w:firstRow="0" w:lastRow="0" w:firstColumn="0" w:lastColumn="0" w:oddVBand="0" w:evenVBand="0" w:oddHBand="0" w:evenHBand="0" w:firstRowFirstColumn="0" w:firstRowLastColumn="0" w:lastRowFirstColumn="0" w:lastRowLastColumn="0"/>
            </w:pPr>
            <w:r>
              <w:t>(1 443)</w:t>
            </w:r>
          </w:p>
        </w:tc>
        <w:tc>
          <w:tcPr>
            <w:tcW w:w="794" w:type="dxa"/>
            <w:tcBorders>
              <w:bottom w:val="single" w:sz="6" w:space="0" w:color="auto"/>
            </w:tcBorders>
          </w:tcPr>
          <w:p w14:paraId="23D0D944"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1E2BBCDA"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0EF8C50D"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r>
      <w:tr w:rsidR="00C424E5" w14:paraId="139F5D04"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00392370" w14:textId="77777777" w:rsidR="00C424E5" w:rsidRDefault="00C424E5">
            <w:r>
              <w:rPr>
                <w:b/>
              </w:rPr>
              <w:t>Total expense recognised in respect of defined benefit plans</w:t>
            </w:r>
          </w:p>
        </w:tc>
        <w:tc>
          <w:tcPr>
            <w:tcW w:w="794" w:type="dxa"/>
            <w:gridSpan w:val="2"/>
            <w:tcBorders>
              <w:top w:val="single" w:sz="6" w:space="0" w:color="auto"/>
            </w:tcBorders>
          </w:tcPr>
          <w:p w14:paraId="2B113869"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1 116</w:t>
            </w:r>
          </w:p>
        </w:tc>
        <w:tc>
          <w:tcPr>
            <w:tcW w:w="794" w:type="dxa"/>
            <w:tcBorders>
              <w:top w:val="single" w:sz="6" w:space="0" w:color="auto"/>
            </w:tcBorders>
          </w:tcPr>
          <w:p w14:paraId="4EADDAE1"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(165)</w:t>
            </w:r>
          </w:p>
        </w:tc>
        <w:tc>
          <w:tcPr>
            <w:tcW w:w="794" w:type="dxa"/>
            <w:tcBorders>
              <w:top w:val="single" w:sz="6" w:space="0" w:color="auto"/>
            </w:tcBorders>
          </w:tcPr>
          <w:p w14:paraId="7EB2BD94"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1 089</w:t>
            </w:r>
          </w:p>
        </w:tc>
        <w:tc>
          <w:tcPr>
            <w:tcW w:w="794" w:type="dxa"/>
            <w:tcBorders>
              <w:top w:val="single" w:sz="6" w:space="0" w:color="auto"/>
            </w:tcBorders>
          </w:tcPr>
          <w:p w14:paraId="2A1FE0C9"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1 143</w:t>
            </w:r>
          </w:p>
        </w:tc>
        <w:tc>
          <w:tcPr>
            <w:tcW w:w="794" w:type="dxa"/>
            <w:tcBorders>
              <w:top w:val="single" w:sz="6" w:space="0" w:color="auto"/>
            </w:tcBorders>
          </w:tcPr>
          <w:p w14:paraId="23FF48FA"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1 212</w:t>
            </w:r>
          </w:p>
        </w:tc>
      </w:tr>
      <w:tr w:rsidR="00C424E5" w14:paraId="3CB5E46E" w14:textId="77777777">
        <w:tc>
          <w:tcPr>
            <w:cnfStyle w:val="001000000000" w:firstRow="0" w:lastRow="0" w:firstColumn="1" w:lastColumn="0" w:oddVBand="0" w:evenVBand="0" w:oddHBand="0" w:evenHBand="0" w:firstRowFirstColumn="0" w:firstRowLastColumn="0" w:lastRowFirstColumn="0" w:lastRowLastColumn="0"/>
            <w:tcW w:w="3740" w:type="dxa"/>
          </w:tcPr>
          <w:p w14:paraId="63C00CC9" w14:textId="77777777" w:rsidR="00C424E5" w:rsidRDefault="00C424E5">
            <w:r>
              <w:rPr>
                <w:b/>
              </w:rPr>
              <w:t>Defined contribution plans</w:t>
            </w:r>
          </w:p>
        </w:tc>
        <w:tc>
          <w:tcPr>
            <w:tcW w:w="794" w:type="dxa"/>
            <w:gridSpan w:val="2"/>
          </w:tcPr>
          <w:p w14:paraId="59B76CE9"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6CDA0414"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02DB6084"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35125523"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1B58E780"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3C4870B7" w14:textId="77777777" w:rsidTr="00253AF8">
        <w:tc>
          <w:tcPr>
            <w:cnfStyle w:val="001000000000" w:firstRow="0" w:lastRow="0" w:firstColumn="1" w:lastColumn="0" w:oddVBand="0" w:evenVBand="0" w:oddHBand="0" w:evenHBand="0" w:firstRowFirstColumn="0" w:firstRowLastColumn="0" w:lastRowFirstColumn="0" w:lastRowLastColumn="0"/>
            <w:tcW w:w="3878" w:type="dxa"/>
            <w:gridSpan w:val="2"/>
          </w:tcPr>
          <w:p w14:paraId="29091C04" w14:textId="77777777" w:rsidR="00C424E5" w:rsidRDefault="00C424E5">
            <w:r>
              <w:t>Employer contributions to defined contribution plans</w:t>
            </w:r>
          </w:p>
        </w:tc>
        <w:tc>
          <w:tcPr>
            <w:tcW w:w="656" w:type="dxa"/>
          </w:tcPr>
          <w:p w14:paraId="5D8486F0" w14:textId="77777777" w:rsidR="00C424E5" w:rsidRDefault="00C424E5">
            <w:pPr>
              <w:cnfStyle w:val="000000000000" w:firstRow="0" w:lastRow="0" w:firstColumn="0" w:lastColumn="0" w:oddVBand="0" w:evenVBand="0" w:oddHBand="0" w:evenHBand="0" w:firstRowFirstColumn="0" w:firstRowLastColumn="0" w:lastRowFirstColumn="0" w:lastRowLastColumn="0"/>
            </w:pPr>
            <w:r>
              <w:t>2 280</w:t>
            </w:r>
          </w:p>
        </w:tc>
        <w:tc>
          <w:tcPr>
            <w:tcW w:w="794" w:type="dxa"/>
          </w:tcPr>
          <w:p w14:paraId="40399BF3" w14:textId="77777777" w:rsidR="00C424E5" w:rsidRDefault="00C424E5">
            <w:pPr>
              <w:cnfStyle w:val="000000000000" w:firstRow="0" w:lastRow="0" w:firstColumn="0" w:lastColumn="0" w:oddVBand="0" w:evenVBand="0" w:oddHBand="0" w:evenHBand="0" w:firstRowFirstColumn="0" w:firstRowLastColumn="0" w:lastRowFirstColumn="0" w:lastRowLastColumn="0"/>
            </w:pPr>
            <w:r>
              <w:t>2 357</w:t>
            </w:r>
          </w:p>
        </w:tc>
        <w:tc>
          <w:tcPr>
            <w:tcW w:w="794" w:type="dxa"/>
          </w:tcPr>
          <w:p w14:paraId="7D208F4B" w14:textId="77777777" w:rsidR="00C424E5" w:rsidRDefault="00C424E5">
            <w:pPr>
              <w:cnfStyle w:val="000000000000" w:firstRow="0" w:lastRow="0" w:firstColumn="0" w:lastColumn="0" w:oddVBand="0" w:evenVBand="0" w:oddHBand="0" w:evenHBand="0" w:firstRowFirstColumn="0" w:firstRowLastColumn="0" w:lastRowFirstColumn="0" w:lastRowLastColumn="0"/>
            </w:pPr>
            <w:r>
              <w:t>2 415</w:t>
            </w:r>
          </w:p>
        </w:tc>
        <w:tc>
          <w:tcPr>
            <w:tcW w:w="794" w:type="dxa"/>
          </w:tcPr>
          <w:p w14:paraId="65261E2A" w14:textId="77777777" w:rsidR="00C424E5" w:rsidRDefault="00C424E5">
            <w:pPr>
              <w:cnfStyle w:val="000000000000" w:firstRow="0" w:lastRow="0" w:firstColumn="0" w:lastColumn="0" w:oddVBand="0" w:evenVBand="0" w:oddHBand="0" w:evenHBand="0" w:firstRowFirstColumn="0" w:firstRowLastColumn="0" w:lastRowFirstColumn="0" w:lastRowLastColumn="0"/>
            </w:pPr>
            <w:r>
              <w:t>2 422</w:t>
            </w:r>
          </w:p>
        </w:tc>
        <w:tc>
          <w:tcPr>
            <w:tcW w:w="794" w:type="dxa"/>
          </w:tcPr>
          <w:p w14:paraId="02601D15" w14:textId="77777777" w:rsidR="00C424E5" w:rsidRDefault="00C424E5">
            <w:pPr>
              <w:cnfStyle w:val="000000000000" w:firstRow="0" w:lastRow="0" w:firstColumn="0" w:lastColumn="0" w:oddVBand="0" w:evenVBand="0" w:oddHBand="0" w:evenHBand="0" w:firstRowFirstColumn="0" w:firstRowLastColumn="0" w:lastRowFirstColumn="0" w:lastRowLastColumn="0"/>
            </w:pPr>
            <w:r>
              <w:t>2 364</w:t>
            </w:r>
          </w:p>
        </w:tc>
      </w:tr>
      <w:tr w:rsidR="00C424E5" w14:paraId="023982FB"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4218FE44" w14:textId="77777777" w:rsidR="00C424E5" w:rsidRDefault="00C424E5">
            <w:r>
              <w:t>Other (including pensions)</w:t>
            </w:r>
          </w:p>
        </w:tc>
        <w:tc>
          <w:tcPr>
            <w:tcW w:w="794" w:type="dxa"/>
            <w:gridSpan w:val="2"/>
            <w:tcBorders>
              <w:bottom w:val="single" w:sz="6" w:space="0" w:color="auto"/>
            </w:tcBorders>
          </w:tcPr>
          <w:p w14:paraId="53DF42C1" w14:textId="77777777" w:rsidR="00C424E5" w:rsidRDefault="00C424E5">
            <w:pPr>
              <w:cnfStyle w:val="000000000000" w:firstRow="0" w:lastRow="0" w:firstColumn="0" w:lastColumn="0" w:oddVBand="0" w:evenVBand="0" w:oddHBand="0" w:evenHBand="0" w:firstRowFirstColumn="0" w:firstRowLastColumn="0" w:lastRowFirstColumn="0" w:lastRowLastColumn="0"/>
            </w:pPr>
            <w:r>
              <w:t>69</w:t>
            </w:r>
          </w:p>
        </w:tc>
        <w:tc>
          <w:tcPr>
            <w:tcW w:w="794" w:type="dxa"/>
            <w:tcBorders>
              <w:bottom w:val="single" w:sz="6" w:space="0" w:color="auto"/>
            </w:tcBorders>
          </w:tcPr>
          <w:p w14:paraId="3710CDF7" w14:textId="77777777" w:rsidR="00C424E5" w:rsidRDefault="00C424E5">
            <w:pPr>
              <w:cnfStyle w:val="000000000000" w:firstRow="0" w:lastRow="0" w:firstColumn="0" w:lastColumn="0" w:oddVBand="0" w:evenVBand="0" w:oddHBand="0" w:evenHBand="0" w:firstRowFirstColumn="0" w:firstRowLastColumn="0" w:lastRowFirstColumn="0" w:lastRowLastColumn="0"/>
            </w:pPr>
            <w:r>
              <w:t>67</w:t>
            </w:r>
          </w:p>
        </w:tc>
        <w:tc>
          <w:tcPr>
            <w:tcW w:w="794" w:type="dxa"/>
            <w:tcBorders>
              <w:bottom w:val="single" w:sz="6" w:space="0" w:color="auto"/>
            </w:tcBorders>
          </w:tcPr>
          <w:p w14:paraId="1ABA4D22" w14:textId="77777777" w:rsidR="00C424E5" w:rsidRDefault="00C424E5">
            <w:pPr>
              <w:cnfStyle w:val="000000000000" w:firstRow="0" w:lastRow="0" w:firstColumn="0" w:lastColumn="0" w:oddVBand="0" w:evenVBand="0" w:oddHBand="0" w:evenHBand="0" w:firstRowFirstColumn="0" w:firstRowLastColumn="0" w:lastRowFirstColumn="0" w:lastRowLastColumn="0"/>
            </w:pPr>
            <w:r>
              <w:t>67</w:t>
            </w:r>
          </w:p>
        </w:tc>
        <w:tc>
          <w:tcPr>
            <w:tcW w:w="794" w:type="dxa"/>
            <w:tcBorders>
              <w:bottom w:val="single" w:sz="6" w:space="0" w:color="auto"/>
            </w:tcBorders>
          </w:tcPr>
          <w:p w14:paraId="782DC101" w14:textId="77777777" w:rsidR="00C424E5" w:rsidRDefault="00C424E5">
            <w:pPr>
              <w:cnfStyle w:val="000000000000" w:firstRow="0" w:lastRow="0" w:firstColumn="0" w:lastColumn="0" w:oddVBand="0" w:evenVBand="0" w:oddHBand="0" w:evenHBand="0" w:firstRowFirstColumn="0" w:firstRowLastColumn="0" w:lastRowFirstColumn="0" w:lastRowLastColumn="0"/>
            </w:pPr>
            <w:r>
              <w:t>67</w:t>
            </w:r>
          </w:p>
        </w:tc>
        <w:tc>
          <w:tcPr>
            <w:tcW w:w="794" w:type="dxa"/>
            <w:tcBorders>
              <w:bottom w:val="single" w:sz="6" w:space="0" w:color="auto"/>
            </w:tcBorders>
          </w:tcPr>
          <w:p w14:paraId="0E523149" w14:textId="77777777" w:rsidR="00C424E5" w:rsidRDefault="00C424E5">
            <w:pPr>
              <w:cnfStyle w:val="000000000000" w:firstRow="0" w:lastRow="0" w:firstColumn="0" w:lastColumn="0" w:oddVBand="0" w:evenVBand="0" w:oddHBand="0" w:evenHBand="0" w:firstRowFirstColumn="0" w:firstRowLastColumn="0" w:lastRowFirstColumn="0" w:lastRowLastColumn="0"/>
            </w:pPr>
            <w:r>
              <w:t>67</w:t>
            </w:r>
          </w:p>
        </w:tc>
      </w:tr>
      <w:tr w:rsidR="00C424E5" w14:paraId="47265AEE"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73629944" w14:textId="77777777" w:rsidR="00C424E5" w:rsidRDefault="00C424E5">
            <w:r>
              <w:rPr>
                <w:b/>
              </w:rPr>
              <w:t>Total expense recognised in respect of defined contribution plans</w:t>
            </w:r>
          </w:p>
        </w:tc>
        <w:tc>
          <w:tcPr>
            <w:tcW w:w="794" w:type="dxa"/>
            <w:gridSpan w:val="2"/>
            <w:tcBorders>
              <w:top w:val="single" w:sz="6" w:space="0" w:color="auto"/>
              <w:bottom w:val="single" w:sz="6" w:space="0" w:color="auto"/>
            </w:tcBorders>
          </w:tcPr>
          <w:p w14:paraId="289ECDDA"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2 349</w:t>
            </w:r>
          </w:p>
        </w:tc>
        <w:tc>
          <w:tcPr>
            <w:tcW w:w="794" w:type="dxa"/>
            <w:tcBorders>
              <w:top w:val="single" w:sz="6" w:space="0" w:color="auto"/>
              <w:bottom w:val="single" w:sz="6" w:space="0" w:color="auto"/>
            </w:tcBorders>
          </w:tcPr>
          <w:p w14:paraId="6F4BF03F"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2 424</w:t>
            </w:r>
          </w:p>
        </w:tc>
        <w:tc>
          <w:tcPr>
            <w:tcW w:w="794" w:type="dxa"/>
            <w:tcBorders>
              <w:top w:val="single" w:sz="6" w:space="0" w:color="auto"/>
              <w:bottom w:val="single" w:sz="6" w:space="0" w:color="auto"/>
            </w:tcBorders>
          </w:tcPr>
          <w:p w14:paraId="4F4C88BD"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2 482</w:t>
            </w:r>
          </w:p>
        </w:tc>
        <w:tc>
          <w:tcPr>
            <w:tcW w:w="794" w:type="dxa"/>
            <w:tcBorders>
              <w:top w:val="single" w:sz="6" w:space="0" w:color="auto"/>
              <w:bottom w:val="single" w:sz="6" w:space="0" w:color="auto"/>
            </w:tcBorders>
          </w:tcPr>
          <w:p w14:paraId="46268B35"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2 489</w:t>
            </w:r>
          </w:p>
        </w:tc>
        <w:tc>
          <w:tcPr>
            <w:tcW w:w="794" w:type="dxa"/>
            <w:tcBorders>
              <w:top w:val="single" w:sz="6" w:space="0" w:color="auto"/>
              <w:bottom w:val="single" w:sz="6" w:space="0" w:color="auto"/>
            </w:tcBorders>
          </w:tcPr>
          <w:p w14:paraId="4FB75435"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2 431</w:t>
            </w:r>
          </w:p>
        </w:tc>
      </w:tr>
      <w:tr w:rsidR="00C424E5" w14:paraId="3BE19870"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257B48F6" w14:textId="77777777" w:rsidR="00C424E5" w:rsidRDefault="00C424E5">
            <w:r>
              <w:rPr>
                <w:b/>
              </w:rPr>
              <w:t>Total superannuation (gain)/expense recognised in operating statement</w:t>
            </w:r>
          </w:p>
        </w:tc>
        <w:tc>
          <w:tcPr>
            <w:tcW w:w="794" w:type="dxa"/>
            <w:gridSpan w:val="2"/>
            <w:tcBorders>
              <w:top w:val="single" w:sz="6" w:space="0" w:color="auto"/>
              <w:bottom w:val="single" w:sz="12" w:space="0" w:color="auto"/>
            </w:tcBorders>
          </w:tcPr>
          <w:p w14:paraId="05AAB972"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3 465</w:t>
            </w:r>
          </w:p>
        </w:tc>
        <w:tc>
          <w:tcPr>
            <w:tcW w:w="794" w:type="dxa"/>
            <w:tcBorders>
              <w:top w:val="single" w:sz="6" w:space="0" w:color="auto"/>
              <w:bottom w:val="single" w:sz="12" w:space="0" w:color="auto"/>
            </w:tcBorders>
          </w:tcPr>
          <w:p w14:paraId="0199071C"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2 260</w:t>
            </w:r>
          </w:p>
        </w:tc>
        <w:tc>
          <w:tcPr>
            <w:tcW w:w="794" w:type="dxa"/>
            <w:tcBorders>
              <w:top w:val="single" w:sz="6" w:space="0" w:color="auto"/>
              <w:bottom w:val="single" w:sz="12" w:space="0" w:color="auto"/>
            </w:tcBorders>
          </w:tcPr>
          <w:p w14:paraId="66B27597"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3 571</w:t>
            </w:r>
          </w:p>
        </w:tc>
        <w:tc>
          <w:tcPr>
            <w:tcW w:w="794" w:type="dxa"/>
            <w:tcBorders>
              <w:top w:val="single" w:sz="6" w:space="0" w:color="auto"/>
              <w:bottom w:val="single" w:sz="12" w:space="0" w:color="auto"/>
            </w:tcBorders>
          </w:tcPr>
          <w:p w14:paraId="67561971"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3 632</w:t>
            </w:r>
          </w:p>
        </w:tc>
        <w:tc>
          <w:tcPr>
            <w:tcW w:w="794" w:type="dxa"/>
            <w:tcBorders>
              <w:top w:val="single" w:sz="6" w:space="0" w:color="auto"/>
              <w:bottom w:val="single" w:sz="12" w:space="0" w:color="auto"/>
            </w:tcBorders>
          </w:tcPr>
          <w:p w14:paraId="6D1AE575"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3 643</w:t>
            </w:r>
          </w:p>
        </w:tc>
      </w:tr>
      <w:tr w:rsidR="00C424E5" w14:paraId="0F281A8E"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58A1DFEC" w14:textId="77777777" w:rsidR="00C424E5" w:rsidRDefault="00C424E5">
            <w:r>
              <w:rPr>
                <w:b/>
              </w:rPr>
              <w:t>Represented by:</w:t>
            </w:r>
          </w:p>
        </w:tc>
        <w:tc>
          <w:tcPr>
            <w:tcW w:w="794" w:type="dxa"/>
            <w:gridSpan w:val="2"/>
            <w:tcBorders>
              <w:top w:val="single" w:sz="6" w:space="0" w:color="auto"/>
            </w:tcBorders>
          </w:tcPr>
          <w:p w14:paraId="55183567"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1CC59400"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62CB86D6"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5009A7B"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333393F"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66AFF412" w14:textId="77777777">
        <w:tc>
          <w:tcPr>
            <w:cnfStyle w:val="001000000000" w:firstRow="0" w:lastRow="0" w:firstColumn="1" w:lastColumn="0" w:oddVBand="0" w:evenVBand="0" w:oddHBand="0" w:evenHBand="0" w:firstRowFirstColumn="0" w:firstRowLastColumn="0" w:lastRowFirstColumn="0" w:lastRowLastColumn="0"/>
            <w:tcW w:w="3740" w:type="dxa"/>
          </w:tcPr>
          <w:p w14:paraId="108F6606" w14:textId="77777777" w:rsidR="00C424E5" w:rsidRDefault="00C424E5">
            <w:r>
              <w:t>Net superannuation interest expense</w:t>
            </w:r>
          </w:p>
        </w:tc>
        <w:tc>
          <w:tcPr>
            <w:tcW w:w="794" w:type="dxa"/>
            <w:gridSpan w:val="2"/>
          </w:tcPr>
          <w:p w14:paraId="68499CA4" w14:textId="77777777" w:rsidR="00C424E5" w:rsidRDefault="00C424E5">
            <w:pPr>
              <w:cnfStyle w:val="000000000000" w:firstRow="0" w:lastRow="0" w:firstColumn="0" w:lastColumn="0" w:oddVBand="0" w:evenVBand="0" w:oddHBand="0" w:evenHBand="0" w:firstRowFirstColumn="0" w:firstRowLastColumn="0" w:lastRowFirstColumn="0" w:lastRowLastColumn="0"/>
            </w:pPr>
            <w:r>
              <w:t>682</w:t>
            </w:r>
          </w:p>
        </w:tc>
        <w:tc>
          <w:tcPr>
            <w:tcW w:w="794" w:type="dxa"/>
          </w:tcPr>
          <w:p w14:paraId="6B0B1CB6" w14:textId="77777777" w:rsidR="00C424E5" w:rsidRDefault="00C424E5">
            <w:pPr>
              <w:cnfStyle w:val="000000000000" w:firstRow="0" w:lastRow="0" w:firstColumn="0" w:lastColumn="0" w:oddVBand="0" w:evenVBand="0" w:oddHBand="0" w:evenHBand="0" w:firstRowFirstColumn="0" w:firstRowLastColumn="0" w:lastRowFirstColumn="0" w:lastRowLastColumn="0"/>
            </w:pPr>
            <w:r>
              <w:t>719</w:t>
            </w:r>
          </w:p>
        </w:tc>
        <w:tc>
          <w:tcPr>
            <w:tcW w:w="794" w:type="dxa"/>
          </w:tcPr>
          <w:p w14:paraId="245969DB" w14:textId="77777777" w:rsidR="00C424E5" w:rsidRDefault="00C424E5">
            <w:pPr>
              <w:cnfStyle w:val="000000000000" w:firstRow="0" w:lastRow="0" w:firstColumn="0" w:lastColumn="0" w:oddVBand="0" w:evenVBand="0" w:oddHBand="0" w:evenHBand="0" w:firstRowFirstColumn="0" w:firstRowLastColumn="0" w:lastRowFirstColumn="0" w:lastRowLastColumn="0"/>
            </w:pPr>
            <w:r>
              <w:t>716</w:t>
            </w:r>
          </w:p>
        </w:tc>
        <w:tc>
          <w:tcPr>
            <w:tcW w:w="794" w:type="dxa"/>
          </w:tcPr>
          <w:p w14:paraId="153EB43A" w14:textId="77777777" w:rsidR="00C424E5" w:rsidRDefault="00C424E5">
            <w:pPr>
              <w:cnfStyle w:val="000000000000" w:firstRow="0" w:lastRow="0" w:firstColumn="0" w:lastColumn="0" w:oddVBand="0" w:evenVBand="0" w:oddHBand="0" w:evenHBand="0" w:firstRowFirstColumn="0" w:firstRowLastColumn="0" w:lastRowFirstColumn="0" w:lastRowLastColumn="0"/>
            </w:pPr>
            <w:r>
              <w:t>690</w:t>
            </w:r>
          </w:p>
        </w:tc>
        <w:tc>
          <w:tcPr>
            <w:tcW w:w="794" w:type="dxa"/>
          </w:tcPr>
          <w:p w14:paraId="2194DB5B" w14:textId="77777777" w:rsidR="00C424E5" w:rsidRDefault="00C424E5">
            <w:pPr>
              <w:cnfStyle w:val="000000000000" w:firstRow="0" w:lastRow="0" w:firstColumn="0" w:lastColumn="0" w:oddVBand="0" w:evenVBand="0" w:oddHBand="0" w:evenHBand="0" w:firstRowFirstColumn="0" w:firstRowLastColumn="0" w:lastRowFirstColumn="0" w:lastRowLastColumn="0"/>
            </w:pPr>
            <w:r>
              <w:t>668</w:t>
            </w:r>
          </w:p>
        </w:tc>
      </w:tr>
      <w:tr w:rsidR="00C424E5" w14:paraId="259453BA"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0733315B" w14:textId="77777777" w:rsidR="00C424E5" w:rsidRDefault="00C424E5">
            <w:r>
              <w:t>Other superannuation</w:t>
            </w:r>
          </w:p>
        </w:tc>
        <w:tc>
          <w:tcPr>
            <w:tcW w:w="794" w:type="dxa"/>
            <w:gridSpan w:val="2"/>
            <w:tcBorders>
              <w:bottom w:val="single" w:sz="6" w:space="0" w:color="auto"/>
            </w:tcBorders>
          </w:tcPr>
          <w:p w14:paraId="51F9293A" w14:textId="77777777" w:rsidR="00C424E5" w:rsidRDefault="00C424E5">
            <w:pPr>
              <w:cnfStyle w:val="000000000000" w:firstRow="0" w:lastRow="0" w:firstColumn="0" w:lastColumn="0" w:oddVBand="0" w:evenVBand="0" w:oddHBand="0" w:evenHBand="0" w:firstRowFirstColumn="0" w:firstRowLastColumn="0" w:lastRowFirstColumn="0" w:lastRowLastColumn="0"/>
            </w:pPr>
            <w:r>
              <w:t>3 768</w:t>
            </w:r>
          </w:p>
        </w:tc>
        <w:tc>
          <w:tcPr>
            <w:tcW w:w="794" w:type="dxa"/>
            <w:tcBorders>
              <w:bottom w:val="single" w:sz="6" w:space="0" w:color="auto"/>
            </w:tcBorders>
          </w:tcPr>
          <w:p w14:paraId="5EAF869C" w14:textId="77777777" w:rsidR="00C424E5" w:rsidRDefault="00C424E5">
            <w:pPr>
              <w:cnfStyle w:val="000000000000" w:firstRow="0" w:lastRow="0" w:firstColumn="0" w:lastColumn="0" w:oddVBand="0" w:evenVBand="0" w:oddHBand="0" w:evenHBand="0" w:firstRowFirstColumn="0" w:firstRowLastColumn="0" w:lastRowFirstColumn="0" w:lastRowLastColumn="0"/>
            </w:pPr>
            <w:r>
              <w:t>3 413</w:t>
            </w:r>
          </w:p>
        </w:tc>
        <w:tc>
          <w:tcPr>
            <w:tcW w:w="794" w:type="dxa"/>
            <w:tcBorders>
              <w:bottom w:val="single" w:sz="6" w:space="0" w:color="auto"/>
            </w:tcBorders>
          </w:tcPr>
          <w:p w14:paraId="0ECC0822" w14:textId="77777777" w:rsidR="00C424E5" w:rsidRDefault="00C424E5">
            <w:pPr>
              <w:cnfStyle w:val="000000000000" w:firstRow="0" w:lastRow="0" w:firstColumn="0" w:lastColumn="0" w:oddVBand="0" w:evenVBand="0" w:oddHBand="0" w:evenHBand="0" w:firstRowFirstColumn="0" w:firstRowLastColumn="0" w:lastRowFirstColumn="0" w:lastRowLastColumn="0"/>
            </w:pPr>
            <w:r>
              <w:t>3 527</w:t>
            </w:r>
          </w:p>
        </w:tc>
        <w:tc>
          <w:tcPr>
            <w:tcW w:w="794" w:type="dxa"/>
            <w:tcBorders>
              <w:bottom w:val="single" w:sz="6" w:space="0" w:color="auto"/>
            </w:tcBorders>
          </w:tcPr>
          <w:p w14:paraId="4460C4B0" w14:textId="77777777" w:rsidR="00C424E5" w:rsidRDefault="00C424E5">
            <w:pPr>
              <w:cnfStyle w:val="000000000000" w:firstRow="0" w:lastRow="0" w:firstColumn="0" w:lastColumn="0" w:oddVBand="0" w:evenVBand="0" w:oddHBand="0" w:evenHBand="0" w:firstRowFirstColumn="0" w:firstRowLastColumn="0" w:lastRowFirstColumn="0" w:lastRowLastColumn="0"/>
            </w:pPr>
            <w:r>
              <w:t>3 618</w:t>
            </w:r>
          </w:p>
        </w:tc>
        <w:tc>
          <w:tcPr>
            <w:tcW w:w="794" w:type="dxa"/>
            <w:tcBorders>
              <w:bottom w:val="single" w:sz="6" w:space="0" w:color="auto"/>
            </w:tcBorders>
          </w:tcPr>
          <w:p w14:paraId="4F666097" w14:textId="77777777" w:rsidR="00C424E5" w:rsidRDefault="00C424E5">
            <w:pPr>
              <w:cnfStyle w:val="000000000000" w:firstRow="0" w:lastRow="0" w:firstColumn="0" w:lastColumn="0" w:oddVBand="0" w:evenVBand="0" w:oddHBand="0" w:evenHBand="0" w:firstRowFirstColumn="0" w:firstRowLastColumn="0" w:lastRowFirstColumn="0" w:lastRowLastColumn="0"/>
            </w:pPr>
            <w:r>
              <w:t>3 652</w:t>
            </w:r>
          </w:p>
        </w:tc>
      </w:tr>
      <w:tr w:rsidR="00C424E5" w14:paraId="50B8CA1A"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465CDC5D" w14:textId="77777777" w:rsidR="00C424E5" w:rsidRDefault="00C424E5">
            <w:r>
              <w:rPr>
                <w:b/>
              </w:rPr>
              <w:t>Superannuation expense from transactions</w:t>
            </w:r>
          </w:p>
        </w:tc>
        <w:tc>
          <w:tcPr>
            <w:tcW w:w="794" w:type="dxa"/>
            <w:gridSpan w:val="2"/>
            <w:tcBorders>
              <w:top w:val="single" w:sz="6" w:space="0" w:color="auto"/>
              <w:bottom w:val="single" w:sz="6" w:space="0" w:color="auto"/>
            </w:tcBorders>
          </w:tcPr>
          <w:p w14:paraId="737EB4CC"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4 449</w:t>
            </w:r>
          </w:p>
        </w:tc>
        <w:tc>
          <w:tcPr>
            <w:tcW w:w="794" w:type="dxa"/>
            <w:tcBorders>
              <w:top w:val="single" w:sz="6" w:space="0" w:color="auto"/>
              <w:bottom w:val="single" w:sz="6" w:space="0" w:color="auto"/>
            </w:tcBorders>
          </w:tcPr>
          <w:p w14:paraId="5EEAEE38"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4 132</w:t>
            </w:r>
          </w:p>
        </w:tc>
        <w:tc>
          <w:tcPr>
            <w:tcW w:w="794" w:type="dxa"/>
            <w:tcBorders>
              <w:top w:val="single" w:sz="6" w:space="0" w:color="auto"/>
              <w:bottom w:val="single" w:sz="6" w:space="0" w:color="auto"/>
            </w:tcBorders>
          </w:tcPr>
          <w:p w14:paraId="75C1BAC6"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4 243</w:t>
            </w:r>
          </w:p>
        </w:tc>
        <w:tc>
          <w:tcPr>
            <w:tcW w:w="794" w:type="dxa"/>
            <w:tcBorders>
              <w:top w:val="single" w:sz="6" w:space="0" w:color="auto"/>
              <w:bottom w:val="single" w:sz="6" w:space="0" w:color="auto"/>
            </w:tcBorders>
          </w:tcPr>
          <w:p w14:paraId="2427355E"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4 308</w:t>
            </w:r>
          </w:p>
        </w:tc>
        <w:tc>
          <w:tcPr>
            <w:tcW w:w="794" w:type="dxa"/>
            <w:tcBorders>
              <w:top w:val="single" w:sz="6" w:space="0" w:color="auto"/>
              <w:bottom w:val="single" w:sz="6" w:space="0" w:color="auto"/>
            </w:tcBorders>
          </w:tcPr>
          <w:p w14:paraId="0F371F4F"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4 320</w:t>
            </w:r>
          </w:p>
        </w:tc>
      </w:tr>
      <w:tr w:rsidR="00C424E5" w14:paraId="37F9ED58"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5C2E2E52" w14:textId="77777777" w:rsidR="00C424E5" w:rsidRDefault="00C424E5">
            <w:r>
              <w:rPr>
                <w:b/>
              </w:rPr>
              <w:t>Remeasurements recognised in other comprehensive income</w:t>
            </w:r>
          </w:p>
        </w:tc>
        <w:tc>
          <w:tcPr>
            <w:tcW w:w="794" w:type="dxa"/>
            <w:gridSpan w:val="2"/>
            <w:tcBorders>
              <w:top w:val="single" w:sz="6" w:space="0" w:color="auto"/>
              <w:bottom w:val="single" w:sz="6" w:space="0" w:color="auto"/>
            </w:tcBorders>
          </w:tcPr>
          <w:p w14:paraId="72B3E8B0"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(984)</w:t>
            </w:r>
          </w:p>
        </w:tc>
        <w:tc>
          <w:tcPr>
            <w:tcW w:w="794" w:type="dxa"/>
            <w:tcBorders>
              <w:top w:val="single" w:sz="6" w:space="0" w:color="auto"/>
              <w:bottom w:val="single" w:sz="6" w:space="0" w:color="auto"/>
            </w:tcBorders>
          </w:tcPr>
          <w:p w14:paraId="7AF28D2A"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(1 872)</w:t>
            </w:r>
          </w:p>
        </w:tc>
        <w:tc>
          <w:tcPr>
            <w:tcW w:w="794" w:type="dxa"/>
            <w:tcBorders>
              <w:top w:val="single" w:sz="6" w:space="0" w:color="auto"/>
              <w:bottom w:val="single" w:sz="6" w:space="0" w:color="auto"/>
            </w:tcBorders>
          </w:tcPr>
          <w:p w14:paraId="461E6D62"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(672)</w:t>
            </w:r>
          </w:p>
        </w:tc>
        <w:tc>
          <w:tcPr>
            <w:tcW w:w="794" w:type="dxa"/>
            <w:tcBorders>
              <w:top w:val="single" w:sz="6" w:space="0" w:color="auto"/>
              <w:bottom w:val="single" w:sz="6" w:space="0" w:color="auto"/>
            </w:tcBorders>
          </w:tcPr>
          <w:p w14:paraId="18571C73"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(676)</w:t>
            </w:r>
          </w:p>
        </w:tc>
        <w:tc>
          <w:tcPr>
            <w:tcW w:w="794" w:type="dxa"/>
            <w:tcBorders>
              <w:top w:val="single" w:sz="6" w:space="0" w:color="auto"/>
              <w:bottom w:val="single" w:sz="6" w:space="0" w:color="auto"/>
            </w:tcBorders>
          </w:tcPr>
          <w:p w14:paraId="60EB2511"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(677)</w:t>
            </w:r>
          </w:p>
        </w:tc>
      </w:tr>
      <w:tr w:rsidR="00C424E5" w14:paraId="110857D2"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0A131F97" w14:textId="77777777" w:rsidR="00C424E5" w:rsidRDefault="00C424E5">
            <w:r>
              <w:rPr>
                <w:b/>
              </w:rPr>
              <w:t>Total superannuation expense recognised in operating statement</w:t>
            </w:r>
          </w:p>
        </w:tc>
        <w:tc>
          <w:tcPr>
            <w:tcW w:w="794" w:type="dxa"/>
            <w:gridSpan w:val="2"/>
            <w:tcBorders>
              <w:top w:val="single" w:sz="6" w:space="0" w:color="auto"/>
              <w:bottom w:val="single" w:sz="12" w:space="0" w:color="auto"/>
            </w:tcBorders>
          </w:tcPr>
          <w:p w14:paraId="1AAF966F"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3 465</w:t>
            </w:r>
          </w:p>
        </w:tc>
        <w:tc>
          <w:tcPr>
            <w:tcW w:w="794" w:type="dxa"/>
            <w:tcBorders>
              <w:top w:val="single" w:sz="6" w:space="0" w:color="auto"/>
              <w:bottom w:val="single" w:sz="12" w:space="0" w:color="auto"/>
            </w:tcBorders>
          </w:tcPr>
          <w:p w14:paraId="5D2AEB1A"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2 260</w:t>
            </w:r>
          </w:p>
        </w:tc>
        <w:tc>
          <w:tcPr>
            <w:tcW w:w="794" w:type="dxa"/>
            <w:tcBorders>
              <w:top w:val="single" w:sz="6" w:space="0" w:color="auto"/>
              <w:bottom w:val="single" w:sz="12" w:space="0" w:color="auto"/>
            </w:tcBorders>
          </w:tcPr>
          <w:p w14:paraId="528A28EC"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3 571</w:t>
            </w:r>
          </w:p>
        </w:tc>
        <w:tc>
          <w:tcPr>
            <w:tcW w:w="794" w:type="dxa"/>
            <w:tcBorders>
              <w:top w:val="single" w:sz="6" w:space="0" w:color="auto"/>
              <w:bottom w:val="single" w:sz="12" w:space="0" w:color="auto"/>
            </w:tcBorders>
          </w:tcPr>
          <w:p w14:paraId="1950D5D4"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3 632</w:t>
            </w:r>
          </w:p>
        </w:tc>
        <w:tc>
          <w:tcPr>
            <w:tcW w:w="794" w:type="dxa"/>
            <w:tcBorders>
              <w:top w:val="single" w:sz="6" w:space="0" w:color="auto"/>
              <w:bottom w:val="single" w:sz="12" w:space="0" w:color="auto"/>
            </w:tcBorders>
          </w:tcPr>
          <w:p w14:paraId="4D27F5AA" w14:textId="2CC297EC" w:rsidR="00C424E5" w:rsidRDefault="00C424E5">
            <w:pPr>
              <w:cnfStyle w:val="000000000000" w:firstRow="0" w:lastRow="0" w:firstColumn="0" w:lastColumn="0" w:oddVBand="0" w:evenVBand="0" w:oddHBand="0" w:evenHBand="0" w:firstRowFirstColumn="0" w:firstRowLastColumn="0" w:lastRowFirstColumn="0" w:lastRowLastColumn="0"/>
            </w:pPr>
            <w:r>
              <w:rPr>
                <w:b/>
              </w:rPr>
              <w:t>3 643</w:t>
            </w:r>
          </w:p>
        </w:tc>
      </w:tr>
    </w:tbl>
    <w:p w14:paraId="081DDDB2" w14:textId="77777777" w:rsidR="00C424E5" w:rsidRPr="0057060D" w:rsidRDefault="00C424E5" w:rsidP="0057060D"/>
    <w:p w14:paraId="7CCEB74C" w14:textId="77777777" w:rsidR="00C424E5" w:rsidRDefault="00C424E5" w:rsidP="006206EF"/>
    <w:p w14:paraId="215AE34F" w14:textId="77777777" w:rsidR="00C424E5" w:rsidRPr="00197CF0" w:rsidRDefault="00C424E5" w:rsidP="006206EF"/>
    <w:p w14:paraId="36CF1B8D" w14:textId="77777777" w:rsidR="00C424E5" w:rsidRDefault="00C424E5" w:rsidP="006206EF"/>
    <w:p w14:paraId="4260BF7F" w14:textId="77777777" w:rsidR="00C424E5" w:rsidRPr="008329E1" w:rsidRDefault="00C424E5" w:rsidP="006206EF">
      <w:pPr>
        <w:pageBreakBefore/>
      </w:pPr>
      <w:r w:rsidRPr="008329E1">
        <w:lastRenderedPageBreak/>
        <w:t xml:space="preserve">The accounting policies relating to superannuation expenses and liabilities are consistent with the </w:t>
      </w:r>
      <w:r w:rsidRPr="008329E1">
        <w:rPr>
          <w:i/>
        </w:rPr>
        <w:t>202</w:t>
      </w:r>
      <w:r>
        <w:rPr>
          <w:i/>
        </w:rPr>
        <w:t>2</w:t>
      </w:r>
      <w:r w:rsidRPr="008329E1">
        <w:rPr>
          <w:i/>
        </w:rPr>
        <w:t>-2</w:t>
      </w:r>
      <w:r>
        <w:rPr>
          <w:i/>
        </w:rPr>
        <w:t>3</w:t>
      </w:r>
      <w:r w:rsidRPr="008329E1">
        <w:rPr>
          <w:i/>
        </w:rPr>
        <w:t xml:space="preserve"> Budget</w:t>
      </w:r>
      <w:r w:rsidRPr="008329E1">
        <w:t>. However, the forecast assumptions have been revised for each relevant defined benefit superannuation scheme as in the following table.</w:t>
      </w:r>
    </w:p>
    <w:p w14:paraId="149F4BB9" w14:textId="77777777" w:rsidR="00C424E5" w:rsidRPr="00783B16" w:rsidRDefault="00C424E5" w:rsidP="006206EF">
      <w:pPr>
        <w:pStyle w:val="TableHeading"/>
      </w:pPr>
      <w:r w:rsidRPr="008329E1">
        <w:t>Superannuation assumptions</w:t>
      </w:r>
      <w:r>
        <w:t xml:space="preserve"> </w:t>
      </w:r>
      <w:r>
        <w:tab/>
      </w:r>
      <w:r w:rsidRPr="008329E1">
        <w:t>(per cent)</w:t>
      </w:r>
    </w:p>
    <w:tbl>
      <w:tblPr>
        <w:tblStyle w:val="DTFTableNumeric"/>
        <w:tblW w:w="7710" w:type="dxa"/>
        <w:tblLayout w:type="fixed"/>
        <w:tblLook w:val="06A0" w:firstRow="1" w:lastRow="0" w:firstColumn="1" w:lastColumn="0" w:noHBand="1" w:noVBand="1"/>
      </w:tblPr>
      <w:tblGrid>
        <w:gridCol w:w="3855"/>
        <w:gridCol w:w="3855"/>
      </w:tblGrid>
      <w:tr w:rsidR="00C424E5" w14:paraId="660F16BB" w14:textId="77777777" w:rsidTr="00D005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55" w:type="dxa"/>
          </w:tcPr>
          <w:p w14:paraId="3E28B0DA" w14:textId="77777777" w:rsidR="00C424E5" w:rsidRDefault="00C424E5" w:rsidP="00D0055F">
            <w:r>
              <w:t>Underlying assumptions for all listed schemes</w:t>
            </w:r>
            <w:r>
              <w:rPr>
                <w:vertAlign w:val="superscript"/>
              </w:rPr>
              <w:t xml:space="preserve"> (a)</w:t>
            </w:r>
          </w:p>
        </w:tc>
        <w:tc>
          <w:tcPr>
            <w:tcW w:w="3855" w:type="dxa"/>
          </w:tcPr>
          <w:p w14:paraId="3A158153" w14:textId="77777777" w:rsidR="00C424E5" w:rsidRDefault="00C424E5" w:rsidP="00D0055F">
            <w:pPr>
              <w:cnfStyle w:val="100000000000" w:firstRow="1" w:lastRow="0" w:firstColumn="0" w:lastColumn="0" w:oddVBand="0" w:evenVBand="0" w:oddHBand="0" w:evenHBand="0" w:firstRowFirstColumn="0" w:firstRowLastColumn="0" w:lastRowFirstColumn="0" w:lastRowLastColumn="0"/>
            </w:pPr>
          </w:p>
        </w:tc>
      </w:tr>
      <w:tr w:rsidR="00C424E5" w14:paraId="6A99728F" w14:textId="77777777" w:rsidTr="00D0055F">
        <w:tc>
          <w:tcPr>
            <w:cnfStyle w:val="001000000000" w:firstRow="0" w:lastRow="0" w:firstColumn="1" w:lastColumn="0" w:oddVBand="0" w:evenVBand="0" w:oddHBand="0" w:evenHBand="0" w:firstRowFirstColumn="0" w:firstRowLastColumn="0" w:lastRowFirstColumn="0" w:lastRowLastColumn="0"/>
            <w:tcW w:w="3855" w:type="dxa"/>
          </w:tcPr>
          <w:p w14:paraId="6BE7EC02" w14:textId="77777777" w:rsidR="00C424E5" w:rsidRDefault="00C424E5" w:rsidP="00D0055F">
            <w:r>
              <w:t xml:space="preserve">Discount rate </w:t>
            </w:r>
            <w:r>
              <w:rPr>
                <w:vertAlign w:val="superscript"/>
              </w:rPr>
              <w:t>(b)</w:t>
            </w:r>
          </w:p>
        </w:tc>
        <w:tc>
          <w:tcPr>
            <w:tcW w:w="3855" w:type="dxa"/>
          </w:tcPr>
          <w:p w14:paraId="3B55EE08" w14:textId="77777777" w:rsidR="00C424E5" w:rsidRDefault="00C424E5" w:rsidP="00D0055F">
            <w:pPr>
              <w:cnfStyle w:val="000000000000" w:firstRow="0" w:lastRow="0" w:firstColumn="0" w:lastColumn="0" w:oddVBand="0" w:evenVBand="0" w:oddHBand="0" w:evenHBand="0" w:firstRowFirstColumn="0" w:firstRowLastColumn="0" w:lastRowFirstColumn="0" w:lastRowLastColumn="0"/>
            </w:pPr>
            <w:r>
              <w:t>4.1</w:t>
            </w:r>
          </w:p>
        </w:tc>
      </w:tr>
      <w:tr w:rsidR="00C424E5" w14:paraId="485B5588" w14:textId="77777777" w:rsidTr="00D0055F">
        <w:tc>
          <w:tcPr>
            <w:cnfStyle w:val="001000000000" w:firstRow="0" w:lastRow="0" w:firstColumn="1" w:lastColumn="0" w:oddVBand="0" w:evenVBand="0" w:oddHBand="0" w:evenHBand="0" w:firstRowFirstColumn="0" w:firstRowLastColumn="0" w:lastRowFirstColumn="0" w:lastRowLastColumn="0"/>
            <w:tcW w:w="3855" w:type="dxa"/>
          </w:tcPr>
          <w:p w14:paraId="1BCCC6FF" w14:textId="77777777" w:rsidR="00C424E5" w:rsidRDefault="00C424E5" w:rsidP="00D0055F">
            <w:r>
              <w:t xml:space="preserve">Wages growth </w:t>
            </w:r>
            <w:r>
              <w:rPr>
                <w:vertAlign w:val="superscript"/>
              </w:rPr>
              <w:t>(c)</w:t>
            </w:r>
          </w:p>
        </w:tc>
        <w:tc>
          <w:tcPr>
            <w:tcW w:w="3855" w:type="dxa"/>
          </w:tcPr>
          <w:p w14:paraId="19FADF75" w14:textId="77777777" w:rsidR="00C424E5" w:rsidRDefault="00C424E5" w:rsidP="00D0055F">
            <w:pPr>
              <w:cnfStyle w:val="000000000000" w:firstRow="0" w:lastRow="0" w:firstColumn="0" w:lastColumn="0" w:oddVBand="0" w:evenVBand="0" w:oddHBand="0" w:evenHBand="0" w:firstRowFirstColumn="0" w:firstRowLastColumn="0" w:lastRowFirstColumn="0" w:lastRowLastColumn="0"/>
            </w:pPr>
            <w:r>
              <w:t>3.6</w:t>
            </w:r>
          </w:p>
        </w:tc>
      </w:tr>
      <w:tr w:rsidR="00C424E5" w14:paraId="16C4DBB0" w14:textId="77777777" w:rsidTr="00D0055F">
        <w:tc>
          <w:tcPr>
            <w:cnfStyle w:val="001000000000" w:firstRow="0" w:lastRow="0" w:firstColumn="1" w:lastColumn="0" w:oddVBand="0" w:evenVBand="0" w:oddHBand="0" w:evenHBand="0" w:firstRowFirstColumn="0" w:firstRowLastColumn="0" w:lastRowFirstColumn="0" w:lastRowLastColumn="0"/>
            <w:tcW w:w="3855" w:type="dxa"/>
          </w:tcPr>
          <w:p w14:paraId="72ED2DED" w14:textId="77777777" w:rsidR="00C424E5" w:rsidRDefault="00C424E5" w:rsidP="00D0055F">
            <w:r>
              <w:t xml:space="preserve">Inflation rate </w:t>
            </w:r>
            <w:r>
              <w:rPr>
                <w:vertAlign w:val="superscript"/>
              </w:rPr>
              <w:t>(d)</w:t>
            </w:r>
          </w:p>
        </w:tc>
        <w:tc>
          <w:tcPr>
            <w:tcW w:w="3855" w:type="dxa"/>
          </w:tcPr>
          <w:p w14:paraId="1007D00A" w14:textId="77777777" w:rsidR="00C424E5" w:rsidRDefault="00C424E5" w:rsidP="00D0055F">
            <w:pPr>
              <w:cnfStyle w:val="000000000000" w:firstRow="0" w:lastRow="0" w:firstColumn="0" w:lastColumn="0" w:oddVBand="0" w:evenVBand="0" w:oddHBand="0" w:evenHBand="0" w:firstRowFirstColumn="0" w:firstRowLastColumn="0" w:lastRowFirstColumn="0" w:lastRowLastColumn="0"/>
            </w:pPr>
            <w:r>
              <w:t>2.1</w:t>
            </w:r>
          </w:p>
        </w:tc>
      </w:tr>
      <w:tr w:rsidR="00C424E5" w14:paraId="5A4DADA7" w14:textId="77777777" w:rsidTr="00D0055F">
        <w:tc>
          <w:tcPr>
            <w:cnfStyle w:val="001000000000" w:firstRow="0" w:lastRow="0" w:firstColumn="1" w:lastColumn="0" w:oddVBand="0" w:evenVBand="0" w:oddHBand="0" w:evenHBand="0" w:firstRowFirstColumn="0" w:firstRowLastColumn="0" w:lastRowFirstColumn="0" w:lastRowLastColumn="0"/>
            <w:tcW w:w="3855" w:type="dxa"/>
            <w:shd w:val="clear" w:color="auto" w:fill="000000" w:themeFill="text1"/>
          </w:tcPr>
          <w:p w14:paraId="192CB06D" w14:textId="77777777" w:rsidR="00C424E5" w:rsidRPr="00347A66" w:rsidRDefault="00C424E5" w:rsidP="00D0055F">
            <w:pPr>
              <w:rPr>
                <w:i/>
                <w:iCs/>
              </w:rPr>
            </w:pPr>
            <w:r w:rsidRPr="00347A66">
              <w:rPr>
                <w:i/>
                <w:iCs/>
              </w:rPr>
              <w:t xml:space="preserve">Expected return on assets </w:t>
            </w:r>
            <w:r w:rsidRPr="00347A66">
              <w:rPr>
                <w:i/>
                <w:iCs/>
                <w:vertAlign w:val="superscript"/>
              </w:rPr>
              <w:t>(e)</w:t>
            </w:r>
          </w:p>
        </w:tc>
        <w:tc>
          <w:tcPr>
            <w:tcW w:w="3855" w:type="dxa"/>
            <w:shd w:val="clear" w:color="auto" w:fill="000000" w:themeFill="text1"/>
          </w:tcPr>
          <w:p w14:paraId="627915FE" w14:textId="77777777" w:rsidR="00C424E5" w:rsidRDefault="00C424E5" w:rsidP="00D0055F">
            <w:pPr>
              <w:cnfStyle w:val="000000000000" w:firstRow="0" w:lastRow="0" w:firstColumn="0" w:lastColumn="0" w:oddVBand="0" w:evenVBand="0" w:oddHBand="0" w:evenHBand="0" w:firstRowFirstColumn="0" w:firstRowLastColumn="0" w:lastRowFirstColumn="0" w:lastRowLastColumn="0"/>
            </w:pPr>
          </w:p>
        </w:tc>
      </w:tr>
      <w:tr w:rsidR="00C424E5" w14:paraId="23B308CB" w14:textId="77777777" w:rsidTr="00D0055F">
        <w:tc>
          <w:tcPr>
            <w:cnfStyle w:val="001000000000" w:firstRow="0" w:lastRow="0" w:firstColumn="1" w:lastColumn="0" w:oddVBand="0" w:evenVBand="0" w:oddHBand="0" w:evenHBand="0" w:firstRowFirstColumn="0" w:firstRowLastColumn="0" w:lastRowFirstColumn="0" w:lastRowLastColumn="0"/>
            <w:tcW w:w="3855" w:type="dxa"/>
          </w:tcPr>
          <w:p w14:paraId="710BCD96" w14:textId="77777777" w:rsidR="00C424E5" w:rsidRDefault="00C424E5" w:rsidP="00D0055F">
            <w:r>
              <w:t>Emergency Services and State Super</w:t>
            </w:r>
          </w:p>
        </w:tc>
        <w:tc>
          <w:tcPr>
            <w:tcW w:w="3855" w:type="dxa"/>
          </w:tcPr>
          <w:p w14:paraId="6CDADF3D" w14:textId="77777777" w:rsidR="00C424E5" w:rsidRDefault="00C424E5" w:rsidP="00D0055F">
            <w:pPr>
              <w:cnfStyle w:val="000000000000" w:firstRow="0" w:lastRow="0" w:firstColumn="0" w:lastColumn="0" w:oddVBand="0" w:evenVBand="0" w:oddHBand="0" w:evenHBand="0" w:firstRowFirstColumn="0" w:firstRowLastColumn="0" w:lastRowFirstColumn="0" w:lastRowLastColumn="0"/>
            </w:pPr>
            <w:r>
              <w:t>7.0</w:t>
            </w:r>
          </w:p>
        </w:tc>
      </w:tr>
      <w:tr w:rsidR="00C424E5" w14:paraId="79BB3F93" w14:textId="77777777" w:rsidTr="00D0055F">
        <w:tc>
          <w:tcPr>
            <w:cnfStyle w:val="001000000000" w:firstRow="0" w:lastRow="0" w:firstColumn="1" w:lastColumn="0" w:oddVBand="0" w:evenVBand="0" w:oddHBand="0" w:evenHBand="0" w:firstRowFirstColumn="0" w:firstRowLastColumn="0" w:lastRowFirstColumn="0" w:lastRowLastColumn="0"/>
            <w:tcW w:w="3855" w:type="dxa"/>
          </w:tcPr>
          <w:p w14:paraId="2665214C" w14:textId="77777777" w:rsidR="00C424E5" w:rsidRDefault="00C424E5" w:rsidP="00D0055F">
            <w:r>
              <w:t>Health Super Fund Defined Benefit Scheme</w:t>
            </w:r>
          </w:p>
        </w:tc>
        <w:tc>
          <w:tcPr>
            <w:tcW w:w="3855" w:type="dxa"/>
          </w:tcPr>
          <w:p w14:paraId="10BB3A60" w14:textId="77777777" w:rsidR="00C424E5" w:rsidRDefault="00C424E5" w:rsidP="00D0055F">
            <w:pPr>
              <w:cnfStyle w:val="000000000000" w:firstRow="0" w:lastRow="0" w:firstColumn="0" w:lastColumn="0" w:oddVBand="0" w:evenVBand="0" w:oddHBand="0" w:evenHBand="0" w:firstRowFirstColumn="0" w:firstRowLastColumn="0" w:lastRowFirstColumn="0" w:lastRowLastColumn="0"/>
            </w:pPr>
            <w:r>
              <w:t>3.8</w:t>
            </w:r>
          </w:p>
        </w:tc>
      </w:tr>
      <w:tr w:rsidR="00C424E5" w14:paraId="66F27437" w14:textId="77777777" w:rsidTr="00D0055F">
        <w:tc>
          <w:tcPr>
            <w:cnfStyle w:val="001000000000" w:firstRow="0" w:lastRow="0" w:firstColumn="1" w:lastColumn="0" w:oddVBand="0" w:evenVBand="0" w:oddHBand="0" w:evenHBand="0" w:firstRowFirstColumn="0" w:firstRowLastColumn="0" w:lastRowFirstColumn="0" w:lastRowLastColumn="0"/>
            <w:tcW w:w="3855" w:type="dxa"/>
            <w:tcBorders>
              <w:bottom w:val="single" w:sz="12" w:space="0" w:color="auto"/>
            </w:tcBorders>
          </w:tcPr>
          <w:p w14:paraId="1F82EE47" w14:textId="77777777" w:rsidR="00C424E5" w:rsidRDefault="00C424E5" w:rsidP="00D0055F">
            <w:r>
              <w:t xml:space="preserve">Constitutionally protected schemes </w:t>
            </w:r>
            <w:r>
              <w:rPr>
                <w:vertAlign w:val="superscript"/>
              </w:rPr>
              <w:t>(f)</w:t>
            </w:r>
          </w:p>
        </w:tc>
        <w:tc>
          <w:tcPr>
            <w:tcW w:w="3855" w:type="dxa"/>
            <w:tcBorders>
              <w:bottom w:val="single" w:sz="12" w:space="0" w:color="auto"/>
            </w:tcBorders>
          </w:tcPr>
          <w:p w14:paraId="7CFBE7A4" w14:textId="77777777" w:rsidR="00C424E5" w:rsidRDefault="00C424E5" w:rsidP="00D0055F">
            <w:pPr>
              <w:cnfStyle w:val="000000000000" w:firstRow="0" w:lastRow="0" w:firstColumn="0" w:lastColumn="0" w:oddVBand="0" w:evenVBand="0" w:oddHBand="0" w:evenHBand="0" w:firstRowFirstColumn="0" w:firstRowLastColumn="0" w:lastRowFirstColumn="0" w:lastRowLastColumn="0"/>
            </w:pPr>
            <w:r>
              <w:t>n.a</w:t>
            </w:r>
          </w:p>
        </w:tc>
      </w:tr>
    </w:tbl>
    <w:p w14:paraId="7E6142B6" w14:textId="77777777" w:rsidR="00C424E5" w:rsidRPr="00FC6AC0" w:rsidRDefault="00C424E5" w:rsidP="006206EF">
      <w:pPr>
        <w:pStyle w:val="Note"/>
      </w:pPr>
      <w:r w:rsidRPr="00FC6AC0">
        <w:t>Notes:</w:t>
      </w:r>
    </w:p>
    <w:p w14:paraId="74492D0F" w14:textId="77777777" w:rsidR="00C424E5" w:rsidRPr="00FC6AC0" w:rsidRDefault="00C424E5" w:rsidP="006206EF">
      <w:pPr>
        <w:pStyle w:val="Note"/>
      </w:pPr>
      <w:r w:rsidRPr="00FC6AC0">
        <w:t>(a)</w:t>
      </w:r>
      <w:r w:rsidRPr="00FC6AC0">
        <w:tab/>
        <w:t>All rates are nominal annual rates and are applicable to all the listed schemes.</w:t>
      </w:r>
    </w:p>
    <w:p w14:paraId="36529CD9" w14:textId="77777777" w:rsidR="00C424E5" w:rsidRPr="00FC6AC0" w:rsidRDefault="00C424E5" w:rsidP="006206EF">
      <w:pPr>
        <w:pStyle w:val="Note"/>
      </w:pPr>
      <w:r w:rsidRPr="00FC6AC0">
        <w:t>(b)</w:t>
      </w:r>
      <w:r w:rsidRPr="00FC6AC0">
        <w:tab/>
        <w:t>The discount rate is based on a long-term fixed interest Commonwealth bond rate. The rate stated above is an annual effective rate, gross of tax.</w:t>
      </w:r>
    </w:p>
    <w:p w14:paraId="1A58092D" w14:textId="77777777" w:rsidR="00C424E5" w:rsidRPr="00FC6AC0" w:rsidRDefault="00C424E5" w:rsidP="006206EF">
      <w:pPr>
        <w:pStyle w:val="Note"/>
      </w:pPr>
      <w:r w:rsidRPr="00FC6AC0">
        <w:t>(c)</w:t>
      </w:r>
      <w:r w:rsidRPr="00FC6AC0">
        <w:tab/>
        <w:t>Based on the historical relationship between price and wage inflation, wages growth is assumed to be 1.5 per cent higher than price inflation.</w:t>
      </w:r>
    </w:p>
    <w:p w14:paraId="3E64BCBE" w14:textId="77777777" w:rsidR="00C424E5" w:rsidRPr="00FC6AC0" w:rsidRDefault="00C424E5" w:rsidP="006206EF">
      <w:pPr>
        <w:pStyle w:val="Note"/>
      </w:pPr>
      <w:r w:rsidRPr="00FC6AC0">
        <w:t>(d)</w:t>
      </w:r>
      <w:r w:rsidRPr="00FC6AC0">
        <w:tab/>
        <w:t xml:space="preserve">The superannuation assumptions are determined in accordance with AASB 119 </w:t>
      </w:r>
      <w:r w:rsidRPr="003B6C69">
        <w:rPr>
          <w:i w:val="0"/>
          <w:iCs/>
        </w:rPr>
        <w:t>Employee Benefits</w:t>
      </w:r>
      <w:r w:rsidRPr="00FC6AC0">
        <w:t>, which requires that the discount rate be based on Commonwealth bond yields. To ensure consistency with the market-based discount rate, the inflation rate assumed by the actuary reflects market expectations of price inflation, as implied by the relationship between the yields on nominal and inflation</w:t>
      </w:r>
      <w:r w:rsidRPr="00FC6AC0">
        <w:noBreakHyphen/>
        <w:t xml:space="preserve">linked Commonwealth bonds. Therefore, these assumptions differ from the key economic assumptions in Note </w:t>
      </w:r>
      <w:r>
        <w:t>3</w:t>
      </w:r>
      <w:r w:rsidRPr="00FC6AC0">
        <w:t>.1, which reflect the expected change in consumer prices in Melbourne and movements in wages and salaries in the Victorian labour market.</w:t>
      </w:r>
    </w:p>
    <w:p w14:paraId="39A9A41C" w14:textId="77777777" w:rsidR="00C424E5" w:rsidRPr="00FC6AC0" w:rsidRDefault="00C424E5" w:rsidP="006206EF">
      <w:pPr>
        <w:pStyle w:val="Note"/>
      </w:pPr>
      <w:r w:rsidRPr="00FC6AC0">
        <w:t>(e)</w:t>
      </w:r>
      <w:r w:rsidRPr="00FC6AC0">
        <w:tab/>
        <w:t xml:space="preserve">The expected return on assets stated is gross of tax. Estimated tax payments are explicitly allowed for in the calculation process. </w:t>
      </w:r>
    </w:p>
    <w:p w14:paraId="3C098CE8" w14:textId="77777777" w:rsidR="00C424E5" w:rsidRDefault="00C424E5" w:rsidP="006206EF">
      <w:pPr>
        <w:pStyle w:val="Note"/>
      </w:pPr>
      <w:r w:rsidRPr="00FC6AC0">
        <w:t>(f)</w:t>
      </w:r>
      <w:r w:rsidRPr="00FC6AC0">
        <w:tab/>
        <w:t>Pensions payable from constitutionally protected schemes are paid from the Consolidated Fund. These schemes hold no assets, so</w:t>
      </w:r>
      <w:r>
        <w:t> </w:t>
      </w:r>
      <w:r w:rsidRPr="00FC6AC0">
        <w:t>there is no expected return on assets.</w:t>
      </w:r>
    </w:p>
    <w:p w14:paraId="556F65BD" w14:textId="77777777" w:rsidR="00C424E5" w:rsidRPr="00FC6AC0" w:rsidRDefault="00C424E5" w:rsidP="006206EF">
      <w:pPr>
        <w:pStyle w:val="Note"/>
      </w:pPr>
    </w:p>
    <w:p w14:paraId="2D9EEC1D" w14:textId="77777777" w:rsidR="00C424E5" w:rsidRDefault="00C424E5" w:rsidP="00A330B7">
      <w:pPr>
        <w:pStyle w:val="Heading3"/>
        <w:spacing w:after="60"/>
        <w:rPr>
          <w:sz w:val="20"/>
          <w:szCs w:val="20"/>
        </w:rPr>
      </w:pPr>
      <w:bookmarkStart w:id="63" w:name="_Toc117172280"/>
      <w:r w:rsidRPr="00A330B7">
        <w:rPr>
          <w:sz w:val="20"/>
          <w:szCs w:val="20"/>
        </w:rPr>
        <w:t>Grant expense</w:t>
      </w:r>
      <w:r w:rsidRPr="00A330B7">
        <w:rPr>
          <w:sz w:val="20"/>
          <w:szCs w:val="20"/>
        </w:rPr>
        <w:tab/>
        <w:t>($ million)</w:t>
      </w:r>
      <w:bookmarkEnd w:id="63"/>
    </w:p>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925B88" w14:paraId="67D064D7" w14:textId="77777777" w:rsidTr="00A836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44D4CFF4" w14:textId="62E08544" w:rsidR="00925B88" w:rsidRDefault="00925B88"/>
        </w:tc>
        <w:tc>
          <w:tcPr>
            <w:tcW w:w="794" w:type="dxa"/>
          </w:tcPr>
          <w:p w14:paraId="333A9F0E" w14:textId="44A2C7BA" w:rsidR="00925B88" w:rsidRDefault="00925B88" w:rsidP="00F716F5">
            <w:pPr>
              <w:cnfStyle w:val="100000000000" w:firstRow="1" w:lastRow="0" w:firstColumn="0" w:lastColumn="0" w:oddVBand="0" w:evenVBand="0" w:oddHBand="0" w:evenHBand="0" w:firstRowFirstColumn="0" w:firstRowLastColumn="0" w:lastRowFirstColumn="0" w:lastRowLastColumn="0"/>
            </w:pPr>
            <w:r>
              <w:t>2022</w:t>
            </w:r>
            <w:r>
              <w:noBreakHyphen/>
              <w:t>23</w:t>
            </w:r>
            <w:r w:rsidR="00F70B1C">
              <w:rPr>
                <w:i w:val="0"/>
              </w:rPr>
              <w:br/>
            </w:r>
            <w:r>
              <w:t>budget</w:t>
            </w:r>
          </w:p>
        </w:tc>
        <w:tc>
          <w:tcPr>
            <w:tcW w:w="794" w:type="dxa"/>
          </w:tcPr>
          <w:p w14:paraId="6AF4A6A3" w14:textId="0FA96FB7" w:rsidR="00925B88" w:rsidRDefault="00925B88" w:rsidP="009B7447">
            <w:pPr>
              <w:cnfStyle w:val="100000000000" w:firstRow="1" w:lastRow="0" w:firstColumn="0" w:lastColumn="0" w:oddVBand="0" w:evenVBand="0" w:oddHBand="0" w:evenHBand="0" w:firstRowFirstColumn="0" w:firstRowLastColumn="0" w:lastRowFirstColumn="0" w:lastRowLastColumn="0"/>
            </w:pPr>
            <w:r>
              <w:t>2022</w:t>
            </w:r>
            <w:r>
              <w:noBreakHyphen/>
              <w:t>23</w:t>
            </w:r>
            <w:r w:rsidR="00F70B1C">
              <w:rPr>
                <w:i w:val="0"/>
              </w:rPr>
              <w:br/>
            </w:r>
            <w:r>
              <w:t>revised</w:t>
            </w:r>
          </w:p>
        </w:tc>
        <w:tc>
          <w:tcPr>
            <w:tcW w:w="794" w:type="dxa"/>
          </w:tcPr>
          <w:p w14:paraId="46A9B127" w14:textId="210F360A" w:rsidR="00925B88" w:rsidRDefault="00925B88" w:rsidP="008E2842">
            <w:pPr>
              <w:cnfStyle w:val="100000000000" w:firstRow="1" w:lastRow="0" w:firstColumn="0" w:lastColumn="0" w:oddVBand="0" w:evenVBand="0" w:oddHBand="0" w:evenHBand="0" w:firstRowFirstColumn="0" w:firstRowLastColumn="0" w:lastRowFirstColumn="0" w:lastRowLastColumn="0"/>
            </w:pPr>
            <w:r>
              <w:t>2023</w:t>
            </w:r>
            <w:r>
              <w:noBreakHyphen/>
              <w:t>24</w:t>
            </w:r>
            <w:r w:rsidR="00F70B1C">
              <w:rPr>
                <w:i w:val="0"/>
              </w:rPr>
              <w:br/>
            </w:r>
            <w:r>
              <w:t>estimate</w:t>
            </w:r>
          </w:p>
        </w:tc>
        <w:tc>
          <w:tcPr>
            <w:tcW w:w="794" w:type="dxa"/>
          </w:tcPr>
          <w:p w14:paraId="76FDFB68" w14:textId="0918BD1E" w:rsidR="00925B88" w:rsidRDefault="00925B88" w:rsidP="00567FA5">
            <w:pPr>
              <w:cnfStyle w:val="100000000000" w:firstRow="1" w:lastRow="0" w:firstColumn="0" w:lastColumn="0" w:oddVBand="0" w:evenVBand="0" w:oddHBand="0" w:evenHBand="0" w:firstRowFirstColumn="0" w:firstRowLastColumn="0" w:lastRowFirstColumn="0" w:lastRowLastColumn="0"/>
            </w:pPr>
            <w:r>
              <w:t>2024</w:t>
            </w:r>
            <w:r>
              <w:noBreakHyphen/>
              <w:t>25</w:t>
            </w:r>
            <w:r w:rsidR="00F70B1C">
              <w:rPr>
                <w:i w:val="0"/>
              </w:rPr>
              <w:br/>
            </w:r>
            <w:r>
              <w:t>estimate</w:t>
            </w:r>
          </w:p>
        </w:tc>
        <w:tc>
          <w:tcPr>
            <w:tcW w:w="794" w:type="dxa"/>
          </w:tcPr>
          <w:p w14:paraId="08A2C79C" w14:textId="68D88240" w:rsidR="00925B88" w:rsidRDefault="00925B88" w:rsidP="00510ED5">
            <w:pPr>
              <w:cnfStyle w:val="100000000000" w:firstRow="1" w:lastRow="0" w:firstColumn="0" w:lastColumn="0" w:oddVBand="0" w:evenVBand="0" w:oddHBand="0" w:evenHBand="0" w:firstRowFirstColumn="0" w:firstRowLastColumn="0" w:lastRowFirstColumn="0" w:lastRowLastColumn="0"/>
            </w:pPr>
            <w:r>
              <w:t>2025</w:t>
            </w:r>
            <w:r>
              <w:noBreakHyphen/>
              <w:t>26</w:t>
            </w:r>
            <w:r w:rsidR="00F70B1C">
              <w:rPr>
                <w:i w:val="0"/>
              </w:rPr>
              <w:br/>
            </w:r>
            <w:r>
              <w:t>estimate</w:t>
            </w:r>
          </w:p>
        </w:tc>
      </w:tr>
      <w:tr w:rsidR="00C424E5" w14:paraId="30DE4393" w14:textId="77777777">
        <w:tc>
          <w:tcPr>
            <w:cnfStyle w:val="001000000000" w:firstRow="0" w:lastRow="0" w:firstColumn="1" w:lastColumn="0" w:oddVBand="0" w:evenVBand="0" w:oddHBand="0" w:evenHBand="0" w:firstRowFirstColumn="0" w:firstRowLastColumn="0" w:lastRowFirstColumn="0" w:lastRowLastColumn="0"/>
            <w:tcW w:w="3740" w:type="dxa"/>
          </w:tcPr>
          <w:p w14:paraId="7228E3F4" w14:textId="77777777" w:rsidR="00C424E5" w:rsidRDefault="00C424E5">
            <w:r>
              <w:rPr>
                <w:b/>
              </w:rPr>
              <w:t>Current grant expense</w:t>
            </w:r>
          </w:p>
        </w:tc>
        <w:tc>
          <w:tcPr>
            <w:tcW w:w="794" w:type="dxa"/>
          </w:tcPr>
          <w:p w14:paraId="25BE0E5D"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0739D00B"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4FEEE9B2"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1B88383E"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53E26F8D"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01B0F37D" w14:textId="77777777">
        <w:tc>
          <w:tcPr>
            <w:cnfStyle w:val="001000000000" w:firstRow="0" w:lastRow="0" w:firstColumn="1" w:lastColumn="0" w:oddVBand="0" w:evenVBand="0" w:oddHBand="0" w:evenHBand="0" w:firstRowFirstColumn="0" w:firstRowLastColumn="0" w:lastRowFirstColumn="0" w:lastRowLastColumn="0"/>
            <w:tcW w:w="3740" w:type="dxa"/>
          </w:tcPr>
          <w:p w14:paraId="59D31F97" w14:textId="77777777" w:rsidR="00C424E5" w:rsidRDefault="00C424E5">
            <w:r>
              <w:t>Commonwealth Government</w:t>
            </w:r>
          </w:p>
        </w:tc>
        <w:tc>
          <w:tcPr>
            <w:tcW w:w="794" w:type="dxa"/>
          </w:tcPr>
          <w:p w14:paraId="136FBEBF" w14:textId="77777777" w:rsidR="00C424E5" w:rsidRDefault="00C424E5">
            <w:pPr>
              <w:cnfStyle w:val="000000000000" w:firstRow="0" w:lastRow="0" w:firstColumn="0" w:lastColumn="0" w:oddVBand="0" w:evenVBand="0" w:oddHBand="0" w:evenHBand="0" w:firstRowFirstColumn="0" w:firstRowLastColumn="0" w:lastRowFirstColumn="0" w:lastRowLastColumn="0"/>
            </w:pPr>
            <w:r>
              <w:t>2 970</w:t>
            </w:r>
          </w:p>
        </w:tc>
        <w:tc>
          <w:tcPr>
            <w:tcW w:w="794" w:type="dxa"/>
          </w:tcPr>
          <w:p w14:paraId="40F56587" w14:textId="77777777" w:rsidR="00C424E5" w:rsidRDefault="00C424E5">
            <w:pPr>
              <w:cnfStyle w:val="000000000000" w:firstRow="0" w:lastRow="0" w:firstColumn="0" w:lastColumn="0" w:oddVBand="0" w:evenVBand="0" w:oddHBand="0" w:evenHBand="0" w:firstRowFirstColumn="0" w:firstRowLastColumn="0" w:lastRowFirstColumn="0" w:lastRowLastColumn="0"/>
            </w:pPr>
            <w:r>
              <w:t>3 046</w:t>
            </w:r>
          </w:p>
        </w:tc>
        <w:tc>
          <w:tcPr>
            <w:tcW w:w="794" w:type="dxa"/>
          </w:tcPr>
          <w:p w14:paraId="2144B21A" w14:textId="77777777" w:rsidR="00C424E5" w:rsidRDefault="00C424E5">
            <w:pPr>
              <w:cnfStyle w:val="000000000000" w:firstRow="0" w:lastRow="0" w:firstColumn="0" w:lastColumn="0" w:oddVBand="0" w:evenVBand="0" w:oddHBand="0" w:evenHBand="0" w:firstRowFirstColumn="0" w:firstRowLastColumn="0" w:lastRowFirstColumn="0" w:lastRowLastColumn="0"/>
            </w:pPr>
            <w:r>
              <w:t>3 081</w:t>
            </w:r>
          </w:p>
        </w:tc>
        <w:tc>
          <w:tcPr>
            <w:tcW w:w="794" w:type="dxa"/>
          </w:tcPr>
          <w:p w14:paraId="637162EA" w14:textId="77777777" w:rsidR="00C424E5" w:rsidRDefault="00C424E5">
            <w:pPr>
              <w:cnfStyle w:val="000000000000" w:firstRow="0" w:lastRow="0" w:firstColumn="0" w:lastColumn="0" w:oddVBand="0" w:evenVBand="0" w:oddHBand="0" w:evenHBand="0" w:firstRowFirstColumn="0" w:firstRowLastColumn="0" w:lastRowFirstColumn="0" w:lastRowLastColumn="0"/>
            </w:pPr>
            <w:r>
              <w:t>3 264</w:t>
            </w:r>
          </w:p>
        </w:tc>
        <w:tc>
          <w:tcPr>
            <w:tcW w:w="794" w:type="dxa"/>
          </w:tcPr>
          <w:p w14:paraId="0FEC9230" w14:textId="77777777" w:rsidR="00C424E5" w:rsidRDefault="00C424E5">
            <w:pPr>
              <w:cnfStyle w:val="000000000000" w:firstRow="0" w:lastRow="0" w:firstColumn="0" w:lastColumn="0" w:oddVBand="0" w:evenVBand="0" w:oddHBand="0" w:evenHBand="0" w:firstRowFirstColumn="0" w:firstRowLastColumn="0" w:lastRowFirstColumn="0" w:lastRowLastColumn="0"/>
            </w:pPr>
            <w:r>
              <w:t>3 460</w:t>
            </w:r>
          </w:p>
        </w:tc>
      </w:tr>
      <w:tr w:rsidR="00C424E5" w14:paraId="626D4E8F" w14:textId="77777777">
        <w:tc>
          <w:tcPr>
            <w:cnfStyle w:val="001000000000" w:firstRow="0" w:lastRow="0" w:firstColumn="1" w:lastColumn="0" w:oddVBand="0" w:evenVBand="0" w:oddHBand="0" w:evenHBand="0" w:firstRowFirstColumn="0" w:firstRowLastColumn="0" w:lastRowFirstColumn="0" w:lastRowLastColumn="0"/>
            <w:tcW w:w="3740" w:type="dxa"/>
          </w:tcPr>
          <w:p w14:paraId="7C79B0CA" w14:textId="77777777" w:rsidR="00C424E5" w:rsidRDefault="00C424E5">
            <w:r>
              <w:t>Local government (including grants for on</w:t>
            </w:r>
            <w:r>
              <w:noBreakHyphen/>
              <w:t>passing)</w:t>
            </w:r>
          </w:p>
        </w:tc>
        <w:tc>
          <w:tcPr>
            <w:tcW w:w="794" w:type="dxa"/>
          </w:tcPr>
          <w:p w14:paraId="63801FEE" w14:textId="77777777" w:rsidR="00C424E5" w:rsidRDefault="00C424E5">
            <w:pPr>
              <w:cnfStyle w:val="000000000000" w:firstRow="0" w:lastRow="0" w:firstColumn="0" w:lastColumn="0" w:oddVBand="0" w:evenVBand="0" w:oddHBand="0" w:evenHBand="0" w:firstRowFirstColumn="0" w:firstRowLastColumn="0" w:lastRowFirstColumn="0" w:lastRowLastColumn="0"/>
            </w:pPr>
            <w:r>
              <w:t>1 032</w:t>
            </w:r>
          </w:p>
        </w:tc>
        <w:tc>
          <w:tcPr>
            <w:tcW w:w="794" w:type="dxa"/>
          </w:tcPr>
          <w:p w14:paraId="4555E99E" w14:textId="77777777" w:rsidR="00C424E5" w:rsidRDefault="00C424E5">
            <w:pPr>
              <w:cnfStyle w:val="000000000000" w:firstRow="0" w:lastRow="0" w:firstColumn="0" w:lastColumn="0" w:oddVBand="0" w:evenVBand="0" w:oddHBand="0" w:evenHBand="0" w:firstRowFirstColumn="0" w:firstRowLastColumn="0" w:lastRowFirstColumn="0" w:lastRowLastColumn="0"/>
            </w:pPr>
            <w:r>
              <w:t>769</w:t>
            </w:r>
          </w:p>
        </w:tc>
        <w:tc>
          <w:tcPr>
            <w:tcW w:w="794" w:type="dxa"/>
          </w:tcPr>
          <w:p w14:paraId="0BF02B6B" w14:textId="77777777" w:rsidR="00C424E5" w:rsidRDefault="00C424E5">
            <w:pPr>
              <w:cnfStyle w:val="000000000000" w:firstRow="0" w:lastRow="0" w:firstColumn="0" w:lastColumn="0" w:oddVBand="0" w:evenVBand="0" w:oddHBand="0" w:evenHBand="0" w:firstRowFirstColumn="0" w:firstRowLastColumn="0" w:lastRowFirstColumn="0" w:lastRowLastColumn="0"/>
            </w:pPr>
            <w:r>
              <w:t>973</w:t>
            </w:r>
          </w:p>
        </w:tc>
        <w:tc>
          <w:tcPr>
            <w:tcW w:w="794" w:type="dxa"/>
          </w:tcPr>
          <w:p w14:paraId="17BE5342" w14:textId="77777777" w:rsidR="00C424E5" w:rsidRDefault="00C424E5">
            <w:pPr>
              <w:cnfStyle w:val="000000000000" w:firstRow="0" w:lastRow="0" w:firstColumn="0" w:lastColumn="0" w:oddVBand="0" w:evenVBand="0" w:oddHBand="0" w:evenHBand="0" w:firstRowFirstColumn="0" w:firstRowLastColumn="0" w:lastRowFirstColumn="0" w:lastRowLastColumn="0"/>
            </w:pPr>
            <w:r>
              <w:t>930</w:t>
            </w:r>
          </w:p>
        </w:tc>
        <w:tc>
          <w:tcPr>
            <w:tcW w:w="794" w:type="dxa"/>
          </w:tcPr>
          <w:p w14:paraId="7B8CC4F8" w14:textId="77777777" w:rsidR="00C424E5" w:rsidRDefault="00C424E5">
            <w:pPr>
              <w:cnfStyle w:val="000000000000" w:firstRow="0" w:lastRow="0" w:firstColumn="0" w:lastColumn="0" w:oddVBand="0" w:evenVBand="0" w:oddHBand="0" w:evenHBand="0" w:firstRowFirstColumn="0" w:firstRowLastColumn="0" w:lastRowFirstColumn="0" w:lastRowLastColumn="0"/>
            </w:pPr>
            <w:r>
              <w:t>931</w:t>
            </w:r>
          </w:p>
        </w:tc>
      </w:tr>
      <w:tr w:rsidR="00C424E5" w14:paraId="673B43F1" w14:textId="77777777">
        <w:tc>
          <w:tcPr>
            <w:cnfStyle w:val="001000000000" w:firstRow="0" w:lastRow="0" w:firstColumn="1" w:lastColumn="0" w:oddVBand="0" w:evenVBand="0" w:oddHBand="0" w:evenHBand="0" w:firstRowFirstColumn="0" w:firstRowLastColumn="0" w:lastRowFirstColumn="0" w:lastRowLastColumn="0"/>
            <w:tcW w:w="3740" w:type="dxa"/>
          </w:tcPr>
          <w:p w14:paraId="166BB684" w14:textId="77777777" w:rsidR="00C424E5" w:rsidRDefault="00C424E5">
            <w:r>
              <w:t>Private sector and not</w:t>
            </w:r>
            <w:r>
              <w:noBreakHyphen/>
              <w:t>for</w:t>
            </w:r>
            <w:r>
              <w:noBreakHyphen/>
              <w:t>profit for on</w:t>
            </w:r>
            <w:r>
              <w:noBreakHyphen/>
              <w:t>passing</w:t>
            </w:r>
          </w:p>
        </w:tc>
        <w:tc>
          <w:tcPr>
            <w:tcW w:w="794" w:type="dxa"/>
          </w:tcPr>
          <w:p w14:paraId="3D45B561" w14:textId="77777777" w:rsidR="00C424E5" w:rsidRDefault="00C424E5">
            <w:pPr>
              <w:cnfStyle w:val="000000000000" w:firstRow="0" w:lastRow="0" w:firstColumn="0" w:lastColumn="0" w:oddVBand="0" w:evenVBand="0" w:oddHBand="0" w:evenHBand="0" w:firstRowFirstColumn="0" w:firstRowLastColumn="0" w:lastRowFirstColumn="0" w:lastRowLastColumn="0"/>
            </w:pPr>
            <w:r>
              <w:t>4 513</w:t>
            </w:r>
          </w:p>
        </w:tc>
        <w:tc>
          <w:tcPr>
            <w:tcW w:w="794" w:type="dxa"/>
          </w:tcPr>
          <w:p w14:paraId="364C1265" w14:textId="77777777" w:rsidR="00C424E5" w:rsidRDefault="00C424E5">
            <w:pPr>
              <w:cnfStyle w:val="000000000000" w:firstRow="0" w:lastRow="0" w:firstColumn="0" w:lastColumn="0" w:oddVBand="0" w:evenVBand="0" w:oddHBand="0" w:evenHBand="0" w:firstRowFirstColumn="0" w:firstRowLastColumn="0" w:lastRowFirstColumn="0" w:lastRowLastColumn="0"/>
            </w:pPr>
            <w:r>
              <w:t>4 508</w:t>
            </w:r>
          </w:p>
        </w:tc>
        <w:tc>
          <w:tcPr>
            <w:tcW w:w="794" w:type="dxa"/>
          </w:tcPr>
          <w:p w14:paraId="1F6A8376" w14:textId="77777777" w:rsidR="00C424E5" w:rsidRDefault="00C424E5">
            <w:pPr>
              <w:cnfStyle w:val="000000000000" w:firstRow="0" w:lastRow="0" w:firstColumn="0" w:lastColumn="0" w:oddVBand="0" w:evenVBand="0" w:oddHBand="0" w:evenHBand="0" w:firstRowFirstColumn="0" w:firstRowLastColumn="0" w:lastRowFirstColumn="0" w:lastRowLastColumn="0"/>
            </w:pPr>
            <w:r>
              <w:t>4 719</w:t>
            </w:r>
          </w:p>
        </w:tc>
        <w:tc>
          <w:tcPr>
            <w:tcW w:w="794" w:type="dxa"/>
          </w:tcPr>
          <w:p w14:paraId="54420661" w14:textId="77777777" w:rsidR="00C424E5" w:rsidRDefault="00C424E5">
            <w:pPr>
              <w:cnfStyle w:val="000000000000" w:firstRow="0" w:lastRow="0" w:firstColumn="0" w:lastColumn="0" w:oddVBand="0" w:evenVBand="0" w:oddHBand="0" w:evenHBand="0" w:firstRowFirstColumn="0" w:firstRowLastColumn="0" w:lastRowFirstColumn="0" w:lastRowLastColumn="0"/>
            </w:pPr>
            <w:r>
              <w:t>4 887</w:t>
            </w:r>
          </w:p>
        </w:tc>
        <w:tc>
          <w:tcPr>
            <w:tcW w:w="794" w:type="dxa"/>
          </w:tcPr>
          <w:p w14:paraId="03FBA024" w14:textId="77777777" w:rsidR="00C424E5" w:rsidRDefault="00C424E5">
            <w:pPr>
              <w:cnfStyle w:val="000000000000" w:firstRow="0" w:lastRow="0" w:firstColumn="0" w:lastColumn="0" w:oddVBand="0" w:evenVBand="0" w:oddHBand="0" w:evenHBand="0" w:firstRowFirstColumn="0" w:firstRowLastColumn="0" w:lastRowFirstColumn="0" w:lastRowLastColumn="0"/>
            </w:pPr>
            <w:r>
              <w:t>4 992</w:t>
            </w:r>
          </w:p>
        </w:tc>
      </w:tr>
      <w:tr w:rsidR="00C424E5" w14:paraId="2E8E4F5E" w14:textId="77777777">
        <w:tc>
          <w:tcPr>
            <w:cnfStyle w:val="001000000000" w:firstRow="0" w:lastRow="0" w:firstColumn="1" w:lastColumn="0" w:oddVBand="0" w:evenVBand="0" w:oddHBand="0" w:evenHBand="0" w:firstRowFirstColumn="0" w:firstRowLastColumn="0" w:lastRowFirstColumn="0" w:lastRowLastColumn="0"/>
            <w:tcW w:w="3740" w:type="dxa"/>
          </w:tcPr>
          <w:p w14:paraId="67AA5D99" w14:textId="77777777" w:rsidR="00C424E5" w:rsidRDefault="00C424E5">
            <w:r>
              <w:t>Other private sector and not</w:t>
            </w:r>
            <w:r>
              <w:noBreakHyphen/>
              <w:t>for</w:t>
            </w:r>
            <w:r>
              <w:noBreakHyphen/>
              <w:t>profit</w:t>
            </w:r>
          </w:p>
        </w:tc>
        <w:tc>
          <w:tcPr>
            <w:tcW w:w="794" w:type="dxa"/>
          </w:tcPr>
          <w:p w14:paraId="0DD5A9C0" w14:textId="77777777" w:rsidR="00C424E5" w:rsidRDefault="00C424E5">
            <w:pPr>
              <w:cnfStyle w:val="000000000000" w:firstRow="0" w:lastRow="0" w:firstColumn="0" w:lastColumn="0" w:oddVBand="0" w:evenVBand="0" w:oddHBand="0" w:evenHBand="0" w:firstRowFirstColumn="0" w:firstRowLastColumn="0" w:lastRowFirstColumn="0" w:lastRowLastColumn="0"/>
            </w:pPr>
            <w:r>
              <w:t>5 948</w:t>
            </w:r>
          </w:p>
        </w:tc>
        <w:tc>
          <w:tcPr>
            <w:tcW w:w="794" w:type="dxa"/>
          </w:tcPr>
          <w:p w14:paraId="58DDE531" w14:textId="77777777" w:rsidR="00C424E5" w:rsidRDefault="00C424E5">
            <w:pPr>
              <w:cnfStyle w:val="000000000000" w:firstRow="0" w:lastRow="0" w:firstColumn="0" w:lastColumn="0" w:oddVBand="0" w:evenVBand="0" w:oddHBand="0" w:evenHBand="0" w:firstRowFirstColumn="0" w:firstRowLastColumn="0" w:lastRowFirstColumn="0" w:lastRowLastColumn="0"/>
            </w:pPr>
            <w:r>
              <w:t>6 581</w:t>
            </w:r>
          </w:p>
        </w:tc>
        <w:tc>
          <w:tcPr>
            <w:tcW w:w="794" w:type="dxa"/>
          </w:tcPr>
          <w:p w14:paraId="53AE7CB7" w14:textId="77777777" w:rsidR="00C424E5" w:rsidRDefault="00C424E5">
            <w:pPr>
              <w:cnfStyle w:val="000000000000" w:firstRow="0" w:lastRow="0" w:firstColumn="0" w:lastColumn="0" w:oddVBand="0" w:evenVBand="0" w:oddHBand="0" w:evenHBand="0" w:firstRowFirstColumn="0" w:firstRowLastColumn="0" w:lastRowFirstColumn="0" w:lastRowLastColumn="0"/>
            </w:pPr>
            <w:r>
              <w:t>4 843</w:t>
            </w:r>
          </w:p>
        </w:tc>
        <w:tc>
          <w:tcPr>
            <w:tcW w:w="794" w:type="dxa"/>
          </w:tcPr>
          <w:p w14:paraId="67F3523E" w14:textId="77777777" w:rsidR="00C424E5" w:rsidRDefault="00C424E5">
            <w:pPr>
              <w:cnfStyle w:val="000000000000" w:firstRow="0" w:lastRow="0" w:firstColumn="0" w:lastColumn="0" w:oddVBand="0" w:evenVBand="0" w:oddHBand="0" w:evenHBand="0" w:firstRowFirstColumn="0" w:firstRowLastColumn="0" w:lastRowFirstColumn="0" w:lastRowLastColumn="0"/>
            </w:pPr>
            <w:r>
              <w:t>4 186</w:t>
            </w:r>
          </w:p>
        </w:tc>
        <w:tc>
          <w:tcPr>
            <w:tcW w:w="794" w:type="dxa"/>
          </w:tcPr>
          <w:p w14:paraId="7CA70596" w14:textId="77777777" w:rsidR="00C424E5" w:rsidRDefault="00C424E5">
            <w:pPr>
              <w:cnfStyle w:val="000000000000" w:firstRow="0" w:lastRow="0" w:firstColumn="0" w:lastColumn="0" w:oddVBand="0" w:evenVBand="0" w:oddHBand="0" w:evenHBand="0" w:firstRowFirstColumn="0" w:firstRowLastColumn="0" w:lastRowFirstColumn="0" w:lastRowLastColumn="0"/>
            </w:pPr>
            <w:r>
              <w:t>4 411</w:t>
            </w:r>
          </w:p>
        </w:tc>
      </w:tr>
      <w:tr w:rsidR="00C424E5" w14:paraId="360DB396" w14:textId="77777777">
        <w:tc>
          <w:tcPr>
            <w:cnfStyle w:val="001000000000" w:firstRow="0" w:lastRow="0" w:firstColumn="1" w:lastColumn="0" w:oddVBand="0" w:evenVBand="0" w:oddHBand="0" w:evenHBand="0" w:firstRowFirstColumn="0" w:firstRowLastColumn="0" w:lastRowFirstColumn="0" w:lastRowLastColumn="0"/>
            <w:tcW w:w="3740" w:type="dxa"/>
          </w:tcPr>
          <w:p w14:paraId="24879700" w14:textId="77777777" w:rsidR="00C424E5" w:rsidRDefault="00C424E5">
            <w:r>
              <w:t>Grants within the Victorian Government</w:t>
            </w:r>
          </w:p>
        </w:tc>
        <w:tc>
          <w:tcPr>
            <w:tcW w:w="794" w:type="dxa"/>
          </w:tcPr>
          <w:p w14:paraId="00B8AA47" w14:textId="77777777" w:rsidR="00C424E5" w:rsidRDefault="00C424E5">
            <w:pPr>
              <w:cnfStyle w:val="000000000000" w:firstRow="0" w:lastRow="0" w:firstColumn="0" w:lastColumn="0" w:oddVBand="0" w:evenVBand="0" w:oddHBand="0" w:evenHBand="0" w:firstRowFirstColumn="0" w:firstRowLastColumn="0" w:lastRowFirstColumn="0" w:lastRowLastColumn="0"/>
            </w:pPr>
            <w:r>
              <w:t>2 335</w:t>
            </w:r>
          </w:p>
        </w:tc>
        <w:tc>
          <w:tcPr>
            <w:tcW w:w="794" w:type="dxa"/>
          </w:tcPr>
          <w:p w14:paraId="47692003" w14:textId="77777777" w:rsidR="00C424E5" w:rsidRDefault="00C424E5">
            <w:pPr>
              <w:cnfStyle w:val="000000000000" w:firstRow="0" w:lastRow="0" w:firstColumn="0" w:lastColumn="0" w:oddVBand="0" w:evenVBand="0" w:oddHBand="0" w:evenHBand="0" w:firstRowFirstColumn="0" w:firstRowLastColumn="0" w:lastRowFirstColumn="0" w:lastRowLastColumn="0"/>
            </w:pPr>
            <w:r>
              <w:t>2 586</w:t>
            </w:r>
          </w:p>
        </w:tc>
        <w:tc>
          <w:tcPr>
            <w:tcW w:w="794" w:type="dxa"/>
          </w:tcPr>
          <w:p w14:paraId="26FDF21A" w14:textId="77777777" w:rsidR="00C424E5" w:rsidRDefault="00C424E5">
            <w:pPr>
              <w:cnfStyle w:val="000000000000" w:firstRow="0" w:lastRow="0" w:firstColumn="0" w:lastColumn="0" w:oddVBand="0" w:evenVBand="0" w:oddHBand="0" w:evenHBand="0" w:firstRowFirstColumn="0" w:firstRowLastColumn="0" w:lastRowFirstColumn="0" w:lastRowLastColumn="0"/>
            </w:pPr>
            <w:r>
              <w:t>1 790</w:t>
            </w:r>
          </w:p>
        </w:tc>
        <w:tc>
          <w:tcPr>
            <w:tcW w:w="794" w:type="dxa"/>
          </w:tcPr>
          <w:p w14:paraId="773D9AAC" w14:textId="77777777" w:rsidR="00C424E5" w:rsidRDefault="00C424E5">
            <w:pPr>
              <w:cnfStyle w:val="000000000000" w:firstRow="0" w:lastRow="0" w:firstColumn="0" w:lastColumn="0" w:oddVBand="0" w:evenVBand="0" w:oddHBand="0" w:evenHBand="0" w:firstRowFirstColumn="0" w:firstRowLastColumn="0" w:lastRowFirstColumn="0" w:lastRowLastColumn="0"/>
            </w:pPr>
            <w:r>
              <w:t>1 612</w:t>
            </w:r>
          </w:p>
        </w:tc>
        <w:tc>
          <w:tcPr>
            <w:tcW w:w="794" w:type="dxa"/>
          </w:tcPr>
          <w:p w14:paraId="1163A06A" w14:textId="77777777" w:rsidR="00C424E5" w:rsidRDefault="00C424E5">
            <w:pPr>
              <w:cnfStyle w:val="000000000000" w:firstRow="0" w:lastRow="0" w:firstColumn="0" w:lastColumn="0" w:oddVBand="0" w:evenVBand="0" w:oddHBand="0" w:evenHBand="0" w:firstRowFirstColumn="0" w:firstRowLastColumn="0" w:lastRowFirstColumn="0" w:lastRowLastColumn="0"/>
            </w:pPr>
            <w:r>
              <w:t>1 543</w:t>
            </w:r>
          </w:p>
        </w:tc>
      </w:tr>
      <w:tr w:rsidR="00C424E5" w14:paraId="6A89AB6D"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46AF5A5B" w14:textId="77777777" w:rsidR="00C424E5" w:rsidRDefault="00C424E5">
            <w:r>
              <w:t>Grants to other state governments</w:t>
            </w:r>
          </w:p>
        </w:tc>
        <w:tc>
          <w:tcPr>
            <w:tcW w:w="794" w:type="dxa"/>
            <w:tcBorders>
              <w:bottom w:val="single" w:sz="6" w:space="0" w:color="auto"/>
            </w:tcBorders>
          </w:tcPr>
          <w:p w14:paraId="502A3F3B" w14:textId="77777777" w:rsidR="00C424E5" w:rsidRDefault="00C424E5">
            <w:pPr>
              <w:cnfStyle w:val="000000000000" w:firstRow="0" w:lastRow="0" w:firstColumn="0" w:lastColumn="0" w:oddVBand="0" w:evenVBand="0" w:oddHBand="0" w:evenHBand="0" w:firstRowFirstColumn="0" w:firstRowLastColumn="0" w:lastRowFirstColumn="0" w:lastRowLastColumn="0"/>
            </w:pPr>
            <w:r>
              <w:t>92</w:t>
            </w:r>
          </w:p>
        </w:tc>
        <w:tc>
          <w:tcPr>
            <w:tcW w:w="794" w:type="dxa"/>
            <w:tcBorders>
              <w:bottom w:val="single" w:sz="6" w:space="0" w:color="auto"/>
            </w:tcBorders>
          </w:tcPr>
          <w:p w14:paraId="7FC8A308" w14:textId="77777777" w:rsidR="00C424E5" w:rsidRDefault="00C424E5">
            <w:pPr>
              <w:cnfStyle w:val="000000000000" w:firstRow="0" w:lastRow="0" w:firstColumn="0" w:lastColumn="0" w:oddVBand="0" w:evenVBand="0" w:oddHBand="0" w:evenHBand="0" w:firstRowFirstColumn="0" w:firstRowLastColumn="0" w:lastRowFirstColumn="0" w:lastRowLastColumn="0"/>
            </w:pPr>
            <w:r>
              <w:t>103</w:t>
            </w:r>
          </w:p>
        </w:tc>
        <w:tc>
          <w:tcPr>
            <w:tcW w:w="794" w:type="dxa"/>
            <w:tcBorders>
              <w:bottom w:val="single" w:sz="6" w:space="0" w:color="auto"/>
            </w:tcBorders>
          </w:tcPr>
          <w:p w14:paraId="4F2359A0" w14:textId="77777777" w:rsidR="00C424E5" w:rsidRDefault="00C424E5">
            <w:pPr>
              <w:cnfStyle w:val="000000000000" w:firstRow="0" w:lastRow="0" w:firstColumn="0" w:lastColumn="0" w:oddVBand="0" w:evenVBand="0" w:oddHBand="0" w:evenHBand="0" w:firstRowFirstColumn="0" w:firstRowLastColumn="0" w:lastRowFirstColumn="0" w:lastRowLastColumn="0"/>
            </w:pPr>
            <w:r>
              <w:t>84</w:t>
            </w:r>
          </w:p>
        </w:tc>
        <w:tc>
          <w:tcPr>
            <w:tcW w:w="794" w:type="dxa"/>
            <w:tcBorders>
              <w:bottom w:val="single" w:sz="6" w:space="0" w:color="auto"/>
            </w:tcBorders>
          </w:tcPr>
          <w:p w14:paraId="1A32225F" w14:textId="77777777" w:rsidR="00C424E5" w:rsidRDefault="00C424E5">
            <w:pPr>
              <w:cnfStyle w:val="000000000000" w:firstRow="0" w:lastRow="0" w:firstColumn="0" w:lastColumn="0" w:oddVBand="0" w:evenVBand="0" w:oddHBand="0" w:evenHBand="0" w:firstRowFirstColumn="0" w:firstRowLastColumn="0" w:lastRowFirstColumn="0" w:lastRowLastColumn="0"/>
            </w:pPr>
            <w:r>
              <w:t>83</w:t>
            </w:r>
          </w:p>
        </w:tc>
        <w:tc>
          <w:tcPr>
            <w:tcW w:w="794" w:type="dxa"/>
            <w:tcBorders>
              <w:bottom w:val="single" w:sz="6" w:space="0" w:color="auto"/>
            </w:tcBorders>
          </w:tcPr>
          <w:p w14:paraId="105D68C9" w14:textId="77777777" w:rsidR="00C424E5" w:rsidRDefault="00C424E5">
            <w:pPr>
              <w:cnfStyle w:val="000000000000" w:firstRow="0" w:lastRow="0" w:firstColumn="0" w:lastColumn="0" w:oddVBand="0" w:evenVBand="0" w:oddHBand="0" w:evenHBand="0" w:firstRowFirstColumn="0" w:firstRowLastColumn="0" w:lastRowFirstColumn="0" w:lastRowLastColumn="0"/>
            </w:pPr>
            <w:r>
              <w:t>81</w:t>
            </w:r>
          </w:p>
        </w:tc>
      </w:tr>
      <w:tr w:rsidR="00C424E5" w14:paraId="683DB371"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3E826E95" w14:textId="77777777" w:rsidR="00C424E5" w:rsidRDefault="00C424E5">
            <w:r>
              <w:rPr>
                <w:b/>
              </w:rPr>
              <w:t>Total current grant expense</w:t>
            </w:r>
          </w:p>
        </w:tc>
        <w:tc>
          <w:tcPr>
            <w:tcW w:w="794" w:type="dxa"/>
            <w:tcBorders>
              <w:top w:val="single" w:sz="6" w:space="0" w:color="auto"/>
              <w:bottom w:val="single" w:sz="6" w:space="0" w:color="auto"/>
            </w:tcBorders>
          </w:tcPr>
          <w:p w14:paraId="2CD918E1"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16 890</w:t>
            </w:r>
          </w:p>
        </w:tc>
        <w:tc>
          <w:tcPr>
            <w:tcW w:w="794" w:type="dxa"/>
            <w:tcBorders>
              <w:top w:val="single" w:sz="6" w:space="0" w:color="auto"/>
              <w:bottom w:val="single" w:sz="6" w:space="0" w:color="auto"/>
            </w:tcBorders>
          </w:tcPr>
          <w:p w14:paraId="1F9C45E8"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17 592</w:t>
            </w:r>
          </w:p>
        </w:tc>
        <w:tc>
          <w:tcPr>
            <w:tcW w:w="794" w:type="dxa"/>
            <w:tcBorders>
              <w:top w:val="single" w:sz="6" w:space="0" w:color="auto"/>
              <w:bottom w:val="single" w:sz="6" w:space="0" w:color="auto"/>
            </w:tcBorders>
          </w:tcPr>
          <w:p w14:paraId="4932AAC6"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15 490</w:t>
            </w:r>
          </w:p>
        </w:tc>
        <w:tc>
          <w:tcPr>
            <w:tcW w:w="794" w:type="dxa"/>
            <w:tcBorders>
              <w:top w:val="single" w:sz="6" w:space="0" w:color="auto"/>
              <w:bottom w:val="single" w:sz="6" w:space="0" w:color="auto"/>
            </w:tcBorders>
          </w:tcPr>
          <w:p w14:paraId="37CE516F"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14 962</w:t>
            </w:r>
          </w:p>
        </w:tc>
        <w:tc>
          <w:tcPr>
            <w:tcW w:w="794" w:type="dxa"/>
            <w:tcBorders>
              <w:top w:val="single" w:sz="6" w:space="0" w:color="auto"/>
              <w:bottom w:val="single" w:sz="6" w:space="0" w:color="auto"/>
            </w:tcBorders>
          </w:tcPr>
          <w:p w14:paraId="0116F18F"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15 418</w:t>
            </w:r>
          </w:p>
        </w:tc>
      </w:tr>
      <w:tr w:rsidR="00C424E5" w14:paraId="05911DA0"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2219F49C" w14:textId="77777777" w:rsidR="00C424E5" w:rsidRDefault="00C424E5">
            <w:r>
              <w:rPr>
                <w:b/>
              </w:rPr>
              <w:t>Capital grant expense</w:t>
            </w:r>
          </w:p>
        </w:tc>
        <w:tc>
          <w:tcPr>
            <w:tcW w:w="794" w:type="dxa"/>
            <w:tcBorders>
              <w:top w:val="single" w:sz="6" w:space="0" w:color="auto"/>
            </w:tcBorders>
          </w:tcPr>
          <w:p w14:paraId="58C9BB98"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4E2E9587"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6C2B37AE"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5103EDAB"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1EC1A2D9"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283C0E47" w14:textId="77777777">
        <w:tc>
          <w:tcPr>
            <w:cnfStyle w:val="001000000000" w:firstRow="0" w:lastRow="0" w:firstColumn="1" w:lastColumn="0" w:oddVBand="0" w:evenVBand="0" w:oddHBand="0" w:evenHBand="0" w:firstRowFirstColumn="0" w:firstRowLastColumn="0" w:lastRowFirstColumn="0" w:lastRowLastColumn="0"/>
            <w:tcW w:w="3740" w:type="dxa"/>
          </w:tcPr>
          <w:p w14:paraId="2B2A3ED8" w14:textId="77777777" w:rsidR="00C424E5" w:rsidRDefault="00C424E5">
            <w:r>
              <w:t>Local government (including grants for on</w:t>
            </w:r>
            <w:r>
              <w:noBreakHyphen/>
              <w:t>passing)</w:t>
            </w:r>
          </w:p>
        </w:tc>
        <w:tc>
          <w:tcPr>
            <w:tcW w:w="794" w:type="dxa"/>
          </w:tcPr>
          <w:p w14:paraId="0EB9B565" w14:textId="77777777" w:rsidR="00C424E5" w:rsidRDefault="00C424E5">
            <w:pPr>
              <w:cnfStyle w:val="000000000000" w:firstRow="0" w:lastRow="0" w:firstColumn="0" w:lastColumn="0" w:oddVBand="0" w:evenVBand="0" w:oddHBand="0" w:evenHBand="0" w:firstRowFirstColumn="0" w:firstRowLastColumn="0" w:lastRowFirstColumn="0" w:lastRowLastColumn="0"/>
            </w:pPr>
            <w:r>
              <w:t>188</w:t>
            </w:r>
          </w:p>
        </w:tc>
        <w:tc>
          <w:tcPr>
            <w:tcW w:w="794" w:type="dxa"/>
          </w:tcPr>
          <w:p w14:paraId="05709DC4" w14:textId="77777777" w:rsidR="00C424E5" w:rsidRDefault="00C424E5">
            <w:pPr>
              <w:cnfStyle w:val="000000000000" w:firstRow="0" w:lastRow="0" w:firstColumn="0" w:lastColumn="0" w:oddVBand="0" w:evenVBand="0" w:oddHBand="0" w:evenHBand="0" w:firstRowFirstColumn="0" w:firstRowLastColumn="0" w:lastRowFirstColumn="0" w:lastRowLastColumn="0"/>
            </w:pPr>
            <w:r>
              <w:t>223</w:t>
            </w:r>
          </w:p>
        </w:tc>
        <w:tc>
          <w:tcPr>
            <w:tcW w:w="794" w:type="dxa"/>
          </w:tcPr>
          <w:p w14:paraId="4C6112E9" w14:textId="77777777" w:rsidR="00C424E5" w:rsidRDefault="00C424E5">
            <w:pPr>
              <w:cnfStyle w:val="000000000000" w:firstRow="0" w:lastRow="0" w:firstColumn="0" w:lastColumn="0" w:oddVBand="0" w:evenVBand="0" w:oddHBand="0" w:evenHBand="0" w:firstRowFirstColumn="0" w:firstRowLastColumn="0" w:lastRowFirstColumn="0" w:lastRowLastColumn="0"/>
            </w:pPr>
            <w:r>
              <w:t>135</w:t>
            </w:r>
          </w:p>
        </w:tc>
        <w:tc>
          <w:tcPr>
            <w:tcW w:w="794" w:type="dxa"/>
          </w:tcPr>
          <w:p w14:paraId="431F6304" w14:textId="77777777" w:rsidR="00C424E5" w:rsidRDefault="00C424E5">
            <w:pPr>
              <w:cnfStyle w:val="000000000000" w:firstRow="0" w:lastRow="0" w:firstColumn="0" w:lastColumn="0" w:oddVBand="0" w:evenVBand="0" w:oddHBand="0" w:evenHBand="0" w:firstRowFirstColumn="0" w:firstRowLastColumn="0" w:lastRowFirstColumn="0" w:lastRowLastColumn="0"/>
            </w:pPr>
            <w:r>
              <w:t>123</w:t>
            </w:r>
          </w:p>
        </w:tc>
        <w:tc>
          <w:tcPr>
            <w:tcW w:w="794" w:type="dxa"/>
          </w:tcPr>
          <w:p w14:paraId="26265949" w14:textId="77777777" w:rsidR="00C424E5" w:rsidRDefault="00C424E5">
            <w:pPr>
              <w:cnfStyle w:val="000000000000" w:firstRow="0" w:lastRow="0" w:firstColumn="0" w:lastColumn="0" w:oddVBand="0" w:evenVBand="0" w:oddHBand="0" w:evenHBand="0" w:firstRowFirstColumn="0" w:firstRowLastColumn="0" w:lastRowFirstColumn="0" w:lastRowLastColumn="0"/>
            </w:pPr>
            <w:r>
              <w:t>118</w:t>
            </w:r>
          </w:p>
        </w:tc>
      </w:tr>
      <w:tr w:rsidR="00C424E5" w14:paraId="449BE14D" w14:textId="77777777">
        <w:tc>
          <w:tcPr>
            <w:cnfStyle w:val="001000000000" w:firstRow="0" w:lastRow="0" w:firstColumn="1" w:lastColumn="0" w:oddVBand="0" w:evenVBand="0" w:oddHBand="0" w:evenHBand="0" w:firstRowFirstColumn="0" w:firstRowLastColumn="0" w:lastRowFirstColumn="0" w:lastRowLastColumn="0"/>
            <w:tcW w:w="3740" w:type="dxa"/>
          </w:tcPr>
          <w:p w14:paraId="22FC7B95" w14:textId="77777777" w:rsidR="00C424E5" w:rsidRDefault="00C424E5">
            <w:r>
              <w:t>Private sector and not</w:t>
            </w:r>
            <w:r>
              <w:noBreakHyphen/>
              <w:t>for</w:t>
            </w:r>
            <w:r>
              <w:noBreakHyphen/>
              <w:t>profit on</w:t>
            </w:r>
            <w:r>
              <w:noBreakHyphen/>
              <w:t>passing</w:t>
            </w:r>
          </w:p>
        </w:tc>
        <w:tc>
          <w:tcPr>
            <w:tcW w:w="794" w:type="dxa"/>
          </w:tcPr>
          <w:p w14:paraId="4B1DC909" w14:textId="77777777" w:rsidR="00C424E5" w:rsidRDefault="00C424E5">
            <w:pPr>
              <w:cnfStyle w:val="000000000000" w:firstRow="0" w:lastRow="0" w:firstColumn="0" w:lastColumn="0" w:oddVBand="0" w:evenVBand="0" w:oddHBand="0" w:evenHBand="0" w:firstRowFirstColumn="0" w:firstRowLastColumn="0" w:lastRowFirstColumn="0" w:lastRowLastColumn="0"/>
            </w:pPr>
            <w:r>
              <w:t>294</w:t>
            </w:r>
          </w:p>
        </w:tc>
        <w:tc>
          <w:tcPr>
            <w:tcW w:w="794" w:type="dxa"/>
          </w:tcPr>
          <w:p w14:paraId="50B64A2A" w14:textId="77777777" w:rsidR="00C424E5" w:rsidRDefault="00C424E5">
            <w:pPr>
              <w:cnfStyle w:val="000000000000" w:firstRow="0" w:lastRow="0" w:firstColumn="0" w:lastColumn="0" w:oddVBand="0" w:evenVBand="0" w:oddHBand="0" w:evenHBand="0" w:firstRowFirstColumn="0" w:firstRowLastColumn="0" w:lastRowFirstColumn="0" w:lastRowLastColumn="0"/>
            </w:pPr>
            <w:r>
              <w:t>312</w:t>
            </w:r>
          </w:p>
        </w:tc>
        <w:tc>
          <w:tcPr>
            <w:tcW w:w="794" w:type="dxa"/>
          </w:tcPr>
          <w:p w14:paraId="7C481CAC" w14:textId="77777777" w:rsidR="00C424E5" w:rsidRDefault="00C424E5">
            <w:pPr>
              <w:cnfStyle w:val="000000000000" w:firstRow="0" w:lastRow="0" w:firstColumn="0" w:lastColumn="0" w:oddVBand="0" w:evenVBand="0" w:oddHBand="0" w:evenHBand="0" w:firstRowFirstColumn="0" w:firstRowLastColumn="0" w:lastRowFirstColumn="0" w:lastRowLastColumn="0"/>
            </w:pPr>
            <w:r>
              <w:t>115</w:t>
            </w:r>
          </w:p>
        </w:tc>
        <w:tc>
          <w:tcPr>
            <w:tcW w:w="794" w:type="dxa"/>
          </w:tcPr>
          <w:p w14:paraId="7580F681" w14:textId="77777777" w:rsidR="00C424E5" w:rsidRDefault="00C424E5">
            <w:pPr>
              <w:cnfStyle w:val="000000000000" w:firstRow="0" w:lastRow="0" w:firstColumn="0" w:lastColumn="0" w:oddVBand="0" w:evenVBand="0" w:oddHBand="0" w:evenHBand="0" w:firstRowFirstColumn="0" w:firstRowLastColumn="0" w:lastRowFirstColumn="0" w:lastRowLastColumn="0"/>
            </w:pPr>
            <w:r>
              <w:t>96</w:t>
            </w:r>
          </w:p>
        </w:tc>
        <w:tc>
          <w:tcPr>
            <w:tcW w:w="794" w:type="dxa"/>
          </w:tcPr>
          <w:p w14:paraId="6F7DB529" w14:textId="77777777" w:rsidR="00C424E5" w:rsidRDefault="00C424E5">
            <w:pPr>
              <w:cnfStyle w:val="000000000000" w:firstRow="0" w:lastRow="0" w:firstColumn="0" w:lastColumn="0" w:oddVBand="0" w:evenVBand="0" w:oddHBand="0" w:evenHBand="0" w:firstRowFirstColumn="0" w:firstRowLastColumn="0" w:lastRowFirstColumn="0" w:lastRowLastColumn="0"/>
            </w:pPr>
            <w:r>
              <w:t>89</w:t>
            </w:r>
          </w:p>
        </w:tc>
      </w:tr>
      <w:tr w:rsidR="00C424E5" w14:paraId="5B654988" w14:textId="77777777">
        <w:tc>
          <w:tcPr>
            <w:cnfStyle w:val="001000000000" w:firstRow="0" w:lastRow="0" w:firstColumn="1" w:lastColumn="0" w:oddVBand="0" w:evenVBand="0" w:oddHBand="0" w:evenHBand="0" w:firstRowFirstColumn="0" w:firstRowLastColumn="0" w:lastRowFirstColumn="0" w:lastRowLastColumn="0"/>
            <w:tcW w:w="3740" w:type="dxa"/>
          </w:tcPr>
          <w:p w14:paraId="2B1F271B" w14:textId="77777777" w:rsidR="00C424E5" w:rsidRDefault="00C424E5">
            <w:r>
              <w:t>Other private sector and not</w:t>
            </w:r>
            <w:r>
              <w:noBreakHyphen/>
              <w:t>for</w:t>
            </w:r>
            <w:r>
              <w:noBreakHyphen/>
              <w:t>profit</w:t>
            </w:r>
          </w:p>
        </w:tc>
        <w:tc>
          <w:tcPr>
            <w:tcW w:w="794" w:type="dxa"/>
          </w:tcPr>
          <w:p w14:paraId="652C125E" w14:textId="77777777" w:rsidR="00C424E5" w:rsidRDefault="00C424E5">
            <w:pPr>
              <w:cnfStyle w:val="000000000000" w:firstRow="0" w:lastRow="0" w:firstColumn="0" w:lastColumn="0" w:oddVBand="0" w:evenVBand="0" w:oddHBand="0" w:evenHBand="0" w:firstRowFirstColumn="0" w:firstRowLastColumn="0" w:lastRowFirstColumn="0" w:lastRowLastColumn="0"/>
            </w:pPr>
            <w:r>
              <w:t>19</w:t>
            </w:r>
          </w:p>
        </w:tc>
        <w:tc>
          <w:tcPr>
            <w:tcW w:w="794" w:type="dxa"/>
          </w:tcPr>
          <w:p w14:paraId="66C99F00" w14:textId="77777777" w:rsidR="00C424E5" w:rsidRDefault="00C424E5">
            <w:pPr>
              <w:cnfStyle w:val="000000000000" w:firstRow="0" w:lastRow="0" w:firstColumn="0" w:lastColumn="0" w:oddVBand="0" w:evenVBand="0" w:oddHBand="0" w:evenHBand="0" w:firstRowFirstColumn="0" w:firstRowLastColumn="0" w:lastRowFirstColumn="0" w:lastRowLastColumn="0"/>
            </w:pPr>
            <w:r>
              <w:t>27</w:t>
            </w:r>
          </w:p>
        </w:tc>
        <w:tc>
          <w:tcPr>
            <w:tcW w:w="794" w:type="dxa"/>
          </w:tcPr>
          <w:p w14:paraId="5FE5B0B2" w14:textId="77777777" w:rsidR="00C424E5" w:rsidRDefault="00C424E5">
            <w:pPr>
              <w:cnfStyle w:val="000000000000" w:firstRow="0" w:lastRow="0" w:firstColumn="0" w:lastColumn="0" w:oddVBand="0" w:evenVBand="0" w:oddHBand="0" w:evenHBand="0" w:firstRowFirstColumn="0" w:firstRowLastColumn="0" w:lastRowFirstColumn="0" w:lastRowLastColumn="0"/>
            </w:pPr>
            <w:r>
              <w:t>4</w:t>
            </w:r>
          </w:p>
        </w:tc>
        <w:tc>
          <w:tcPr>
            <w:tcW w:w="794" w:type="dxa"/>
          </w:tcPr>
          <w:p w14:paraId="09B87382" w14:textId="77777777" w:rsidR="00C424E5" w:rsidRDefault="00C424E5">
            <w:pPr>
              <w:cnfStyle w:val="000000000000" w:firstRow="0" w:lastRow="0" w:firstColumn="0" w:lastColumn="0" w:oddVBand="0" w:evenVBand="0" w:oddHBand="0" w:evenHBand="0" w:firstRowFirstColumn="0" w:firstRowLastColumn="0" w:lastRowFirstColumn="0" w:lastRowLastColumn="0"/>
            </w:pPr>
            <w:r>
              <w:t>4</w:t>
            </w:r>
          </w:p>
        </w:tc>
        <w:tc>
          <w:tcPr>
            <w:tcW w:w="794" w:type="dxa"/>
          </w:tcPr>
          <w:p w14:paraId="043409B6" w14:textId="77777777" w:rsidR="00C424E5" w:rsidRDefault="00C424E5">
            <w:pPr>
              <w:cnfStyle w:val="000000000000" w:firstRow="0" w:lastRow="0" w:firstColumn="0" w:lastColumn="0" w:oddVBand="0" w:evenVBand="0" w:oddHBand="0" w:evenHBand="0" w:firstRowFirstColumn="0" w:firstRowLastColumn="0" w:lastRowFirstColumn="0" w:lastRowLastColumn="0"/>
            </w:pPr>
            <w:r>
              <w:t>4</w:t>
            </w:r>
          </w:p>
        </w:tc>
      </w:tr>
      <w:tr w:rsidR="00C424E5" w14:paraId="0A7FD6A7" w14:textId="77777777">
        <w:tc>
          <w:tcPr>
            <w:cnfStyle w:val="001000000000" w:firstRow="0" w:lastRow="0" w:firstColumn="1" w:lastColumn="0" w:oddVBand="0" w:evenVBand="0" w:oddHBand="0" w:evenHBand="0" w:firstRowFirstColumn="0" w:firstRowLastColumn="0" w:lastRowFirstColumn="0" w:lastRowLastColumn="0"/>
            <w:tcW w:w="3740" w:type="dxa"/>
          </w:tcPr>
          <w:p w14:paraId="57C2CC02" w14:textId="77777777" w:rsidR="00C424E5" w:rsidRDefault="00C424E5">
            <w:r>
              <w:t>Grants within the Victorian Government</w:t>
            </w:r>
          </w:p>
        </w:tc>
        <w:tc>
          <w:tcPr>
            <w:tcW w:w="794" w:type="dxa"/>
          </w:tcPr>
          <w:p w14:paraId="67194E41"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50DBF22C" w14:textId="77777777" w:rsidR="00C424E5" w:rsidRDefault="00C424E5">
            <w:pPr>
              <w:cnfStyle w:val="000000000000" w:firstRow="0" w:lastRow="0" w:firstColumn="0" w:lastColumn="0" w:oddVBand="0" w:evenVBand="0" w:oddHBand="0" w:evenHBand="0" w:firstRowFirstColumn="0" w:firstRowLastColumn="0" w:lastRowFirstColumn="0" w:lastRowLastColumn="0"/>
            </w:pPr>
            <w:r>
              <w:t>32</w:t>
            </w:r>
          </w:p>
        </w:tc>
        <w:tc>
          <w:tcPr>
            <w:tcW w:w="794" w:type="dxa"/>
          </w:tcPr>
          <w:p w14:paraId="20E664AB"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41B0B010"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325F3BA4"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r>
      <w:tr w:rsidR="00C424E5" w14:paraId="703E23F9"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655A7080" w14:textId="77777777" w:rsidR="00C424E5" w:rsidRDefault="00C424E5">
            <w:r>
              <w:t>Other grants</w:t>
            </w:r>
          </w:p>
        </w:tc>
        <w:tc>
          <w:tcPr>
            <w:tcW w:w="794" w:type="dxa"/>
            <w:tcBorders>
              <w:bottom w:val="single" w:sz="6" w:space="0" w:color="auto"/>
            </w:tcBorders>
          </w:tcPr>
          <w:p w14:paraId="599AC24E"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211D0214"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70E587A3"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30917845" w14:textId="77777777" w:rsidR="00C424E5" w:rsidRDefault="00C424E5">
            <w:pPr>
              <w:cnfStyle w:val="000000000000" w:firstRow="0" w:lastRow="0" w:firstColumn="0" w:lastColumn="0" w:oddVBand="0" w:evenVBand="0" w:oddHBand="0" w:evenHBand="0" w:firstRowFirstColumn="0" w:firstRowLastColumn="0" w:lastRowFirstColumn="0" w:lastRowLastColumn="0"/>
            </w:pPr>
            <w:r>
              <w:t>34</w:t>
            </w:r>
          </w:p>
        </w:tc>
        <w:tc>
          <w:tcPr>
            <w:tcW w:w="794" w:type="dxa"/>
            <w:tcBorders>
              <w:bottom w:val="single" w:sz="6" w:space="0" w:color="auto"/>
            </w:tcBorders>
          </w:tcPr>
          <w:p w14:paraId="57BFB2E0" w14:textId="77777777" w:rsidR="00C424E5" w:rsidRDefault="00C424E5">
            <w:pPr>
              <w:cnfStyle w:val="000000000000" w:firstRow="0" w:lastRow="0" w:firstColumn="0" w:lastColumn="0" w:oddVBand="0" w:evenVBand="0" w:oddHBand="0" w:evenHBand="0" w:firstRowFirstColumn="0" w:firstRowLastColumn="0" w:lastRowFirstColumn="0" w:lastRowLastColumn="0"/>
            </w:pPr>
            <w:r>
              <w:t>49</w:t>
            </w:r>
          </w:p>
        </w:tc>
      </w:tr>
      <w:tr w:rsidR="00C424E5" w14:paraId="2D8A38C0"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1AF6F72D" w14:textId="77777777" w:rsidR="00C424E5" w:rsidRDefault="00C424E5">
            <w:r>
              <w:rPr>
                <w:b/>
              </w:rPr>
              <w:t>Total capital grant expense</w:t>
            </w:r>
          </w:p>
        </w:tc>
        <w:tc>
          <w:tcPr>
            <w:tcW w:w="794" w:type="dxa"/>
            <w:tcBorders>
              <w:top w:val="single" w:sz="6" w:space="0" w:color="auto"/>
              <w:bottom w:val="single" w:sz="6" w:space="0" w:color="auto"/>
            </w:tcBorders>
          </w:tcPr>
          <w:p w14:paraId="0F754C99"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501</w:t>
            </w:r>
          </w:p>
        </w:tc>
        <w:tc>
          <w:tcPr>
            <w:tcW w:w="794" w:type="dxa"/>
            <w:tcBorders>
              <w:top w:val="single" w:sz="6" w:space="0" w:color="auto"/>
              <w:bottom w:val="single" w:sz="6" w:space="0" w:color="auto"/>
            </w:tcBorders>
          </w:tcPr>
          <w:p w14:paraId="2208357E"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593</w:t>
            </w:r>
          </w:p>
        </w:tc>
        <w:tc>
          <w:tcPr>
            <w:tcW w:w="794" w:type="dxa"/>
            <w:tcBorders>
              <w:top w:val="single" w:sz="6" w:space="0" w:color="auto"/>
              <w:bottom w:val="single" w:sz="6" w:space="0" w:color="auto"/>
            </w:tcBorders>
          </w:tcPr>
          <w:p w14:paraId="2FF8E72F"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254</w:t>
            </w:r>
          </w:p>
        </w:tc>
        <w:tc>
          <w:tcPr>
            <w:tcW w:w="794" w:type="dxa"/>
            <w:tcBorders>
              <w:top w:val="single" w:sz="6" w:space="0" w:color="auto"/>
              <w:bottom w:val="single" w:sz="6" w:space="0" w:color="auto"/>
            </w:tcBorders>
          </w:tcPr>
          <w:p w14:paraId="7AC9C9B1"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257</w:t>
            </w:r>
          </w:p>
        </w:tc>
        <w:tc>
          <w:tcPr>
            <w:tcW w:w="794" w:type="dxa"/>
            <w:tcBorders>
              <w:top w:val="single" w:sz="6" w:space="0" w:color="auto"/>
              <w:bottom w:val="single" w:sz="6" w:space="0" w:color="auto"/>
            </w:tcBorders>
          </w:tcPr>
          <w:p w14:paraId="2A4B806A"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260</w:t>
            </w:r>
          </w:p>
        </w:tc>
      </w:tr>
      <w:tr w:rsidR="00C424E5" w14:paraId="19762B66"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2AAFFA37" w14:textId="77777777" w:rsidR="00C424E5" w:rsidRDefault="00C424E5">
            <w:r>
              <w:rPr>
                <w:b/>
              </w:rPr>
              <w:t>Total grant expense</w:t>
            </w:r>
          </w:p>
        </w:tc>
        <w:tc>
          <w:tcPr>
            <w:tcW w:w="794" w:type="dxa"/>
            <w:tcBorders>
              <w:top w:val="single" w:sz="6" w:space="0" w:color="auto"/>
              <w:bottom w:val="single" w:sz="12" w:space="0" w:color="auto"/>
            </w:tcBorders>
          </w:tcPr>
          <w:p w14:paraId="3C1EC900"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17 391</w:t>
            </w:r>
          </w:p>
        </w:tc>
        <w:tc>
          <w:tcPr>
            <w:tcW w:w="794" w:type="dxa"/>
            <w:tcBorders>
              <w:top w:val="single" w:sz="6" w:space="0" w:color="auto"/>
              <w:bottom w:val="single" w:sz="12" w:space="0" w:color="auto"/>
            </w:tcBorders>
          </w:tcPr>
          <w:p w14:paraId="0411E79C"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18 185</w:t>
            </w:r>
          </w:p>
        </w:tc>
        <w:tc>
          <w:tcPr>
            <w:tcW w:w="794" w:type="dxa"/>
            <w:tcBorders>
              <w:top w:val="single" w:sz="6" w:space="0" w:color="auto"/>
              <w:bottom w:val="single" w:sz="12" w:space="0" w:color="auto"/>
            </w:tcBorders>
          </w:tcPr>
          <w:p w14:paraId="3DEF00A6"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15 744</w:t>
            </w:r>
          </w:p>
        </w:tc>
        <w:tc>
          <w:tcPr>
            <w:tcW w:w="794" w:type="dxa"/>
            <w:tcBorders>
              <w:top w:val="single" w:sz="6" w:space="0" w:color="auto"/>
              <w:bottom w:val="single" w:sz="12" w:space="0" w:color="auto"/>
            </w:tcBorders>
          </w:tcPr>
          <w:p w14:paraId="14F8A3E5"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15 219</w:t>
            </w:r>
          </w:p>
        </w:tc>
        <w:tc>
          <w:tcPr>
            <w:tcW w:w="794" w:type="dxa"/>
            <w:tcBorders>
              <w:top w:val="single" w:sz="6" w:space="0" w:color="auto"/>
              <w:bottom w:val="single" w:sz="12" w:space="0" w:color="auto"/>
            </w:tcBorders>
          </w:tcPr>
          <w:p w14:paraId="21B43586" w14:textId="18D29D12" w:rsidR="00C424E5" w:rsidRDefault="00C424E5">
            <w:pPr>
              <w:cnfStyle w:val="000000000000" w:firstRow="0" w:lastRow="0" w:firstColumn="0" w:lastColumn="0" w:oddVBand="0" w:evenVBand="0" w:oddHBand="0" w:evenHBand="0" w:firstRowFirstColumn="0" w:firstRowLastColumn="0" w:lastRowFirstColumn="0" w:lastRowLastColumn="0"/>
            </w:pPr>
            <w:r>
              <w:rPr>
                <w:b/>
              </w:rPr>
              <w:t>15 678</w:t>
            </w:r>
          </w:p>
        </w:tc>
      </w:tr>
    </w:tbl>
    <w:p w14:paraId="656BBA19" w14:textId="77777777" w:rsidR="00C424E5" w:rsidRPr="0057060D" w:rsidRDefault="00C424E5" w:rsidP="0057060D"/>
    <w:p w14:paraId="70CF4D4F" w14:textId="77777777" w:rsidR="00C424E5" w:rsidRPr="00D52583" w:rsidRDefault="00C424E5" w:rsidP="006206EF"/>
    <w:p w14:paraId="5BD5D60B" w14:textId="77777777" w:rsidR="00C424E5" w:rsidRDefault="00C424E5" w:rsidP="006206EF">
      <w:pPr>
        <w:pStyle w:val="Heading3"/>
        <w:pageBreakBefore/>
        <w:spacing w:after="60"/>
        <w:rPr>
          <w:sz w:val="20"/>
          <w:szCs w:val="20"/>
        </w:rPr>
      </w:pPr>
      <w:bookmarkStart w:id="64" w:name="_Toc117172281"/>
      <w:r w:rsidRPr="007E045E">
        <w:rPr>
          <w:sz w:val="20"/>
          <w:szCs w:val="20"/>
        </w:rPr>
        <w:lastRenderedPageBreak/>
        <w:t xml:space="preserve">Other operating expenses </w:t>
      </w:r>
      <w:r w:rsidRPr="007E045E">
        <w:rPr>
          <w:sz w:val="20"/>
          <w:szCs w:val="20"/>
        </w:rPr>
        <w:tab/>
        <w:t>($ million)</w:t>
      </w:r>
      <w:bookmarkEnd w:id="64"/>
    </w:p>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925B88" w14:paraId="563CA834" w14:textId="77777777" w:rsidTr="00A836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35815810" w14:textId="01AE848C" w:rsidR="00925B88" w:rsidRDefault="00925B88"/>
        </w:tc>
        <w:tc>
          <w:tcPr>
            <w:tcW w:w="794" w:type="dxa"/>
          </w:tcPr>
          <w:p w14:paraId="3E1C1F27" w14:textId="7436A680" w:rsidR="00925B88" w:rsidRDefault="00925B88" w:rsidP="00413A97">
            <w:pPr>
              <w:cnfStyle w:val="100000000000" w:firstRow="1" w:lastRow="0" w:firstColumn="0" w:lastColumn="0" w:oddVBand="0" w:evenVBand="0" w:oddHBand="0" w:evenHBand="0" w:firstRowFirstColumn="0" w:firstRowLastColumn="0" w:lastRowFirstColumn="0" w:lastRowLastColumn="0"/>
            </w:pPr>
            <w:r>
              <w:t>2022</w:t>
            </w:r>
            <w:r>
              <w:noBreakHyphen/>
              <w:t>23</w:t>
            </w:r>
            <w:r w:rsidR="00F70B1C">
              <w:rPr>
                <w:i w:val="0"/>
              </w:rPr>
              <w:br/>
            </w:r>
            <w:r>
              <w:t>budget</w:t>
            </w:r>
          </w:p>
        </w:tc>
        <w:tc>
          <w:tcPr>
            <w:tcW w:w="794" w:type="dxa"/>
          </w:tcPr>
          <w:p w14:paraId="57E3DDA1" w14:textId="2C7F2A05" w:rsidR="00925B88" w:rsidRDefault="00925B88" w:rsidP="0032344E">
            <w:pPr>
              <w:cnfStyle w:val="100000000000" w:firstRow="1" w:lastRow="0" w:firstColumn="0" w:lastColumn="0" w:oddVBand="0" w:evenVBand="0" w:oddHBand="0" w:evenHBand="0" w:firstRowFirstColumn="0" w:firstRowLastColumn="0" w:lastRowFirstColumn="0" w:lastRowLastColumn="0"/>
            </w:pPr>
            <w:r>
              <w:t>2022</w:t>
            </w:r>
            <w:r>
              <w:noBreakHyphen/>
              <w:t>23</w:t>
            </w:r>
            <w:r w:rsidR="00F70B1C">
              <w:rPr>
                <w:i w:val="0"/>
              </w:rPr>
              <w:br/>
            </w:r>
            <w:r>
              <w:t>revised</w:t>
            </w:r>
          </w:p>
        </w:tc>
        <w:tc>
          <w:tcPr>
            <w:tcW w:w="794" w:type="dxa"/>
          </w:tcPr>
          <w:p w14:paraId="5BBA47BF" w14:textId="1AD1D747" w:rsidR="00925B88" w:rsidRDefault="00925B88" w:rsidP="00166511">
            <w:pPr>
              <w:cnfStyle w:val="100000000000" w:firstRow="1" w:lastRow="0" w:firstColumn="0" w:lastColumn="0" w:oddVBand="0" w:evenVBand="0" w:oddHBand="0" w:evenHBand="0" w:firstRowFirstColumn="0" w:firstRowLastColumn="0" w:lastRowFirstColumn="0" w:lastRowLastColumn="0"/>
            </w:pPr>
            <w:r>
              <w:t>2023</w:t>
            </w:r>
            <w:r>
              <w:noBreakHyphen/>
              <w:t>24</w:t>
            </w:r>
            <w:r w:rsidR="00F70B1C">
              <w:rPr>
                <w:i w:val="0"/>
              </w:rPr>
              <w:br/>
            </w:r>
            <w:r>
              <w:t>estimate</w:t>
            </w:r>
          </w:p>
        </w:tc>
        <w:tc>
          <w:tcPr>
            <w:tcW w:w="794" w:type="dxa"/>
          </w:tcPr>
          <w:p w14:paraId="145F578F" w14:textId="4C9C96E0" w:rsidR="00925B88" w:rsidRDefault="00925B88" w:rsidP="006F2877">
            <w:pPr>
              <w:cnfStyle w:val="100000000000" w:firstRow="1" w:lastRow="0" w:firstColumn="0" w:lastColumn="0" w:oddVBand="0" w:evenVBand="0" w:oddHBand="0" w:evenHBand="0" w:firstRowFirstColumn="0" w:firstRowLastColumn="0" w:lastRowFirstColumn="0" w:lastRowLastColumn="0"/>
            </w:pPr>
            <w:r>
              <w:t>2024</w:t>
            </w:r>
            <w:r>
              <w:noBreakHyphen/>
              <w:t>25</w:t>
            </w:r>
            <w:r w:rsidR="00F70B1C">
              <w:rPr>
                <w:i w:val="0"/>
              </w:rPr>
              <w:br/>
            </w:r>
            <w:r>
              <w:t>estimate</w:t>
            </w:r>
          </w:p>
        </w:tc>
        <w:tc>
          <w:tcPr>
            <w:tcW w:w="794" w:type="dxa"/>
          </w:tcPr>
          <w:p w14:paraId="28AED561" w14:textId="0CFC1834" w:rsidR="00925B88" w:rsidRDefault="00925B88" w:rsidP="00827B0A">
            <w:pPr>
              <w:cnfStyle w:val="100000000000" w:firstRow="1" w:lastRow="0" w:firstColumn="0" w:lastColumn="0" w:oddVBand="0" w:evenVBand="0" w:oddHBand="0" w:evenHBand="0" w:firstRowFirstColumn="0" w:firstRowLastColumn="0" w:lastRowFirstColumn="0" w:lastRowLastColumn="0"/>
            </w:pPr>
            <w:r>
              <w:t>2025</w:t>
            </w:r>
            <w:r>
              <w:noBreakHyphen/>
              <w:t>26</w:t>
            </w:r>
            <w:r w:rsidR="00F70B1C">
              <w:rPr>
                <w:i w:val="0"/>
              </w:rPr>
              <w:br/>
            </w:r>
            <w:r>
              <w:t>estimate</w:t>
            </w:r>
          </w:p>
        </w:tc>
      </w:tr>
      <w:tr w:rsidR="00C424E5" w14:paraId="5F9A129D" w14:textId="77777777">
        <w:tc>
          <w:tcPr>
            <w:cnfStyle w:val="001000000000" w:firstRow="0" w:lastRow="0" w:firstColumn="1" w:lastColumn="0" w:oddVBand="0" w:evenVBand="0" w:oddHBand="0" w:evenHBand="0" w:firstRowFirstColumn="0" w:firstRowLastColumn="0" w:lastRowFirstColumn="0" w:lastRowLastColumn="0"/>
            <w:tcW w:w="3740" w:type="dxa"/>
          </w:tcPr>
          <w:p w14:paraId="680F4B30" w14:textId="77777777" w:rsidR="00C424E5" w:rsidRDefault="00C424E5">
            <w:r>
              <w:t>Purchase of supplies and consumables</w:t>
            </w:r>
            <w:r>
              <w:rPr>
                <w:vertAlign w:val="superscript"/>
              </w:rPr>
              <w:t xml:space="preserve"> (a)</w:t>
            </w:r>
          </w:p>
        </w:tc>
        <w:tc>
          <w:tcPr>
            <w:tcW w:w="794" w:type="dxa"/>
          </w:tcPr>
          <w:p w14:paraId="2DC4719E" w14:textId="77777777" w:rsidR="00C424E5" w:rsidRDefault="00C424E5">
            <w:pPr>
              <w:cnfStyle w:val="000000000000" w:firstRow="0" w:lastRow="0" w:firstColumn="0" w:lastColumn="0" w:oddVBand="0" w:evenVBand="0" w:oddHBand="0" w:evenHBand="0" w:firstRowFirstColumn="0" w:firstRowLastColumn="0" w:lastRowFirstColumn="0" w:lastRowLastColumn="0"/>
            </w:pPr>
            <w:r>
              <w:t>9 582</w:t>
            </w:r>
          </w:p>
        </w:tc>
        <w:tc>
          <w:tcPr>
            <w:tcW w:w="794" w:type="dxa"/>
          </w:tcPr>
          <w:p w14:paraId="64477391" w14:textId="77777777" w:rsidR="00C424E5" w:rsidRDefault="00C424E5">
            <w:pPr>
              <w:cnfStyle w:val="000000000000" w:firstRow="0" w:lastRow="0" w:firstColumn="0" w:lastColumn="0" w:oddVBand="0" w:evenVBand="0" w:oddHBand="0" w:evenHBand="0" w:firstRowFirstColumn="0" w:firstRowLastColumn="0" w:lastRowFirstColumn="0" w:lastRowLastColumn="0"/>
            </w:pPr>
            <w:r>
              <w:t>8 281</w:t>
            </w:r>
          </w:p>
        </w:tc>
        <w:tc>
          <w:tcPr>
            <w:tcW w:w="794" w:type="dxa"/>
          </w:tcPr>
          <w:p w14:paraId="24297238" w14:textId="77777777" w:rsidR="00C424E5" w:rsidRDefault="00C424E5">
            <w:pPr>
              <w:cnfStyle w:val="000000000000" w:firstRow="0" w:lastRow="0" w:firstColumn="0" w:lastColumn="0" w:oddVBand="0" w:evenVBand="0" w:oddHBand="0" w:evenHBand="0" w:firstRowFirstColumn="0" w:firstRowLastColumn="0" w:lastRowFirstColumn="0" w:lastRowLastColumn="0"/>
            </w:pPr>
            <w:r>
              <w:t>6 883</w:t>
            </w:r>
          </w:p>
        </w:tc>
        <w:tc>
          <w:tcPr>
            <w:tcW w:w="794" w:type="dxa"/>
          </w:tcPr>
          <w:p w14:paraId="650FA170" w14:textId="77777777" w:rsidR="00C424E5" w:rsidRDefault="00C424E5">
            <w:pPr>
              <w:cnfStyle w:val="000000000000" w:firstRow="0" w:lastRow="0" w:firstColumn="0" w:lastColumn="0" w:oddVBand="0" w:evenVBand="0" w:oddHBand="0" w:evenHBand="0" w:firstRowFirstColumn="0" w:firstRowLastColumn="0" w:lastRowFirstColumn="0" w:lastRowLastColumn="0"/>
            </w:pPr>
            <w:r>
              <w:t>7 069</w:t>
            </w:r>
          </w:p>
        </w:tc>
        <w:tc>
          <w:tcPr>
            <w:tcW w:w="794" w:type="dxa"/>
          </w:tcPr>
          <w:p w14:paraId="23B13063" w14:textId="77777777" w:rsidR="00C424E5" w:rsidRDefault="00C424E5">
            <w:pPr>
              <w:cnfStyle w:val="000000000000" w:firstRow="0" w:lastRow="0" w:firstColumn="0" w:lastColumn="0" w:oddVBand="0" w:evenVBand="0" w:oddHBand="0" w:evenHBand="0" w:firstRowFirstColumn="0" w:firstRowLastColumn="0" w:lastRowFirstColumn="0" w:lastRowLastColumn="0"/>
            </w:pPr>
            <w:r>
              <w:t>7 865</w:t>
            </w:r>
          </w:p>
        </w:tc>
      </w:tr>
      <w:tr w:rsidR="00C424E5" w14:paraId="0B9E78D7" w14:textId="77777777">
        <w:tc>
          <w:tcPr>
            <w:cnfStyle w:val="001000000000" w:firstRow="0" w:lastRow="0" w:firstColumn="1" w:lastColumn="0" w:oddVBand="0" w:evenVBand="0" w:oddHBand="0" w:evenHBand="0" w:firstRowFirstColumn="0" w:firstRowLastColumn="0" w:lastRowFirstColumn="0" w:lastRowLastColumn="0"/>
            <w:tcW w:w="3740" w:type="dxa"/>
          </w:tcPr>
          <w:p w14:paraId="34C90A45" w14:textId="77777777" w:rsidR="00C424E5" w:rsidRDefault="00C424E5">
            <w:r>
              <w:t>Cost of goods sold</w:t>
            </w:r>
          </w:p>
        </w:tc>
        <w:tc>
          <w:tcPr>
            <w:tcW w:w="794" w:type="dxa"/>
          </w:tcPr>
          <w:p w14:paraId="1F9BCEDD" w14:textId="77777777" w:rsidR="00C424E5" w:rsidRDefault="00C424E5">
            <w:pPr>
              <w:cnfStyle w:val="000000000000" w:firstRow="0" w:lastRow="0" w:firstColumn="0" w:lastColumn="0" w:oddVBand="0" w:evenVBand="0" w:oddHBand="0" w:evenHBand="0" w:firstRowFirstColumn="0" w:firstRowLastColumn="0" w:lastRowFirstColumn="0" w:lastRowLastColumn="0"/>
            </w:pPr>
            <w:r>
              <w:t>28</w:t>
            </w:r>
          </w:p>
        </w:tc>
        <w:tc>
          <w:tcPr>
            <w:tcW w:w="794" w:type="dxa"/>
          </w:tcPr>
          <w:p w14:paraId="375BA6F0" w14:textId="77777777" w:rsidR="00C424E5" w:rsidRDefault="00C424E5">
            <w:pPr>
              <w:cnfStyle w:val="000000000000" w:firstRow="0" w:lastRow="0" w:firstColumn="0" w:lastColumn="0" w:oddVBand="0" w:evenVBand="0" w:oddHBand="0" w:evenHBand="0" w:firstRowFirstColumn="0" w:firstRowLastColumn="0" w:lastRowFirstColumn="0" w:lastRowLastColumn="0"/>
            </w:pPr>
            <w:r>
              <w:t>27</w:t>
            </w:r>
          </w:p>
        </w:tc>
        <w:tc>
          <w:tcPr>
            <w:tcW w:w="794" w:type="dxa"/>
          </w:tcPr>
          <w:p w14:paraId="522016EF" w14:textId="77777777" w:rsidR="00C424E5" w:rsidRDefault="00C424E5">
            <w:pPr>
              <w:cnfStyle w:val="000000000000" w:firstRow="0" w:lastRow="0" w:firstColumn="0" w:lastColumn="0" w:oddVBand="0" w:evenVBand="0" w:oddHBand="0" w:evenHBand="0" w:firstRowFirstColumn="0" w:firstRowLastColumn="0" w:lastRowFirstColumn="0" w:lastRowLastColumn="0"/>
            </w:pPr>
            <w:r>
              <w:t>27</w:t>
            </w:r>
          </w:p>
        </w:tc>
        <w:tc>
          <w:tcPr>
            <w:tcW w:w="794" w:type="dxa"/>
          </w:tcPr>
          <w:p w14:paraId="341CAF2F" w14:textId="77777777" w:rsidR="00C424E5" w:rsidRDefault="00C424E5">
            <w:pPr>
              <w:cnfStyle w:val="000000000000" w:firstRow="0" w:lastRow="0" w:firstColumn="0" w:lastColumn="0" w:oddVBand="0" w:evenVBand="0" w:oddHBand="0" w:evenHBand="0" w:firstRowFirstColumn="0" w:firstRowLastColumn="0" w:lastRowFirstColumn="0" w:lastRowLastColumn="0"/>
            </w:pPr>
            <w:r>
              <w:t>28</w:t>
            </w:r>
          </w:p>
        </w:tc>
        <w:tc>
          <w:tcPr>
            <w:tcW w:w="794" w:type="dxa"/>
          </w:tcPr>
          <w:p w14:paraId="4B79682E" w14:textId="77777777" w:rsidR="00C424E5" w:rsidRDefault="00C424E5">
            <w:pPr>
              <w:cnfStyle w:val="000000000000" w:firstRow="0" w:lastRow="0" w:firstColumn="0" w:lastColumn="0" w:oddVBand="0" w:evenVBand="0" w:oddHBand="0" w:evenHBand="0" w:firstRowFirstColumn="0" w:firstRowLastColumn="0" w:lastRowFirstColumn="0" w:lastRowLastColumn="0"/>
            </w:pPr>
            <w:r>
              <w:t>28</w:t>
            </w:r>
          </w:p>
        </w:tc>
      </w:tr>
      <w:tr w:rsidR="00C424E5" w14:paraId="6CC4FCEA" w14:textId="77777777">
        <w:tc>
          <w:tcPr>
            <w:cnfStyle w:val="001000000000" w:firstRow="0" w:lastRow="0" w:firstColumn="1" w:lastColumn="0" w:oddVBand="0" w:evenVBand="0" w:oddHBand="0" w:evenHBand="0" w:firstRowFirstColumn="0" w:firstRowLastColumn="0" w:lastRowFirstColumn="0" w:lastRowLastColumn="0"/>
            <w:tcW w:w="3740" w:type="dxa"/>
          </w:tcPr>
          <w:p w14:paraId="598E988F" w14:textId="77777777" w:rsidR="00C424E5" w:rsidRDefault="00C424E5">
            <w:r>
              <w:t>Finance expenses and fees</w:t>
            </w:r>
          </w:p>
        </w:tc>
        <w:tc>
          <w:tcPr>
            <w:tcW w:w="794" w:type="dxa"/>
          </w:tcPr>
          <w:p w14:paraId="4E7F9897" w14:textId="77777777" w:rsidR="00C424E5" w:rsidRDefault="00C424E5">
            <w:pPr>
              <w:cnfStyle w:val="000000000000" w:firstRow="0" w:lastRow="0" w:firstColumn="0" w:lastColumn="0" w:oddVBand="0" w:evenVBand="0" w:oddHBand="0" w:evenHBand="0" w:firstRowFirstColumn="0" w:firstRowLastColumn="0" w:lastRowFirstColumn="0" w:lastRowLastColumn="0"/>
            </w:pPr>
            <w:r>
              <w:t>64</w:t>
            </w:r>
          </w:p>
        </w:tc>
        <w:tc>
          <w:tcPr>
            <w:tcW w:w="794" w:type="dxa"/>
          </w:tcPr>
          <w:p w14:paraId="100DAF40" w14:textId="77777777" w:rsidR="00C424E5" w:rsidRDefault="00C424E5">
            <w:pPr>
              <w:cnfStyle w:val="000000000000" w:firstRow="0" w:lastRow="0" w:firstColumn="0" w:lastColumn="0" w:oddVBand="0" w:evenVBand="0" w:oddHBand="0" w:evenHBand="0" w:firstRowFirstColumn="0" w:firstRowLastColumn="0" w:lastRowFirstColumn="0" w:lastRowLastColumn="0"/>
            </w:pPr>
            <w:r>
              <w:t>45</w:t>
            </w:r>
          </w:p>
        </w:tc>
        <w:tc>
          <w:tcPr>
            <w:tcW w:w="794" w:type="dxa"/>
          </w:tcPr>
          <w:p w14:paraId="7808EE48" w14:textId="77777777" w:rsidR="00C424E5" w:rsidRDefault="00C424E5">
            <w:pPr>
              <w:cnfStyle w:val="000000000000" w:firstRow="0" w:lastRow="0" w:firstColumn="0" w:lastColumn="0" w:oddVBand="0" w:evenVBand="0" w:oddHBand="0" w:evenHBand="0" w:firstRowFirstColumn="0" w:firstRowLastColumn="0" w:lastRowFirstColumn="0" w:lastRowLastColumn="0"/>
            </w:pPr>
            <w:r>
              <w:t>45</w:t>
            </w:r>
          </w:p>
        </w:tc>
        <w:tc>
          <w:tcPr>
            <w:tcW w:w="794" w:type="dxa"/>
          </w:tcPr>
          <w:p w14:paraId="09AA3DAA" w14:textId="77777777" w:rsidR="00C424E5" w:rsidRDefault="00C424E5">
            <w:pPr>
              <w:cnfStyle w:val="000000000000" w:firstRow="0" w:lastRow="0" w:firstColumn="0" w:lastColumn="0" w:oddVBand="0" w:evenVBand="0" w:oddHBand="0" w:evenHBand="0" w:firstRowFirstColumn="0" w:firstRowLastColumn="0" w:lastRowFirstColumn="0" w:lastRowLastColumn="0"/>
            </w:pPr>
            <w:r>
              <w:t>27</w:t>
            </w:r>
          </w:p>
        </w:tc>
        <w:tc>
          <w:tcPr>
            <w:tcW w:w="794" w:type="dxa"/>
          </w:tcPr>
          <w:p w14:paraId="630C5FD3" w14:textId="77777777" w:rsidR="00C424E5" w:rsidRDefault="00C424E5">
            <w:pPr>
              <w:cnfStyle w:val="000000000000" w:firstRow="0" w:lastRow="0" w:firstColumn="0" w:lastColumn="0" w:oddVBand="0" w:evenVBand="0" w:oddHBand="0" w:evenHBand="0" w:firstRowFirstColumn="0" w:firstRowLastColumn="0" w:lastRowFirstColumn="0" w:lastRowLastColumn="0"/>
            </w:pPr>
            <w:r>
              <w:t>27</w:t>
            </w:r>
          </w:p>
        </w:tc>
      </w:tr>
      <w:tr w:rsidR="00C424E5" w14:paraId="5744C930" w14:textId="77777777">
        <w:tc>
          <w:tcPr>
            <w:cnfStyle w:val="001000000000" w:firstRow="0" w:lastRow="0" w:firstColumn="1" w:lastColumn="0" w:oddVBand="0" w:evenVBand="0" w:oddHBand="0" w:evenHBand="0" w:firstRowFirstColumn="0" w:firstRowLastColumn="0" w:lastRowFirstColumn="0" w:lastRowLastColumn="0"/>
            <w:tcW w:w="3740" w:type="dxa"/>
          </w:tcPr>
          <w:p w14:paraId="5C277FFD" w14:textId="77777777" w:rsidR="00C424E5" w:rsidRDefault="00C424E5">
            <w:r>
              <w:t>Purchase of services</w:t>
            </w:r>
            <w:r>
              <w:rPr>
                <w:vertAlign w:val="superscript"/>
              </w:rPr>
              <w:t xml:space="preserve"> (a)</w:t>
            </w:r>
          </w:p>
        </w:tc>
        <w:tc>
          <w:tcPr>
            <w:tcW w:w="794" w:type="dxa"/>
          </w:tcPr>
          <w:p w14:paraId="7265E4CC" w14:textId="77777777" w:rsidR="00C424E5" w:rsidRDefault="00C424E5">
            <w:pPr>
              <w:cnfStyle w:val="000000000000" w:firstRow="0" w:lastRow="0" w:firstColumn="0" w:lastColumn="0" w:oddVBand="0" w:evenVBand="0" w:oddHBand="0" w:evenHBand="0" w:firstRowFirstColumn="0" w:firstRowLastColumn="0" w:lastRowFirstColumn="0" w:lastRowLastColumn="0"/>
            </w:pPr>
            <w:r>
              <w:t>14 263</w:t>
            </w:r>
          </w:p>
        </w:tc>
        <w:tc>
          <w:tcPr>
            <w:tcW w:w="794" w:type="dxa"/>
          </w:tcPr>
          <w:p w14:paraId="4A0768C9" w14:textId="77777777" w:rsidR="00C424E5" w:rsidRDefault="00C424E5">
            <w:pPr>
              <w:cnfStyle w:val="000000000000" w:firstRow="0" w:lastRow="0" w:firstColumn="0" w:lastColumn="0" w:oddVBand="0" w:evenVBand="0" w:oddHBand="0" w:evenHBand="0" w:firstRowFirstColumn="0" w:firstRowLastColumn="0" w:lastRowFirstColumn="0" w:lastRowLastColumn="0"/>
            </w:pPr>
            <w:r>
              <w:t>15 309</w:t>
            </w:r>
          </w:p>
        </w:tc>
        <w:tc>
          <w:tcPr>
            <w:tcW w:w="794" w:type="dxa"/>
          </w:tcPr>
          <w:p w14:paraId="194BB878" w14:textId="77777777" w:rsidR="00C424E5" w:rsidRDefault="00C424E5">
            <w:pPr>
              <w:cnfStyle w:val="000000000000" w:firstRow="0" w:lastRow="0" w:firstColumn="0" w:lastColumn="0" w:oddVBand="0" w:evenVBand="0" w:oddHBand="0" w:evenHBand="0" w:firstRowFirstColumn="0" w:firstRowLastColumn="0" w:lastRowFirstColumn="0" w:lastRowLastColumn="0"/>
            </w:pPr>
            <w:r>
              <w:t>14 548</w:t>
            </w:r>
          </w:p>
        </w:tc>
        <w:tc>
          <w:tcPr>
            <w:tcW w:w="794" w:type="dxa"/>
          </w:tcPr>
          <w:p w14:paraId="08F09815" w14:textId="77777777" w:rsidR="00C424E5" w:rsidRDefault="00C424E5">
            <w:pPr>
              <w:cnfStyle w:val="000000000000" w:firstRow="0" w:lastRow="0" w:firstColumn="0" w:lastColumn="0" w:oddVBand="0" w:evenVBand="0" w:oddHBand="0" w:evenHBand="0" w:firstRowFirstColumn="0" w:firstRowLastColumn="0" w:lastRowFirstColumn="0" w:lastRowLastColumn="0"/>
            </w:pPr>
            <w:r>
              <w:t>13 910</w:t>
            </w:r>
          </w:p>
        </w:tc>
        <w:tc>
          <w:tcPr>
            <w:tcW w:w="794" w:type="dxa"/>
          </w:tcPr>
          <w:p w14:paraId="110711DB" w14:textId="77777777" w:rsidR="00C424E5" w:rsidRDefault="00C424E5">
            <w:pPr>
              <w:cnfStyle w:val="000000000000" w:firstRow="0" w:lastRow="0" w:firstColumn="0" w:lastColumn="0" w:oddVBand="0" w:evenVBand="0" w:oddHBand="0" w:evenHBand="0" w:firstRowFirstColumn="0" w:firstRowLastColumn="0" w:lastRowFirstColumn="0" w:lastRowLastColumn="0"/>
            </w:pPr>
            <w:r>
              <w:t>13 894</w:t>
            </w:r>
          </w:p>
        </w:tc>
      </w:tr>
      <w:tr w:rsidR="00C424E5" w14:paraId="44EF4862" w14:textId="77777777">
        <w:tc>
          <w:tcPr>
            <w:cnfStyle w:val="001000000000" w:firstRow="0" w:lastRow="0" w:firstColumn="1" w:lastColumn="0" w:oddVBand="0" w:evenVBand="0" w:oddHBand="0" w:evenHBand="0" w:firstRowFirstColumn="0" w:firstRowLastColumn="0" w:lastRowFirstColumn="0" w:lastRowLastColumn="0"/>
            <w:tcW w:w="3740" w:type="dxa"/>
          </w:tcPr>
          <w:p w14:paraId="04E70CFC" w14:textId="77777777" w:rsidR="00C424E5" w:rsidRDefault="00C424E5">
            <w:r>
              <w:t>Insurance claims expense</w:t>
            </w:r>
          </w:p>
        </w:tc>
        <w:tc>
          <w:tcPr>
            <w:tcW w:w="794" w:type="dxa"/>
          </w:tcPr>
          <w:p w14:paraId="2EE9CB28" w14:textId="77777777" w:rsidR="00C424E5" w:rsidRDefault="00C424E5">
            <w:pPr>
              <w:cnfStyle w:val="000000000000" w:firstRow="0" w:lastRow="0" w:firstColumn="0" w:lastColumn="0" w:oddVBand="0" w:evenVBand="0" w:oddHBand="0" w:evenHBand="0" w:firstRowFirstColumn="0" w:firstRowLastColumn="0" w:lastRowFirstColumn="0" w:lastRowLastColumn="0"/>
            </w:pPr>
            <w:r>
              <w:t>353</w:t>
            </w:r>
          </w:p>
        </w:tc>
        <w:tc>
          <w:tcPr>
            <w:tcW w:w="794" w:type="dxa"/>
          </w:tcPr>
          <w:p w14:paraId="5A238C6E" w14:textId="77777777" w:rsidR="00C424E5" w:rsidRDefault="00C424E5">
            <w:pPr>
              <w:cnfStyle w:val="000000000000" w:firstRow="0" w:lastRow="0" w:firstColumn="0" w:lastColumn="0" w:oddVBand="0" w:evenVBand="0" w:oddHBand="0" w:evenHBand="0" w:firstRowFirstColumn="0" w:firstRowLastColumn="0" w:lastRowFirstColumn="0" w:lastRowLastColumn="0"/>
            </w:pPr>
            <w:r>
              <w:t>359</w:t>
            </w:r>
          </w:p>
        </w:tc>
        <w:tc>
          <w:tcPr>
            <w:tcW w:w="794" w:type="dxa"/>
          </w:tcPr>
          <w:p w14:paraId="20CF3C11" w14:textId="77777777" w:rsidR="00C424E5" w:rsidRDefault="00C424E5">
            <w:pPr>
              <w:cnfStyle w:val="000000000000" w:firstRow="0" w:lastRow="0" w:firstColumn="0" w:lastColumn="0" w:oddVBand="0" w:evenVBand="0" w:oddHBand="0" w:evenHBand="0" w:firstRowFirstColumn="0" w:firstRowLastColumn="0" w:lastRowFirstColumn="0" w:lastRowLastColumn="0"/>
            </w:pPr>
            <w:r>
              <w:t>341</w:t>
            </w:r>
          </w:p>
        </w:tc>
        <w:tc>
          <w:tcPr>
            <w:tcW w:w="794" w:type="dxa"/>
          </w:tcPr>
          <w:p w14:paraId="4940256D" w14:textId="77777777" w:rsidR="00C424E5" w:rsidRDefault="00C424E5">
            <w:pPr>
              <w:cnfStyle w:val="000000000000" w:firstRow="0" w:lastRow="0" w:firstColumn="0" w:lastColumn="0" w:oddVBand="0" w:evenVBand="0" w:oddHBand="0" w:evenHBand="0" w:firstRowFirstColumn="0" w:firstRowLastColumn="0" w:lastRowFirstColumn="0" w:lastRowLastColumn="0"/>
            </w:pPr>
            <w:r>
              <w:t>339</w:t>
            </w:r>
          </w:p>
        </w:tc>
        <w:tc>
          <w:tcPr>
            <w:tcW w:w="794" w:type="dxa"/>
          </w:tcPr>
          <w:p w14:paraId="3CE8AADA" w14:textId="77777777" w:rsidR="00C424E5" w:rsidRDefault="00C424E5">
            <w:pPr>
              <w:cnfStyle w:val="000000000000" w:firstRow="0" w:lastRow="0" w:firstColumn="0" w:lastColumn="0" w:oddVBand="0" w:evenVBand="0" w:oddHBand="0" w:evenHBand="0" w:firstRowFirstColumn="0" w:firstRowLastColumn="0" w:lastRowFirstColumn="0" w:lastRowLastColumn="0"/>
            </w:pPr>
            <w:r>
              <w:t>339</w:t>
            </w:r>
          </w:p>
        </w:tc>
      </w:tr>
      <w:tr w:rsidR="00C424E5" w14:paraId="1516F0C3" w14:textId="77777777">
        <w:tc>
          <w:tcPr>
            <w:cnfStyle w:val="001000000000" w:firstRow="0" w:lastRow="0" w:firstColumn="1" w:lastColumn="0" w:oddVBand="0" w:evenVBand="0" w:oddHBand="0" w:evenHBand="0" w:firstRowFirstColumn="0" w:firstRowLastColumn="0" w:lastRowFirstColumn="0" w:lastRowLastColumn="0"/>
            <w:tcW w:w="3740" w:type="dxa"/>
          </w:tcPr>
          <w:p w14:paraId="2AB8B39D" w14:textId="77777777" w:rsidR="00C424E5" w:rsidRDefault="00C424E5">
            <w:r>
              <w:t>Maintenance</w:t>
            </w:r>
          </w:p>
        </w:tc>
        <w:tc>
          <w:tcPr>
            <w:tcW w:w="794" w:type="dxa"/>
          </w:tcPr>
          <w:p w14:paraId="0ACF69FA" w14:textId="77777777" w:rsidR="00C424E5" w:rsidRDefault="00C424E5">
            <w:pPr>
              <w:cnfStyle w:val="000000000000" w:firstRow="0" w:lastRow="0" w:firstColumn="0" w:lastColumn="0" w:oddVBand="0" w:evenVBand="0" w:oddHBand="0" w:evenHBand="0" w:firstRowFirstColumn="0" w:firstRowLastColumn="0" w:lastRowFirstColumn="0" w:lastRowLastColumn="0"/>
            </w:pPr>
            <w:r>
              <w:t>1 136</w:t>
            </w:r>
          </w:p>
        </w:tc>
        <w:tc>
          <w:tcPr>
            <w:tcW w:w="794" w:type="dxa"/>
          </w:tcPr>
          <w:p w14:paraId="52214A6D" w14:textId="77777777" w:rsidR="00C424E5" w:rsidRDefault="00C424E5">
            <w:pPr>
              <w:cnfStyle w:val="000000000000" w:firstRow="0" w:lastRow="0" w:firstColumn="0" w:lastColumn="0" w:oddVBand="0" w:evenVBand="0" w:oddHBand="0" w:evenHBand="0" w:firstRowFirstColumn="0" w:firstRowLastColumn="0" w:lastRowFirstColumn="0" w:lastRowLastColumn="0"/>
            </w:pPr>
            <w:r>
              <w:t>1 176</w:t>
            </w:r>
          </w:p>
        </w:tc>
        <w:tc>
          <w:tcPr>
            <w:tcW w:w="794" w:type="dxa"/>
          </w:tcPr>
          <w:p w14:paraId="623110B0" w14:textId="77777777" w:rsidR="00C424E5" w:rsidRDefault="00C424E5">
            <w:pPr>
              <w:cnfStyle w:val="000000000000" w:firstRow="0" w:lastRow="0" w:firstColumn="0" w:lastColumn="0" w:oddVBand="0" w:evenVBand="0" w:oddHBand="0" w:evenHBand="0" w:firstRowFirstColumn="0" w:firstRowLastColumn="0" w:lastRowFirstColumn="0" w:lastRowLastColumn="0"/>
            </w:pPr>
            <w:r>
              <w:t>1 112</w:t>
            </w:r>
          </w:p>
        </w:tc>
        <w:tc>
          <w:tcPr>
            <w:tcW w:w="794" w:type="dxa"/>
          </w:tcPr>
          <w:p w14:paraId="0F5A08A8" w14:textId="77777777" w:rsidR="00C424E5" w:rsidRDefault="00C424E5">
            <w:pPr>
              <w:cnfStyle w:val="000000000000" w:firstRow="0" w:lastRow="0" w:firstColumn="0" w:lastColumn="0" w:oddVBand="0" w:evenVBand="0" w:oddHBand="0" w:evenHBand="0" w:firstRowFirstColumn="0" w:firstRowLastColumn="0" w:lastRowFirstColumn="0" w:lastRowLastColumn="0"/>
            </w:pPr>
            <w:r>
              <w:t>1 104</w:t>
            </w:r>
          </w:p>
        </w:tc>
        <w:tc>
          <w:tcPr>
            <w:tcW w:w="794" w:type="dxa"/>
          </w:tcPr>
          <w:p w14:paraId="0C0ACAE8" w14:textId="77777777" w:rsidR="00C424E5" w:rsidRDefault="00C424E5">
            <w:pPr>
              <w:cnfStyle w:val="000000000000" w:firstRow="0" w:lastRow="0" w:firstColumn="0" w:lastColumn="0" w:oddVBand="0" w:evenVBand="0" w:oddHBand="0" w:evenHBand="0" w:firstRowFirstColumn="0" w:firstRowLastColumn="0" w:lastRowFirstColumn="0" w:lastRowLastColumn="0"/>
            </w:pPr>
            <w:r>
              <w:t>1 113</w:t>
            </w:r>
          </w:p>
        </w:tc>
      </w:tr>
      <w:tr w:rsidR="00C424E5" w14:paraId="18CF47B7" w14:textId="77777777">
        <w:tc>
          <w:tcPr>
            <w:cnfStyle w:val="001000000000" w:firstRow="0" w:lastRow="0" w:firstColumn="1" w:lastColumn="0" w:oddVBand="0" w:evenVBand="0" w:oddHBand="0" w:evenHBand="0" w:firstRowFirstColumn="0" w:firstRowLastColumn="0" w:lastRowFirstColumn="0" w:lastRowLastColumn="0"/>
            <w:tcW w:w="3740" w:type="dxa"/>
          </w:tcPr>
          <w:p w14:paraId="2C1F3172" w14:textId="77777777" w:rsidR="00C424E5" w:rsidRDefault="00C424E5">
            <w:r>
              <w:t>Short</w:t>
            </w:r>
            <w:r>
              <w:noBreakHyphen/>
              <w:t>term and low value lease expense</w:t>
            </w:r>
          </w:p>
        </w:tc>
        <w:tc>
          <w:tcPr>
            <w:tcW w:w="794" w:type="dxa"/>
          </w:tcPr>
          <w:p w14:paraId="43B8BCA1" w14:textId="77777777" w:rsidR="00C424E5" w:rsidRDefault="00C424E5">
            <w:pPr>
              <w:cnfStyle w:val="000000000000" w:firstRow="0" w:lastRow="0" w:firstColumn="0" w:lastColumn="0" w:oddVBand="0" w:evenVBand="0" w:oddHBand="0" w:evenHBand="0" w:firstRowFirstColumn="0" w:firstRowLastColumn="0" w:lastRowFirstColumn="0" w:lastRowLastColumn="0"/>
            </w:pPr>
            <w:r>
              <w:t>146</w:t>
            </w:r>
          </w:p>
        </w:tc>
        <w:tc>
          <w:tcPr>
            <w:tcW w:w="794" w:type="dxa"/>
          </w:tcPr>
          <w:p w14:paraId="21293AA4" w14:textId="77777777" w:rsidR="00C424E5" w:rsidRDefault="00C424E5">
            <w:pPr>
              <w:cnfStyle w:val="000000000000" w:firstRow="0" w:lastRow="0" w:firstColumn="0" w:lastColumn="0" w:oddVBand="0" w:evenVBand="0" w:oddHBand="0" w:evenHBand="0" w:firstRowFirstColumn="0" w:firstRowLastColumn="0" w:lastRowFirstColumn="0" w:lastRowLastColumn="0"/>
            </w:pPr>
            <w:r>
              <w:t>163</w:t>
            </w:r>
          </w:p>
        </w:tc>
        <w:tc>
          <w:tcPr>
            <w:tcW w:w="794" w:type="dxa"/>
          </w:tcPr>
          <w:p w14:paraId="45BB6A5D" w14:textId="77777777" w:rsidR="00C424E5" w:rsidRDefault="00C424E5">
            <w:pPr>
              <w:cnfStyle w:val="000000000000" w:firstRow="0" w:lastRow="0" w:firstColumn="0" w:lastColumn="0" w:oddVBand="0" w:evenVBand="0" w:oddHBand="0" w:evenHBand="0" w:firstRowFirstColumn="0" w:firstRowLastColumn="0" w:lastRowFirstColumn="0" w:lastRowLastColumn="0"/>
            </w:pPr>
            <w:r>
              <w:t>149</w:t>
            </w:r>
          </w:p>
        </w:tc>
        <w:tc>
          <w:tcPr>
            <w:tcW w:w="794" w:type="dxa"/>
          </w:tcPr>
          <w:p w14:paraId="41EC41E2" w14:textId="77777777" w:rsidR="00C424E5" w:rsidRDefault="00C424E5">
            <w:pPr>
              <w:cnfStyle w:val="000000000000" w:firstRow="0" w:lastRow="0" w:firstColumn="0" w:lastColumn="0" w:oddVBand="0" w:evenVBand="0" w:oddHBand="0" w:evenHBand="0" w:firstRowFirstColumn="0" w:firstRowLastColumn="0" w:lastRowFirstColumn="0" w:lastRowLastColumn="0"/>
            </w:pPr>
            <w:r>
              <w:t>152</w:t>
            </w:r>
          </w:p>
        </w:tc>
        <w:tc>
          <w:tcPr>
            <w:tcW w:w="794" w:type="dxa"/>
          </w:tcPr>
          <w:p w14:paraId="1FA85B9D" w14:textId="77777777" w:rsidR="00C424E5" w:rsidRDefault="00C424E5">
            <w:pPr>
              <w:cnfStyle w:val="000000000000" w:firstRow="0" w:lastRow="0" w:firstColumn="0" w:lastColumn="0" w:oddVBand="0" w:evenVBand="0" w:oddHBand="0" w:evenHBand="0" w:firstRowFirstColumn="0" w:firstRowLastColumn="0" w:lastRowFirstColumn="0" w:lastRowLastColumn="0"/>
            </w:pPr>
            <w:r>
              <w:t>162</w:t>
            </w:r>
          </w:p>
        </w:tc>
      </w:tr>
      <w:tr w:rsidR="00C424E5" w14:paraId="0DA86C13"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62FEFB5D" w14:textId="77777777" w:rsidR="00C424E5" w:rsidRDefault="00C424E5">
            <w:r>
              <w:t>Other</w:t>
            </w:r>
          </w:p>
        </w:tc>
        <w:tc>
          <w:tcPr>
            <w:tcW w:w="794" w:type="dxa"/>
            <w:tcBorders>
              <w:bottom w:val="single" w:sz="6" w:space="0" w:color="auto"/>
            </w:tcBorders>
          </w:tcPr>
          <w:p w14:paraId="6AFE0E5A" w14:textId="77777777" w:rsidR="00C424E5" w:rsidRDefault="00C424E5">
            <w:pPr>
              <w:cnfStyle w:val="000000000000" w:firstRow="0" w:lastRow="0" w:firstColumn="0" w:lastColumn="0" w:oddVBand="0" w:evenVBand="0" w:oddHBand="0" w:evenHBand="0" w:firstRowFirstColumn="0" w:firstRowLastColumn="0" w:lastRowFirstColumn="0" w:lastRowLastColumn="0"/>
            </w:pPr>
            <w:r>
              <w:t>795</w:t>
            </w:r>
          </w:p>
        </w:tc>
        <w:tc>
          <w:tcPr>
            <w:tcW w:w="794" w:type="dxa"/>
            <w:tcBorders>
              <w:bottom w:val="single" w:sz="6" w:space="0" w:color="auto"/>
            </w:tcBorders>
          </w:tcPr>
          <w:p w14:paraId="2F797E4B" w14:textId="77777777" w:rsidR="00C424E5" w:rsidRDefault="00C424E5">
            <w:pPr>
              <w:cnfStyle w:val="000000000000" w:firstRow="0" w:lastRow="0" w:firstColumn="0" w:lastColumn="0" w:oddVBand="0" w:evenVBand="0" w:oddHBand="0" w:evenHBand="0" w:firstRowFirstColumn="0" w:firstRowLastColumn="0" w:lastRowFirstColumn="0" w:lastRowLastColumn="0"/>
            </w:pPr>
            <w:r>
              <w:t>1 328</w:t>
            </w:r>
          </w:p>
        </w:tc>
        <w:tc>
          <w:tcPr>
            <w:tcW w:w="794" w:type="dxa"/>
            <w:tcBorders>
              <w:bottom w:val="single" w:sz="6" w:space="0" w:color="auto"/>
            </w:tcBorders>
          </w:tcPr>
          <w:p w14:paraId="62EED6CA" w14:textId="77777777" w:rsidR="00C424E5" w:rsidRDefault="00C424E5">
            <w:pPr>
              <w:cnfStyle w:val="000000000000" w:firstRow="0" w:lastRow="0" w:firstColumn="0" w:lastColumn="0" w:oddVBand="0" w:evenVBand="0" w:oddHBand="0" w:evenHBand="0" w:firstRowFirstColumn="0" w:firstRowLastColumn="0" w:lastRowFirstColumn="0" w:lastRowLastColumn="0"/>
            </w:pPr>
            <w:r>
              <w:t>1 132</w:t>
            </w:r>
          </w:p>
        </w:tc>
        <w:tc>
          <w:tcPr>
            <w:tcW w:w="794" w:type="dxa"/>
            <w:tcBorders>
              <w:bottom w:val="single" w:sz="6" w:space="0" w:color="auto"/>
            </w:tcBorders>
          </w:tcPr>
          <w:p w14:paraId="7FB2F186" w14:textId="77777777" w:rsidR="00C424E5" w:rsidRDefault="00C424E5">
            <w:pPr>
              <w:cnfStyle w:val="000000000000" w:firstRow="0" w:lastRow="0" w:firstColumn="0" w:lastColumn="0" w:oddVBand="0" w:evenVBand="0" w:oddHBand="0" w:evenHBand="0" w:firstRowFirstColumn="0" w:firstRowLastColumn="0" w:lastRowFirstColumn="0" w:lastRowLastColumn="0"/>
            </w:pPr>
            <w:r>
              <w:t>1 128</w:t>
            </w:r>
          </w:p>
        </w:tc>
        <w:tc>
          <w:tcPr>
            <w:tcW w:w="794" w:type="dxa"/>
            <w:tcBorders>
              <w:bottom w:val="single" w:sz="6" w:space="0" w:color="auto"/>
            </w:tcBorders>
          </w:tcPr>
          <w:p w14:paraId="0EE8A256" w14:textId="77777777" w:rsidR="00C424E5" w:rsidRDefault="00C424E5">
            <w:pPr>
              <w:cnfStyle w:val="000000000000" w:firstRow="0" w:lastRow="0" w:firstColumn="0" w:lastColumn="0" w:oddVBand="0" w:evenVBand="0" w:oddHBand="0" w:evenHBand="0" w:firstRowFirstColumn="0" w:firstRowLastColumn="0" w:lastRowFirstColumn="0" w:lastRowLastColumn="0"/>
            </w:pPr>
            <w:r>
              <w:t>924</w:t>
            </w:r>
          </w:p>
        </w:tc>
      </w:tr>
      <w:tr w:rsidR="00C424E5" w14:paraId="0804BD2A"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1146DC89" w14:textId="77777777" w:rsidR="00C424E5" w:rsidRDefault="00C424E5">
            <w:r>
              <w:rPr>
                <w:b/>
              </w:rPr>
              <w:t>Total other operating expenses</w:t>
            </w:r>
          </w:p>
        </w:tc>
        <w:tc>
          <w:tcPr>
            <w:tcW w:w="794" w:type="dxa"/>
            <w:tcBorders>
              <w:top w:val="single" w:sz="6" w:space="0" w:color="auto"/>
              <w:bottom w:val="single" w:sz="12" w:space="0" w:color="auto"/>
            </w:tcBorders>
          </w:tcPr>
          <w:p w14:paraId="6687401F"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26 367</w:t>
            </w:r>
          </w:p>
        </w:tc>
        <w:tc>
          <w:tcPr>
            <w:tcW w:w="794" w:type="dxa"/>
            <w:tcBorders>
              <w:top w:val="single" w:sz="6" w:space="0" w:color="auto"/>
              <w:bottom w:val="single" w:sz="12" w:space="0" w:color="auto"/>
            </w:tcBorders>
          </w:tcPr>
          <w:p w14:paraId="6DB3C29F"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26 690</w:t>
            </w:r>
          </w:p>
        </w:tc>
        <w:tc>
          <w:tcPr>
            <w:tcW w:w="794" w:type="dxa"/>
            <w:tcBorders>
              <w:top w:val="single" w:sz="6" w:space="0" w:color="auto"/>
              <w:bottom w:val="single" w:sz="12" w:space="0" w:color="auto"/>
            </w:tcBorders>
          </w:tcPr>
          <w:p w14:paraId="243E340A"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24 237</w:t>
            </w:r>
          </w:p>
        </w:tc>
        <w:tc>
          <w:tcPr>
            <w:tcW w:w="794" w:type="dxa"/>
            <w:tcBorders>
              <w:top w:val="single" w:sz="6" w:space="0" w:color="auto"/>
              <w:bottom w:val="single" w:sz="12" w:space="0" w:color="auto"/>
            </w:tcBorders>
          </w:tcPr>
          <w:p w14:paraId="015F3B3A"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23 758</w:t>
            </w:r>
          </w:p>
        </w:tc>
        <w:tc>
          <w:tcPr>
            <w:tcW w:w="794" w:type="dxa"/>
            <w:tcBorders>
              <w:top w:val="single" w:sz="6" w:space="0" w:color="auto"/>
              <w:bottom w:val="single" w:sz="12" w:space="0" w:color="auto"/>
            </w:tcBorders>
          </w:tcPr>
          <w:p w14:paraId="3D6FE082" w14:textId="5A6577B7" w:rsidR="00C424E5" w:rsidRDefault="00C424E5">
            <w:pPr>
              <w:cnfStyle w:val="000000000000" w:firstRow="0" w:lastRow="0" w:firstColumn="0" w:lastColumn="0" w:oddVBand="0" w:evenVBand="0" w:oddHBand="0" w:evenHBand="0" w:firstRowFirstColumn="0" w:firstRowLastColumn="0" w:lastRowFirstColumn="0" w:lastRowLastColumn="0"/>
            </w:pPr>
            <w:r>
              <w:rPr>
                <w:b/>
              </w:rPr>
              <w:t>24 353</w:t>
            </w:r>
          </w:p>
        </w:tc>
      </w:tr>
    </w:tbl>
    <w:p w14:paraId="38D99C58" w14:textId="77777777" w:rsidR="00C424E5" w:rsidRPr="00697AD9" w:rsidRDefault="00C424E5" w:rsidP="007C2BD9">
      <w:pPr>
        <w:pStyle w:val="Note"/>
        <w:ind w:left="0" w:firstLine="0"/>
      </w:pPr>
      <w:r w:rsidRPr="00697AD9">
        <w:t>Note:</w:t>
      </w:r>
    </w:p>
    <w:p w14:paraId="0F4FBCA1" w14:textId="77777777" w:rsidR="00C424E5" w:rsidRPr="00FC6AC0" w:rsidRDefault="00C424E5" w:rsidP="006206EF">
      <w:pPr>
        <w:pStyle w:val="Note"/>
      </w:pPr>
      <w:r w:rsidRPr="00FC6AC0">
        <w:t>(a)</w:t>
      </w:r>
      <w:r w:rsidRPr="00FC6AC0">
        <w:tab/>
        <w:t>The following two tables break down the purchase of supplies and consumables and the purchase of services.</w:t>
      </w:r>
    </w:p>
    <w:p w14:paraId="01042C1B" w14:textId="77777777" w:rsidR="00C424E5" w:rsidRDefault="00C424E5" w:rsidP="00CC4889"/>
    <w:p w14:paraId="181CC374" w14:textId="77777777" w:rsidR="00C424E5" w:rsidRDefault="00C424E5" w:rsidP="006206EF">
      <w:pPr>
        <w:pStyle w:val="TableHeading"/>
      </w:pPr>
      <w:r w:rsidRPr="007F4217">
        <w:t>Purchase of supplies and consumables</w:t>
      </w:r>
      <w:r w:rsidRPr="007F4217">
        <w:tab/>
        <w:t>($ million)</w:t>
      </w:r>
    </w:p>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F70B1C" w14:paraId="1DB80519" w14:textId="77777777" w:rsidTr="00A836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22830319" w14:textId="1953698F" w:rsidR="00F70B1C" w:rsidRDefault="00F70B1C"/>
        </w:tc>
        <w:tc>
          <w:tcPr>
            <w:tcW w:w="794" w:type="dxa"/>
          </w:tcPr>
          <w:p w14:paraId="171A9FC7" w14:textId="35F2AE49" w:rsidR="00F70B1C" w:rsidRDefault="00F70B1C" w:rsidP="002E270E">
            <w:pPr>
              <w:cnfStyle w:val="100000000000" w:firstRow="1" w:lastRow="0" w:firstColumn="0" w:lastColumn="0" w:oddVBand="0" w:evenVBand="0" w:oddHBand="0" w:evenHBand="0" w:firstRowFirstColumn="0" w:firstRowLastColumn="0" w:lastRowFirstColumn="0" w:lastRowLastColumn="0"/>
            </w:pPr>
            <w:r>
              <w:t>2022</w:t>
            </w:r>
            <w:r>
              <w:noBreakHyphen/>
              <w:t>23</w:t>
            </w:r>
            <w:r>
              <w:rPr>
                <w:i w:val="0"/>
              </w:rPr>
              <w:br/>
            </w:r>
            <w:r>
              <w:t>budget</w:t>
            </w:r>
          </w:p>
        </w:tc>
        <w:tc>
          <w:tcPr>
            <w:tcW w:w="794" w:type="dxa"/>
          </w:tcPr>
          <w:p w14:paraId="73704E46" w14:textId="4F7FC057" w:rsidR="00F70B1C" w:rsidRDefault="00F70B1C" w:rsidP="008F0593">
            <w:pPr>
              <w:cnfStyle w:val="100000000000" w:firstRow="1" w:lastRow="0" w:firstColumn="0" w:lastColumn="0" w:oddVBand="0" w:evenVBand="0" w:oddHBand="0" w:evenHBand="0" w:firstRowFirstColumn="0" w:firstRowLastColumn="0" w:lastRowFirstColumn="0" w:lastRowLastColumn="0"/>
            </w:pPr>
            <w:r>
              <w:t>2022</w:t>
            </w:r>
            <w:r>
              <w:noBreakHyphen/>
              <w:t>23</w:t>
            </w:r>
            <w:r>
              <w:rPr>
                <w:i w:val="0"/>
              </w:rPr>
              <w:br/>
            </w:r>
            <w:r>
              <w:t>revised</w:t>
            </w:r>
          </w:p>
        </w:tc>
        <w:tc>
          <w:tcPr>
            <w:tcW w:w="794" w:type="dxa"/>
          </w:tcPr>
          <w:p w14:paraId="3677C5BC" w14:textId="46D7E300" w:rsidR="00F70B1C" w:rsidRDefault="00F70B1C" w:rsidP="00F25D78">
            <w:pPr>
              <w:cnfStyle w:val="100000000000" w:firstRow="1" w:lastRow="0" w:firstColumn="0" w:lastColumn="0" w:oddVBand="0" w:evenVBand="0" w:oddHBand="0" w:evenHBand="0" w:firstRowFirstColumn="0" w:firstRowLastColumn="0" w:lastRowFirstColumn="0" w:lastRowLastColumn="0"/>
            </w:pPr>
            <w:r>
              <w:t>2023</w:t>
            </w:r>
            <w:r>
              <w:noBreakHyphen/>
              <w:t>24</w:t>
            </w:r>
            <w:r>
              <w:rPr>
                <w:i w:val="0"/>
              </w:rPr>
              <w:br/>
            </w:r>
            <w:r>
              <w:t>estimate</w:t>
            </w:r>
          </w:p>
        </w:tc>
        <w:tc>
          <w:tcPr>
            <w:tcW w:w="794" w:type="dxa"/>
          </w:tcPr>
          <w:p w14:paraId="2BE9878D" w14:textId="368D951F" w:rsidR="00F70B1C" w:rsidRDefault="00F70B1C" w:rsidP="008D2242">
            <w:pPr>
              <w:cnfStyle w:val="100000000000" w:firstRow="1" w:lastRow="0" w:firstColumn="0" w:lastColumn="0" w:oddVBand="0" w:evenVBand="0" w:oddHBand="0" w:evenHBand="0" w:firstRowFirstColumn="0" w:firstRowLastColumn="0" w:lastRowFirstColumn="0" w:lastRowLastColumn="0"/>
            </w:pPr>
            <w:r>
              <w:t>2024</w:t>
            </w:r>
            <w:r>
              <w:noBreakHyphen/>
              <w:t>25</w:t>
            </w:r>
            <w:r>
              <w:rPr>
                <w:i w:val="0"/>
              </w:rPr>
              <w:br/>
            </w:r>
            <w:r>
              <w:t>estimate</w:t>
            </w:r>
          </w:p>
        </w:tc>
        <w:tc>
          <w:tcPr>
            <w:tcW w:w="794" w:type="dxa"/>
          </w:tcPr>
          <w:p w14:paraId="3902064A" w14:textId="11230F1A" w:rsidR="00F70B1C" w:rsidRDefault="00F70B1C" w:rsidP="001B788A">
            <w:pPr>
              <w:cnfStyle w:val="100000000000" w:firstRow="1" w:lastRow="0" w:firstColumn="0" w:lastColumn="0" w:oddVBand="0" w:evenVBand="0" w:oddHBand="0" w:evenHBand="0" w:firstRowFirstColumn="0" w:firstRowLastColumn="0" w:lastRowFirstColumn="0" w:lastRowLastColumn="0"/>
            </w:pPr>
            <w:r>
              <w:t>2025</w:t>
            </w:r>
            <w:r>
              <w:noBreakHyphen/>
              <w:t>26</w:t>
            </w:r>
            <w:r>
              <w:rPr>
                <w:i w:val="0"/>
              </w:rPr>
              <w:br/>
            </w:r>
            <w:r>
              <w:t>estimate</w:t>
            </w:r>
          </w:p>
        </w:tc>
      </w:tr>
      <w:tr w:rsidR="00C424E5" w14:paraId="5745BC34" w14:textId="77777777">
        <w:tc>
          <w:tcPr>
            <w:cnfStyle w:val="001000000000" w:firstRow="0" w:lastRow="0" w:firstColumn="1" w:lastColumn="0" w:oddVBand="0" w:evenVBand="0" w:oddHBand="0" w:evenHBand="0" w:firstRowFirstColumn="0" w:firstRowLastColumn="0" w:lastRowFirstColumn="0" w:lastRowLastColumn="0"/>
            <w:tcW w:w="3740" w:type="dxa"/>
          </w:tcPr>
          <w:p w14:paraId="01F82FEB" w14:textId="77777777" w:rsidR="00C424E5" w:rsidRDefault="00C424E5">
            <w:r>
              <w:t>Medicinal pharmacy and medical supplies</w:t>
            </w:r>
          </w:p>
        </w:tc>
        <w:tc>
          <w:tcPr>
            <w:tcW w:w="794" w:type="dxa"/>
          </w:tcPr>
          <w:p w14:paraId="2953026B" w14:textId="77777777" w:rsidR="00C424E5" w:rsidRDefault="00C424E5">
            <w:pPr>
              <w:cnfStyle w:val="000000000000" w:firstRow="0" w:lastRow="0" w:firstColumn="0" w:lastColumn="0" w:oddVBand="0" w:evenVBand="0" w:oddHBand="0" w:evenHBand="0" w:firstRowFirstColumn="0" w:firstRowLastColumn="0" w:lastRowFirstColumn="0" w:lastRowLastColumn="0"/>
            </w:pPr>
            <w:r>
              <w:t>2 466</w:t>
            </w:r>
          </w:p>
        </w:tc>
        <w:tc>
          <w:tcPr>
            <w:tcW w:w="794" w:type="dxa"/>
          </w:tcPr>
          <w:p w14:paraId="7090979D" w14:textId="77777777" w:rsidR="00C424E5" w:rsidRDefault="00C424E5">
            <w:pPr>
              <w:cnfStyle w:val="000000000000" w:firstRow="0" w:lastRow="0" w:firstColumn="0" w:lastColumn="0" w:oddVBand="0" w:evenVBand="0" w:oddHBand="0" w:evenHBand="0" w:firstRowFirstColumn="0" w:firstRowLastColumn="0" w:lastRowFirstColumn="0" w:lastRowLastColumn="0"/>
            </w:pPr>
            <w:r>
              <w:t>2 372</w:t>
            </w:r>
          </w:p>
        </w:tc>
        <w:tc>
          <w:tcPr>
            <w:tcW w:w="794" w:type="dxa"/>
          </w:tcPr>
          <w:p w14:paraId="76156395" w14:textId="77777777" w:rsidR="00C424E5" w:rsidRDefault="00C424E5">
            <w:pPr>
              <w:cnfStyle w:val="000000000000" w:firstRow="0" w:lastRow="0" w:firstColumn="0" w:lastColumn="0" w:oddVBand="0" w:evenVBand="0" w:oddHBand="0" w:evenHBand="0" w:firstRowFirstColumn="0" w:firstRowLastColumn="0" w:lastRowFirstColumn="0" w:lastRowLastColumn="0"/>
            </w:pPr>
            <w:r>
              <w:t>2 054</w:t>
            </w:r>
          </w:p>
        </w:tc>
        <w:tc>
          <w:tcPr>
            <w:tcW w:w="794" w:type="dxa"/>
          </w:tcPr>
          <w:p w14:paraId="2D9A4D95" w14:textId="77777777" w:rsidR="00C424E5" w:rsidRDefault="00C424E5">
            <w:pPr>
              <w:cnfStyle w:val="000000000000" w:firstRow="0" w:lastRow="0" w:firstColumn="0" w:lastColumn="0" w:oddVBand="0" w:evenVBand="0" w:oddHBand="0" w:evenHBand="0" w:firstRowFirstColumn="0" w:firstRowLastColumn="0" w:lastRowFirstColumn="0" w:lastRowLastColumn="0"/>
            </w:pPr>
            <w:r>
              <w:t>2 040</w:t>
            </w:r>
          </w:p>
        </w:tc>
        <w:tc>
          <w:tcPr>
            <w:tcW w:w="794" w:type="dxa"/>
          </w:tcPr>
          <w:p w14:paraId="139F09C0" w14:textId="77777777" w:rsidR="00C424E5" w:rsidRDefault="00C424E5">
            <w:pPr>
              <w:cnfStyle w:val="000000000000" w:firstRow="0" w:lastRow="0" w:firstColumn="0" w:lastColumn="0" w:oddVBand="0" w:evenVBand="0" w:oddHBand="0" w:evenHBand="0" w:firstRowFirstColumn="0" w:firstRowLastColumn="0" w:lastRowFirstColumn="0" w:lastRowLastColumn="0"/>
            </w:pPr>
            <w:r>
              <w:t>1 959</w:t>
            </w:r>
          </w:p>
        </w:tc>
      </w:tr>
      <w:tr w:rsidR="00C424E5" w14:paraId="04B5713E" w14:textId="77777777">
        <w:tc>
          <w:tcPr>
            <w:cnfStyle w:val="001000000000" w:firstRow="0" w:lastRow="0" w:firstColumn="1" w:lastColumn="0" w:oddVBand="0" w:evenVBand="0" w:oddHBand="0" w:evenHBand="0" w:firstRowFirstColumn="0" w:firstRowLastColumn="0" w:lastRowFirstColumn="0" w:lastRowLastColumn="0"/>
            <w:tcW w:w="3740" w:type="dxa"/>
          </w:tcPr>
          <w:p w14:paraId="2951EC3C" w14:textId="77777777" w:rsidR="00C424E5" w:rsidRDefault="00C424E5">
            <w:r>
              <w:t>Office supplies and consumables</w:t>
            </w:r>
          </w:p>
        </w:tc>
        <w:tc>
          <w:tcPr>
            <w:tcW w:w="794" w:type="dxa"/>
          </w:tcPr>
          <w:p w14:paraId="46E08F5D" w14:textId="77777777" w:rsidR="00C424E5" w:rsidRDefault="00C424E5">
            <w:pPr>
              <w:cnfStyle w:val="000000000000" w:firstRow="0" w:lastRow="0" w:firstColumn="0" w:lastColumn="0" w:oddVBand="0" w:evenVBand="0" w:oddHBand="0" w:evenHBand="0" w:firstRowFirstColumn="0" w:firstRowLastColumn="0" w:lastRowFirstColumn="0" w:lastRowLastColumn="0"/>
            </w:pPr>
            <w:r>
              <w:t>211</w:t>
            </w:r>
          </w:p>
        </w:tc>
        <w:tc>
          <w:tcPr>
            <w:tcW w:w="794" w:type="dxa"/>
          </w:tcPr>
          <w:p w14:paraId="2FE8CD42" w14:textId="77777777" w:rsidR="00C424E5" w:rsidRDefault="00C424E5">
            <w:pPr>
              <w:cnfStyle w:val="000000000000" w:firstRow="0" w:lastRow="0" w:firstColumn="0" w:lastColumn="0" w:oddVBand="0" w:evenVBand="0" w:oddHBand="0" w:evenHBand="0" w:firstRowFirstColumn="0" w:firstRowLastColumn="0" w:lastRowFirstColumn="0" w:lastRowLastColumn="0"/>
            </w:pPr>
            <w:r>
              <w:t>209</w:t>
            </w:r>
          </w:p>
        </w:tc>
        <w:tc>
          <w:tcPr>
            <w:tcW w:w="794" w:type="dxa"/>
          </w:tcPr>
          <w:p w14:paraId="11173B17" w14:textId="77777777" w:rsidR="00C424E5" w:rsidRDefault="00C424E5">
            <w:pPr>
              <w:cnfStyle w:val="000000000000" w:firstRow="0" w:lastRow="0" w:firstColumn="0" w:lastColumn="0" w:oddVBand="0" w:evenVBand="0" w:oddHBand="0" w:evenHBand="0" w:firstRowFirstColumn="0" w:firstRowLastColumn="0" w:lastRowFirstColumn="0" w:lastRowLastColumn="0"/>
            </w:pPr>
            <w:r>
              <w:t>205</w:t>
            </w:r>
          </w:p>
        </w:tc>
        <w:tc>
          <w:tcPr>
            <w:tcW w:w="794" w:type="dxa"/>
          </w:tcPr>
          <w:p w14:paraId="43429A3A" w14:textId="77777777" w:rsidR="00C424E5" w:rsidRDefault="00C424E5">
            <w:pPr>
              <w:cnfStyle w:val="000000000000" w:firstRow="0" w:lastRow="0" w:firstColumn="0" w:lastColumn="0" w:oddVBand="0" w:evenVBand="0" w:oddHBand="0" w:evenHBand="0" w:firstRowFirstColumn="0" w:firstRowLastColumn="0" w:lastRowFirstColumn="0" w:lastRowLastColumn="0"/>
            </w:pPr>
            <w:r>
              <w:t>205</w:t>
            </w:r>
          </w:p>
        </w:tc>
        <w:tc>
          <w:tcPr>
            <w:tcW w:w="794" w:type="dxa"/>
          </w:tcPr>
          <w:p w14:paraId="6D2377BD" w14:textId="77777777" w:rsidR="00C424E5" w:rsidRDefault="00C424E5">
            <w:pPr>
              <w:cnfStyle w:val="000000000000" w:firstRow="0" w:lastRow="0" w:firstColumn="0" w:lastColumn="0" w:oddVBand="0" w:evenVBand="0" w:oddHBand="0" w:evenHBand="0" w:firstRowFirstColumn="0" w:firstRowLastColumn="0" w:lastRowFirstColumn="0" w:lastRowLastColumn="0"/>
            </w:pPr>
            <w:r>
              <w:t>206</w:t>
            </w:r>
          </w:p>
        </w:tc>
      </w:tr>
      <w:tr w:rsidR="00C424E5" w14:paraId="10CCBB11" w14:textId="77777777">
        <w:tc>
          <w:tcPr>
            <w:cnfStyle w:val="001000000000" w:firstRow="0" w:lastRow="0" w:firstColumn="1" w:lastColumn="0" w:oddVBand="0" w:evenVBand="0" w:oddHBand="0" w:evenHBand="0" w:firstRowFirstColumn="0" w:firstRowLastColumn="0" w:lastRowFirstColumn="0" w:lastRowLastColumn="0"/>
            <w:tcW w:w="3740" w:type="dxa"/>
          </w:tcPr>
          <w:p w14:paraId="3FC61A6F" w14:textId="77777777" w:rsidR="00C424E5" w:rsidRDefault="00C424E5">
            <w:r>
              <w:t>Specialised operational supplies and consumables</w:t>
            </w:r>
          </w:p>
        </w:tc>
        <w:tc>
          <w:tcPr>
            <w:tcW w:w="794" w:type="dxa"/>
          </w:tcPr>
          <w:p w14:paraId="2DF0F608" w14:textId="77777777" w:rsidR="00C424E5" w:rsidRDefault="00C424E5">
            <w:pPr>
              <w:cnfStyle w:val="000000000000" w:firstRow="0" w:lastRow="0" w:firstColumn="0" w:lastColumn="0" w:oddVBand="0" w:evenVBand="0" w:oddHBand="0" w:evenHBand="0" w:firstRowFirstColumn="0" w:firstRowLastColumn="0" w:lastRowFirstColumn="0" w:lastRowLastColumn="0"/>
            </w:pPr>
            <w:r>
              <w:t>203</w:t>
            </w:r>
          </w:p>
        </w:tc>
        <w:tc>
          <w:tcPr>
            <w:tcW w:w="794" w:type="dxa"/>
          </w:tcPr>
          <w:p w14:paraId="101B655B" w14:textId="77777777" w:rsidR="00C424E5" w:rsidRDefault="00C424E5">
            <w:pPr>
              <w:cnfStyle w:val="000000000000" w:firstRow="0" w:lastRow="0" w:firstColumn="0" w:lastColumn="0" w:oddVBand="0" w:evenVBand="0" w:oddHBand="0" w:evenHBand="0" w:firstRowFirstColumn="0" w:firstRowLastColumn="0" w:lastRowFirstColumn="0" w:lastRowLastColumn="0"/>
            </w:pPr>
            <w:r>
              <w:t>221</w:t>
            </w:r>
          </w:p>
        </w:tc>
        <w:tc>
          <w:tcPr>
            <w:tcW w:w="794" w:type="dxa"/>
          </w:tcPr>
          <w:p w14:paraId="060BFC60" w14:textId="77777777" w:rsidR="00C424E5" w:rsidRDefault="00C424E5">
            <w:pPr>
              <w:cnfStyle w:val="000000000000" w:firstRow="0" w:lastRow="0" w:firstColumn="0" w:lastColumn="0" w:oddVBand="0" w:evenVBand="0" w:oddHBand="0" w:evenHBand="0" w:firstRowFirstColumn="0" w:firstRowLastColumn="0" w:lastRowFirstColumn="0" w:lastRowLastColumn="0"/>
            </w:pPr>
            <w:r>
              <w:t>183</w:t>
            </w:r>
          </w:p>
        </w:tc>
        <w:tc>
          <w:tcPr>
            <w:tcW w:w="794" w:type="dxa"/>
          </w:tcPr>
          <w:p w14:paraId="14DD97B7" w14:textId="77777777" w:rsidR="00C424E5" w:rsidRDefault="00C424E5">
            <w:pPr>
              <w:cnfStyle w:val="000000000000" w:firstRow="0" w:lastRow="0" w:firstColumn="0" w:lastColumn="0" w:oddVBand="0" w:evenVBand="0" w:oddHBand="0" w:evenHBand="0" w:firstRowFirstColumn="0" w:firstRowLastColumn="0" w:lastRowFirstColumn="0" w:lastRowLastColumn="0"/>
            </w:pPr>
            <w:r>
              <w:t>158</w:t>
            </w:r>
          </w:p>
        </w:tc>
        <w:tc>
          <w:tcPr>
            <w:tcW w:w="794" w:type="dxa"/>
          </w:tcPr>
          <w:p w14:paraId="1411FABC" w14:textId="77777777" w:rsidR="00C424E5" w:rsidRDefault="00C424E5">
            <w:pPr>
              <w:cnfStyle w:val="000000000000" w:firstRow="0" w:lastRow="0" w:firstColumn="0" w:lastColumn="0" w:oddVBand="0" w:evenVBand="0" w:oddHBand="0" w:evenHBand="0" w:firstRowFirstColumn="0" w:firstRowLastColumn="0" w:lastRowFirstColumn="0" w:lastRowLastColumn="0"/>
            </w:pPr>
            <w:r>
              <w:t>143</w:t>
            </w:r>
          </w:p>
        </w:tc>
      </w:tr>
      <w:tr w:rsidR="00C424E5" w14:paraId="48750901"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19313A91" w14:textId="77777777" w:rsidR="00C424E5" w:rsidRDefault="00C424E5">
            <w:r>
              <w:t>Other purchase of supplies and consumables</w:t>
            </w:r>
          </w:p>
        </w:tc>
        <w:tc>
          <w:tcPr>
            <w:tcW w:w="794" w:type="dxa"/>
            <w:tcBorders>
              <w:bottom w:val="single" w:sz="6" w:space="0" w:color="auto"/>
            </w:tcBorders>
          </w:tcPr>
          <w:p w14:paraId="10A099C8" w14:textId="77777777" w:rsidR="00C424E5" w:rsidRDefault="00C424E5">
            <w:pPr>
              <w:cnfStyle w:val="000000000000" w:firstRow="0" w:lastRow="0" w:firstColumn="0" w:lastColumn="0" w:oddVBand="0" w:evenVBand="0" w:oddHBand="0" w:evenHBand="0" w:firstRowFirstColumn="0" w:firstRowLastColumn="0" w:lastRowFirstColumn="0" w:lastRowLastColumn="0"/>
            </w:pPr>
            <w:r>
              <w:t>6 703</w:t>
            </w:r>
          </w:p>
        </w:tc>
        <w:tc>
          <w:tcPr>
            <w:tcW w:w="794" w:type="dxa"/>
            <w:tcBorders>
              <w:bottom w:val="single" w:sz="6" w:space="0" w:color="auto"/>
            </w:tcBorders>
          </w:tcPr>
          <w:p w14:paraId="7C383D9B" w14:textId="77777777" w:rsidR="00C424E5" w:rsidRDefault="00C424E5">
            <w:pPr>
              <w:cnfStyle w:val="000000000000" w:firstRow="0" w:lastRow="0" w:firstColumn="0" w:lastColumn="0" w:oddVBand="0" w:evenVBand="0" w:oddHBand="0" w:evenHBand="0" w:firstRowFirstColumn="0" w:firstRowLastColumn="0" w:lastRowFirstColumn="0" w:lastRowLastColumn="0"/>
            </w:pPr>
            <w:r>
              <w:t>5 480</w:t>
            </w:r>
          </w:p>
        </w:tc>
        <w:tc>
          <w:tcPr>
            <w:tcW w:w="794" w:type="dxa"/>
            <w:tcBorders>
              <w:bottom w:val="single" w:sz="6" w:space="0" w:color="auto"/>
            </w:tcBorders>
          </w:tcPr>
          <w:p w14:paraId="14A06D1B" w14:textId="77777777" w:rsidR="00C424E5" w:rsidRDefault="00C424E5">
            <w:pPr>
              <w:cnfStyle w:val="000000000000" w:firstRow="0" w:lastRow="0" w:firstColumn="0" w:lastColumn="0" w:oddVBand="0" w:evenVBand="0" w:oddHBand="0" w:evenHBand="0" w:firstRowFirstColumn="0" w:firstRowLastColumn="0" w:lastRowFirstColumn="0" w:lastRowLastColumn="0"/>
            </w:pPr>
            <w:r>
              <w:t>4 440</w:t>
            </w:r>
          </w:p>
        </w:tc>
        <w:tc>
          <w:tcPr>
            <w:tcW w:w="794" w:type="dxa"/>
            <w:tcBorders>
              <w:bottom w:val="single" w:sz="6" w:space="0" w:color="auto"/>
            </w:tcBorders>
          </w:tcPr>
          <w:p w14:paraId="698659C8" w14:textId="77777777" w:rsidR="00C424E5" w:rsidRDefault="00C424E5">
            <w:pPr>
              <w:cnfStyle w:val="000000000000" w:firstRow="0" w:lastRow="0" w:firstColumn="0" w:lastColumn="0" w:oddVBand="0" w:evenVBand="0" w:oddHBand="0" w:evenHBand="0" w:firstRowFirstColumn="0" w:firstRowLastColumn="0" w:lastRowFirstColumn="0" w:lastRowLastColumn="0"/>
            </w:pPr>
            <w:r>
              <w:t>4 667</w:t>
            </w:r>
          </w:p>
        </w:tc>
        <w:tc>
          <w:tcPr>
            <w:tcW w:w="794" w:type="dxa"/>
            <w:tcBorders>
              <w:bottom w:val="single" w:sz="6" w:space="0" w:color="auto"/>
            </w:tcBorders>
          </w:tcPr>
          <w:p w14:paraId="622F379A" w14:textId="77777777" w:rsidR="00C424E5" w:rsidRDefault="00C424E5">
            <w:pPr>
              <w:cnfStyle w:val="000000000000" w:firstRow="0" w:lastRow="0" w:firstColumn="0" w:lastColumn="0" w:oddVBand="0" w:evenVBand="0" w:oddHBand="0" w:evenHBand="0" w:firstRowFirstColumn="0" w:firstRowLastColumn="0" w:lastRowFirstColumn="0" w:lastRowLastColumn="0"/>
            </w:pPr>
            <w:r>
              <w:t>5 557</w:t>
            </w:r>
          </w:p>
        </w:tc>
      </w:tr>
      <w:tr w:rsidR="00C424E5" w14:paraId="0931C1D5"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4CE74115" w14:textId="77777777" w:rsidR="00C424E5" w:rsidRDefault="00C424E5">
            <w:r>
              <w:rPr>
                <w:b/>
              </w:rPr>
              <w:t>Total purchase of supplies and consumables</w:t>
            </w:r>
          </w:p>
        </w:tc>
        <w:tc>
          <w:tcPr>
            <w:tcW w:w="794" w:type="dxa"/>
            <w:tcBorders>
              <w:top w:val="single" w:sz="6" w:space="0" w:color="auto"/>
              <w:bottom w:val="single" w:sz="12" w:space="0" w:color="auto"/>
            </w:tcBorders>
          </w:tcPr>
          <w:p w14:paraId="5EB894AD"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9 582</w:t>
            </w:r>
          </w:p>
        </w:tc>
        <w:tc>
          <w:tcPr>
            <w:tcW w:w="794" w:type="dxa"/>
            <w:tcBorders>
              <w:top w:val="single" w:sz="6" w:space="0" w:color="auto"/>
              <w:bottom w:val="single" w:sz="12" w:space="0" w:color="auto"/>
            </w:tcBorders>
          </w:tcPr>
          <w:p w14:paraId="6A2C86B7"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8 281</w:t>
            </w:r>
          </w:p>
        </w:tc>
        <w:tc>
          <w:tcPr>
            <w:tcW w:w="794" w:type="dxa"/>
            <w:tcBorders>
              <w:top w:val="single" w:sz="6" w:space="0" w:color="auto"/>
              <w:bottom w:val="single" w:sz="12" w:space="0" w:color="auto"/>
            </w:tcBorders>
          </w:tcPr>
          <w:p w14:paraId="4938FA77"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6 883</w:t>
            </w:r>
          </w:p>
        </w:tc>
        <w:tc>
          <w:tcPr>
            <w:tcW w:w="794" w:type="dxa"/>
            <w:tcBorders>
              <w:top w:val="single" w:sz="6" w:space="0" w:color="auto"/>
              <w:bottom w:val="single" w:sz="12" w:space="0" w:color="auto"/>
            </w:tcBorders>
          </w:tcPr>
          <w:p w14:paraId="29ED74DC"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7 069</w:t>
            </w:r>
          </w:p>
        </w:tc>
        <w:tc>
          <w:tcPr>
            <w:tcW w:w="794" w:type="dxa"/>
            <w:tcBorders>
              <w:top w:val="single" w:sz="6" w:space="0" w:color="auto"/>
              <w:bottom w:val="single" w:sz="12" w:space="0" w:color="auto"/>
            </w:tcBorders>
          </w:tcPr>
          <w:p w14:paraId="15A8D64B" w14:textId="1F1F92E7" w:rsidR="00C424E5" w:rsidRDefault="00C424E5">
            <w:pPr>
              <w:cnfStyle w:val="000000000000" w:firstRow="0" w:lastRow="0" w:firstColumn="0" w:lastColumn="0" w:oddVBand="0" w:evenVBand="0" w:oddHBand="0" w:evenHBand="0" w:firstRowFirstColumn="0" w:firstRowLastColumn="0" w:lastRowFirstColumn="0" w:lastRowLastColumn="0"/>
            </w:pPr>
            <w:r>
              <w:rPr>
                <w:b/>
              </w:rPr>
              <w:t>7 865</w:t>
            </w:r>
          </w:p>
        </w:tc>
      </w:tr>
    </w:tbl>
    <w:p w14:paraId="54E5BFE6" w14:textId="77777777" w:rsidR="00C424E5" w:rsidRDefault="00C424E5" w:rsidP="00CC4889"/>
    <w:p w14:paraId="0CFFCB40" w14:textId="77777777" w:rsidR="00C424E5" w:rsidRDefault="00C424E5" w:rsidP="006206EF">
      <w:pPr>
        <w:pStyle w:val="TableHeading"/>
      </w:pPr>
      <w:r w:rsidRPr="007F4217">
        <w:t>Purchase of services</w:t>
      </w:r>
      <w:r w:rsidRPr="007F4217">
        <w:tab/>
        <w:t>($ million)</w:t>
      </w:r>
    </w:p>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F70B1C" w14:paraId="20C22A3D" w14:textId="77777777" w:rsidTr="00A836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4C2510EB" w14:textId="598A85CE" w:rsidR="00F70B1C" w:rsidRDefault="00F70B1C"/>
        </w:tc>
        <w:tc>
          <w:tcPr>
            <w:tcW w:w="794" w:type="dxa"/>
          </w:tcPr>
          <w:p w14:paraId="4506E9D4" w14:textId="704418AD" w:rsidR="00F70B1C" w:rsidRDefault="00F70B1C" w:rsidP="00E73F18">
            <w:pPr>
              <w:cnfStyle w:val="100000000000" w:firstRow="1" w:lastRow="0" w:firstColumn="0" w:lastColumn="0" w:oddVBand="0" w:evenVBand="0" w:oddHBand="0" w:evenHBand="0" w:firstRowFirstColumn="0" w:firstRowLastColumn="0" w:lastRowFirstColumn="0" w:lastRowLastColumn="0"/>
            </w:pPr>
            <w:r>
              <w:t>2022</w:t>
            </w:r>
            <w:r>
              <w:noBreakHyphen/>
              <w:t>23</w:t>
            </w:r>
            <w:r>
              <w:rPr>
                <w:i w:val="0"/>
              </w:rPr>
              <w:br/>
            </w:r>
            <w:r>
              <w:t>budget</w:t>
            </w:r>
          </w:p>
        </w:tc>
        <w:tc>
          <w:tcPr>
            <w:tcW w:w="794" w:type="dxa"/>
          </w:tcPr>
          <w:p w14:paraId="3545376B" w14:textId="1239795A" w:rsidR="00F70B1C" w:rsidRDefault="00F70B1C" w:rsidP="00DD1F50">
            <w:pPr>
              <w:cnfStyle w:val="100000000000" w:firstRow="1" w:lastRow="0" w:firstColumn="0" w:lastColumn="0" w:oddVBand="0" w:evenVBand="0" w:oddHBand="0" w:evenHBand="0" w:firstRowFirstColumn="0" w:firstRowLastColumn="0" w:lastRowFirstColumn="0" w:lastRowLastColumn="0"/>
            </w:pPr>
            <w:r>
              <w:t>2022</w:t>
            </w:r>
            <w:r>
              <w:noBreakHyphen/>
              <w:t>23</w:t>
            </w:r>
            <w:r>
              <w:rPr>
                <w:i w:val="0"/>
              </w:rPr>
              <w:br/>
            </w:r>
            <w:r>
              <w:t>revised</w:t>
            </w:r>
          </w:p>
        </w:tc>
        <w:tc>
          <w:tcPr>
            <w:tcW w:w="794" w:type="dxa"/>
          </w:tcPr>
          <w:p w14:paraId="3B6BCFB3" w14:textId="5D708088" w:rsidR="00F70B1C" w:rsidRDefault="00F70B1C" w:rsidP="00BF3864">
            <w:pPr>
              <w:cnfStyle w:val="100000000000" w:firstRow="1" w:lastRow="0" w:firstColumn="0" w:lastColumn="0" w:oddVBand="0" w:evenVBand="0" w:oddHBand="0" w:evenHBand="0" w:firstRowFirstColumn="0" w:firstRowLastColumn="0" w:lastRowFirstColumn="0" w:lastRowLastColumn="0"/>
            </w:pPr>
            <w:r>
              <w:t>2023</w:t>
            </w:r>
            <w:r>
              <w:noBreakHyphen/>
              <w:t>24</w:t>
            </w:r>
            <w:r>
              <w:rPr>
                <w:i w:val="0"/>
              </w:rPr>
              <w:br/>
            </w:r>
            <w:r>
              <w:t>estimate</w:t>
            </w:r>
          </w:p>
        </w:tc>
        <w:tc>
          <w:tcPr>
            <w:tcW w:w="794" w:type="dxa"/>
          </w:tcPr>
          <w:p w14:paraId="320BD8F9" w14:textId="52689E6B" w:rsidR="00F70B1C" w:rsidRDefault="00F70B1C" w:rsidP="00125FC6">
            <w:pPr>
              <w:cnfStyle w:val="100000000000" w:firstRow="1" w:lastRow="0" w:firstColumn="0" w:lastColumn="0" w:oddVBand="0" w:evenVBand="0" w:oddHBand="0" w:evenHBand="0" w:firstRowFirstColumn="0" w:firstRowLastColumn="0" w:lastRowFirstColumn="0" w:lastRowLastColumn="0"/>
            </w:pPr>
            <w:r>
              <w:t>2024</w:t>
            </w:r>
            <w:r>
              <w:noBreakHyphen/>
              <w:t>25</w:t>
            </w:r>
            <w:r>
              <w:rPr>
                <w:i w:val="0"/>
              </w:rPr>
              <w:br/>
            </w:r>
            <w:r>
              <w:t>estimate</w:t>
            </w:r>
          </w:p>
        </w:tc>
        <w:tc>
          <w:tcPr>
            <w:tcW w:w="794" w:type="dxa"/>
          </w:tcPr>
          <w:p w14:paraId="0B8FA539" w14:textId="118079D8" w:rsidR="00F70B1C" w:rsidRDefault="00F70B1C" w:rsidP="00E22D8D">
            <w:pPr>
              <w:cnfStyle w:val="100000000000" w:firstRow="1" w:lastRow="0" w:firstColumn="0" w:lastColumn="0" w:oddVBand="0" w:evenVBand="0" w:oddHBand="0" w:evenHBand="0" w:firstRowFirstColumn="0" w:firstRowLastColumn="0" w:lastRowFirstColumn="0" w:lastRowLastColumn="0"/>
            </w:pPr>
            <w:r>
              <w:t>2025</w:t>
            </w:r>
            <w:r>
              <w:noBreakHyphen/>
              <w:t>26</w:t>
            </w:r>
            <w:r>
              <w:rPr>
                <w:i w:val="0"/>
              </w:rPr>
              <w:br/>
            </w:r>
            <w:r>
              <w:t>estimate</w:t>
            </w:r>
          </w:p>
        </w:tc>
      </w:tr>
      <w:tr w:rsidR="00C424E5" w14:paraId="5D8F3E95" w14:textId="77777777">
        <w:tc>
          <w:tcPr>
            <w:cnfStyle w:val="001000000000" w:firstRow="0" w:lastRow="0" w:firstColumn="1" w:lastColumn="0" w:oddVBand="0" w:evenVBand="0" w:oddHBand="0" w:evenHBand="0" w:firstRowFirstColumn="0" w:firstRowLastColumn="0" w:lastRowFirstColumn="0" w:lastRowLastColumn="0"/>
            <w:tcW w:w="3740" w:type="dxa"/>
          </w:tcPr>
          <w:p w14:paraId="33AA2A88" w14:textId="77777777" w:rsidR="00C424E5" w:rsidRDefault="00C424E5">
            <w:r>
              <w:t>Service contracts</w:t>
            </w:r>
          </w:p>
        </w:tc>
        <w:tc>
          <w:tcPr>
            <w:tcW w:w="794" w:type="dxa"/>
          </w:tcPr>
          <w:p w14:paraId="222E669E" w14:textId="77777777" w:rsidR="00C424E5" w:rsidRDefault="00C424E5">
            <w:pPr>
              <w:cnfStyle w:val="000000000000" w:firstRow="0" w:lastRow="0" w:firstColumn="0" w:lastColumn="0" w:oddVBand="0" w:evenVBand="0" w:oddHBand="0" w:evenHBand="0" w:firstRowFirstColumn="0" w:firstRowLastColumn="0" w:lastRowFirstColumn="0" w:lastRowLastColumn="0"/>
            </w:pPr>
            <w:r>
              <w:t>8 549</w:t>
            </w:r>
          </w:p>
        </w:tc>
        <w:tc>
          <w:tcPr>
            <w:tcW w:w="794" w:type="dxa"/>
          </w:tcPr>
          <w:p w14:paraId="6923929D" w14:textId="77777777" w:rsidR="00C424E5" w:rsidRDefault="00C424E5">
            <w:pPr>
              <w:cnfStyle w:val="000000000000" w:firstRow="0" w:lastRow="0" w:firstColumn="0" w:lastColumn="0" w:oddVBand="0" w:evenVBand="0" w:oddHBand="0" w:evenHBand="0" w:firstRowFirstColumn="0" w:firstRowLastColumn="0" w:lastRowFirstColumn="0" w:lastRowLastColumn="0"/>
            </w:pPr>
            <w:r>
              <w:t>9 300</w:t>
            </w:r>
          </w:p>
        </w:tc>
        <w:tc>
          <w:tcPr>
            <w:tcW w:w="794" w:type="dxa"/>
          </w:tcPr>
          <w:p w14:paraId="14BC7B5D" w14:textId="77777777" w:rsidR="00C424E5" w:rsidRDefault="00C424E5">
            <w:pPr>
              <w:cnfStyle w:val="000000000000" w:firstRow="0" w:lastRow="0" w:firstColumn="0" w:lastColumn="0" w:oddVBand="0" w:evenVBand="0" w:oddHBand="0" w:evenHBand="0" w:firstRowFirstColumn="0" w:firstRowLastColumn="0" w:lastRowFirstColumn="0" w:lastRowLastColumn="0"/>
            </w:pPr>
            <w:r>
              <w:t>9 083</w:t>
            </w:r>
          </w:p>
        </w:tc>
        <w:tc>
          <w:tcPr>
            <w:tcW w:w="794" w:type="dxa"/>
          </w:tcPr>
          <w:p w14:paraId="1DD54899" w14:textId="77777777" w:rsidR="00C424E5" w:rsidRDefault="00C424E5">
            <w:pPr>
              <w:cnfStyle w:val="000000000000" w:firstRow="0" w:lastRow="0" w:firstColumn="0" w:lastColumn="0" w:oddVBand="0" w:evenVBand="0" w:oddHBand="0" w:evenHBand="0" w:firstRowFirstColumn="0" w:firstRowLastColumn="0" w:lastRowFirstColumn="0" w:lastRowLastColumn="0"/>
            </w:pPr>
            <w:r>
              <w:t>8 680</w:t>
            </w:r>
          </w:p>
        </w:tc>
        <w:tc>
          <w:tcPr>
            <w:tcW w:w="794" w:type="dxa"/>
          </w:tcPr>
          <w:p w14:paraId="1A4ED6B3" w14:textId="77777777" w:rsidR="00C424E5" w:rsidRDefault="00C424E5">
            <w:pPr>
              <w:cnfStyle w:val="000000000000" w:firstRow="0" w:lastRow="0" w:firstColumn="0" w:lastColumn="0" w:oddVBand="0" w:evenVBand="0" w:oddHBand="0" w:evenHBand="0" w:firstRowFirstColumn="0" w:firstRowLastColumn="0" w:lastRowFirstColumn="0" w:lastRowLastColumn="0"/>
            </w:pPr>
            <w:r>
              <w:t>8 747</w:t>
            </w:r>
          </w:p>
        </w:tc>
      </w:tr>
      <w:tr w:rsidR="00C424E5" w14:paraId="7C7E3E0F" w14:textId="77777777">
        <w:tc>
          <w:tcPr>
            <w:cnfStyle w:val="001000000000" w:firstRow="0" w:lastRow="0" w:firstColumn="1" w:lastColumn="0" w:oddVBand="0" w:evenVBand="0" w:oddHBand="0" w:evenHBand="0" w:firstRowFirstColumn="0" w:firstRowLastColumn="0" w:lastRowFirstColumn="0" w:lastRowLastColumn="0"/>
            <w:tcW w:w="3740" w:type="dxa"/>
          </w:tcPr>
          <w:p w14:paraId="5B60C4C0" w14:textId="77777777" w:rsidR="00C424E5" w:rsidRDefault="00C424E5">
            <w:r>
              <w:t>Accommodation/occupancy</w:t>
            </w:r>
          </w:p>
        </w:tc>
        <w:tc>
          <w:tcPr>
            <w:tcW w:w="794" w:type="dxa"/>
          </w:tcPr>
          <w:p w14:paraId="2A68E5CC" w14:textId="77777777" w:rsidR="00C424E5" w:rsidRDefault="00C424E5">
            <w:pPr>
              <w:cnfStyle w:val="000000000000" w:firstRow="0" w:lastRow="0" w:firstColumn="0" w:lastColumn="0" w:oddVBand="0" w:evenVBand="0" w:oddHBand="0" w:evenHBand="0" w:firstRowFirstColumn="0" w:firstRowLastColumn="0" w:lastRowFirstColumn="0" w:lastRowLastColumn="0"/>
            </w:pPr>
            <w:r>
              <w:t>909</w:t>
            </w:r>
          </w:p>
        </w:tc>
        <w:tc>
          <w:tcPr>
            <w:tcW w:w="794" w:type="dxa"/>
          </w:tcPr>
          <w:p w14:paraId="15449A1B" w14:textId="77777777" w:rsidR="00C424E5" w:rsidRDefault="00C424E5">
            <w:pPr>
              <w:cnfStyle w:val="000000000000" w:firstRow="0" w:lastRow="0" w:firstColumn="0" w:lastColumn="0" w:oddVBand="0" w:evenVBand="0" w:oddHBand="0" w:evenHBand="0" w:firstRowFirstColumn="0" w:firstRowLastColumn="0" w:lastRowFirstColumn="0" w:lastRowLastColumn="0"/>
            </w:pPr>
            <w:r>
              <w:t>928</w:t>
            </w:r>
          </w:p>
        </w:tc>
        <w:tc>
          <w:tcPr>
            <w:tcW w:w="794" w:type="dxa"/>
          </w:tcPr>
          <w:p w14:paraId="03D8ACDE" w14:textId="77777777" w:rsidR="00C424E5" w:rsidRDefault="00C424E5">
            <w:pPr>
              <w:cnfStyle w:val="000000000000" w:firstRow="0" w:lastRow="0" w:firstColumn="0" w:lastColumn="0" w:oddVBand="0" w:evenVBand="0" w:oddHBand="0" w:evenHBand="0" w:firstRowFirstColumn="0" w:firstRowLastColumn="0" w:lastRowFirstColumn="0" w:lastRowLastColumn="0"/>
            </w:pPr>
            <w:r>
              <w:t>905</w:t>
            </w:r>
          </w:p>
        </w:tc>
        <w:tc>
          <w:tcPr>
            <w:tcW w:w="794" w:type="dxa"/>
          </w:tcPr>
          <w:p w14:paraId="2A6C76D3" w14:textId="77777777" w:rsidR="00C424E5" w:rsidRDefault="00C424E5">
            <w:pPr>
              <w:cnfStyle w:val="000000000000" w:firstRow="0" w:lastRow="0" w:firstColumn="0" w:lastColumn="0" w:oddVBand="0" w:evenVBand="0" w:oddHBand="0" w:evenHBand="0" w:firstRowFirstColumn="0" w:firstRowLastColumn="0" w:lastRowFirstColumn="0" w:lastRowLastColumn="0"/>
            </w:pPr>
            <w:r>
              <w:t>908</w:t>
            </w:r>
          </w:p>
        </w:tc>
        <w:tc>
          <w:tcPr>
            <w:tcW w:w="794" w:type="dxa"/>
          </w:tcPr>
          <w:p w14:paraId="1E173CA5" w14:textId="77777777" w:rsidR="00C424E5" w:rsidRDefault="00C424E5">
            <w:pPr>
              <w:cnfStyle w:val="000000000000" w:firstRow="0" w:lastRow="0" w:firstColumn="0" w:lastColumn="0" w:oddVBand="0" w:evenVBand="0" w:oddHBand="0" w:evenHBand="0" w:firstRowFirstColumn="0" w:firstRowLastColumn="0" w:lastRowFirstColumn="0" w:lastRowLastColumn="0"/>
            </w:pPr>
            <w:r>
              <w:t>896</w:t>
            </w:r>
          </w:p>
        </w:tc>
      </w:tr>
      <w:tr w:rsidR="00C424E5" w14:paraId="0A4EC96B" w14:textId="77777777">
        <w:tc>
          <w:tcPr>
            <w:cnfStyle w:val="001000000000" w:firstRow="0" w:lastRow="0" w:firstColumn="1" w:lastColumn="0" w:oddVBand="0" w:evenVBand="0" w:oddHBand="0" w:evenHBand="0" w:firstRowFirstColumn="0" w:firstRowLastColumn="0" w:lastRowFirstColumn="0" w:lastRowLastColumn="0"/>
            <w:tcW w:w="3740" w:type="dxa"/>
          </w:tcPr>
          <w:p w14:paraId="121FC787" w14:textId="77777777" w:rsidR="00C424E5" w:rsidRDefault="00C424E5">
            <w:r>
              <w:t>Medical and client care services</w:t>
            </w:r>
          </w:p>
        </w:tc>
        <w:tc>
          <w:tcPr>
            <w:tcW w:w="794" w:type="dxa"/>
          </w:tcPr>
          <w:p w14:paraId="6836461B" w14:textId="77777777" w:rsidR="00C424E5" w:rsidRDefault="00C424E5">
            <w:pPr>
              <w:cnfStyle w:val="000000000000" w:firstRow="0" w:lastRow="0" w:firstColumn="0" w:lastColumn="0" w:oddVBand="0" w:evenVBand="0" w:oddHBand="0" w:evenHBand="0" w:firstRowFirstColumn="0" w:firstRowLastColumn="0" w:lastRowFirstColumn="0" w:lastRowLastColumn="0"/>
            </w:pPr>
            <w:r>
              <w:t>469</w:t>
            </w:r>
          </w:p>
        </w:tc>
        <w:tc>
          <w:tcPr>
            <w:tcW w:w="794" w:type="dxa"/>
          </w:tcPr>
          <w:p w14:paraId="052C5F44" w14:textId="77777777" w:rsidR="00C424E5" w:rsidRDefault="00C424E5">
            <w:pPr>
              <w:cnfStyle w:val="000000000000" w:firstRow="0" w:lastRow="0" w:firstColumn="0" w:lastColumn="0" w:oddVBand="0" w:evenVBand="0" w:oddHBand="0" w:evenHBand="0" w:firstRowFirstColumn="0" w:firstRowLastColumn="0" w:lastRowFirstColumn="0" w:lastRowLastColumn="0"/>
            </w:pPr>
            <w:r>
              <w:t>483</w:t>
            </w:r>
          </w:p>
        </w:tc>
        <w:tc>
          <w:tcPr>
            <w:tcW w:w="794" w:type="dxa"/>
          </w:tcPr>
          <w:p w14:paraId="124F64EF" w14:textId="77777777" w:rsidR="00C424E5" w:rsidRDefault="00C424E5">
            <w:pPr>
              <w:cnfStyle w:val="000000000000" w:firstRow="0" w:lastRow="0" w:firstColumn="0" w:lastColumn="0" w:oddVBand="0" w:evenVBand="0" w:oddHBand="0" w:evenHBand="0" w:firstRowFirstColumn="0" w:firstRowLastColumn="0" w:lastRowFirstColumn="0" w:lastRowLastColumn="0"/>
            </w:pPr>
            <w:r>
              <w:t>472</w:t>
            </w:r>
          </w:p>
        </w:tc>
        <w:tc>
          <w:tcPr>
            <w:tcW w:w="794" w:type="dxa"/>
          </w:tcPr>
          <w:p w14:paraId="0ADFE544" w14:textId="77777777" w:rsidR="00C424E5" w:rsidRDefault="00C424E5">
            <w:pPr>
              <w:cnfStyle w:val="000000000000" w:firstRow="0" w:lastRow="0" w:firstColumn="0" w:lastColumn="0" w:oddVBand="0" w:evenVBand="0" w:oddHBand="0" w:evenHBand="0" w:firstRowFirstColumn="0" w:firstRowLastColumn="0" w:lastRowFirstColumn="0" w:lastRowLastColumn="0"/>
            </w:pPr>
            <w:r>
              <w:t>470</w:t>
            </w:r>
          </w:p>
        </w:tc>
        <w:tc>
          <w:tcPr>
            <w:tcW w:w="794" w:type="dxa"/>
          </w:tcPr>
          <w:p w14:paraId="4A6B1D45" w14:textId="77777777" w:rsidR="00C424E5" w:rsidRDefault="00C424E5">
            <w:pPr>
              <w:cnfStyle w:val="000000000000" w:firstRow="0" w:lastRow="0" w:firstColumn="0" w:lastColumn="0" w:oddVBand="0" w:evenVBand="0" w:oddHBand="0" w:evenHBand="0" w:firstRowFirstColumn="0" w:firstRowLastColumn="0" w:lastRowFirstColumn="0" w:lastRowLastColumn="0"/>
            </w:pPr>
            <w:r>
              <w:t>469</w:t>
            </w:r>
          </w:p>
        </w:tc>
      </w:tr>
      <w:tr w:rsidR="00C424E5" w14:paraId="4EBD28B9" w14:textId="77777777">
        <w:tc>
          <w:tcPr>
            <w:cnfStyle w:val="001000000000" w:firstRow="0" w:lastRow="0" w:firstColumn="1" w:lastColumn="0" w:oddVBand="0" w:evenVBand="0" w:oddHBand="0" w:evenHBand="0" w:firstRowFirstColumn="0" w:firstRowLastColumn="0" w:lastRowFirstColumn="0" w:lastRowLastColumn="0"/>
            <w:tcW w:w="3740" w:type="dxa"/>
          </w:tcPr>
          <w:p w14:paraId="0B91D030" w14:textId="77777777" w:rsidR="00C424E5" w:rsidRDefault="00C424E5">
            <w:r>
              <w:t>Staff related expenses (non</w:t>
            </w:r>
            <w:r>
              <w:noBreakHyphen/>
              <w:t>labour related)</w:t>
            </w:r>
          </w:p>
        </w:tc>
        <w:tc>
          <w:tcPr>
            <w:tcW w:w="794" w:type="dxa"/>
          </w:tcPr>
          <w:p w14:paraId="73EC6B65" w14:textId="77777777" w:rsidR="00C424E5" w:rsidRDefault="00C424E5">
            <w:pPr>
              <w:cnfStyle w:val="000000000000" w:firstRow="0" w:lastRow="0" w:firstColumn="0" w:lastColumn="0" w:oddVBand="0" w:evenVBand="0" w:oddHBand="0" w:evenHBand="0" w:firstRowFirstColumn="0" w:firstRowLastColumn="0" w:lastRowFirstColumn="0" w:lastRowLastColumn="0"/>
            </w:pPr>
            <w:r>
              <w:t>382</w:t>
            </w:r>
          </w:p>
        </w:tc>
        <w:tc>
          <w:tcPr>
            <w:tcW w:w="794" w:type="dxa"/>
          </w:tcPr>
          <w:p w14:paraId="4FE0F71A" w14:textId="77777777" w:rsidR="00C424E5" w:rsidRDefault="00C424E5">
            <w:pPr>
              <w:cnfStyle w:val="000000000000" w:firstRow="0" w:lastRow="0" w:firstColumn="0" w:lastColumn="0" w:oddVBand="0" w:evenVBand="0" w:oddHBand="0" w:evenHBand="0" w:firstRowFirstColumn="0" w:firstRowLastColumn="0" w:lastRowFirstColumn="0" w:lastRowLastColumn="0"/>
            </w:pPr>
            <w:r>
              <w:t>404</w:t>
            </w:r>
          </w:p>
        </w:tc>
        <w:tc>
          <w:tcPr>
            <w:tcW w:w="794" w:type="dxa"/>
          </w:tcPr>
          <w:p w14:paraId="04749291" w14:textId="77777777" w:rsidR="00C424E5" w:rsidRDefault="00C424E5">
            <w:pPr>
              <w:cnfStyle w:val="000000000000" w:firstRow="0" w:lastRow="0" w:firstColumn="0" w:lastColumn="0" w:oddVBand="0" w:evenVBand="0" w:oddHBand="0" w:evenHBand="0" w:firstRowFirstColumn="0" w:firstRowLastColumn="0" w:lastRowFirstColumn="0" w:lastRowLastColumn="0"/>
            </w:pPr>
            <w:r>
              <w:t>370</w:t>
            </w:r>
          </w:p>
        </w:tc>
        <w:tc>
          <w:tcPr>
            <w:tcW w:w="794" w:type="dxa"/>
          </w:tcPr>
          <w:p w14:paraId="07276A4B" w14:textId="77777777" w:rsidR="00C424E5" w:rsidRDefault="00C424E5">
            <w:pPr>
              <w:cnfStyle w:val="000000000000" w:firstRow="0" w:lastRow="0" w:firstColumn="0" w:lastColumn="0" w:oddVBand="0" w:evenVBand="0" w:oddHBand="0" w:evenHBand="0" w:firstRowFirstColumn="0" w:firstRowLastColumn="0" w:lastRowFirstColumn="0" w:lastRowLastColumn="0"/>
            </w:pPr>
            <w:r>
              <w:t>340</w:t>
            </w:r>
          </w:p>
        </w:tc>
        <w:tc>
          <w:tcPr>
            <w:tcW w:w="794" w:type="dxa"/>
          </w:tcPr>
          <w:p w14:paraId="0E2579C5" w14:textId="77777777" w:rsidR="00C424E5" w:rsidRDefault="00C424E5">
            <w:pPr>
              <w:cnfStyle w:val="000000000000" w:firstRow="0" w:lastRow="0" w:firstColumn="0" w:lastColumn="0" w:oddVBand="0" w:evenVBand="0" w:oddHBand="0" w:evenHBand="0" w:firstRowFirstColumn="0" w:firstRowLastColumn="0" w:lastRowFirstColumn="0" w:lastRowLastColumn="0"/>
            </w:pPr>
            <w:r>
              <w:t>322</w:t>
            </w:r>
          </w:p>
        </w:tc>
      </w:tr>
      <w:tr w:rsidR="00C424E5" w14:paraId="27D443A4"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49D016DA" w14:textId="77777777" w:rsidR="00C424E5" w:rsidRDefault="00C424E5">
            <w:r>
              <w:t>Other purchase of services</w:t>
            </w:r>
          </w:p>
        </w:tc>
        <w:tc>
          <w:tcPr>
            <w:tcW w:w="794" w:type="dxa"/>
            <w:tcBorders>
              <w:bottom w:val="single" w:sz="6" w:space="0" w:color="auto"/>
            </w:tcBorders>
          </w:tcPr>
          <w:p w14:paraId="4F097446" w14:textId="77777777" w:rsidR="00C424E5" w:rsidRDefault="00C424E5">
            <w:pPr>
              <w:cnfStyle w:val="000000000000" w:firstRow="0" w:lastRow="0" w:firstColumn="0" w:lastColumn="0" w:oddVBand="0" w:evenVBand="0" w:oddHBand="0" w:evenHBand="0" w:firstRowFirstColumn="0" w:firstRowLastColumn="0" w:lastRowFirstColumn="0" w:lastRowLastColumn="0"/>
            </w:pPr>
            <w:r>
              <w:t>3 954</w:t>
            </w:r>
          </w:p>
        </w:tc>
        <w:tc>
          <w:tcPr>
            <w:tcW w:w="794" w:type="dxa"/>
            <w:tcBorders>
              <w:bottom w:val="single" w:sz="6" w:space="0" w:color="auto"/>
            </w:tcBorders>
          </w:tcPr>
          <w:p w14:paraId="38BE7B6B" w14:textId="77777777" w:rsidR="00C424E5" w:rsidRDefault="00C424E5">
            <w:pPr>
              <w:cnfStyle w:val="000000000000" w:firstRow="0" w:lastRow="0" w:firstColumn="0" w:lastColumn="0" w:oddVBand="0" w:evenVBand="0" w:oddHBand="0" w:evenHBand="0" w:firstRowFirstColumn="0" w:firstRowLastColumn="0" w:lastRowFirstColumn="0" w:lastRowLastColumn="0"/>
            </w:pPr>
            <w:r>
              <w:t>4 194</w:t>
            </w:r>
          </w:p>
        </w:tc>
        <w:tc>
          <w:tcPr>
            <w:tcW w:w="794" w:type="dxa"/>
            <w:tcBorders>
              <w:bottom w:val="single" w:sz="6" w:space="0" w:color="auto"/>
            </w:tcBorders>
          </w:tcPr>
          <w:p w14:paraId="7E91977A" w14:textId="77777777" w:rsidR="00C424E5" w:rsidRDefault="00C424E5">
            <w:pPr>
              <w:cnfStyle w:val="000000000000" w:firstRow="0" w:lastRow="0" w:firstColumn="0" w:lastColumn="0" w:oddVBand="0" w:evenVBand="0" w:oddHBand="0" w:evenHBand="0" w:firstRowFirstColumn="0" w:firstRowLastColumn="0" w:lastRowFirstColumn="0" w:lastRowLastColumn="0"/>
            </w:pPr>
            <w:r>
              <w:t>3 718</w:t>
            </w:r>
          </w:p>
        </w:tc>
        <w:tc>
          <w:tcPr>
            <w:tcW w:w="794" w:type="dxa"/>
            <w:tcBorders>
              <w:bottom w:val="single" w:sz="6" w:space="0" w:color="auto"/>
            </w:tcBorders>
          </w:tcPr>
          <w:p w14:paraId="326D1AD5" w14:textId="77777777" w:rsidR="00C424E5" w:rsidRDefault="00C424E5">
            <w:pPr>
              <w:cnfStyle w:val="000000000000" w:firstRow="0" w:lastRow="0" w:firstColumn="0" w:lastColumn="0" w:oddVBand="0" w:evenVBand="0" w:oddHBand="0" w:evenHBand="0" w:firstRowFirstColumn="0" w:firstRowLastColumn="0" w:lastRowFirstColumn="0" w:lastRowLastColumn="0"/>
            </w:pPr>
            <w:r>
              <w:t>3 512</w:t>
            </w:r>
          </w:p>
        </w:tc>
        <w:tc>
          <w:tcPr>
            <w:tcW w:w="794" w:type="dxa"/>
            <w:tcBorders>
              <w:bottom w:val="single" w:sz="6" w:space="0" w:color="auto"/>
            </w:tcBorders>
          </w:tcPr>
          <w:p w14:paraId="1EAB2C6E" w14:textId="77777777" w:rsidR="00C424E5" w:rsidRDefault="00C424E5">
            <w:pPr>
              <w:cnfStyle w:val="000000000000" w:firstRow="0" w:lastRow="0" w:firstColumn="0" w:lastColumn="0" w:oddVBand="0" w:evenVBand="0" w:oddHBand="0" w:evenHBand="0" w:firstRowFirstColumn="0" w:firstRowLastColumn="0" w:lastRowFirstColumn="0" w:lastRowLastColumn="0"/>
            </w:pPr>
            <w:r>
              <w:t>3 460</w:t>
            </w:r>
          </w:p>
        </w:tc>
      </w:tr>
      <w:tr w:rsidR="00C424E5" w14:paraId="77D2CBF5"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1533AF97" w14:textId="77777777" w:rsidR="00C424E5" w:rsidRDefault="00C424E5">
            <w:r>
              <w:rPr>
                <w:b/>
              </w:rPr>
              <w:t>Total purchase of services</w:t>
            </w:r>
          </w:p>
        </w:tc>
        <w:tc>
          <w:tcPr>
            <w:tcW w:w="794" w:type="dxa"/>
            <w:tcBorders>
              <w:top w:val="single" w:sz="6" w:space="0" w:color="auto"/>
              <w:bottom w:val="single" w:sz="12" w:space="0" w:color="auto"/>
            </w:tcBorders>
          </w:tcPr>
          <w:p w14:paraId="7AE3F27E"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14 263</w:t>
            </w:r>
          </w:p>
        </w:tc>
        <w:tc>
          <w:tcPr>
            <w:tcW w:w="794" w:type="dxa"/>
            <w:tcBorders>
              <w:top w:val="single" w:sz="6" w:space="0" w:color="auto"/>
              <w:bottom w:val="single" w:sz="12" w:space="0" w:color="auto"/>
            </w:tcBorders>
          </w:tcPr>
          <w:p w14:paraId="15DAC649"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15 309</w:t>
            </w:r>
          </w:p>
        </w:tc>
        <w:tc>
          <w:tcPr>
            <w:tcW w:w="794" w:type="dxa"/>
            <w:tcBorders>
              <w:top w:val="single" w:sz="6" w:space="0" w:color="auto"/>
              <w:bottom w:val="single" w:sz="12" w:space="0" w:color="auto"/>
            </w:tcBorders>
          </w:tcPr>
          <w:p w14:paraId="04F59166"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14 548</w:t>
            </w:r>
          </w:p>
        </w:tc>
        <w:tc>
          <w:tcPr>
            <w:tcW w:w="794" w:type="dxa"/>
            <w:tcBorders>
              <w:top w:val="single" w:sz="6" w:space="0" w:color="auto"/>
              <w:bottom w:val="single" w:sz="12" w:space="0" w:color="auto"/>
            </w:tcBorders>
          </w:tcPr>
          <w:p w14:paraId="5BD7B657"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13 910</w:t>
            </w:r>
          </w:p>
        </w:tc>
        <w:tc>
          <w:tcPr>
            <w:tcW w:w="794" w:type="dxa"/>
            <w:tcBorders>
              <w:top w:val="single" w:sz="6" w:space="0" w:color="auto"/>
              <w:bottom w:val="single" w:sz="12" w:space="0" w:color="auto"/>
            </w:tcBorders>
          </w:tcPr>
          <w:p w14:paraId="7D7B21F6" w14:textId="300561ED" w:rsidR="00C424E5" w:rsidRDefault="00C424E5">
            <w:pPr>
              <w:cnfStyle w:val="000000000000" w:firstRow="0" w:lastRow="0" w:firstColumn="0" w:lastColumn="0" w:oddVBand="0" w:evenVBand="0" w:oddHBand="0" w:evenHBand="0" w:firstRowFirstColumn="0" w:firstRowLastColumn="0" w:lastRowFirstColumn="0" w:lastRowLastColumn="0"/>
            </w:pPr>
            <w:r>
              <w:rPr>
                <w:b/>
              </w:rPr>
              <w:t>13 894</w:t>
            </w:r>
          </w:p>
        </w:tc>
      </w:tr>
    </w:tbl>
    <w:p w14:paraId="6CE75DED" w14:textId="77777777" w:rsidR="00C424E5" w:rsidRDefault="00C424E5" w:rsidP="006206EF"/>
    <w:p w14:paraId="030B4AE8" w14:textId="77777777" w:rsidR="00C424E5" w:rsidRDefault="00C424E5" w:rsidP="00A330B7">
      <w:pPr>
        <w:pStyle w:val="Heading3"/>
        <w:pageBreakBefore/>
      </w:pPr>
      <w:bookmarkStart w:id="65" w:name="_Toc117172282"/>
      <w:r>
        <w:lastRenderedPageBreak/>
        <w:t>Total expenses by classification of the functions of government</w:t>
      </w:r>
      <w:r>
        <w:br/>
        <w:t>and by portfolio department</w:t>
      </w:r>
      <w:bookmarkEnd w:id="65"/>
    </w:p>
    <w:p w14:paraId="634558DB" w14:textId="77777777" w:rsidR="00C424E5" w:rsidRDefault="00C424E5" w:rsidP="006206EF">
      <w:pPr>
        <w:pStyle w:val="TableHeading"/>
      </w:pPr>
      <w:r>
        <w:t>Expenses from transactions by classification of the functions of government</w:t>
      </w:r>
      <w:r>
        <w:tab/>
        <w:t>($ million)</w:t>
      </w:r>
    </w:p>
    <w:tbl>
      <w:tblPr>
        <w:tblStyle w:val="DTFTableNumeric"/>
        <w:tblW w:w="7710" w:type="dxa"/>
        <w:tblLayout w:type="fixed"/>
        <w:tblLook w:val="06A0" w:firstRow="1" w:lastRow="0" w:firstColumn="1" w:lastColumn="0" w:noHBand="1" w:noVBand="1"/>
      </w:tblPr>
      <w:tblGrid>
        <w:gridCol w:w="3686"/>
        <w:gridCol w:w="848"/>
        <w:gridCol w:w="794"/>
        <w:gridCol w:w="794"/>
        <w:gridCol w:w="794"/>
        <w:gridCol w:w="794"/>
      </w:tblGrid>
      <w:tr w:rsidR="00F70B1C" w14:paraId="26398986" w14:textId="77777777" w:rsidTr="00A836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6" w:type="dxa"/>
          </w:tcPr>
          <w:p w14:paraId="766EBAB3" w14:textId="478ABE25" w:rsidR="00F70B1C" w:rsidRDefault="00F70B1C" w:rsidP="001C29A9">
            <w:pPr>
              <w:spacing w:after="0"/>
            </w:pPr>
          </w:p>
        </w:tc>
        <w:tc>
          <w:tcPr>
            <w:tcW w:w="848" w:type="dxa"/>
          </w:tcPr>
          <w:p w14:paraId="10FD6083" w14:textId="098F407C" w:rsidR="00F70B1C" w:rsidRDefault="00F70B1C" w:rsidP="001C29A9">
            <w:pPr>
              <w:spacing w:after="0"/>
              <w:cnfStyle w:val="100000000000" w:firstRow="1" w:lastRow="0" w:firstColumn="0" w:lastColumn="0" w:oddVBand="0" w:evenVBand="0" w:oddHBand="0" w:evenHBand="0" w:firstRowFirstColumn="0" w:firstRowLastColumn="0" w:lastRowFirstColumn="0" w:lastRowLastColumn="0"/>
            </w:pPr>
            <w:r>
              <w:t>2022</w:t>
            </w:r>
            <w:r>
              <w:noBreakHyphen/>
              <w:t>23</w:t>
            </w:r>
            <w:r>
              <w:rPr>
                <w:i w:val="0"/>
              </w:rPr>
              <w:br/>
            </w:r>
            <w:r>
              <w:t>budget</w:t>
            </w:r>
            <w:r>
              <w:rPr>
                <w:vertAlign w:val="superscript"/>
              </w:rPr>
              <w:t xml:space="preserve"> (a)</w:t>
            </w:r>
          </w:p>
        </w:tc>
        <w:tc>
          <w:tcPr>
            <w:tcW w:w="794" w:type="dxa"/>
          </w:tcPr>
          <w:p w14:paraId="636C4240" w14:textId="2042F332" w:rsidR="00F70B1C" w:rsidRDefault="00F70B1C" w:rsidP="001C29A9">
            <w:pPr>
              <w:spacing w:after="0"/>
              <w:cnfStyle w:val="100000000000" w:firstRow="1" w:lastRow="0" w:firstColumn="0" w:lastColumn="0" w:oddVBand="0" w:evenVBand="0" w:oddHBand="0" w:evenHBand="0" w:firstRowFirstColumn="0" w:firstRowLastColumn="0" w:lastRowFirstColumn="0" w:lastRowLastColumn="0"/>
            </w:pPr>
            <w:r>
              <w:t>2022</w:t>
            </w:r>
            <w:r>
              <w:noBreakHyphen/>
              <w:t>23</w:t>
            </w:r>
            <w:r>
              <w:rPr>
                <w:i w:val="0"/>
              </w:rPr>
              <w:br/>
            </w:r>
            <w:r>
              <w:t>revised</w:t>
            </w:r>
          </w:p>
        </w:tc>
        <w:tc>
          <w:tcPr>
            <w:tcW w:w="794" w:type="dxa"/>
          </w:tcPr>
          <w:p w14:paraId="4B368816" w14:textId="023160CD" w:rsidR="00F70B1C" w:rsidRDefault="00F70B1C" w:rsidP="001C29A9">
            <w:pPr>
              <w:spacing w:after="0"/>
              <w:cnfStyle w:val="100000000000" w:firstRow="1" w:lastRow="0" w:firstColumn="0" w:lastColumn="0" w:oddVBand="0" w:evenVBand="0" w:oddHBand="0" w:evenHBand="0" w:firstRowFirstColumn="0" w:firstRowLastColumn="0" w:lastRowFirstColumn="0" w:lastRowLastColumn="0"/>
            </w:pPr>
            <w:r>
              <w:t>2023</w:t>
            </w:r>
            <w:r>
              <w:noBreakHyphen/>
              <w:t>24</w:t>
            </w:r>
            <w:r>
              <w:rPr>
                <w:i w:val="0"/>
              </w:rPr>
              <w:br/>
            </w:r>
            <w:r>
              <w:t>estimate</w:t>
            </w:r>
          </w:p>
        </w:tc>
        <w:tc>
          <w:tcPr>
            <w:tcW w:w="794" w:type="dxa"/>
          </w:tcPr>
          <w:p w14:paraId="060F90FB" w14:textId="3A88A36A" w:rsidR="00F70B1C" w:rsidRDefault="00F70B1C" w:rsidP="001C29A9">
            <w:pPr>
              <w:spacing w:after="0"/>
              <w:cnfStyle w:val="100000000000" w:firstRow="1" w:lastRow="0" w:firstColumn="0" w:lastColumn="0" w:oddVBand="0" w:evenVBand="0" w:oddHBand="0" w:evenHBand="0" w:firstRowFirstColumn="0" w:firstRowLastColumn="0" w:lastRowFirstColumn="0" w:lastRowLastColumn="0"/>
            </w:pPr>
            <w:r>
              <w:t>2024</w:t>
            </w:r>
            <w:r>
              <w:noBreakHyphen/>
              <w:t>25</w:t>
            </w:r>
            <w:r>
              <w:rPr>
                <w:i w:val="0"/>
              </w:rPr>
              <w:br/>
            </w:r>
            <w:r>
              <w:t>estimate</w:t>
            </w:r>
          </w:p>
        </w:tc>
        <w:tc>
          <w:tcPr>
            <w:tcW w:w="794" w:type="dxa"/>
          </w:tcPr>
          <w:p w14:paraId="1E39B09F" w14:textId="2B480C8C" w:rsidR="00F70B1C" w:rsidRDefault="00F70B1C" w:rsidP="001C29A9">
            <w:pPr>
              <w:spacing w:after="0"/>
              <w:cnfStyle w:val="100000000000" w:firstRow="1" w:lastRow="0" w:firstColumn="0" w:lastColumn="0" w:oddVBand="0" w:evenVBand="0" w:oddHBand="0" w:evenHBand="0" w:firstRowFirstColumn="0" w:firstRowLastColumn="0" w:lastRowFirstColumn="0" w:lastRowLastColumn="0"/>
            </w:pPr>
            <w:r>
              <w:t>2025</w:t>
            </w:r>
            <w:r>
              <w:noBreakHyphen/>
              <w:t>26</w:t>
            </w:r>
            <w:r>
              <w:rPr>
                <w:i w:val="0"/>
              </w:rPr>
              <w:br/>
            </w:r>
            <w:r>
              <w:t>estimate</w:t>
            </w:r>
          </w:p>
        </w:tc>
      </w:tr>
      <w:tr w:rsidR="00C424E5" w14:paraId="22200189" w14:textId="77777777" w:rsidTr="00253AF8">
        <w:tc>
          <w:tcPr>
            <w:cnfStyle w:val="001000000000" w:firstRow="0" w:lastRow="0" w:firstColumn="1" w:lastColumn="0" w:oddVBand="0" w:evenVBand="0" w:oddHBand="0" w:evenHBand="0" w:firstRowFirstColumn="0" w:firstRowLastColumn="0" w:lastRowFirstColumn="0" w:lastRowLastColumn="0"/>
            <w:tcW w:w="3686" w:type="dxa"/>
          </w:tcPr>
          <w:p w14:paraId="048D2068" w14:textId="77777777" w:rsidR="00C424E5" w:rsidRDefault="00C424E5" w:rsidP="001C29A9">
            <w:pPr>
              <w:spacing w:after="0"/>
            </w:pPr>
            <w:r>
              <w:t>General public services</w:t>
            </w:r>
          </w:p>
        </w:tc>
        <w:tc>
          <w:tcPr>
            <w:tcW w:w="848" w:type="dxa"/>
          </w:tcPr>
          <w:p w14:paraId="3520F339"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7 400</w:t>
            </w:r>
          </w:p>
        </w:tc>
        <w:tc>
          <w:tcPr>
            <w:tcW w:w="794" w:type="dxa"/>
          </w:tcPr>
          <w:p w14:paraId="4C1FA973"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7 572</w:t>
            </w:r>
          </w:p>
        </w:tc>
        <w:tc>
          <w:tcPr>
            <w:tcW w:w="794" w:type="dxa"/>
          </w:tcPr>
          <w:p w14:paraId="75B46F26"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8 324</w:t>
            </w:r>
          </w:p>
        </w:tc>
        <w:tc>
          <w:tcPr>
            <w:tcW w:w="794" w:type="dxa"/>
          </w:tcPr>
          <w:p w14:paraId="261904DC"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9 199</w:t>
            </w:r>
          </w:p>
        </w:tc>
        <w:tc>
          <w:tcPr>
            <w:tcW w:w="794" w:type="dxa"/>
          </w:tcPr>
          <w:p w14:paraId="28DC2FBC"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10 226</w:t>
            </w:r>
          </w:p>
        </w:tc>
      </w:tr>
      <w:tr w:rsidR="00C424E5" w14:paraId="5E8A437F" w14:textId="77777777" w:rsidTr="00253AF8">
        <w:tc>
          <w:tcPr>
            <w:cnfStyle w:val="001000000000" w:firstRow="0" w:lastRow="0" w:firstColumn="1" w:lastColumn="0" w:oddVBand="0" w:evenVBand="0" w:oddHBand="0" w:evenHBand="0" w:firstRowFirstColumn="0" w:firstRowLastColumn="0" w:lastRowFirstColumn="0" w:lastRowLastColumn="0"/>
            <w:tcW w:w="3686" w:type="dxa"/>
          </w:tcPr>
          <w:p w14:paraId="40E7AE20" w14:textId="77777777" w:rsidR="00C424E5" w:rsidRDefault="00C424E5" w:rsidP="001C29A9">
            <w:pPr>
              <w:spacing w:after="0"/>
            </w:pPr>
            <w:r>
              <w:t>Public order and safety</w:t>
            </w:r>
          </w:p>
        </w:tc>
        <w:tc>
          <w:tcPr>
            <w:tcW w:w="848" w:type="dxa"/>
          </w:tcPr>
          <w:p w14:paraId="130FD4CC"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10 718</w:t>
            </w:r>
          </w:p>
        </w:tc>
        <w:tc>
          <w:tcPr>
            <w:tcW w:w="794" w:type="dxa"/>
          </w:tcPr>
          <w:p w14:paraId="61636169"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11 936</w:t>
            </w:r>
          </w:p>
        </w:tc>
        <w:tc>
          <w:tcPr>
            <w:tcW w:w="794" w:type="dxa"/>
          </w:tcPr>
          <w:p w14:paraId="3C9CE80A"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10 439</w:t>
            </w:r>
          </w:p>
        </w:tc>
        <w:tc>
          <w:tcPr>
            <w:tcW w:w="794" w:type="dxa"/>
          </w:tcPr>
          <w:p w14:paraId="6A7E9AE0"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10 392</w:t>
            </w:r>
          </w:p>
        </w:tc>
        <w:tc>
          <w:tcPr>
            <w:tcW w:w="794" w:type="dxa"/>
          </w:tcPr>
          <w:p w14:paraId="16087C03"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10 137</w:t>
            </w:r>
          </w:p>
        </w:tc>
      </w:tr>
      <w:tr w:rsidR="00C424E5" w14:paraId="2C156051" w14:textId="77777777" w:rsidTr="00253AF8">
        <w:tc>
          <w:tcPr>
            <w:cnfStyle w:val="001000000000" w:firstRow="0" w:lastRow="0" w:firstColumn="1" w:lastColumn="0" w:oddVBand="0" w:evenVBand="0" w:oddHBand="0" w:evenHBand="0" w:firstRowFirstColumn="0" w:firstRowLastColumn="0" w:lastRowFirstColumn="0" w:lastRowLastColumn="0"/>
            <w:tcW w:w="3686" w:type="dxa"/>
          </w:tcPr>
          <w:p w14:paraId="794C591E" w14:textId="77777777" w:rsidR="00C424E5" w:rsidRDefault="00C424E5" w:rsidP="001C29A9">
            <w:pPr>
              <w:spacing w:after="0"/>
            </w:pPr>
            <w:r>
              <w:t>Economic affairs</w:t>
            </w:r>
          </w:p>
        </w:tc>
        <w:tc>
          <w:tcPr>
            <w:tcW w:w="848" w:type="dxa"/>
          </w:tcPr>
          <w:p w14:paraId="0103C904"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4 075</w:t>
            </w:r>
          </w:p>
        </w:tc>
        <w:tc>
          <w:tcPr>
            <w:tcW w:w="794" w:type="dxa"/>
          </w:tcPr>
          <w:p w14:paraId="09434E56"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4 494</w:t>
            </w:r>
          </w:p>
        </w:tc>
        <w:tc>
          <w:tcPr>
            <w:tcW w:w="794" w:type="dxa"/>
          </w:tcPr>
          <w:p w14:paraId="7620EF57"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2 430</w:t>
            </w:r>
          </w:p>
        </w:tc>
        <w:tc>
          <w:tcPr>
            <w:tcW w:w="794" w:type="dxa"/>
          </w:tcPr>
          <w:p w14:paraId="688AC77D"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1 779</w:t>
            </w:r>
          </w:p>
        </w:tc>
        <w:tc>
          <w:tcPr>
            <w:tcW w:w="794" w:type="dxa"/>
          </w:tcPr>
          <w:p w14:paraId="2F13F7C7"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2 627</w:t>
            </w:r>
          </w:p>
        </w:tc>
      </w:tr>
      <w:tr w:rsidR="00C424E5" w14:paraId="66F2A931" w14:textId="77777777" w:rsidTr="00253AF8">
        <w:tc>
          <w:tcPr>
            <w:cnfStyle w:val="001000000000" w:firstRow="0" w:lastRow="0" w:firstColumn="1" w:lastColumn="0" w:oddVBand="0" w:evenVBand="0" w:oddHBand="0" w:evenHBand="0" w:firstRowFirstColumn="0" w:firstRowLastColumn="0" w:lastRowFirstColumn="0" w:lastRowLastColumn="0"/>
            <w:tcW w:w="3686" w:type="dxa"/>
          </w:tcPr>
          <w:p w14:paraId="4B1CC0CB" w14:textId="77777777" w:rsidR="00C424E5" w:rsidRDefault="00C424E5" w:rsidP="001C29A9">
            <w:pPr>
              <w:spacing w:after="0"/>
            </w:pPr>
            <w:r>
              <w:t>Environmental protection</w:t>
            </w:r>
          </w:p>
        </w:tc>
        <w:tc>
          <w:tcPr>
            <w:tcW w:w="848" w:type="dxa"/>
          </w:tcPr>
          <w:p w14:paraId="291CFC85"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1 601</w:t>
            </w:r>
          </w:p>
        </w:tc>
        <w:tc>
          <w:tcPr>
            <w:tcW w:w="794" w:type="dxa"/>
          </w:tcPr>
          <w:p w14:paraId="58104CD0"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1 127</w:t>
            </w:r>
          </w:p>
        </w:tc>
        <w:tc>
          <w:tcPr>
            <w:tcW w:w="794" w:type="dxa"/>
          </w:tcPr>
          <w:p w14:paraId="045FA0E2"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841</w:t>
            </w:r>
          </w:p>
        </w:tc>
        <w:tc>
          <w:tcPr>
            <w:tcW w:w="794" w:type="dxa"/>
          </w:tcPr>
          <w:p w14:paraId="63AB9EFE"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797</w:t>
            </w:r>
          </w:p>
        </w:tc>
        <w:tc>
          <w:tcPr>
            <w:tcW w:w="794" w:type="dxa"/>
          </w:tcPr>
          <w:p w14:paraId="49FF6C83"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775</w:t>
            </w:r>
          </w:p>
        </w:tc>
      </w:tr>
      <w:tr w:rsidR="00C424E5" w14:paraId="51D1D40A" w14:textId="77777777" w:rsidTr="00253AF8">
        <w:tc>
          <w:tcPr>
            <w:cnfStyle w:val="001000000000" w:firstRow="0" w:lastRow="0" w:firstColumn="1" w:lastColumn="0" w:oddVBand="0" w:evenVBand="0" w:oddHBand="0" w:evenHBand="0" w:firstRowFirstColumn="0" w:firstRowLastColumn="0" w:lastRowFirstColumn="0" w:lastRowLastColumn="0"/>
            <w:tcW w:w="3686" w:type="dxa"/>
          </w:tcPr>
          <w:p w14:paraId="0651A135" w14:textId="77777777" w:rsidR="00C424E5" w:rsidRDefault="00C424E5" w:rsidP="001C29A9">
            <w:pPr>
              <w:spacing w:after="0"/>
            </w:pPr>
            <w:r>
              <w:t>Housing and community amenities</w:t>
            </w:r>
          </w:p>
        </w:tc>
        <w:tc>
          <w:tcPr>
            <w:tcW w:w="848" w:type="dxa"/>
          </w:tcPr>
          <w:p w14:paraId="04A23105"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2 433</w:t>
            </w:r>
          </w:p>
        </w:tc>
        <w:tc>
          <w:tcPr>
            <w:tcW w:w="794" w:type="dxa"/>
          </w:tcPr>
          <w:p w14:paraId="5D3F3A39"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2 131</w:t>
            </w:r>
          </w:p>
        </w:tc>
        <w:tc>
          <w:tcPr>
            <w:tcW w:w="794" w:type="dxa"/>
          </w:tcPr>
          <w:p w14:paraId="5DA97964"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2 155</w:t>
            </w:r>
          </w:p>
        </w:tc>
        <w:tc>
          <w:tcPr>
            <w:tcW w:w="794" w:type="dxa"/>
          </w:tcPr>
          <w:p w14:paraId="49A2E59E"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1 879</w:t>
            </w:r>
          </w:p>
        </w:tc>
        <w:tc>
          <w:tcPr>
            <w:tcW w:w="794" w:type="dxa"/>
          </w:tcPr>
          <w:p w14:paraId="094FB4A5"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1 836</w:t>
            </w:r>
          </w:p>
        </w:tc>
      </w:tr>
      <w:tr w:rsidR="00C424E5" w14:paraId="47F7D846" w14:textId="77777777" w:rsidTr="00253AF8">
        <w:tc>
          <w:tcPr>
            <w:cnfStyle w:val="001000000000" w:firstRow="0" w:lastRow="0" w:firstColumn="1" w:lastColumn="0" w:oddVBand="0" w:evenVBand="0" w:oddHBand="0" w:evenHBand="0" w:firstRowFirstColumn="0" w:firstRowLastColumn="0" w:lastRowFirstColumn="0" w:lastRowLastColumn="0"/>
            <w:tcW w:w="3686" w:type="dxa"/>
          </w:tcPr>
          <w:p w14:paraId="79C06303" w14:textId="77777777" w:rsidR="00C424E5" w:rsidRDefault="00C424E5" w:rsidP="001C29A9">
            <w:pPr>
              <w:spacing w:after="0"/>
            </w:pPr>
            <w:r>
              <w:t>Health</w:t>
            </w:r>
            <w:r>
              <w:rPr>
                <w:vertAlign w:val="superscript"/>
              </w:rPr>
              <w:t xml:space="preserve"> (b)</w:t>
            </w:r>
          </w:p>
        </w:tc>
        <w:tc>
          <w:tcPr>
            <w:tcW w:w="848" w:type="dxa"/>
          </w:tcPr>
          <w:p w14:paraId="64A3730F"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27 914</w:t>
            </w:r>
          </w:p>
        </w:tc>
        <w:tc>
          <w:tcPr>
            <w:tcW w:w="794" w:type="dxa"/>
          </w:tcPr>
          <w:p w14:paraId="6D81E1C9"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28 927</w:t>
            </w:r>
          </w:p>
        </w:tc>
        <w:tc>
          <w:tcPr>
            <w:tcW w:w="794" w:type="dxa"/>
          </w:tcPr>
          <w:p w14:paraId="2ABFC5F8"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27 685</w:t>
            </w:r>
          </w:p>
        </w:tc>
        <w:tc>
          <w:tcPr>
            <w:tcW w:w="794" w:type="dxa"/>
          </w:tcPr>
          <w:p w14:paraId="1A1A8EF1"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27 995</w:t>
            </w:r>
          </w:p>
        </w:tc>
        <w:tc>
          <w:tcPr>
            <w:tcW w:w="794" w:type="dxa"/>
          </w:tcPr>
          <w:p w14:paraId="07EA70D9"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28 346</w:t>
            </w:r>
          </w:p>
        </w:tc>
      </w:tr>
      <w:tr w:rsidR="00C424E5" w14:paraId="515C0F6B" w14:textId="77777777" w:rsidTr="00253AF8">
        <w:tc>
          <w:tcPr>
            <w:cnfStyle w:val="001000000000" w:firstRow="0" w:lastRow="0" w:firstColumn="1" w:lastColumn="0" w:oddVBand="0" w:evenVBand="0" w:oddHBand="0" w:evenHBand="0" w:firstRowFirstColumn="0" w:firstRowLastColumn="0" w:lastRowFirstColumn="0" w:lastRowLastColumn="0"/>
            <w:tcW w:w="3686" w:type="dxa"/>
          </w:tcPr>
          <w:p w14:paraId="0A30CC0D" w14:textId="77777777" w:rsidR="00C424E5" w:rsidRDefault="00C424E5" w:rsidP="001C29A9">
            <w:pPr>
              <w:spacing w:after="0"/>
            </w:pPr>
            <w:r>
              <w:t>Recreation, culture and religion</w:t>
            </w:r>
          </w:p>
        </w:tc>
        <w:tc>
          <w:tcPr>
            <w:tcW w:w="848" w:type="dxa"/>
          </w:tcPr>
          <w:p w14:paraId="0D10C14D"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1 232</w:t>
            </w:r>
          </w:p>
        </w:tc>
        <w:tc>
          <w:tcPr>
            <w:tcW w:w="794" w:type="dxa"/>
          </w:tcPr>
          <w:p w14:paraId="56D471C0"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1 469</w:t>
            </w:r>
          </w:p>
        </w:tc>
        <w:tc>
          <w:tcPr>
            <w:tcW w:w="794" w:type="dxa"/>
          </w:tcPr>
          <w:p w14:paraId="2F1CB73B"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720</w:t>
            </w:r>
          </w:p>
        </w:tc>
        <w:tc>
          <w:tcPr>
            <w:tcW w:w="794" w:type="dxa"/>
          </w:tcPr>
          <w:p w14:paraId="7BAE1C29"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644</w:t>
            </w:r>
          </w:p>
        </w:tc>
        <w:tc>
          <w:tcPr>
            <w:tcW w:w="794" w:type="dxa"/>
          </w:tcPr>
          <w:p w14:paraId="617B46E8"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603</w:t>
            </w:r>
          </w:p>
        </w:tc>
      </w:tr>
      <w:tr w:rsidR="00C424E5" w14:paraId="5B6C7590" w14:textId="77777777" w:rsidTr="00253AF8">
        <w:tc>
          <w:tcPr>
            <w:cnfStyle w:val="001000000000" w:firstRow="0" w:lastRow="0" w:firstColumn="1" w:lastColumn="0" w:oddVBand="0" w:evenVBand="0" w:oddHBand="0" w:evenHBand="0" w:firstRowFirstColumn="0" w:firstRowLastColumn="0" w:lastRowFirstColumn="0" w:lastRowLastColumn="0"/>
            <w:tcW w:w="3686" w:type="dxa"/>
          </w:tcPr>
          <w:p w14:paraId="53C84D3E" w14:textId="77777777" w:rsidR="00C424E5" w:rsidRDefault="00C424E5" w:rsidP="001C29A9">
            <w:pPr>
              <w:spacing w:after="0"/>
            </w:pPr>
            <w:r>
              <w:t>Education</w:t>
            </w:r>
          </w:p>
        </w:tc>
        <w:tc>
          <w:tcPr>
            <w:tcW w:w="848" w:type="dxa"/>
          </w:tcPr>
          <w:p w14:paraId="46482767"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20 745</w:t>
            </w:r>
          </w:p>
        </w:tc>
        <w:tc>
          <w:tcPr>
            <w:tcW w:w="794" w:type="dxa"/>
          </w:tcPr>
          <w:p w14:paraId="591C7920"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20 872</w:t>
            </w:r>
          </w:p>
        </w:tc>
        <w:tc>
          <w:tcPr>
            <w:tcW w:w="794" w:type="dxa"/>
          </w:tcPr>
          <w:p w14:paraId="345FB13E"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21 610</w:t>
            </w:r>
          </w:p>
        </w:tc>
        <w:tc>
          <w:tcPr>
            <w:tcW w:w="794" w:type="dxa"/>
          </w:tcPr>
          <w:p w14:paraId="561F7196"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22 476</w:t>
            </w:r>
          </w:p>
        </w:tc>
        <w:tc>
          <w:tcPr>
            <w:tcW w:w="794" w:type="dxa"/>
          </w:tcPr>
          <w:p w14:paraId="0F556E13"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23 508</w:t>
            </w:r>
          </w:p>
        </w:tc>
      </w:tr>
      <w:tr w:rsidR="00C424E5" w14:paraId="795BFB3F" w14:textId="77777777" w:rsidTr="00253AF8">
        <w:tc>
          <w:tcPr>
            <w:cnfStyle w:val="001000000000" w:firstRow="0" w:lastRow="0" w:firstColumn="1" w:lastColumn="0" w:oddVBand="0" w:evenVBand="0" w:oddHBand="0" w:evenHBand="0" w:firstRowFirstColumn="0" w:firstRowLastColumn="0" w:lastRowFirstColumn="0" w:lastRowLastColumn="0"/>
            <w:tcW w:w="3686" w:type="dxa"/>
          </w:tcPr>
          <w:p w14:paraId="6AE70B06" w14:textId="77777777" w:rsidR="00C424E5" w:rsidRDefault="00C424E5" w:rsidP="001C29A9">
            <w:pPr>
              <w:spacing w:after="0"/>
            </w:pPr>
            <w:r>
              <w:t>Social protection</w:t>
            </w:r>
          </w:p>
        </w:tc>
        <w:tc>
          <w:tcPr>
            <w:tcW w:w="848" w:type="dxa"/>
          </w:tcPr>
          <w:p w14:paraId="3C9ECCBB"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7 924</w:t>
            </w:r>
          </w:p>
        </w:tc>
        <w:tc>
          <w:tcPr>
            <w:tcW w:w="794" w:type="dxa"/>
          </w:tcPr>
          <w:p w14:paraId="3320FCF9"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8 203</w:t>
            </w:r>
          </w:p>
        </w:tc>
        <w:tc>
          <w:tcPr>
            <w:tcW w:w="794" w:type="dxa"/>
          </w:tcPr>
          <w:p w14:paraId="1395AA89"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7 550</w:t>
            </w:r>
          </w:p>
        </w:tc>
        <w:tc>
          <w:tcPr>
            <w:tcW w:w="794" w:type="dxa"/>
          </w:tcPr>
          <w:p w14:paraId="6FBC0795"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7 475</w:t>
            </w:r>
          </w:p>
        </w:tc>
        <w:tc>
          <w:tcPr>
            <w:tcW w:w="794" w:type="dxa"/>
          </w:tcPr>
          <w:p w14:paraId="1B7BD9B7"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7 645</w:t>
            </w:r>
          </w:p>
        </w:tc>
      </w:tr>
      <w:tr w:rsidR="00C424E5" w14:paraId="188423DC" w14:textId="77777777" w:rsidTr="00253AF8">
        <w:tc>
          <w:tcPr>
            <w:cnfStyle w:val="001000000000" w:firstRow="0" w:lastRow="0" w:firstColumn="1" w:lastColumn="0" w:oddVBand="0" w:evenVBand="0" w:oddHBand="0" w:evenHBand="0" w:firstRowFirstColumn="0" w:firstRowLastColumn="0" w:lastRowFirstColumn="0" w:lastRowLastColumn="0"/>
            <w:tcW w:w="3686" w:type="dxa"/>
          </w:tcPr>
          <w:p w14:paraId="58C2A1D0" w14:textId="77777777" w:rsidR="00C424E5" w:rsidRDefault="00C424E5" w:rsidP="001C29A9">
            <w:pPr>
              <w:spacing w:after="0"/>
            </w:pPr>
            <w:r>
              <w:t>Transport</w:t>
            </w:r>
          </w:p>
        </w:tc>
        <w:tc>
          <w:tcPr>
            <w:tcW w:w="848" w:type="dxa"/>
          </w:tcPr>
          <w:p w14:paraId="3DC68134"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7 269</w:t>
            </w:r>
          </w:p>
        </w:tc>
        <w:tc>
          <w:tcPr>
            <w:tcW w:w="794" w:type="dxa"/>
          </w:tcPr>
          <w:p w14:paraId="03577D2A"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7 399</w:t>
            </w:r>
          </w:p>
        </w:tc>
        <w:tc>
          <w:tcPr>
            <w:tcW w:w="794" w:type="dxa"/>
          </w:tcPr>
          <w:p w14:paraId="4E695C7E"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6 507</w:t>
            </w:r>
          </w:p>
        </w:tc>
        <w:tc>
          <w:tcPr>
            <w:tcW w:w="794" w:type="dxa"/>
          </w:tcPr>
          <w:p w14:paraId="3B0E3C5E"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6 433</w:t>
            </w:r>
          </w:p>
        </w:tc>
        <w:tc>
          <w:tcPr>
            <w:tcW w:w="794" w:type="dxa"/>
          </w:tcPr>
          <w:p w14:paraId="2C2EBFE3"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6 790</w:t>
            </w:r>
          </w:p>
        </w:tc>
      </w:tr>
      <w:tr w:rsidR="00C424E5" w14:paraId="16E02407" w14:textId="77777777" w:rsidTr="00253AF8">
        <w:tc>
          <w:tcPr>
            <w:cnfStyle w:val="001000000000" w:firstRow="0" w:lastRow="0" w:firstColumn="1" w:lastColumn="0" w:oddVBand="0" w:evenVBand="0" w:oddHBand="0" w:evenHBand="0" w:firstRowFirstColumn="0" w:firstRowLastColumn="0" w:lastRowFirstColumn="0" w:lastRowLastColumn="0"/>
            <w:tcW w:w="3686" w:type="dxa"/>
            <w:tcBorders>
              <w:bottom w:val="single" w:sz="6" w:space="0" w:color="auto"/>
            </w:tcBorders>
          </w:tcPr>
          <w:p w14:paraId="206071D6" w14:textId="77777777" w:rsidR="00C424E5" w:rsidRDefault="00C424E5" w:rsidP="001C29A9">
            <w:pPr>
              <w:spacing w:after="0"/>
            </w:pPr>
            <w:r>
              <w:t>Not allocated by function</w:t>
            </w:r>
            <w:r>
              <w:rPr>
                <w:vertAlign w:val="superscript"/>
              </w:rPr>
              <w:t xml:space="preserve"> (c)</w:t>
            </w:r>
          </w:p>
        </w:tc>
        <w:tc>
          <w:tcPr>
            <w:tcW w:w="848" w:type="dxa"/>
            <w:tcBorders>
              <w:bottom w:val="single" w:sz="6" w:space="0" w:color="auto"/>
            </w:tcBorders>
          </w:tcPr>
          <w:p w14:paraId="2EFBDA16"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(1 467)</w:t>
            </w:r>
          </w:p>
        </w:tc>
        <w:tc>
          <w:tcPr>
            <w:tcW w:w="794" w:type="dxa"/>
            <w:tcBorders>
              <w:bottom w:val="single" w:sz="6" w:space="0" w:color="auto"/>
            </w:tcBorders>
          </w:tcPr>
          <w:p w14:paraId="0EEA5271"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(3 069)</w:t>
            </w:r>
          </w:p>
        </w:tc>
        <w:tc>
          <w:tcPr>
            <w:tcW w:w="794" w:type="dxa"/>
            <w:tcBorders>
              <w:bottom w:val="single" w:sz="6" w:space="0" w:color="auto"/>
            </w:tcBorders>
          </w:tcPr>
          <w:p w14:paraId="4E69615D"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(33)</w:t>
            </w:r>
          </w:p>
        </w:tc>
        <w:tc>
          <w:tcPr>
            <w:tcW w:w="794" w:type="dxa"/>
            <w:tcBorders>
              <w:bottom w:val="single" w:sz="6" w:space="0" w:color="auto"/>
            </w:tcBorders>
          </w:tcPr>
          <w:p w14:paraId="3BC8FBFC"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21</w:t>
            </w:r>
          </w:p>
        </w:tc>
        <w:tc>
          <w:tcPr>
            <w:tcW w:w="794" w:type="dxa"/>
            <w:tcBorders>
              <w:bottom w:val="single" w:sz="6" w:space="0" w:color="auto"/>
            </w:tcBorders>
          </w:tcPr>
          <w:p w14:paraId="2877CC2A"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28</w:t>
            </w:r>
          </w:p>
        </w:tc>
      </w:tr>
      <w:tr w:rsidR="00C424E5" w14:paraId="382A254B" w14:textId="77777777" w:rsidTr="00253AF8">
        <w:tc>
          <w:tcPr>
            <w:cnfStyle w:val="001000000000" w:firstRow="0" w:lastRow="0" w:firstColumn="1" w:lastColumn="0" w:oddVBand="0" w:evenVBand="0" w:oddHBand="0" w:evenHBand="0" w:firstRowFirstColumn="0" w:firstRowLastColumn="0" w:lastRowFirstColumn="0" w:lastRowLastColumn="0"/>
            <w:tcW w:w="3686" w:type="dxa"/>
            <w:tcBorders>
              <w:top w:val="single" w:sz="6" w:space="0" w:color="auto"/>
              <w:bottom w:val="single" w:sz="12" w:space="0" w:color="auto"/>
            </w:tcBorders>
          </w:tcPr>
          <w:p w14:paraId="2FD2DFEF" w14:textId="77777777" w:rsidR="00C424E5" w:rsidRDefault="00C424E5" w:rsidP="001C29A9">
            <w:pPr>
              <w:spacing w:after="0"/>
            </w:pPr>
            <w:r>
              <w:rPr>
                <w:b/>
              </w:rPr>
              <w:t>Total expenses by COFOG</w:t>
            </w:r>
          </w:p>
        </w:tc>
        <w:tc>
          <w:tcPr>
            <w:tcW w:w="848" w:type="dxa"/>
            <w:tcBorders>
              <w:top w:val="single" w:sz="6" w:space="0" w:color="auto"/>
              <w:bottom w:val="single" w:sz="12" w:space="0" w:color="auto"/>
            </w:tcBorders>
          </w:tcPr>
          <w:p w14:paraId="47E5A0ED"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rPr>
                <w:b/>
              </w:rPr>
              <w:t>89 844</w:t>
            </w:r>
          </w:p>
        </w:tc>
        <w:tc>
          <w:tcPr>
            <w:tcW w:w="794" w:type="dxa"/>
            <w:tcBorders>
              <w:top w:val="single" w:sz="6" w:space="0" w:color="auto"/>
              <w:bottom w:val="single" w:sz="12" w:space="0" w:color="auto"/>
            </w:tcBorders>
          </w:tcPr>
          <w:p w14:paraId="4F5B7A6A"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rPr>
                <w:b/>
              </w:rPr>
              <w:t>91 061</w:t>
            </w:r>
          </w:p>
        </w:tc>
        <w:tc>
          <w:tcPr>
            <w:tcW w:w="794" w:type="dxa"/>
            <w:tcBorders>
              <w:top w:val="single" w:sz="6" w:space="0" w:color="auto"/>
              <w:bottom w:val="single" w:sz="12" w:space="0" w:color="auto"/>
            </w:tcBorders>
          </w:tcPr>
          <w:p w14:paraId="037417F1"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rPr>
                <w:b/>
              </w:rPr>
              <w:t>88 227</w:t>
            </w:r>
          </w:p>
        </w:tc>
        <w:tc>
          <w:tcPr>
            <w:tcW w:w="794" w:type="dxa"/>
            <w:tcBorders>
              <w:top w:val="single" w:sz="6" w:space="0" w:color="auto"/>
              <w:bottom w:val="single" w:sz="12" w:space="0" w:color="auto"/>
            </w:tcBorders>
          </w:tcPr>
          <w:p w14:paraId="17C72D74"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rPr>
                <w:b/>
              </w:rPr>
              <w:t>89 091</w:t>
            </w:r>
          </w:p>
        </w:tc>
        <w:tc>
          <w:tcPr>
            <w:tcW w:w="794" w:type="dxa"/>
            <w:tcBorders>
              <w:top w:val="single" w:sz="6" w:space="0" w:color="auto"/>
              <w:bottom w:val="single" w:sz="12" w:space="0" w:color="auto"/>
            </w:tcBorders>
          </w:tcPr>
          <w:p w14:paraId="4F2777C2" w14:textId="323C1F55"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rPr>
                <w:b/>
              </w:rPr>
              <w:t>92 521</w:t>
            </w:r>
          </w:p>
        </w:tc>
      </w:tr>
    </w:tbl>
    <w:p w14:paraId="43E58397" w14:textId="77777777" w:rsidR="00C424E5" w:rsidRPr="006C4C8B" w:rsidRDefault="00C424E5" w:rsidP="006206EF">
      <w:pPr>
        <w:pStyle w:val="Note"/>
        <w:ind w:left="0" w:firstLine="0"/>
      </w:pPr>
      <w:r w:rsidRPr="00FC6AC0">
        <w:t>Note</w:t>
      </w:r>
      <w:r>
        <w:t>s</w:t>
      </w:r>
      <w:r w:rsidRPr="00FC6AC0">
        <w:t>:</w:t>
      </w:r>
    </w:p>
    <w:p w14:paraId="56F60D6C" w14:textId="77777777" w:rsidR="00C424E5" w:rsidRDefault="00C424E5" w:rsidP="006206EF">
      <w:pPr>
        <w:pStyle w:val="Note"/>
      </w:pPr>
      <w:r w:rsidRPr="00FC6AC0">
        <w:t>(</w:t>
      </w:r>
      <w:r>
        <w:t>a</w:t>
      </w:r>
      <w:r w:rsidRPr="00FC6AC0">
        <w:t>)</w:t>
      </w:r>
      <w:r w:rsidRPr="00FC6AC0">
        <w:tab/>
      </w:r>
      <w:r w:rsidRPr="00351307">
        <w:t xml:space="preserve">The </w:t>
      </w:r>
      <w:r w:rsidRPr="00404B22">
        <w:rPr>
          <w:i w:val="0"/>
          <w:iCs/>
        </w:rPr>
        <w:t xml:space="preserve">2022-23 </w:t>
      </w:r>
      <w:r>
        <w:rPr>
          <w:i w:val="0"/>
          <w:iCs/>
        </w:rPr>
        <w:t>B</w:t>
      </w:r>
      <w:r w:rsidRPr="00404B22">
        <w:rPr>
          <w:i w:val="0"/>
          <w:iCs/>
        </w:rPr>
        <w:t>udget</w:t>
      </w:r>
      <w:r w:rsidRPr="00351307">
        <w:t xml:space="preserve"> numbers have been reclassified between various expenses</w:t>
      </w:r>
      <w:r>
        <w:t xml:space="preserve"> by</w:t>
      </w:r>
      <w:r w:rsidRPr="00351307">
        <w:t xml:space="preserve"> COFOG classifications to more correctly reflect the nature of the transactions</w:t>
      </w:r>
      <w:r>
        <w:t>.</w:t>
      </w:r>
    </w:p>
    <w:p w14:paraId="386DD2B5" w14:textId="60E595B3" w:rsidR="00C424E5" w:rsidRPr="00DF7EC1" w:rsidRDefault="00C424E5" w:rsidP="006206EF">
      <w:pPr>
        <w:pStyle w:val="Note"/>
      </w:pPr>
      <w:r w:rsidRPr="00DF7EC1">
        <w:t>(b)</w:t>
      </w:r>
      <w:r w:rsidRPr="00DF7EC1">
        <w:tab/>
      </w:r>
      <w:r w:rsidRPr="00913B1E">
        <w:t>The higher level of estimated health expenditure in 2022</w:t>
      </w:r>
      <w:r w:rsidR="008C39B9">
        <w:noBreakHyphen/>
      </w:r>
      <w:r w:rsidRPr="00913B1E">
        <w:t xml:space="preserve">23 compared with 2023-24 estimated health expenditure is primarily driven by Government one-off expenditure, including initiatives in response to COVID-19. The increase in health expenditure in 2022-23 compared with the </w:t>
      </w:r>
      <w:r w:rsidRPr="00913B1E">
        <w:rPr>
          <w:i w:val="0"/>
          <w:iCs/>
        </w:rPr>
        <w:t>2022-23 Budget</w:t>
      </w:r>
      <w:r w:rsidRPr="00913B1E">
        <w:t xml:space="preserve"> is driven by new Government initiatives, including </w:t>
      </w:r>
      <w:r w:rsidRPr="00913B1E">
        <w:rPr>
          <w:i w:val="0"/>
          <w:iCs/>
        </w:rPr>
        <w:t>Supporting workforce attraction and retention, Improving access to emergency care</w:t>
      </w:r>
      <w:r w:rsidRPr="00913B1E">
        <w:t xml:space="preserve"> and </w:t>
      </w:r>
      <w:r w:rsidRPr="00913B1E">
        <w:rPr>
          <w:i w:val="0"/>
          <w:iCs/>
        </w:rPr>
        <w:t>COVID-19 testing and vaccination services and engagement</w:t>
      </w:r>
      <w:r w:rsidRPr="00913B1E">
        <w:t>. Estimated health expenditure in 2022-23 is higher than 2021</w:t>
      </w:r>
      <w:r w:rsidR="008C39B9">
        <w:noBreakHyphen/>
      </w:r>
      <w:r w:rsidRPr="00913B1E">
        <w:t>22 health expenditure.</w:t>
      </w:r>
    </w:p>
    <w:p w14:paraId="683947DD" w14:textId="77777777" w:rsidR="00C424E5" w:rsidRDefault="00C424E5" w:rsidP="006206EF">
      <w:pPr>
        <w:pStyle w:val="Note"/>
      </w:pPr>
      <w:r w:rsidRPr="00FC6AC0">
        <w:t>(</w:t>
      </w:r>
      <w:r>
        <w:t>c</w:t>
      </w:r>
      <w:r w:rsidRPr="00FC6AC0">
        <w:t>)</w:t>
      </w:r>
      <w:r w:rsidRPr="00FC6AC0">
        <w:tab/>
      </w:r>
      <w:r>
        <w:t>Mainly comprises the provision for future demand growth, departmental underspending, eliminated purchases of supplies and</w:t>
      </w:r>
    </w:p>
    <w:p w14:paraId="7886C884" w14:textId="77777777" w:rsidR="00C424E5" w:rsidRPr="009E03FE" w:rsidRDefault="00C424E5" w:rsidP="006206EF">
      <w:pPr>
        <w:pStyle w:val="Note"/>
        <w:rPr>
          <w:highlight w:val="yellow"/>
        </w:rPr>
      </w:pPr>
      <w:r>
        <w:tab/>
        <w:t>consumables between government entities, and items not yet formalised at the time of publication.</w:t>
      </w:r>
    </w:p>
    <w:p w14:paraId="65C76AFC" w14:textId="77777777" w:rsidR="00C424E5" w:rsidRPr="009E03FE" w:rsidRDefault="00C424E5" w:rsidP="00EC7D1E">
      <w:pPr>
        <w:rPr>
          <w:highlight w:val="yellow"/>
        </w:rPr>
      </w:pPr>
    </w:p>
    <w:p w14:paraId="2E602947" w14:textId="77777777" w:rsidR="00C424E5" w:rsidRDefault="00C424E5" w:rsidP="006206EF">
      <w:pPr>
        <w:pStyle w:val="TableHeading"/>
      </w:pPr>
      <w:r w:rsidRPr="004D1DC3">
        <w:t xml:space="preserve">Total </w:t>
      </w:r>
      <w:r w:rsidRPr="00853550">
        <w:t>expenses</w:t>
      </w:r>
      <w:r w:rsidRPr="004D1DC3">
        <w:t xml:space="preserve"> </w:t>
      </w:r>
      <w:r>
        <w:t xml:space="preserve">from transactions </w:t>
      </w:r>
      <w:r w:rsidRPr="004D1DC3">
        <w:t>by portfolio department</w:t>
      </w:r>
      <w:r w:rsidRPr="004D1DC3">
        <w:tab/>
        <w:t>($ million)</w:t>
      </w:r>
    </w:p>
    <w:tbl>
      <w:tblPr>
        <w:tblStyle w:val="DTFTableNumeric"/>
        <w:tblW w:w="7710" w:type="dxa"/>
        <w:tblLayout w:type="fixed"/>
        <w:tblLook w:val="06A0" w:firstRow="1" w:lastRow="0" w:firstColumn="1" w:lastColumn="0" w:noHBand="1" w:noVBand="1"/>
      </w:tblPr>
      <w:tblGrid>
        <w:gridCol w:w="3828"/>
        <w:gridCol w:w="706"/>
        <w:gridCol w:w="794"/>
        <w:gridCol w:w="794"/>
        <w:gridCol w:w="794"/>
        <w:gridCol w:w="794"/>
      </w:tblGrid>
      <w:tr w:rsidR="00F70B1C" w14:paraId="121D371F" w14:textId="77777777" w:rsidTr="00A836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28" w:type="dxa"/>
          </w:tcPr>
          <w:p w14:paraId="3A1C5991" w14:textId="07A61E95" w:rsidR="00F70B1C" w:rsidRDefault="00F70B1C" w:rsidP="001C29A9">
            <w:pPr>
              <w:spacing w:after="0"/>
            </w:pPr>
          </w:p>
        </w:tc>
        <w:tc>
          <w:tcPr>
            <w:tcW w:w="706" w:type="dxa"/>
          </w:tcPr>
          <w:p w14:paraId="6CA4E22B" w14:textId="1C097832" w:rsidR="00F70B1C" w:rsidRDefault="00F70B1C" w:rsidP="001C29A9">
            <w:pPr>
              <w:spacing w:after="0"/>
              <w:cnfStyle w:val="100000000000" w:firstRow="1" w:lastRow="0" w:firstColumn="0" w:lastColumn="0" w:oddVBand="0" w:evenVBand="0" w:oddHBand="0" w:evenHBand="0" w:firstRowFirstColumn="0" w:firstRowLastColumn="0" w:lastRowFirstColumn="0" w:lastRowLastColumn="0"/>
            </w:pPr>
            <w:r>
              <w:t>2022</w:t>
            </w:r>
            <w:r>
              <w:noBreakHyphen/>
              <w:t>23</w:t>
            </w:r>
            <w:r>
              <w:rPr>
                <w:i w:val="0"/>
              </w:rPr>
              <w:br/>
            </w:r>
            <w:r>
              <w:t>budget</w:t>
            </w:r>
          </w:p>
        </w:tc>
        <w:tc>
          <w:tcPr>
            <w:tcW w:w="794" w:type="dxa"/>
          </w:tcPr>
          <w:p w14:paraId="0C858B4D" w14:textId="7924919E" w:rsidR="00F70B1C" w:rsidRDefault="00F70B1C" w:rsidP="001C29A9">
            <w:pPr>
              <w:spacing w:after="0"/>
              <w:cnfStyle w:val="100000000000" w:firstRow="1" w:lastRow="0" w:firstColumn="0" w:lastColumn="0" w:oddVBand="0" w:evenVBand="0" w:oddHBand="0" w:evenHBand="0" w:firstRowFirstColumn="0" w:firstRowLastColumn="0" w:lastRowFirstColumn="0" w:lastRowLastColumn="0"/>
            </w:pPr>
            <w:r>
              <w:t>2022</w:t>
            </w:r>
            <w:r>
              <w:noBreakHyphen/>
              <w:t>23</w:t>
            </w:r>
            <w:r>
              <w:rPr>
                <w:i w:val="0"/>
              </w:rPr>
              <w:br/>
            </w:r>
            <w:r>
              <w:t>revised</w:t>
            </w:r>
          </w:p>
        </w:tc>
        <w:tc>
          <w:tcPr>
            <w:tcW w:w="794" w:type="dxa"/>
          </w:tcPr>
          <w:p w14:paraId="7A3DD03A" w14:textId="358B703F" w:rsidR="00F70B1C" w:rsidRDefault="00F70B1C" w:rsidP="001C29A9">
            <w:pPr>
              <w:spacing w:after="0"/>
              <w:cnfStyle w:val="100000000000" w:firstRow="1" w:lastRow="0" w:firstColumn="0" w:lastColumn="0" w:oddVBand="0" w:evenVBand="0" w:oddHBand="0" w:evenHBand="0" w:firstRowFirstColumn="0" w:firstRowLastColumn="0" w:lastRowFirstColumn="0" w:lastRowLastColumn="0"/>
            </w:pPr>
            <w:r>
              <w:t>2023</w:t>
            </w:r>
            <w:r>
              <w:noBreakHyphen/>
              <w:t>24</w:t>
            </w:r>
            <w:r>
              <w:rPr>
                <w:i w:val="0"/>
              </w:rPr>
              <w:br/>
            </w:r>
            <w:r>
              <w:t>estimate</w:t>
            </w:r>
          </w:p>
        </w:tc>
        <w:tc>
          <w:tcPr>
            <w:tcW w:w="794" w:type="dxa"/>
          </w:tcPr>
          <w:p w14:paraId="306A374F" w14:textId="4CA22C2A" w:rsidR="00F70B1C" w:rsidRDefault="00F70B1C" w:rsidP="001C29A9">
            <w:pPr>
              <w:spacing w:after="0"/>
              <w:cnfStyle w:val="100000000000" w:firstRow="1" w:lastRow="0" w:firstColumn="0" w:lastColumn="0" w:oddVBand="0" w:evenVBand="0" w:oddHBand="0" w:evenHBand="0" w:firstRowFirstColumn="0" w:firstRowLastColumn="0" w:lastRowFirstColumn="0" w:lastRowLastColumn="0"/>
            </w:pPr>
            <w:r>
              <w:t>2024</w:t>
            </w:r>
            <w:r>
              <w:noBreakHyphen/>
              <w:t>25</w:t>
            </w:r>
            <w:r>
              <w:rPr>
                <w:i w:val="0"/>
              </w:rPr>
              <w:br/>
            </w:r>
            <w:r>
              <w:t>estimate</w:t>
            </w:r>
          </w:p>
        </w:tc>
        <w:tc>
          <w:tcPr>
            <w:tcW w:w="794" w:type="dxa"/>
          </w:tcPr>
          <w:p w14:paraId="75D89D73" w14:textId="04A0D33F" w:rsidR="00F70B1C" w:rsidRDefault="00F70B1C" w:rsidP="001C29A9">
            <w:pPr>
              <w:spacing w:after="0"/>
              <w:cnfStyle w:val="100000000000" w:firstRow="1" w:lastRow="0" w:firstColumn="0" w:lastColumn="0" w:oddVBand="0" w:evenVBand="0" w:oddHBand="0" w:evenHBand="0" w:firstRowFirstColumn="0" w:firstRowLastColumn="0" w:lastRowFirstColumn="0" w:lastRowLastColumn="0"/>
            </w:pPr>
            <w:r>
              <w:t>2025</w:t>
            </w:r>
            <w:r>
              <w:noBreakHyphen/>
              <w:t>26</w:t>
            </w:r>
            <w:r>
              <w:rPr>
                <w:i w:val="0"/>
              </w:rPr>
              <w:br/>
            </w:r>
            <w:r>
              <w:t>estimate</w:t>
            </w:r>
          </w:p>
        </w:tc>
      </w:tr>
      <w:tr w:rsidR="00C424E5" w14:paraId="7B92D939" w14:textId="77777777" w:rsidTr="007C2BD9">
        <w:tc>
          <w:tcPr>
            <w:cnfStyle w:val="001000000000" w:firstRow="0" w:lastRow="0" w:firstColumn="1" w:lastColumn="0" w:oddVBand="0" w:evenVBand="0" w:oddHBand="0" w:evenHBand="0" w:firstRowFirstColumn="0" w:firstRowLastColumn="0" w:lastRowFirstColumn="0" w:lastRowLastColumn="0"/>
            <w:tcW w:w="3828" w:type="dxa"/>
          </w:tcPr>
          <w:p w14:paraId="5FECF744" w14:textId="77777777" w:rsidR="00C424E5" w:rsidRDefault="00C424E5" w:rsidP="001C29A9">
            <w:pPr>
              <w:spacing w:after="0"/>
            </w:pPr>
            <w:r>
              <w:t>Education and Training</w:t>
            </w:r>
          </w:p>
        </w:tc>
        <w:tc>
          <w:tcPr>
            <w:tcW w:w="706" w:type="dxa"/>
          </w:tcPr>
          <w:p w14:paraId="20D6E6AA"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21 018</w:t>
            </w:r>
          </w:p>
        </w:tc>
        <w:tc>
          <w:tcPr>
            <w:tcW w:w="794" w:type="dxa"/>
          </w:tcPr>
          <w:p w14:paraId="6F5BBE01"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21 302</w:t>
            </w:r>
          </w:p>
        </w:tc>
        <w:tc>
          <w:tcPr>
            <w:tcW w:w="794" w:type="dxa"/>
          </w:tcPr>
          <w:p w14:paraId="2D9519AF"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21 067</w:t>
            </w:r>
          </w:p>
        </w:tc>
        <w:tc>
          <w:tcPr>
            <w:tcW w:w="794" w:type="dxa"/>
          </w:tcPr>
          <w:p w14:paraId="4C072903"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21 287</w:t>
            </w:r>
          </w:p>
        </w:tc>
        <w:tc>
          <w:tcPr>
            <w:tcW w:w="794" w:type="dxa"/>
          </w:tcPr>
          <w:p w14:paraId="49BD3B25"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21 675</w:t>
            </w:r>
          </w:p>
        </w:tc>
      </w:tr>
      <w:tr w:rsidR="00C424E5" w14:paraId="592104A4" w14:textId="77777777" w:rsidTr="007C2BD9">
        <w:tc>
          <w:tcPr>
            <w:cnfStyle w:val="001000000000" w:firstRow="0" w:lastRow="0" w:firstColumn="1" w:lastColumn="0" w:oddVBand="0" w:evenVBand="0" w:oddHBand="0" w:evenHBand="0" w:firstRowFirstColumn="0" w:firstRowLastColumn="0" w:lastRowFirstColumn="0" w:lastRowLastColumn="0"/>
            <w:tcW w:w="3828" w:type="dxa"/>
          </w:tcPr>
          <w:p w14:paraId="4BA4574B" w14:textId="77777777" w:rsidR="00C424E5" w:rsidRDefault="00C424E5" w:rsidP="001C29A9">
            <w:pPr>
              <w:spacing w:after="0"/>
            </w:pPr>
            <w:r>
              <w:t>Environment, Land, Water and Planning</w:t>
            </w:r>
          </w:p>
        </w:tc>
        <w:tc>
          <w:tcPr>
            <w:tcW w:w="706" w:type="dxa"/>
          </w:tcPr>
          <w:p w14:paraId="7AB5AE30"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3 680</w:t>
            </w:r>
          </w:p>
        </w:tc>
        <w:tc>
          <w:tcPr>
            <w:tcW w:w="794" w:type="dxa"/>
          </w:tcPr>
          <w:p w14:paraId="26E84E64"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4 275</w:t>
            </w:r>
          </w:p>
        </w:tc>
        <w:tc>
          <w:tcPr>
            <w:tcW w:w="794" w:type="dxa"/>
          </w:tcPr>
          <w:p w14:paraId="39141BFC"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2 855</w:t>
            </w:r>
          </w:p>
        </w:tc>
        <w:tc>
          <w:tcPr>
            <w:tcW w:w="794" w:type="dxa"/>
          </w:tcPr>
          <w:p w14:paraId="53825B3A"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2 524</w:t>
            </w:r>
          </w:p>
        </w:tc>
        <w:tc>
          <w:tcPr>
            <w:tcW w:w="794" w:type="dxa"/>
          </w:tcPr>
          <w:p w14:paraId="4AF2A141"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2 488</w:t>
            </w:r>
          </w:p>
        </w:tc>
      </w:tr>
      <w:tr w:rsidR="00C424E5" w14:paraId="4F0B2025" w14:textId="77777777" w:rsidTr="007C2BD9">
        <w:tc>
          <w:tcPr>
            <w:cnfStyle w:val="001000000000" w:firstRow="0" w:lastRow="0" w:firstColumn="1" w:lastColumn="0" w:oddVBand="0" w:evenVBand="0" w:oddHBand="0" w:evenHBand="0" w:firstRowFirstColumn="0" w:firstRowLastColumn="0" w:lastRowFirstColumn="0" w:lastRowLastColumn="0"/>
            <w:tcW w:w="3828" w:type="dxa"/>
          </w:tcPr>
          <w:p w14:paraId="62BBF319" w14:textId="77777777" w:rsidR="00C424E5" w:rsidRDefault="00C424E5" w:rsidP="001C29A9">
            <w:pPr>
              <w:spacing w:after="0"/>
            </w:pPr>
            <w:r>
              <w:t>Families, Fairness and Housing</w:t>
            </w:r>
          </w:p>
        </w:tc>
        <w:tc>
          <w:tcPr>
            <w:tcW w:w="706" w:type="dxa"/>
          </w:tcPr>
          <w:p w14:paraId="5F69F905"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7 593</w:t>
            </w:r>
          </w:p>
        </w:tc>
        <w:tc>
          <w:tcPr>
            <w:tcW w:w="794" w:type="dxa"/>
          </w:tcPr>
          <w:p w14:paraId="7F832714"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7 820</w:t>
            </w:r>
          </w:p>
        </w:tc>
        <w:tc>
          <w:tcPr>
            <w:tcW w:w="794" w:type="dxa"/>
          </w:tcPr>
          <w:p w14:paraId="657F2A8A"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7 346</w:t>
            </w:r>
          </w:p>
        </w:tc>
        <w:tc>
          <w:tcPr>
            <w:tcW w:w="794" w:type="dxa"/>
          </w:tcPr>
          <w:p w14:paraId="5A8FEF23"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7 326</w:t>
            </w:r>
          </w:p>
        </w:tc>
        <w:tc>
          <w:tcPr>
            <w:tcW w:w="794" w:type="dxa"/>
          </w:tcPr>
          <w:p w14:paraId="5ED5E6FB"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7 426</w:t>
            </w:r>
          </w:p>
        </w:tc>
      </w:tr>
      <w:tr w:rsidR="00C424E5" w14:paraId="602FCE6E" w14:textId="77777777" w:rsidTr="007C2BD9">
        <w:tc>
          <w:tcPr>
            <w:cnfStyle w:val="001000000000" w:firstRow="0" w:lastRow="0" w:firstColumn="1" w:lastColumn="0" w:oddVBand="0" w:evenVBand="0" w:oddHBand="0" w:evenHBand="0" w:firstRowFirstColumn="0" w:firstRowLastColumn="0" w:lastRowFirstColumn="0" w:lastRowLastColumn="0"/>
            <w:tcW w:w="3828" w:type="dxa"/>
          </w:tcPr>
          <w:p w14:paraId="78DD1A08" w14:textId="77777777" w:rsidR="00C424E5" w:rsidRDefault="00C424E5" w:rsidP="001C29A9">
            <w:pPr>
              <w:spacing w:after="0"/>
            </w:pPr>
            <w:r>
              <w:t>Health</w:t>
            </w:r>
          </w:p>
        </w:tc>
        <w:tc>
          <w:tcPr>
            <w:tcW w:w="706" w:type="dxa"/>
          </w:tcPr>
          <w:p w14:paraId="553CA901"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26 973</w:t>
            </w:r>
          </w:p>
        </w:tc>
        <w:tc>
          <w:tcPr>
            <w:tcW w:w="794" w:type="dxa"/>
          </w:tcPr>
          <w:p w14:paraId="132C6E32"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28 592</w:t>
            </w:r>
          </w:p>
        </w:tc>
        <w:tc>
          <w:tcPr>
            <w:tcW w:w="794" w:type="dxa"/>
          </w:tcPr>
          <w:p w14:paraId="2A8C3E0C"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26 390</w:t>
            </w:r>
          </w:p>
        </w:tc>
        <w:tc>
          <w:tcPr>
            <w:tcW w:w="794" w:type="dxa"/>
          </w:tcPr>
          <w:p w14:paraId="61350994"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25 893</w:t>
            </w:r>
          </w:p>
        </w:tc>
        <w:tc>
          <w:tcPr>
            <w:tcW w:w="794" w:type="dxa"/>
          </w:tcPr>
          <w:p w14:paraId="4ABD6DF3"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25 834</w:t>
            </w:r>
          </w:p>
        </w:tc>
      </w:tr>
      <w:tr w:rsidR="00C424E5" w14:paraId="68192DF0" w14:textId="77777777" w:rsidTr="007C2BD9">
        <w:tc>
          <w:tcPr>
            <w:cnfStyle w:val="001000000000" w:firstRow="0" w:lastRow="0" w:firstColumn="1" w:lastColumn="0" w:oddVBand="0" w:evenVBand="0" w:oddHBand="0" w:evenHBand="0" w:firstRowFirstColumn="0" w:firstRowLastColumn="0" w:lastRowFirstColumn="0" w:lastRowLastColumn="0"/>
            <w:tcW w:w="3828" w:type="dxa"/>
          </w:tcPr>
          <w:p w14:paraId="250F32EC" w14:textId="77777777" w:rsidR="00C424E5" w:rsidRDefault="00C424E5" w:rsidP="001C29A9">
            <w:pPr>
              <w:spacing w:after="0"/>
            </w:pPr>
            <w:r>
              <w:t>Jobs, Precincts and Regions</w:t>
            </w:r>
          </w:p>
        </w:tc>
        <w:tc>
          <w:tcPr>
            <w:tcW w:w="706" w:type="dxa"/>
          </w:tcPr>
          <w:p w14:paraId="53213CDC"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3 866</w:t>
            </w:r>
          </w:p>
        </w:tc>
        <w:tc>
          <w:tcPr>
            <w:tcW w:w="794" w:type="dxa"/>
          </w:tcPr>
          <w:p w14:paraId="3D289572"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4 261</w:t>
            </w:r>
          </w:p>
        </w:tc>
        <w:tc>
          <w:tcPr>
            <w:tcW w:w="794" w:type="dxa"/>
          </w:tcPr>
          <w:p w14:paraId="58FA01DE"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2 978</w:t>
            </w:r>
          </w:p>
        </w:tc>
        <w:tc>
          <w:tcPr>
            <w:tcW w:w="794" w:type="dxa"/>
          </w:tcPr>
          <w:p w14:paraId="0A26781F"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2 394</w:t>
            </w:r>
          </w:p>
        </w:tc>
        <w:tc>
          <w:tcPr>
            <w:tcW w:w="794" w:type="dxa"/>
          </w:tcPr>
          <w:p w14:paraId="00DAE1E8"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2 299</w:t>
            </w:r>
          </w:p>
        </w:tc>
      </w:tr>
      <w:tr w:rsidR="00C424E5" w14:paraId="231E2DC4" w14:textId="77777777" w:rsidTr="007C2BD9">
        <w:tc>
          <w:tcPr>
            <w:cnfStyle w:val="001000000000" w:firstRow="0" w:lastRow="0" w:firstColumn="1" w:lastColumn="0" w:oddVBand="0" w:evenVBand="0" w:oddHBand="0" w:evenHBand="0" w:firstRowFirstColumn="0" w:firstRowLastColumn="0" w:lastRowFirstColumn="0" w:lastRowLastColumn="0"/>
            <w:tcW w:w="3828" w:type="dxa"/>
          </w:tcPr>
          <w:p w14:paraId="290433EC" w14:textId="77777777" w:rsidR="00C424E5" w:rsidRDefault="00C424E5" w:rsidP="001C29A9">
            <w:pPr>
              <w:spacing w:after="0"/>
            </w:pPr>
            <w:r>
              <w:t>Justice and Community Safety</w:t>
            </w:r>
          </w:p>
        </w:tc>
        <w:tc>
          <w:tcPr>
            <w:tcW w:w="706" w:type="dxa"/>
          </w:tcPr>
          <w:p w14:paraId="21489A9C"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9 144</w:t>
            </w:r>
          </w:p>
        </w:tc>
        <w:tc>
          <w:tcPr>
            <w:tcW w:w="794" w:type="dxa"/>
          </w:tcPr>
          <w:p w14:paraId="79601D26"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9 886</w:t>
            </w:r>
          </w:p>
        </w:tc>
        <w:tc>
          <w:tcPr>
            <w:tcW w:w="794" w:type="dxa"/>
          </w:tcPr>
          <w:p w14:paraId="774B29C5"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9 022</w:t>
            </w:r>
          </w:p>
        </w:tc>
        <w:tc>
          <w:tcPr>
            <w:tcW w:w="794" w:type="dxa"/>
          </w:tcPr>
          <w:p w14:paraId="198E6B39"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8 969</w:t>
            </w:r>
          </w:p>
        </w:tc>
        <w:tc>
          <w:tcPr>
            <w:tcW w:w="794" w:type="dxa"/>
          </w:tcPr>
          <w:p w14:paraId="07B4188A"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8 731</w:t>
            </w:r>
          </w:p>
        </w:tc>
      </w:tr>
      <w:tr w:rsidR="00C424E5" w14:paraId="2EC82B05" w14:textId="77777777" w:rsidTr="007C2BD9">
        <w:tc>
          <w:tcPr>
            <w:cnfStyle w:val="001000000000" w:firstRow="0" w:lastRow="0" w:firstColumn="1" w:lastColumn="0" w:oddVBand="0" w:evenVBand="0" w:oddHBand="0" w:evenHBand="0" w:firstRowFirstColumn="0" w:firstRowLastColumn="0" w:lastRowFirstColumn="0" w:lastRowLastColumn="0"/>
            <w:tcW w:w="3828" w:type="dxa"/>
          </w:tcPr>
          <w:p w14:paraId="57CE848E" w14:textId="77777777" w:rsidR="00C424E5" w:rsidRDefault="00C424E5" w:rsidP="001C29A9">
            <w:pPr>
              <w:spacing w:after="0"/>
            </w:pPr>
            <w:r>
              <w:t>Premier and Cabinet</w:t>
            </w:r>
          </w:p>
        </w:tc>
        <w:tc>
          <w:tcPr>
            <w:tcW w:w="706" w:type="dxa"/>
          </w:tcPr>
          <w:p w14:paraId="28C018F3"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867</w:t>
            </w:r>
          </w:p>
        </w:tc>
        <w:tc>
          <w:tcPr>
            <w:tcW w:w="794" w:type="dxa"/>
          </w:tcPr>
          <w:p w14:paraId="6C89E230"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1 104</w:t>
            </w:r>
          </w:p>
        </w:tc>
        <w:tc>
          <w:tcPr>
            <w:tcW w:w="794" w:type="dxa"/>
          </w:tcPr>
          <w:p w14:paraId="00B74952"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634</w:t>
            </w:r>
          </w:p>
        </w:tc>
        <w:tc>
          <w:tcPr>
            <w:tcW w:w="794" w:type="dxa"/>
          </w:tcPr>
          <w:p w14:paraId="12848843"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612</w:t>
            </w:r>
          </w:p>
        </w:tc>
        <w:tc>
          <w:tcPr>
            <w:tcW w:w="794" w:type="dxa"/>
          </w:tcPr>
          <w:p w14:paraId="016C3209"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529</w:t>
            </w:r>
          </w:p>
        </w:tc>
      </w:tr>
      <w:tr w:rsidR="00C424E5" w14:paraId="35FD83BF" w14:textId="77777777" w:rsidTr="007C2BD9">
        <w:tc>
          <w:tcPr>
            <w:cnfStyle w:val="001000000000" w:firstRow="0" w:lastRow="0" w:firstColumn="1" w:lastColumn="0" w:oddVBand="0" w:evenVBand="0" w:oddHBand="0" w:evenHBand="0" w:firstRowFirstColumn="0" w:firstRowLastColumn="0" w:lastRowFirstColumn="0" w:lastRowLastColumn="0"/>
            <w:tcW w:w="3828" w:type="dxa"/>
          </w:tcPr>
          <w:p w14:paraId="5027334C" w14:textId="77777777" w:rsidR="00C424E5" w:rsidRDefault="00C424E5" w:rsidP="001C29A9">
            <w:pPr>
              <w:spacing w:after="0"/>
            </w:pPr>
            <w:r>
              <w:t>Transport</w:t>
            </w:r>
          </w:p>
        </w:tc>
        <w:tc>
          <w:tcPr>
            <w:tcW w:w="706" w:type="dxa"/>
          </w:tcPr>
          <w:p w14:paraId="0AE7DB74"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6 937</w:t>
            </w:r>
          </w:p>
        </w:tc>
        <w:tc>
          <w:tcPr>
            <w:tcW w:w="794" w:type="dxa"/>
          </w:tcPr>
          <w:p w14:paraId="7BDAB9BE"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7 156</w:t>
            </w:r>
          </w:p>
        </w:tc>
        <w:tc>
          <w:tcPr>
            <w:tcW w:w="794" w:type="dxa"/>
          </w:tcPr>
          <w:p w14:paraId="1114AE9B"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6 329</w:t>
            </w:r>
          </w:p>
        </w:tc>
        <w:tc>
          <w:tcPr>
            <w:tcW w:w="794" w:type="dxa"/>
          </w:tcPr>
          <w:p w14:paraId="617B1818"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6 265</w:t>
            </w:r>
          </w:p>
        </w:tc>
        <w:tc>
          <w:tcPr>
            <w:tcW w:w="794" w:type="dxa"/>
          </w:tcPr>
          <w:p w14:paraId="4A583BDE"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6 619</w:t>
            </w:r>
          </w:p>
        </w:tc>
      </w:tr>
      <w:tr w:rsidR="00C424E5" w14:paraId="32893791" w14:textId="77777777" w:rsidTr="007C2BD9">
        <w:tc>
          <w:tcPr>
            <w:cnfStyle w:val="001000000000" w:firstRow="0" w:lastRow="0" w:firstColumn="1" w:lastColumn="0" w:oddVBand="0" w:evenVBand="0" w:oddHBand="0" w:evenHBand="0" w:firstRowFirstColumn="0" w:firstRowLastColumn="0" w:lastRowFirstColumn="0" w:lastRowLastColumn="0"/>
            <w:tcW w:w="3828" w:type="dxa"/>
          </w:tcPr>
          <w:p w14:paraId="59B416E5" w14:textId="77777777" w:rsidR="00C424E5" w:rsidRDefault="00C424E5" w:rsidP="001C29A9">
            <w:pPr>
              <w:spacing w:after="0"/>
            </w:pPr>
            <w:r>
              <w:t>Treasury and Finance</w:t>
            </w:r>
          </w:p>
        </w:tc>
        <w:tc>
          <w:tcPr>
            <w:tcW w:w="706" w:type="dxa"/>
          </w:tcPr>
          <w:p w14:paraId="6CDF273B"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11 072</w:t>
            </w:r>
          </w:p>
        </w:tc>
        <w:tc>
          <w:tcPr>
            <w:tcW w:w="794" w:type="dxa"/>
          </w:tcPr>
          <w:p w14:paraId="47F0ECAF"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11 532</w:t>
            </w:r>
          </w:p>
        </w:tc>
        <w:tc>
          <w:tcPr>
            <w:tcW w:w="794" w:type="dxa"/>
          </w:tcPr>
          <w:p w14:paraId="00B4BEEF"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12 299</w:t>
            </w:r>
          </w:p>
        </w:tc>
        <w:tc>
          <w:tcPr>
            <w:tcW w:w="794" w:type="dxa"/>
          </w:tcPr>
          <w:p w14:paraId="310D83A2"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13 283</w:t>
            </w:r>
          </w:p>
        </w:tc>
        <w:tc>
          <w:tcPr>
            <w:tcW w:w="794" w:type="dxa"/>
          </w:tcPr>
          <w:p w14:paraId="6E7FA927"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14 435</w:t>
            </w:r>
          </w:p>
        </w:tc>
      </w:tr>
      <w:tr w:rsidR="00C424E5" w14:paraId="03EE0DBD" w14:textId="77777777" w:rsidTr="007C2BD9">
        <w:tc>
          <w:tcPr>
            <w:cnfStyle w:val="001000000000" w:firstRow="0" w:lastRow="0" w:firstColumn="1" w:lastColumn="0" w:oddVBand="0" w:evenVBand="0" w:oddHBand="0" w:evenHBand="0" w:firstRowFirstColumn="0" w:firstRowLastColumn="0" w:lastRowFirstColumn="0" w:lastRowLastColumn="0"/>
            <w:tcW w:w="3828" w:type="dxa"/>
          </w:tcPr>
          <w:p w14:paraId="5525713E" w14:textId="77777777" w:rsidR="00C424E5" w:rsidRDefault="00C424E5" w:rsidP="001C29A9">
            <w:pPr>
              <w:spacing w:after="0"/>
            </w:pPr>
            <w:r>
              <w:t>Parliament</w:t>
            </w:r>
          </w:p>
        </w:tc>
        <w:tc>
          <w:tcPr>
            <w:tcW w:w="706" w:type="dxa"/>
          </w:tcPr>
          <w:p w14:paraId="187640E0"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346</w:t>
            </w:r>
          </w:p>
        </w:tc>
        <w:tc>
          <w:tcPr>
            <w:tcW w:w="794" w:type="dxa"/>
          </w:tcPr>
          <w:p w14:paraId="0BA393B1"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357</w:t>
            </w:r>
          </w:p>
        </w:tc>
        <w:tc>
          <w:tcPr>
            <w:tcW w:w="794" w:type="dxa"/>
          </w:tcPr>
          <w:p w14:paraId="1D659743"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349</w:t>
            </w:r>
          </w:p>
        </w:tc>
        <w:tc>
          <w:tcPr>
            <w:tcW w:w="794" w:type="dxa"/>
          </w:tcPr>
          <w:p w14:paraId="5D68B463"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355</w:t>
            </w:r>
          </w:p>
        </w:tc>
        <w:tc>
          <w:tcPr>
            <w:tcW w:w="794" w:type="dxa"/>
          </w:tcPr>
          <w:p w14:paraId="14DD2C02"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362</w:t>
            </w:r>
          </w:p>
        </w:tc>
      </w:tr>
      <w:tr w:rsidR="00C424E5" w14:paraId="279DF9AE" w14:textId="77777777" w:rsidTr="007C2BD9">
        <w:tc>
          <w:tcPr>
            <w:cnfStyle w:val="001000000000" w:firstRow="0" w:lastRow="0" w:firstColumn="1" w:lastColumn="0" w:oddVBand="0" w:evenVBand="0" w:oddHBand="0" w:evenHBand="0" w:firstRowFirstColumn="0" w:firstRowLastColumn="0" w:lastRowFirstColumn="0" w:lastRowLastColumn="0"/>
            <w:tcW w:w="3828" w:type="dxa"/>
          </w:tcPr>
          <w:p w14:paraId="5E91CA4C" w14:textId="77777777" w:rsidR="00C424E5" w:rsidRDefault="00C424E5" w:rsidP="001C29A9">
            <w:pPr>
              <w:spacing w:after="0"/>
            </w:pPr>
            <w:r>
              <w:t>Courts</w:t>
            </w:r>
          </w:p>
        </w:tc>
        <w:tc>
          <w:tcPr>
            <w:tcW w:w="706" w:type="dxa"/>
          </w:tcPr>
          <w:p w14:paraId="1A0AC01F"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886</w:t>
            </w:r>
          </w:p>
        </w:tc>
        <w:tc>
          <w:tcPr>
            <w:tcW w:w="794" w:type="dxa"/>
          </w:tcPr>
          <w:p w14:paraId="29791811"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877</w:t>
            </w:r>
          </w:p>
        </w:tc>
        <w:tc>
          <w:tcPr>
            <w:tcW w:w="794" w:type="dxa"/>
          </w:tcPr>
          <w:p w14:paraId="259CFD7F"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853</w:t>
            </w:r>
          </w:p>
        </w:tc>
        <w:tc>
          <w:tcPr>
            <w:tcW w:w="794" w:type="dxa"/>
          </w:tcPr>
          <w:p w14:paraId="12B5C941"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848</w:t>
            </w:r>
          </w:p>
        </w:tc>
        <w:tc>
          <w:tcPr>
            <w:tcW w:w="794" w:type="dxa"/>
          </w:tcPr>
          <w:p w14:paraId="62F68D77"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855</w:t>
            </w:r>
          </w:p>
        </w:tc>
      </w:tr>
      <w:tr w:rsidR="00C424E5" w14:paraId="26E581D0" w14:textId="77777777" w:rsidTr="007C2BD9">
        <w:tc>
          <w:tcPr>
            <w:cnfStyle w:val="001000000000" w:firstRow="0" w:lastRow="0" w:firstColumn="1" w:lastColumn="0" w:oddVBand="0" w:evenVBand="0" w:oddHBand="0" w:evenHBand="0" w:firstRowFirstColumn="0" w:firstRowLastColumn="0" w:lastRowFirstColumn="0" w:lastRowLastColumn="0"/>
            <w:tcW w:w="3828" w:type="dxa"/>
          </w:tcPr>
          <w:p w14:paraId="72804DD1" w14:textId="77777777" w:rsidR="00C424E5" w:rsidRDefault="00C424E5" w:rsidP="001C29A9">
            <w:pPr>
              <w:spacing w:after="0"/>
            </w:pPr>
            <w:r>
              <w:t>Regulatory bodies and other part funded agencies</w:t>
            </w:r>
            <w:r>
              <w:rPr>
                <w:vertAlign w:val="superscript"/>
              </w:rPr>
              <w:t xml:space="preserve"> (a)</w:t>
            </w:r>
          </w:p>
        </w:tc>
        <w:tc>
          <w:tcPr>
            <w:tcW w:w="706" w:type="dxa"/>
          </w:tcPr>
          <w:p w14:paraId="3F364150"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3 211</w:t>
            </w:r>
          </w:p>
        </w:tc>
        <w:tc>
          <w:tcPr>
            <w:tcW w:w="794" w:type="dxa"/>
          </w:tcPr>
          <w:p w14:paraId="1F74739B"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3 486</w:t>
            </w:r>
          </w:p>
        </w:tc>
        <w:tc>
          <w:tcPr>
            <w:tcW w:w="794" w:type="dxa"/>
          </w:tcPr>
          <w:p w14:paraId="5183B71B"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3 120</w:t>
            </w:r>
          </w:p>
        </w:tc>
        <w:tc>
          <w:tcPr>
            <w:tcW w:w="794" w:type="dxa"/>
          </w:tcPr>
          <w:p w14:paraId="451470AF"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3 045</w:t>
            </w:r>
          </w:p>
        </w:tc>
        <w:tc>
          <w:tcPr>
            <w:tcW w:w="794" w:type="dxa"/>
          </w:tcPr>
          <w:p w14:paraId="3C33B64D"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2 886</w:t>
            </w:r>
          </w:p>
        </w:tc>
      </w:tr>
      <w:tr w:rsidR="00C424E5" w14:paraId="15D3038C" w14:textId="77777777" w:rsidTr="007C2BD9">
        <w:tc>
          <w:tcPr>
            <w:cnfStyle w:val="001000000000" w:firstRow="0" w:lastRow="0" w:firstColumn="1" w:lastColumn="0" w:oddVBand="0" w:evenVBand="0" w:oddHBand="0" w:evenHBand="0" w:firstRowFirstColumn="0" w:firstRowLastColumn="0" w:lastRowFirstColumn="0" w:lastRowLastColumn="0"/>
            <w:tcW w:w="3828" w:type="dxa"/>
            <w:tcBorders>
              <w:bottom w:val="single" w:sz="6" w:space="0" w:color="auto"/>
            </w:tcBorders>
          </w:tcPr>
          <w:p w14:paraId="4DB1DA3C" w14:textId="77777777" w:rsidR="00C424E5" w:rsidRDefault="00C424E5" w:rsidP="001C29A9">
            <w:pPr>
              <w:spacing w:after="0"/>
            </w:pPr>
            <w:r>
              <w:t>Output contingencies not allocated to departments</w:t>
            </w:r>
            <w:r>
              <w:rPr>
                <w:vertAlign w:val="superscript"/>
              </w:rPr>
              <w:t xml:space="preserve"> (b)</w:t>
            </w:r>
          </w:p>
        </w:tc>
        <w:tc>
          <w:tcPr>
            <w:tcW w:w="706" w:type="dxa"/>
            <w:tcBorders>
              <w:bottom w:val="single" w:sz="6" w:space="0" w:color="auto"/>
            </w:tcBorders>
          </w:tcPr>
          <w:p w14:paraId="3B0E0930"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5 411</w:t>
            </w:r>
          </w:p>
        </w:tc>
        <w:tc>
          <w:tcPr>
            <w:tcW w:w="794" w:type="dxa"/>
            <w:tcBorders>
              <w:bottom w:val="single" w:sz="6" w:space="0" w:color="auto"/>
            </w:tcBorders>
          </w:tcPr>
          <w:p w14:paraId="248344AA"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3 181</w:t>
            </w:r>
          </w:p>
        </w:tc>
        <w:tc>
          <w:tcPr>
            <w:tcW w:w="794" w:type="dxa"/>
            <w:tcBorders>
              <w:bottom w:val="single" w:sz="6" w:space="0" w:color="auto"/>
            </w:tcBorders>
          </w:tcPr>
          <w:p w14:paraId="5AEDF982"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5 325</w:t>
            </w:r>
          </w:p>
        </w:tc>
        <w:tc>
          <w:tcPr>
            <w:tcW w:w="794" w:type="dxa"/>
            <w:tcBorders>
              <w:bottom w:val="single" w:sz="6" w:space="0" w:color="auto"/>
            </w:tcBorders>
          </w:tcPr>
          <w:p w14:paraId="7689E290"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6 846</w:t>
            </w:r>
          </w:p>
        </w:tc>
        <w:tc>
          <w:tcPr>
            <w:tcW w:w="794" w:type="dxa"/>
            <w:tcBorders>
              <w:bottom w:val="single" w:sz="6" w:space="0" w:color="auto"/>
            </w:tcBorders>
          </w:tcPr>
          <w:p w14:paraId="22C5B58F"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t>9 260</w:t>
            </w:r>
          </w:p>
        </w:tc>
      </w:tr>
      <w:tr w:rsidR="00C424E5" w14:paraId="6AF63D1E" w14:textId="77777777" w:rsidTr="007C2BD9">
        <w:tc>
          <w:tcPr>
            <w:cnfStyle w:val="001000000000" w:firstRow="0" w:lastRow="0" w:firstColumn="1" w:lastColumn="0" w:oddVBand="0" w:evenVBand="0" w:oddHBand="0" w:evenHBand="0" w:firstRowFirstColumn="0" w:firstRowLastColumn="0" w:lastRowFirstColumn="0" w:lastRowLastColumn="0"/>
            <w:tcW w:w="3828" w:type="dxa"/>
            <w:tcBorders>
              <w:top w:val="single" w:sz="6" w:space="0" w:color="auto"/>
            </w:tcBorders>
          </w:tcPr>
          <w:p w14:paraId="5B3BC81B" w14:textId="77777777" w:rsidR="00C424E5" w:rsidRDefault="00C424E5" w:rsidP="001C29A9">
            <w:pPr>
              <w:spacing w:after="0"/>
            </w:pPr>
            <w:r>
              <w:rPr>
                <w:b/>
              </w:rPr>
              <w:t>Total expenses by department</w:t>
            </w:r>
          </w:p>
        </w:tc>
        <w:tc>
          <w:tcPr>
            <w:tcW w:w="706" w:type="dxa"/>
            <w:tcBorders>
              <w:top w:val="single" w:sz="6" w:space="0" w:color="auto"/>
            </w:tcBorders>
          </w:tcPr>
          <w:p w14:paraId="1F78A122"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rPr>
                <w:b/>
              </w:rPr>
              <w:t>101 006</w:t>
            </w:r>
          </w:p>
        </w:tc>
        <w:tc>
          <w:tcPr>
            <w:tcW w:w="794" w:type="dxa"/>
            <w:tcBorders>
              <w:top w:val="single" w:sz="6" w:space="0" w:color="auto"/>
            </w:tcBorders>
          </w:tcPr>
          <w:p w14:paraId="71CA4959"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rPr>
                <w:b/>
              </w:rPr>
              <w:t>103 830</w:t>
            </w:r>
          </w:p>
        </w:tc>
        <w:tc>
          <w:tcPr>
            <w:tcW w:w="794" w:type="dxa"/>
            <w:tcBorders>
              <w:top w:val="single" w:sz="6" w:space="0" w:color="auto"/>
            </w:tcBorders>
          </w:tcPr>
          <w:p w14:paraId="786CDDC7"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rPr>
                <w:b/>
              </w:rPr>
              <w:t>98 567</w:t>
            </w:r>
          </w:p>
        </w:tc>
        <w:tc>
          <w:tcPr>
            <w:tcW w:w="794" w:type="dxa"/>
            <w:tcBorders>
              <w:top w:val="single" w:sz="6" w:space="0" w:color="auto"/>
            </w:tcBorders>
          </w:tcPr>
          <w:p w14:paraId="038524A4"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rPr>
                <w:b/>
              </w:rPr>
              <w:t>99 645</w:t>
            </w:r>
          </w:p>
        </w:tc>
        <w:tc>
          <w:tcPr>
            <w:tcW w:w="794" w:type="dxa"/>
            <w:tcBorders>
              <w:top w:val="single" w:sz="6" w:space="0" w:color="auto"/>
            </w:tcBorders>
          </w:tcPr>
          <w:p w14:paraId="25DB591C"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rPr>
                <w:b/>
              </w:rPr>
              <w:t>103 399</w:t>
            </w:r>
          </w:p>
        </w:tc>
      </w:tr>
      <w:tr w:rsidR="00C424E5" w14:paraId="7AA7C463" w14:textId="77777777" w:rsidTr="007C2BD9">
        <w:tc>
          <w:tcPr>
            <w:cnfStyle w:val="001000000000" w:firstRow="0" w:lastRow="0" w:firstColumn="1" w:lastColumn="0" w:oddVBand="0" w:evenVBand="0" w:oddHBand="0" w:evenHBand="0" w:firstRowFirstColumn="0" w:firstRowLastColumn="0" w:lastRowFirstColumn="0" w:lastRowLastColumn="0"/>
            <w:tcW w:w="3828" w:type="dxa"/>
            <w:tcBorders>
              <w:bottom w:val="single" w:sz="6" w:space="0" w:color="auto"/>
            </w:tcBorders>
          </w:tcPr>
          <w:p w14:paraId="03939FB6" w14:textId="77777777" w:rsidR="00C424E5" w:rsidRDefault="00C424E5" w:rsidP="001C29A9">
            <w:pPr>
              <w:spacing w:after="0"/>
            </w:pPr>
            <w:r>
              <w:rPr>
                <w:i/>
              </w:rPr>
              <w:t>Less eliminations and adjustments</w:t>
            </w:r>
            <w:r>
              <w:rPr>
                <w:i/>
                <w:vertAlign w:val="superscript"/>
              </w:rPr>
              <w:t xml:space="preserve"> (c)</w:t>
            </w:r>
          </w:p>
        </w:tc>
        <w:tc>
          <w:tcPr>
            <w:tcW w:w="706" w:type="dxa"/>
            <w:tcBorders>
              <w:bottom w:val="single" w:sz="6" w:space="0" w:color="auto"/>
            </w:tcBorders>
          </w:tcPr>
          <w:p w14:paraId="5162CDAD"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rPr>
                <w:i/>
              </w:rPr>
              <w:t>(11 161)</w:t>
            </w:r>
          </w:p>
        </w:tc>
        <w:tc>
          <w:tcPr>
            <w:tcW w:w="794" w:type="dxa"/>
            <w:tcBorders>
              <w:bottom w:val="single" w:sz="6" w:space="0" w:color="auto"/>
            </w:tcBorders>
          </w:tcPr>
          <w:p w14:paraId="56794767"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rPr>
                <w:i/>
              </w:rPr>
              <w:t>(12 769)</w:t>
            </w:r>
          </w:p>
        </w:tc>
        <w:tc>
          <w:tcPr>
            <w:tcW w:w="794" w:type="dxa"/>
            <w:tcBorders>
              <w:bottom w:val="single" w:sz="6" w:space="0" w:color="auto"/>
            </w:tcBorders>
          </w:tcPr>
          <w:p w14:paraId="05B5274B"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rPr>
                <w:i/>
              </w:rPr>
              <w:t>(10 340)</w:t>
            </w:r>
          </w:p>
        </w:tc>
        <w:tc>
          <w:tcPr>
            <w:tcW w:w="794" w:type="dxa"/>
            <w:tcBorders>
              <w:bottom w:val="single" w:sz="6" w:space="0" w:color="auto"/>
            </w:tcBorders>
          </w:tcPr>
          <w:p w14:paraId="11B118CE"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rPr>
                <w:i/>
              </w:rPr>
              <w:t>(10 554)</w:t>
            </w:r>
          </w:p>
        </w:tc>
        <w:tc>
          <w:tcPr>
            <w:tcW w:w="794" w:type="dxa"/>
            <w:tcBorders>
              <w:bottom w:val="single" w:sz="6" w:space="0" w:color="auto"/>
            </w:tcBorders>
          </w:tcPr>
          <w:p w14:paraId="52113EEC"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rPr>
                <w:i/>
              </w:rPr>
              <w:t>(10 879)</w:t>
            </w:r>
          </w:p>
        </w:tc>
      </w:tr>
      <w:tr w:rsidR="00C424E5" w14:paraId="78ABD25F" w14:textId="77777777" w:rsidTr="007C2BD9">
        <w:tc>
          <w:tcPr>
            <w:cnfStyle w:val="001000000000" w:firstRow="0" w:lastRow="0" w:firstColumn="1" w:lastColumn="0" w:oddVBand="0" w:evenVBand="0" w:oddHBand="0" w:evenHBand="0" w:firstRowFirstColumn="0" w:firstRowLastColumn="0" w:lastRowFirstColumn="0" w:lastRowLastColumn="0"/>
            <w:tcW w:w="3828" w:type="dxa"/>
            <w:tcBorders>
              <w:top w:val="single" w:sz="6" w:space="0" w:color="auto"/>
              <w:bottom w:val="single" w:sz="12" w:space="0" w:color="auto"/>
            </w:tcBorders>
          </w:tcPr>
          <w:p w14:paraId="1126164F" w14:textId="77777777" w:rsidR="00C424E5" w:rsidRDefault="00C424E5" w:rsidP="001C29A9">
            <w:pPr>
              <w:spacing w:after="0"/>
            </w:pPr>
            <w:r>
              <w:rPr>
                <w:b/>
              </w:rPr>
              <w:t>Total expenses from transactions</w:t>
            </w:r>
          </w:p>
        </w:tc>
        <w:tc>
          <w:tcPr>
            <w:tcW w:w="706" w:type="dxa"/>
            <w:tcBorders>
              <w:top w:val="single" w:sz="6" w:space="0" w:color="auto"/>
              <w:bottom w:val="single" w:sz="12" w:space="0" w:color="auto"/>
            </w:tcBorders>
          </w:tcPr>
          <w:p w14:paraId="7D32906A"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rPr>
                <w:b/>
              </w:rPr>
              <w:t>89 844</w:t>
            </w:r>
          </w:p>
        </w:tc>
        <w:tc>
          <w:tcPr>
            <w:tcW w:w="794" w:type="dxa"/>
            <w:tcBorders>
              <w:top w:val="single" w:sz="6" w:space="0" w:color="auto"/>
              <w:bottom w:val="single" w:sz="12" w:space="0" w:color="auto"/>
            </w:tcBorders>
          </w:tcPr>
          <w:p w14:paraId="17DB29CC"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rPr>
                <w:b/>
              </w:rPr>
              <w:t>91 061</w:t>
            </w:r>
          </w:p>
        </w:tc>
        <w:tc>
          <w:tcPr>
            <w:tcW w:w="794" w:type="dxa"/>
            <w:tcBorders>
              <w:top w:val="single" w:sz="6" w:space="0" w:color="auto"/>
              <w:bottom w:val="single" w:sz="12" w:space="0" w:color="auto"/>
            </w:tcBorders>
          </w:tcPr>
          <w:p w14:paraId="4DDF312E"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rPr>
                <w:b/>
              </w:rPr>
              <w:t>88 227</w:t>
            </w:r>
          </w:p>
        </w:tc>
        <w:tc>
          <w:tcPr>
            <w:tcW w:w="794" w:type="dxa"/>
            <w:tcBorders>
              <w:top w:val="single" w:sz="6" w:space="0" w:color="auto"/>
              <w:bottom w:val="single" w:sz="12" w:space="0" w:color="auto"/>
            </w:tcBorders>
          </w:tcPr>
          <w:p w14:paraId="066E82CA" w14:textId="77777777"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rPr>
                <w:b/>
              </w:rPr>
              <w:t>89 091</w:t>
            </w:r>
          </w:p>
        </w:tc>
        <w:tc>
          <w:tcPr>
            <w:tcW w:w="794" w:type="dxa"/>
            <w:tcBorders>
              <w:top w:val="single" w:sz="6" w:space="0" w:color="auto"/>
              <w:bottom w:val="single" w:sz="12" w:space="0" w:color="auto"/>
            </w:tcBorders>
          </w:tcPr>
          <w:p w14:paraId="589C2106" w14:textId="30AD691C" w:rsidR="00C424E5" w:rsidRDefault="00C424E5" w:rsidP="001C29A9">
            <w:pPr>
              <w:spacing w:after="0"/>
              <w:cnfStyle w:val="000000000000" w:firstRow="0" w:lastRow="0" w:firstColumn="0" w:lastColumn="0" w:oddVBand="0" w:evenVBand="0" w:oddHBand="0" w:evenHBand="0" w:firstRowFirstColumn="0" w:firstRowLastColumn="0" w:lastRowFirstColumn="0" w:lastRowLastColumn="0"/>
            </w:pPr>
            <w:r>
              <w:rPr>
                <w:b/>
              </w:rPr>
              <w:t>92 521</w:t>
            </w:r>
          </w:p>
        </w:tc>
      </w:tr>
    </w:tbl>
    <w:p w14:paraId="72B275A1" w14:textId="77777777" w:rsidR="00C424E5" w:rsidRPr="006C4C8B" w:rsidRDefault="00C424E5" w:rsidP="006206EF">
      <w:pPr>
        <w:pStyle w:val="Note"/>
        <w:ind w:left="0" w:firstLine="0"/>
      </w:pPr>
      <w:r>
        <w:t>Notes:</w:t>
      </w:r>
    </w:p>
    <w:p w14:paraId="435789B7" w14:textId="77777777" w:rsidR="00C424E5" w:rsidRDefault="00C424E5" w:rsidP="006206EF">
      <w:pPr>
        <w:pStyle w:val="Note"/>
      </w:pPr>
      <w:r>
        <w:t>(a)</w:t>
      </w:r>
      <w:r>
        <w:tab/>
        <w:t>Other general government sector agencies not allocated to departmental portfolios.</w:t>
      </w:r>
    </w:p>
    <w:p w14:paraId="104AFE6F" w14:textId="77777777" w:rsidR="00C424E5" w:rsidRDefault="00C424E5" w:rsidP="006206EF">
      <w:pPr>
        <w:pStyle w:val="Note"/>
      </w:pPr>
      <w:r>
        <w:t>(b)</w:t>
      </w:r>
      <w:r>
        <w:tab/>
        <w:t>The following table provides a breakdown of the general government output contingencies not allocated to departments.</w:t>
      </w:r>
    </w:p>
    <w:p w14:paraId="280FB0B5" w14:textId="77777777" w:rsidR="00C424E5" w:rsidRDefault="00C424E5" w:rsidP="00A330B7">
      <w:pPr>
        <w:pStyle w:val="Note"/>
      </w:pPr>
      <w:r>
        <w:t>(c)</w:t>
      </w:r>
      <w:r>
        <w:tab/>
        <w:t>Mainly payroll tax, departmental underspend estimates and inter-departmental transfers.</w:t>
      </w:r>
    </w:p>
    <w:p w14:paraId="7CFAD50F" w14:textId="640065FC" w:rsidR="00C424E5" w:rsidRDefault="00C424E5" w:rsidP="006206EF">
      <w:pPr>
        <w:pStyle w:val="TableHeading"/>
      </w:pPr>
      <w:r w:rsidRPr="004D1DC3">
        <w:lastRenderedPageBreak/>
        <w:t>General government output contingencies not allocated to departments</w:t>
      </w:r>
      <w:r>
        <w:t xml:space="preserve"> </w:t>
      </w:r>
      <w:r w:rsidRPr="00EB0DCC">
        <w:rPr>
          <w:vertAlign w:val="superscript"/>
        </w:rPr>
        <w:t>(a)</w:t>
      </w:r>
      <w:r w:rsidRPr="004D1DC3">
        <w:tab/>
        <w:t>($ million)</w:t>
      </w:r>
    </w:p>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F70B1C" w14:paraId="4AB3343D" w14:textId="77777777" w:rsidTr="00A836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3DCCA154" w14:textId="32137E21" w:rsidR="00F70B1C" w:rsidRDefault="00F70B1C"/>
        </w:tc>
        <w:tc>
          <w:tcPr>
            <w:tcW w:w="794" w:type="dxa"/>
          </w:tcPr>
          <w:p w14:paraId="6E55D72C" w14:textId="0659A2A9" w:rsidR="00F70B1C" w:rsidRDefault="00F70B1C" w:rsidP="0011698D">
            <w:pPr>
              <w:cnfStyle w:val="100000000000" w:firstRow="1" w:lastRow="0" w:firstColumn="0" w:lastColumn="0" w:oddVBand="0" w:evenVBand="0" w:oddHBand="0" w:evenHBand="0" w:firstRowFirstColumn="0" w:firstRowLastColumn="0" w:lastRowFirstColumn="0" w:lastRowLastColumn="0"/>
            </w:pPr>
            <w:r>
              <w:t>2022</w:t>
            </w:r>
            <w:r>
              <w:noBreakHyphen/>
              <w:t>23</w:t>
            </w:r>
            <w:r>
              <w:rPr>
                <w:i w:val="0"/>
              </w:rPr>
              <w:br/>
            </w:r>
            <w:r>
              <w:t>budget</w:t>
            </w:r>
          </w:p>
        </w:tc>
        <w:tc>
          <w:tcPr>
            <w:tcW w:w="794" w:type="dxa"/>
          </w:tcPr>
          <w:p w14:paraId="6E2CB402" w14:textId="22CB88F9" w:rsidR="00F70B1C" w:rsidRDefault="00F70B1C" w:rsidP="001B0B13">
            <w:pPr>
              <w:cnfStyle w:val="100000000000" w:firstRow="1" w:lastRow="0" w:firstColumn="0" w:lastColumn="0" w:oddVBand="0" w:evenVBand="0" w:oddHBand="0" w:evenHBand="0" w:firstRowFirstColumn="0" w:firstRowLastColumn="0" w:lastRowFirstColumn="0" w:lastRowLastColumn="0"/>
            </w:pPr>
            <w:r>
              <w:t>2022</w:t>
            </w:r>
            <w:r>
              <w:noBreakHyphen/>
              <w:t>23</w:t>
            </w:r>
            <w:r>
              <w:rPr>
                <w:i w:val="0"/>
              </w:rPr>
              <w:br/>
            </w:r>
            <w:r>
              <w:t>revised</w:t>
            </w:r>
          </w:p>
        </w:tc>
        <w:tc>
          <w:tcPr>
            <w:tcW w:w="794" w:type="dxa"/>
          </w:tcPr>
          <w:p w14:paraId="4402A8D6" w14:textId="772014B1" w:rsidR="00F70B1C" w:rsidRDefault="00F70B1C" w:rsidP="00EF7F94">
            <w:pPr>
              <w:cnfStyle w:val="100000000000" w:firstRow="1" w:lastRow="0" w:firstColumn="0" w:lastColumn="0" w:oddVBand="0" w:evenVBand="0" w:oddHBand="0" w:evenHBand="0" w:firstRowFirstColumn="0" w:firstRowLastColumn="0" w:lastRowFirstColumn="0" w:lastRowLastColumn="0"/>
            </w:pPr>
            <w:r>
              <w:t>2023</w:t>
            </w:r>
            <w:r>
              <w:noBreakHyphen/>
              <w:t>24</w:t>
            </w:r>
            <w:r>
              <w:rPr>
                <w:i w:val="0"/>
              </w:rPr>
              <w:br/>
            </w:r>
            <w:r>
              <w:t>estimate</w:t>
            </w:r>
          </w:p>
        </w:tc>
        <w:tc>
          <w:tcPr>
            <w:tcW w:w="794" w:type="dxa"/>
          </w:tcPr>
          <w:p w14:paraId="3513FA2D" w14:textId="759EF349" w:rsidR="00F70B1C" w:rsidRDefault="00F70B1C" w:rsidP="0087676B">
            <w:pPr>
              <w:cnfStyle w:val="100000000000" w:firstRow="1" w:lastRow="0" w:firstColumn="0" w:lastColumn="0" w:oddVBand="0" w:evenVBand="0" w:oddHBand="0" w:evenHBand="0" w:firstRowFirstColumn="0" w:firstRowLastColumn="0" w:lastRowFirstColumn="0" w:lastRowLastColumn="0"/>
            </w:pPr>
            <w:r>
              <w:t>2024</w:t>
            </w:r>
            <w:r>
              <w:noBreakHyphen/>
              <w:t>25</w:t>
            </w:r>
            <w:r>
              <w:rPr>
                <w:i w:val="0"/>
              </w:rPr>
              <w:br/>
            </w:r>
            <w:r>
              <w:t>estimate</w:t>
            </w:r>
          </w:p>
        </w:tc>
        <w:tc>
          <w:tcPr>
            <w:tcW w:w="794" w:type="dxa"/>
          </w:tcPr>
          <w:p w14:paraId="5A71616B" w14:textId="7E7DFF18" w:rsidR="00F70B1C" w:rsidRDefault="00F70B1C" w:rsidP="000744DD">
            <w:pPr>
              <w:cnfStyle w:val="100000000000" w:firstRow="1" w:lastRow="0" w:firstColumn="0" w:lastColumn="0" w:oddVBand="0" w:evenVBand="0" w:oddHBand="0" w:evenHBand="0" w:firstRowFirstColumn="0" w:firstRowLastColumn="0" w:lastRowFirstColumn="0" w:lastRowLastColumn="0"/>
            </w:pPr>
            <w:r>
              <w:t>2025</w:t>
            </w:r>
            <w:r>
              <w:noBreakHyphen/>
              <w:t>26</w:t>
            </w:r>
            <w:r>
              <w:rPr>
                <w:i w:val="0"/>
              </w:rPr>
              <w:br/>
            </w:r>
            <w:r>
              <w:t>estimate</w:t>
            </w:r>
          </w:p>
        </w:tc>
      </w:tr>
      <w:tr w:rsidR="00C424E5" w14:paraId="3B2D8066" w14:textId="77777777">
        <w:tc>
          <w:tcPr>
            <w:cnfStyle w:val="001000000000" w:firstRow="0" w:lastRow="0" w:firstColumn="1" w:lastColumn="0" w:oddVBand="0" w:evenVBand="0" w:oddHBand="0" w:evenHBand="0" w:firstRowFirstColumn="0" w:firstRowLastColumn="0" w:lastRowFirstColumn="0" w:lastRowLastColumn="0"/>
            <w:tcW w:w="3740" w:type="dxa"/>
          </w:tcPr>
          <w:p w14:paraId="3FB5396E" w14:textId="77777777" w:rsidR="00C424E5" w:rsidRDefault="00C424E5">
            <w:r>
              <w:t>Decisions made but not yet allocated</w:t>
            </w:r>
            <w:r>
              <w:rPr>
                <w:vertAlign w:val="superscript"/>
              </w:rPr>
              <w:t xml:space="preserve"> (b)</w:t>
            </w:r>
          </w:p>
        </w:tc>
        <w:tc>
          <w:tcPr>
            <w:tcW w:w="794" w:type="dxa"/>
          </w:tcPr>
          <w:p w14:paraId="266917FD" w14:textId="77777777" w:rsidR="00C424E5" w:rsidRDefault="00C424E5">
            <w:pPr>
              <w:cnfStyle w:val="000000000000" w:firstRow="0" w:lastRow="0" w:firstColumn="0" w:lastColumn="0" w:oddVBand="0" w:evenVBand="0" w:oddHBand="0" w:evenHBand="0" w:firstRowFirstColumn="0" w:firstRowLastColumn="0" w:lastRowFirstColumn="0" w:lastRowLastColumn="0"/>
            </w:pPr>
            <w:r>
              <w:t>5 311</w:t>
            </w:r>
          </w:p>
        </w:tc>
        <w:tc>
          <w:tcPr>
            <w:tcW w:w="794" w:type="dxa"/>
          </w:tcPr>
          <w:p w14:paraId="28CA1563" w14:textId="77777777" w:rsidR="00C424E5" w:rsidRDefault="00C424E5">
            <w:pPr>
              <w:cnfStyle w:val="000000000000" w:firstRow="0" w:lastRow="0" w:firstColumn="0" w:lastColumn="0" w:oddVBand="0" w:evenVBand="0" w:oddHBand="0" w:evenHBand="0" w:firstRowFirstColumn="0" w:firstRowLastColumn="0" w:lastRowFirstColumn="0" w:lastRowLastColumn="0"/>
            </w:pPr>
            <w:r>
              <w:t>3 081</w:t>
            </w:r>
          </w:p>
        </w:tc>
        <w:tc>
          <w:tcPr>
            <w:tcW w:w="794" w:type="dxa"/>
          </w:tcPr>
          <w:p w14:paraId="6BA32D96" w14:textId="77777777" w:rsidR="00C424E5" w:rsidRDefault="00C424E5">
            <w:pPr>
              <w:cnfStyle w:val="000000000000" w:firstRow="0" w:lastRow="0" w:firstColumn="0" w:lastColumn="0" w:oddVBand="0" w:evenVBand="0" w:oddHBand="0" w:evenHBand="0" w:firstRowFirstColumn="0" w:firstRowLastColumn="0" w:lastRowFirstColumn="0" w:lastRowLastColumn="0"/>
            </w:pPr>
            <w:r>
              <w:t>4 925</w:t>
            </w:r>
          </w:p>
        </w:tc>
        <w:tc>
          <w:tcPr>
            <w:tcW w:w="794" w:type="dxa"/>
          </w:tcPr>
          <w:p w14:paraId="6E18BD4A" w14:textId="77777777" w:rsidR="00C424E5" w:rsidRDefault="00C424E5">
            <w:pPr>
              <w:cnfStyle w:val="000000000000" w:firstRow="0" w:lastRow="0" w:firstColumn="0" w:lastColumn="0" w:oddVBand="0" w:evenVBand="0" w:oddHBand="0" w:evenHBand="0" w:firstRowFirstColumn="0" w:firstRowLastColumn="0" w:lastRowFirstColumn="0" w:lastRowLastColumn="0"/>
            </w:pPr>
            <w:r>
              <w:t>6 146</w:t>
            </w:r>
          </w:p>
        </w:tc>
        <w:tc>
          <w:tcPr>
            <w:tcW w:w="794" w:type="dxa"/>
          </w:tcPr>
          <w:p w14:paraId="4622AC01" w14:textId="77777777" w:rsidR="00C424E5" w:rsidRDefault="00C424E5">
            <w:pPr>
              <w:cnfStyle w:val="000000000000" w:firstRow="0" w:lastRow="0" w:firstColumn="0" w:lastColumn="0" w:oddVBand="0" w:evenVBand="0" w:oddHBand="0" w:evenHBand="0" w:firstRowFirstColumn="0" w:firstRowLastColumn="0" w:lastRowFirstColumn="0" w:lastRowLastColumn="0"/>
            </w:pPr>
            <w:r>
              <w:t>8 160</w:t>
            </w:r>
          </w:p>
        </w:tc>
      </w:tr>
      <w:tr w:rsidR="00C424E5" w14:paraId="176D3D5E"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5BA3A152" w14:textId="77777777" w:rsidR="00C424E5" w:rsidRDefault="00C424E5">
            <w:r>
              <w:t>Funding not allocated to specific purposes</w:t>
            </w:r>
            <w:r>
              <w:rPr>
                <w:vertAlign w:val="superscript"/>
              </w:rPr>
              <w:t xml:space="preserve"> (c)</w:t>
            </w:r>
          </w:p>
        </w:tc>
        <w:tc>
          <w:tcPr>
            <w:tcW w:w="794" w:type="dxa"/>
            <w:tcBorders>
              <w:bottom w:val="single" w:sz="6" w:space="0" w:color="auto"/>
            </w:tcBorders>
          </w:tcPr>
          <w:p w14:paraId="2F709F95" w14:textId="77777777" w:rsidR="00C424E5" w:rsidRDefault="00C424E5">
            <w:pPr>
              <w:cnfStyle w:val="000000000000" w:firstRow="0" w:lastRow="0" w:firstColumn="0" w:lastColumn="0" w:oddVBand="0" w:evenVBand="0" w:oddHBand="0" w:evenHBand="0" w:firstRowFirstColumn="0" w:firstRowLastColumn="0" w:lastRowFirstColumn="0" w:lastRowLastColumn="0"/>
            </w:pPr>
            <w:r>
              <w:t>100</w:t>
            </w:r>
          </w:p>
        </w:tc>
        <w:tc>
          <w:tcPr>
            <w:tcW w:w="794" w:type="dxa"/>
            <w:tcBorders>
              <w:bottom w:val="single" w:sz="6" w:space="0" w:color="auto"/>
            </w:tcBorders>
          </w:tcPr>
          <w:p w14:paraId="0EA6D3F9" w14:textId="77777777" w:rsidR="00C424E5" w:rsidRDefault="00C424E5">
            <w:pPr>
              <w:cnfStyle w:val="000000000000" w:firstRow="0" w:lastRow="0" w:firstColumn="0" w:lastColumn="0" w:oddVBand="0" w:evenVBand="0" w:oddHBand="0" w:evenHBand="0" w:firstRowFirstColumn="0" w:firstRowLastColumn="0" w:lastRowFirstColumn="0" w:lastRowLastColumn="0"/>
            </w:pPr>
            <w:r>
              <w:t>100</w:t>
            </w:r>
          </w:p>
        </w:tc>
        <w:tc>
          <w:tcPr>
            <w:tcW w:w="794" w:type="dxa"/>
            <w:tcBorders>
              <w:bottom w:val="single" w:sz="6" w:space="0" w:color="auto"/>
            </w:tcBorders>
          </w:tcPr>
          <w:p w14:paraId="311EBDD1" w14:textId="77777777" w:rsidR="00C424E5" w:rsidRDefault="00C424E5">
            <w:pPr>
              <w:cnfStyle w:val="000000000000" w:firstRow="0" w:lastRow="0" w:firstColumn="0" w:lastColumn="0" w:oddVBand="0" w:evenVBand="0" w:oddHBand="0" w:evenHBand="0" w:firstRowFirstColumn="0" w:firstRowLastColumn="0" w:lastRowFirstColumn="0" w:lastRowLastColumn="0"/>
            </w:pPr>
            <w:r>
              <w:t>400</w:t>
            </w:r>
          </w:p>
        </w:tc>
        <w:tc>
          <w:tcPr>
            <w:tcW w:w="794" w:type="dxa"/>
            <w:tcBorders>
              <w:bottom w:val="single" w:sz="6" w:space="0" w:color="auto"/>
            </w:tcBorders>
          </w:tcPr>
          <w:p w14:paraId="0364C3E9" w14:textId="77777777" w:rsidR="00C424E5" w:rsidRDefault="00C424E5">
            <w:pPr>
              <w:cnfStyle w:val="000000000000" w:firstRow="0" w:lastRow="0" w:firstColumn="0" w:lastColumn="0" w:oddVBand="0" w:evenVBand="0" w:oddHBand="0" w:evenHBand="0" w:firstRowFirstColumn="0" w:firstRowLastColumn="0" w:lastRowFirstColumn="0" w:lastRowLastColumn="0"/>
            </w:pPr>
            <w:r>
              <w:t>700</w:t>
            </w:r>
          </w:p>
        </w:tc>
        <w:tc>
          <w:tcPr>
            <w:tcW w:w="794" w:type="dxa"/>
            <w:tcBorders>
              <w:bottom w:val="single" w:sz="6" w:space="0" w:color="auto"/>
            </w:tcBorders>
          </w:tcPr>
          <w:p w14:paraId="4BBC71F9" w14:textId="77777777" w:rsidR="00C424E5" w:rsidRDefault="00C424E5">
            <w:pPr>
              <w:cnfStyle w:val="000000000000" w:firstRow="0" w:lastRow="0" w:firstColumn="0" w:lastColumn="0" w:oddVBand="0" w:evenVBand="0" w:oddHBand="0" w:evenHBand="0" w:firstRowFirstColumn="0" w:firstRowLastColumn="0" w:lastRowFirstColumn="0" w:lastRowLastColumn="0"/>
            </w:pPr>
            <w:r>
              <w:t>1 100</w:t>
            </w:r>
          </w:p>
        </w:tc>
      </w:tr>
      <w:tr w:rsidR="00C424E5" w14:paraId="0F38319E"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54D805CE" w14:textId="77777777" w:rsidR="00C424E5" w:rsidRDefault="00C424E5">
            <w:r>
              <w:rPr>
                <w:b/>
              </w:rPr>
              <w:t>Total general government output contingencies</w:t>
            </w:r>
          </w:p>
        </w:tc>
        <w:tc>
          <w:tcPr>
            <w:tcW w:w="794" w:type="dxa"/>
            <w:tcBorders>
              <w:top w:val="single" w:sz="6" w:space="0" w:color="auto"/>
              <w:bottom w:val="single" w:sz="12" w:space="0" w:color="auto"/>
            </w:tcBorders>
          </w:tcPr>
          <w:p w14:paraId="7E6394B0"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5 411</w:t>
            </w:r>
          </w:p>
        </w:tc>
        <w:tc>
          <w:tcPr>
            <w:tcW w:w="794" w:type="dxa"/>
            <w:tcBorders>
              <w:top w:val="single" w:sz="6" w:space="0" w:color="auto"/>
              <w:bottom w:val="single" w:sz="12" w:space="0" w:color="auto"/>
            </w:tcBorders>
          </w:tcPr>
          <w:p w14:paraId="4D4C1082"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3 181</w:t>
            </w:r>
          </w:p>
        </w:tc>
        <w:tc>
          <w:tcPr>
            <w:tcW w:w="794" w:type="dxa"/>
            <w:tcBorders>
              <w:top w:val="single" w:sz="6" w:space="0" w:color="auto"/>
              <w:bottom w:val="single" w:sz="12" w:space="0" w:color="auto"/>
            </w:tcBorders>
          </w:tcPr>
          <w:p w14:paraId="7A222CB4"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5 325</w:t>
            </w:r>
          </w:p>
        </w:tc>
        <w:tc>
          <w:tcPr>
            <w:tcW w:w="794" w:type="dxa"/>
            <w:tcBorders>
              <w:top w:val="single" w:sz="6" w:space="0" w:color="auto"/>
              <w:bottom w:val="single" w:sz="12" w:space="0" w:color="auto"/>
            </w:tcBorders>
          </w:tcPr>
          <w:p w14:paraId="0C1A01A9"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6 846</w:t>
            </w:r>
          </w:p>
        </w:tc>
        <w:tc>
          <w:tcPr>
            <w:tcW w:w="794" w:type="dxa"/>
            <w:tcBorders>
              <w:top w:val="single" w:sz="6" w:space="0" w:color="auto"/>
              <w:bottom w:val="single" w:sz="12" w:space="0" w:color="auto"/>
            </w:tcBorders>
          </w:tcPr>
          <w:p w14:paraId="5CBE6511" w14:textId="0AEFF194" w:rsidR="00C424E5" w:rsidRDefault="00C424E5">
            <w:pPr>
              <w:cnfStyle w:val="000000000000" w:firstRow="0" w:lastRow="0" w:firstColumn="0" w:lastColumn="0" w:oddVBand="0" w:evenVBand="0" w:oddHBand="0" w:evenHBand="0" w:firstRowFirstColumn="0" w:firstRowLastColumn="0" w:lastRowFirstColumn="0" w:lastRowLastColumn="0"/>
            </w:pPr>
            <w:r>
              <w:rPr>
                <w:b/>
              </w:rPr>
              <w:t>9 260</w:t>
            </w:r>
          </w:p>
        </w:tc>
      </w:tr>
    </w:tbl>
    <w:p w14:paraId="79D43836" w14:textId="77777777" w:rsidR="00C424E5" w:rsidRDefault="00C424E5" w:rsidP="006206EF">
      <w:pPr>
        <w:pStyle w:val="Note"/>
        <w:ind w:left="0" w:firstLine="0"/>
      </w:pPr>
      <w:r w:rsidRPr="00DA1FBC">
        <w:t>Notes:</w:t>
      </w:r>
    </w:p>
    <w:p w14:paraId="5D7D6A33" w14:textId="77777777" w:rsidR="00C424E5" w:rsidRPr="00DA1FBC" w:rsidRDefault="00C424E5" w:rsidP="006206EF">
      <w:pPr>
        <w:pStyle w:val="Note"/>
      </w:pPr>
      <w:r w:rsidRPr="00DA1FBC">
        <w:t>(</w:t>
      </w:r>
      <w:r>
        <w:t>a</w:t>
      </w:r>
      <w:r w:rsidRPr="00DA1FBC">
        <w:t>)</w:t>
      </w:r>
      <w:r w:rsidRPr="00DA1FBC">
        <w:tab/>
      </w:r>
      <w:r>
        <w:t>The general government output contingencies have primarily been allocated proportionally across the relevant expense lines in the operating statement.</w:t>
      </w:r>
    </w:p>
    <w:p w14:paraId="2F6006A9" w14:textId="77777777" w:rsidR="00C424E5" w:rsidRPr="00DA1FBC" w:rsidRDefault="00C424E5" w:rsidP="006206EF">
      <w:pPr>
        <w:pStyle w:val="Note"/>
      </w:pPr>
      <w:r w:rsidRPr="00DA1FBC">
        <w:t>(</w:t>
      </w:r>
      <w:r>
        <w:t>b</w:t>
      </w:r>
      <w:r w:rsidRPr="00DA1FBC">
        <w:t>)</w:t>
      </w:r>
      <w:r w:rsidRPr="00DA1FBC">
        <w:tab/>
        <w:t xml:space="preserve">Reflects existing </w:t>
      </w:r>
      <w:r>
        <w:t>g</w:t>
      </w:r>
      <w:r w:rsidRPr="00DA1FBC">
        <w:t>overnment policy decisions for which funding has yet to be allocated to departments</w:t>
      </w:r>
      <w:r>
        <w:t xml:space="preserve"> </w:t>
      </w:r>
      <w:r w:rsidRPr="00DA1FBC">
        <w:t>and provisions not yet allocated to meet additional price and demand growth for health, disability, and education.</w:t>
      </w:r>
    </w:p>
    <w:p w14:paraId="11EC5CF6" w14:textId="77777777" w:rsidR="00C424E5" w:rsidRDefault="00C424E5" w:rsidP="006206EF">
      <w:pPr>
        <w:pStyle w:val="Note"/>
      </w:pPr>
      <w:r w:rsidRPr="00DA1FBC">
        <w:t>(</w:t>
      </w:r>
      <w:r>
        <w:t>c</w:t>
      </w:r>
      <w:r w:rsidRPr="00DA1FBC">
        <w:t>)</w:t>
      </w:r>
      <w:r w:rsidRPr="00DA1FBC">
        <w:tab/>
        <w:t>An unallocated provision available to contribute to future government policy decisions and commitments.</w:t>
      </w:r>
    </w:p>
    <w:p w14:paraId="33B6FB7F" w14:textId="77777777" w:rsidR="00C424E5" w:rsidRDefault="00C424E5" w:rsidP="00A330B7"/>
    <w:p w14:paraId="0DDAFE79" w14:textId="77777777" w:rsidR="00C424E5" w:rsidRPr="00DA1FBC" w:rsidRDefault="00C424E5" w:rsidP="00A330B7"/>
    <w:p w14:paraId="25611870" w14:textId="77777777" w:rsidR="00C424E5" w:rsidRDefault="00C424E5" w:rsidP="006206EF">
      <w:pPr>
        <w:pStyle w:val="Heading3"/>
      </w:pPr>
      <w:bookmarkStart w:id="66" w:name="_Toc117172283"/>
      <w:r>
        <w:t>Purchases of non-financial assets by classification of the functions of government and by portfolio department</w:t>
      </w:r>
      <w:bookmarkEnd w:id="66"/>
    </w:p>
    <w:p w14:paraId="18F3482C" w14:textId="77777777" w:rsidR="00C424E5" w:rsidRDefault="00C424E5" w:rsidP="006206EF">
      <w:pPr>
        <w:pStyle w:val="TableHeading"/>
      </w:pPr>
      <w:r>
        <w:t xml:space="preserve">Purchases of non-financial assets by classification of the functions of government </w:t>
      </w:r>
      <w:r>
        <w:tab/>
        <w:t>($ million)</w:t>
      </w:r>
    </w:p>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F70B1C" w14:paraId="0B55C553" w14:textId="77777777" w:rsidTr="00A836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48247E66" w14:textId="480B9260" w:rsidR="00F70B1C" w:rsidRDefault="00F70B1C"/>
        </w:tc>
        <w:tc>
          <w:tcPr>
            <w:tcW w:w="794" w:type="dxa"/>
          </w:tcPr>
          <w:p w14:paraId="3B11F4A8" w14:textId="7D9BA29E" w:rsidR="00F70B1C" w:rsidRDefault="00F70B1C" w:rsidP="00587E9B">
            <w:pPr>
              <w:cnfStyle w:val="100000000000" w:firstRow="1" w:lastRow="0" w:firstColumn="0" w:lastColumn="0" w:oddVBand="0" w:evenVBand="0" w:oddHBand="0" w:evenHBand="0" w:firstRowFirstColumn="0" w:firstRowLastColumn="0" w:lastRowFirstColumn="0" w:lastRowLastColumn="0"/>
            </w:pPr>
            <w:r>
              <w:t>2022</w:t>
            </w:r>
            <w:r>
              <w:noBreakHyphen/>
              <w:t>23</w:t>
            </w:r>
            <w:r>
              <w:rPr>
                <w:i w:val="0"/>
              </w:rPr>
              <w:br/>
            </w:r>
            <w:r>
              <w:t>budget</w:t>
            </w:r>
          </w:p>
        </w:tc>
        <w:tc>
          <w:tcPr>
            <w:tcW w:w="794" w:type="dxa"/>
          </w:tcPr>
          <w:p w14:paraId="3AE3B68F" w14:textId="4AAF2AC3" w:rsidR="00F70B1C" w:rsidRDefault="00F70B1C" w:rsidP="00B432AA">
            <w:pPr>
              <w:cnfStyle w:val="100000000000" w:firstRow="1" w:lastRow="0" w:firstColumn="0" w:lastColumn="0" w:oddVBand="0" w:evenVBand="0" w:oddHBand="0" w:evenHBand="0" w:firstRowFirstColumn="0" w:firstRowLastColumn="0" w:lastRowFirstColumn="0" w:lastRowLastColumn="0"/>
            </w:pPr>
            <w:r>
              <w:t>2022</w:t>
            </w:r>
            <w:r>
              <w:noBreakHyphen/>
              <w:t>23</w:t>
            </w:r>
            <w:r>
              <w:rPr>
                <w:i w:val="0"/>
              </w:rPr>
              <w:br/>
            </w:r>
            <w:r>
              <w:t>revised</w:t>
            </w:r>
          </w:p>
        </w:tc>
        <w:tc>
          <w:tcPr>
            <w:tcW w:w="794" w:type="dxa"/>
          </w:tcPr>
          <w:p w14:paraId="4CDF6A82" w14:textId="03520CA3" w:rsidR="00F70B1C" w:rsidRDefault="00F70B1C" w:rsidP="00BC7A62">
            <w:pPr>
              <w:cnfStyle w:val="100000000000" w:firstRow="1" w:lastRow="0" w:firstColumn="0" w:lastColumn="0" w:oddVBand="0" w:evenVBand="0" w:oddHBand="0" w:evenHBand="0" w:firstRowFirstColumn="0" w:firstRowLastColumn="0" w:lastRowFirstColumn="0" w:lastRowLastColumn="0"/>
            </w:pPr>
            <w:r>
              <w:t>2023</w:t>
            </w:r>
            <w:r>
              <w:noBreakHyphen/>
              <w:t>24</w:t>
            </w:r>
            <w:r>
              <w:rPr>
                <w:i w:val="0"/>
              </w:rPr>
              <w:br/>
            </w:r>
            <w:r>
              <w:t>estimate</w:t>
            </w:r>
          </w:p>
        </w:tc>
        <w:tc>
          <w:tcPr>
            <w:tcW w:w="794" w:type="dxa"/>
          </w:tcPr>
          <w:p w14:paraId="3205DFE9" w14:textId="1D43BD20" w:rsidR="00F70B1C" w:rsidRDefault="00F70B1C" w:rsidP="00070BD8">
            <w:pPr>
              <w:cnfStyle w:val="100000000000" w:firstRow="1" w:lastRow="0" w:firstColumn="0" w:lastColumn="0" w:oddVBand="0" w:evenVBand="0" w:oddHBand="0" w:evenHBand="0" w:firstRowFirstColumn="0" w:firstRowLastColumn="0" w:lastRowFirstColumn="0" w:lastRowLastColumn="0"/>
            </w:pPr>
            <w:r>
              <w:t>2024</w:t>
            </w:r>
            <w:r>
              <w:noBreakHyphen/>
              <w:t>25</w:t>
            </w:r>
            <w:r>
              <w:rPr>
                <w:i w:val="0"/>
              </w:rPr>
              <w:br/>
            </w:r>
            <w:r>
              <w:t>estimate</w:t>
            </w:r>
          </w:p>
        </w:tc>
        <w:tc>
          <w:tcPr>
            <w:tcW w:w="794" w:type="dxa"/>
          </w:tcPr>
          <w:p w14:paraId="266BA997" w14:textId="0863061B" w:rsidR="00F70B1C" w:rsidRDefault="00F70B1C" w:rsidP="000926F2">
            <w:pPr>
              <w:cnfStyle w:val="100000000000" w:firstRow="1" w:lastRow="0" w:firstColumn="0" w:lastColumn="0" w:oddVBand="0" w:evenVBand="0" w:oddHBand="0" w:evenHBand="0" w:firstRowFirstColumn="0" w:firstRowLastColumn="0" w:lastRowFirstColumn="0" w:lastRowLastColumn="0"/>
            </w:pPr>
            <w:r>
              <w:t>2025</w:t>
            </w:r>
            <w:r>
              <w:noBreakHyphen/>
              <w:t>26</w:t>
            </w:r>
            <w:r>
              <w:rPr>
                <w:i w:val="0"/>
              </w:rPr>
              <w:br/>
            </w:r>
            <w:r>
              <w:t>estimate</w:t>
            </w:r>
          </w:p>
        </w:tc>
      </w:tr>
      <w:tr w:rsidR="00C424E5" w14:paraId="6DD56F12" w14:textId="77777777">
        <w:tc>
          <w:tcPr>
            <w:cnfStyle w:val="001000000000" w:firstRow="0" w:lastRow="0" w:firstColumn="1" w:lastColumn="0" w:oddVBand="0" w:evenVBand="0" w:oddHBand="0" w:evenHBand="0" w:firstRowFirstColumn="0" w:firstRowLastColumn="0" w:lastRowFirstColumn="0" w:lastRowLastColumn="0"/>
            <w:tcW w:w="3740" w:type="dxa"/>
          </w:tcPr>
          <w:p w14:paraId="1F56ED71" w14:textId="77777777" w:rsidR="00C424E5" w:rsidRDefault="00C424E5">
            <w:r>
              <w:t>General public services</w:t>
            </w:r>
          </w:p>
        </w:tc>
        <w:tc>
          <w:tcPr>
            <w:tcW w:w="794" w:type="dxa"/>
          </w:tcPr>
          <w:p w14:paraId="64DFD766" w14:textId="77777777" w:rsidR="00C424E5" w:rsidRDefault="00C424E5">
            <w:pPr>
              <w:cnfStyle w:val="000000000000" w:firstRow="0" w:lastRow="0" w:firstColumn="0" w:lastColumn="0" w:oddVBand="0" w:evenVBand="0" w:oddHBand="0" w:evenHBand="0" w:firstRowFirstColumn="0" w:firstRowLastColumn="0" w:lastRowFirstColumn="0" w:lastRowLastColumn="0"/>
            </w:pPr>
            <w:r>
              <w:t>244</w:t>
            </w:r>
          </w:p>
        </w:tc>
        <w:tc>
          <w:tcPr>
            <w:tcW w:w="794" w:type="dxa"/>
          </w:tcPr>
          <w:p w14:paraId="7A574B9A" w14:textId="77777777" w:rsidR="00C424E5" w:rsidRDefault="00C424E5">
            <w:pPr>
              <w:cnfStyle w:val="000000000000" w:firstRow="0" w:lastRow="0" w:firstColumn="0" w:lastColumn="0" w:oddVBand="0" w:evenVBand="0" w:oddHBand="0" w:evenHBand="0" w:firstRowFirstColumn="0" w:firstRowLastColumn="0" w:lastRowFirstColumn="0" w:lastRowLastColumn="0"/>
            </w:pPr>
            <w:r>
              <w:t>249</w:t>
            </w:r>
          </w:p>
        </w:tc>
        <w:tc>
          <w:tcPr>
            <w:tcW w:w="794" w:type="dxa"/>
          </w:tcPr>
          <w:p w14:paraId="01FC5433" w14:textId="77777777" w:rsidR="00C424E5" w:rsidRDefault="00C424E5">
            <w:pPr>
              <w:cnfStyle w:val="000000000000" w:firstRow="0" w:lastRow="0" w:firstColumn="0" w:lastColumn="0" w:oddVBand="0" w:evenVBand="0" w:oddHBand="0" w:evenHBand="0" w:firstRowFirstColumn="0" w:firstRowLastColumn="0" w:lastRowFirstColumn="0" w:lastRowLastColumn="0"/>
            </w:pPr>
            <w:r>
              <w:t>95</w:t>
            </w:r>
          </w:p>
        </w:tc>
        <w:tc>
          <w:tcPr>
            <w:tcW w:w="794" w:type="dxa"/>
          </w:tcPr>
          <w:p w14:paraId="4836E8BE" w14:textId="77777777" w:rsidR="00C424E5" w:rsidRDefault="00C424E5">
            <w:pPr>
              <w:cnfStyle w:val="000000000000" w:firstRow="0" w:lastRow="0" w:firstColumn="0" w:lastColumn="0" w:oddVBand="0" w:evenVBand="0" w:oddHBand="0" w:evenHBand="0" w:firstRowFirstColumn="0" w:firstRowLastColumn="0" w:lastRowFirstColumn="0" w:lastRowLastColumn="0"/>
            </w:pPr>
            <w:r>
              <w:t>116</w:t>
            </w:r>
          </w:p>
        </w:tc>
        <w:tc>
          <w:tcPr>
            <w:tcW w:w="794" w:type="dxa"/>
          </w:tcPr>
          <w:p w14:paraId="7D8B8E0C" w14:textId="77777777" w:rsidR="00C424E5" w:rsidRDefault="00C424E5">
            <w:pPr>
              <w:cnfStyle w:val="000000000000" w:firstRow="0" w:lastRow="0" w:firstColumn="0" w:lastColumn="0" w:oddVBand="0" w:evenVBand="0" w:oddHBand="0" w:evenHBand="0" w:firstRowFirstColumn="0" w:firstRowLastColumn="0" w:lastRowFirstColumn="0" w:lastRowLastColumn="0"/>
            </w:pPr>
            <w:r>
              <w:t>108</w:t>
            </w:r>
          </w:p>
        </w:tc>
      </w:tr>
      <w:tr w:rsidR="00C424E5" w14:paraId="43A54498" w14:textId="77777777">
        <w:tc>
          <w:tcPr>
            <w:cnfStyle w:val="001000000000" w:firstRow="0" w:lastRow="0" w:firstColumn="1" w:lastColumn="0" w:oddVBand="0" w:evenVBand="0" w:oddHBand="0" w:evenHBand="0" w:firstRowFirstColumn="0" w:firstRowLastColumn="0" w:lastRowFirstColumn="0" w:lastRowLastColumn="0"/>
            <w:tcW w:w="3740" w:type="dxa"/>
          </w:tcPr>
          <w:p w14:paraId="30130A8A" w14:textId="77777777" w:rsidR="00C424E5" w:rsidRDefault="00C424E5">
            <w:r>
              <w:t>Public order and safety</w:t>
            </w:r>
          </w:p>
        </w:tc>
        <w:tc>
          <w:tcPr>
            <w:tcW w:w="794" w:type="dxa"/>
          </w:tcPr>
          <w:p w14:paraId="6588137E" w14:textId="77777777" w:rsidR="00C424E5" w:rsidRDefault="00C424E5">
            <w:pPr>
              <w:cnfStyle w:val="000000000000" w:firstRow="0" w:lastRow="0" w:firstColumn="0" w:lastColumn="0" w:oddVBand="0" w:evenVBand="0" w:oddHBand="0" w:evenHBand="0" w:firstRowFirstColumn="0" w:firstRowLastColumn="0" w:lastRowFirstColumn="0" w:lastRowLastColumn="0"/>
            </w:pPr>
            <w:r>
              <w:t>1 742</w:t>
            </w:r>
          </w:p>
        </w:tc>
        <w:tc>
          <w:tcPr>
            <w:tcW w:w="794" w:type="dxa"/>
          </w:tcPr>
          <w:p w14:paraId="3060ADEE" w14:textId="77777777" w:rsidR="00C424E5" w:rsidRDefault="00C424E5">
            <w:pPr>
              <w:cnfStyle w:val="000000000000" w:firstRow="0" w:lastRow="0" w:firstColumn="0" w:lastColumn="0" w:oddVBand="0" w:evenVBand="0" w:oddHBand="0" w:evenHBand="0" w:firstRowFirstColumn="0" w:firstRowLastColumn="0" w:lastRowFirstColumn="0" w:lastRowLastColumn="0"/>
            </w:pPr>
            <w:r>
              <w:t>1 850</w:t>
            </w:r>
          </w:p>
        </w:tc>
        <w:tc>
          <w:tcPr>
            <w:tcW w:w="794" w:type="dxa"/>
          </w:tcPr>
          <w:p w14:paraId="07FD3F2F" w14:textId="77777777" w:rsidR="00C424E5" w:rsidRDefault="00C424E5">
            <w:pPr>
              <w:cnfStyle w:val="000000000000" w:firstRow="0" w:lastRow="0" w:firstColumn="0" w:lastColumn="0" w:oddVBand="0" w:evenVBand="0" w:oddHBand="0" w:evenHBand="0" w:firstRowFirstColumn="0" w:firstRowLastColumn="0" w:lastRowFirstColumn="0" w:lastRowLastColumn="0"/>
            </w:pPr>
            <w:r>
              <w:t>805</w:t>
            </w:r>
          </w:p>
        </w:tc>
        <w:tc>
          <w:tcPr>
            <w:tcW w:w="794" w:type="dxa"/>
          </w:tcPr>
          <w:p w14:paraId="196D98A3" w14:textId="77777777" w:rsidR="00C424E5" w:rsidRDefault="00C424E5">
            <w:pPr>
              <w:cnfStyle w:val="000000000000" w:firstRow="0" w:lastRow="0" w:firstColumn="0" w:lastColumn="0" w:oddVBand="0" w:evenVBand="0" w:oddHBand="0" w:evenHBand="0" w:firstRowFirstColumn="0" w:firstRowLastColumn="0" w:lastRowFirstColumn="0" w:lastRowLastColumn="0"/>
            </w:pPr>
            <w:r>
              <w:t>424</w:t>
            </w:r>
          </w:p>
        </w:tc>
        <w:tc>
          <w:tcPr>
            <w:tcW w:w="794" w:type="dxa"/>
          </w:tcPr>
          <w:p w14:paraId="1C855F49" w14:textId="77777777" w:rsidR="00C424E5" w:rsidRDefault="00C424E5">
            <w:pPr>
              <w:cnfStyle w:val="000000000000" w:firstRow="0" w:lastRow="0" w:firstColumn="0" w:lastColumn="0" w:oddVBand="0" w:evenVBand="0" w:oddHBand="0" w:evenHBand="0" w:firstRowFirstColumn="0" w:firstRowLastColumn="0" w:lastRowFirstColumn="0" w:lastRowLastColumn="0"/>
            </w:pPr>
            <w:r>
              <w:t>272</w:t>
            </w:r>
          </w:p>
        </w:tc>
      </w:tr>
      <w:tr w:rsidR="00C424E5" w14:paraId="0534E1F4" w14:textId="77777777">
        <w:tc>
          <w:tcPr>
            <w:cnfStyle w:val="001000000000" w:firstRow="0" w:lastRow="0" w:firstColumn="1" w:lastColumn="0" w:oddVBand="0" w:evenVBand="0" w:oddHBand="0" w:evenHBand="0" w:firstRowFirstColumn="0" w:firstRowLastColumn="0" w:lastRowFirstColumn="0" w:lastRowLastColumn="0"/>
            <w:tcW w:w="3740" w:type="dxa"/>
          </w:tcPr>
          <w:p w14:paraId="3645433A" w14:textId="77777777" w:rsidR="00C424E5" w:rsidRDefault="00C424E5">
            <w:r>
              <w:t>Economic affairs</w:t>
            </w:r>
          </w:p>
        </w:tc>
        <w:tc>
          <w:tcPr>
            <w:tcW w:w="794" w:type="dxa"/>
          </w:tcPr>
          <w:p w14:paraId="1A30D0E7" w14:textId="77777777" w:rsidR="00C424E5" w:rsidRDefault="00C424E5">
            <w:pPr>
              <w:cnfStyle w:val="000000000000" w:firstRow="0" w:lastRow="0" w:firstColumn="0" w:lastColumn="0" w:oddVBand="0" w:evenVBand="0" w:oddHBand="0" w:evenHBand="0" w:firstRowFirstColumn="0" w:firstRowLastColumn="0" w:lastRowFirstColumn="0" w:lastRowLastColumn="0"/>
            </w:pPr>
            <w:r>
              <w:t>226</w:t>
            </w:r>
          </w:p>
        </w:tc>
        <w:tc>
          <w:tcPr>
            <w:tcW w:w="794" w:type="dxa"/>
          </w:tcPr>
          <w:p w14:paraId="5DCAF6AC" w14:textId="77777777" w:rsidR="00C424E5" w:rsidRDefault="00C424E5">
            <w:pPr>
              <w:cnfStyle w:val="000000000000" w:firstRow="0" w:lastRow="0" w:firstColumn="0" w:lastColumn="0" w:oddVBand="0" w:evenVBand="0" w:oddHBand="0" w:evenHBand="0" w:firstRowFirstColumn="0" w:firstRowLastColumn="0" w:lastRowFirstColumn="0" w:lastRowLastColumn="0"/>
            </w:pPr>
            <w:r>
              <w:t>464</w:t>
            </w:r>
          </w:p>
        </w:tc>
        <w:tc>
          <w:tcPr>
            <w:tcW w:w="794" w:type="dxa"/>
          </w:tcPr>
          <w:p w14:paraId="4E660CA2" w14:textId="77777777" w:rsidR="00C424E5" w:rsidRDefault="00C424E5">
            <w:pPr>
              <w:cnfStyle w:val="000000000000" w:firstRow="0" w:lastRow="0" w:firstColumn="0" w:lastColumn="0" w:oddVBand="0" w:evenVBand="0" w:oddHBand="0" w:evenHBand="0" w:firstRowFirstColumn="0" w:firstRowLastColumn="0" w:lastRowFirstColumn="0" w:lastRowLastColumn="0"/>
            </w:pPr>
            <w:r>
              <w:t>221</w:t>
            </w:r>
          </w:p>
        </w:tc>
        <w:tc>
          <w:tcPr>
            <w:tcW w:w="794" w:type="dxa"/>
          </w:tcPr>
          <w:p w14:paraId="3BFF8F20" w14:textId="77777777" w:rsidR="00C424E5" w:rsidRDefault="00C424E5">
            <w:pPr>
              <w:cnfStyle w:val="000000000000" w:firstRow="0" w:lastRow="0" w:firstColumn="0" w:lastColumn="0" w:oddVBand="0" w:evenVBand="0" w:oddHBand="0" w:evenHBand="0" w:firstRowFirstColumn="0" w:firstRowLastColumn="0" w:lastRowFirstColumn="0" w:lastRowLastColumn="0"/>
            </w:pPr>
            <w:r>
              <w:t>159</w:t>
            </w:r>
          </w:p>
        </w:tc>
        <w:tc>
          <w:tcPr>
            <w:tcW w:w="794" w:type="dxa"/>
          </w:tcPr>
          <w:p w14:paraId="56228428" w14:textId="77777777" w:rsidR="00C424E5" w:rsidRDefault="00C424E5">
            <w:pPr>
              <w:cnfStyle w:val="000000000000" w:firstRow="0" w:lastRow="0" w:firstColumn="0" w:lastColumn="0" w:oddVBand="0" w:evenVBand="0" w:oddHBand="0" w:evenHBand="0" w:firstRowFirstColumn="0" w:firstRowLastColumn="0" w:lastRowFirstColumn="0" w:lastRowLastColumn="0"/>
            </w:pPr>
            <w:r>
              <w:t>97</w:t>
            </w:r>
          </w:p>
        </w:tc>
      </w:tr>
      <w:tr w:rsidR="00C424E5" w14:paraId="6A78CC20" w14:textId="77777777">
        <w:tc>
          <w:tcPr>
            <w:cnfStyle w:val="001000000000" w:firstRow="0" w:lastRow="0" w:firstColumn="1" w:lastColumn="0" w:oddVBand="0" w:evenVBand="0" w:oddHBand="0" w:evenHBand="0" w:firstRowFirstColumn="0" w:firstRowLastColumn="0" w:lastRowFirstColumn="0" w:lastRowLastColumn="0"/>
            <w:tcW w:w="3740" w:type="dxa"/>
          </w:tcPr>
          <w:p w14:paraId="58CD04F0" w14:textId="77777777" w:rsidR="00C424E5" w:rsidRDefault="00C424E5">
            <w:r>
              <w:t>Environmental protection</w:t>
            </w:r>
          </w:p>
        </w:tc>
        <w:tc>
          <w:tcPr>
            <w:tcW w:w="794" w:type="dxa"/>
          </w:tcPr>
          <w:p w14:paraId="4C4346F9" w14:textId="77777777" w:rsidR="00C424E5" w:rsidRDefault="00C424E5">
            <w:pPr>
              <w:cnfStyle w:val="000000000000" w:firstRow="0" w:lastRow="0" w:firstColumn="0" w:lastColumn="0" w:oddVBand="0" w:evenVBand="0" w:oddHBand="0" w:evenHBand="0" w:firstRowFirstColumn="0" w:firstRowLastColumn="0" w:lastRowFirstColumn="0" w:lastRowLastColumn="0"/>
            </w:pPr>
            <w:r>
              <w:t>232</w:t>
            </w:r>
          </w:p>
        </w:tc>
        <w:tc>
          <w:tcPr>
            <w:tcW w:w="794" w:type="dxa"/>
          </w:tcPr>
          <w:p w14:paraId="4C06ABDA" w14:textId="77777777" w:rsidR="00C424E5" w:rsidRDefault="00C424E5">
            <w:pPr>
              <w:cnfStyle w:val="000000000000" w:firstRow="0" w:lastRow="0" w:firstColumn="0" w:lastColumn="0" w:oddVBand="0" w:evenVBand="0" w:oddHBand="0" w:evenHBand="0" w:firstRowFirstColumn="0" w:firstRowLastColumn="0" w:lastRowFirstColumn="0" w:lastRowLastColumn="0"/>
            </w:pPr>
            <w:r>
              <w:t>232</w:t>
            </w:r>
          </w:p>
        </w:tc>
        <w:tc>
          <w:tcPr>
            <w:tcW w:w="794" w:type="dxa"/>
          </w:tcPr>
          <w:p w14:paraId="36FBAB87" w14:textId="77777777" w:rsidR="00C424E5" w:rsidRDefault="00C424E5">
            <w:pPr>
              <w:cnfStyle w:val="000000000000" w:firstRow="0" w:lastRow="0" w:firstColumn="0" w:lastColumn="0" w:oddVBand="0" w:evenVBand="0" w:oddHBand="0" w:evenHBand="0" w:firstRowFirstColumn="0" w:firstRowLastColumn="0" w:lastRowFirstColumn="0" w:lastRowLastColumn="0"/>
            </w:pPr>
            <w:r>
              <w:t>150</w:t>
            </w:r>
          </w:p>
        </w:tc>
        <w:tc>
          <w:tcPr>
            <w:tcW w:w="794" w:type="dxa"/>
          </w:tcPr>
          <w:p w14:paraId="6FF03202" w14:textId="77777777" w:rsidR="00C424E5" w:rsidRDefault="00C424E5">
            <w:pPr>
              <w:cnfStyle w:val="000000000000" w:firstRow="0" w:lastRow="0" w:firstColumn="0" w:lastColumn="0" w:oddVBand="0" w:evenVBand="0" w:oddHBand="0" w:evenHBand="0" w:firstRowFirstColumn="0" w:firstRowLastColumn="0" w:lastRowFirstColumn="0" w:lastRowLastColumn="0"/>
            </w:pPr>
            <w:r>
              <w:t>93</w:t>
            </w:r>
          </w:p>
        </w:tc>
        <w:tc>
          <w:tcPr>
            <w:tcW w:w="794" w:type="dxa"/>
          </w:tcPr>
          <w:p w14:paraId="6CBB5A01" w14:textId="77777777" w:rsidR="00C424E5" w:rsidRDefault="00C424E5">
            <w:pPr>
              <w:cnfStyle w:val="000000000000" w:firstRow="0" w:lastRow="0" w:firstColumn="0" w:lastColumn="0" w:oddVBand="0" w:evenVBand="0" w:oddHBand="0" w:evenHBand="0" w:firstRowFirstColumn="0" w:firstRowLastColumn="0" w:lastRowFirstColumn="0" w:lastRowLastColumn="0"/>
            </w:pPr>
            <w:r>
              <w:t>62</w:t>
            </w:r>
          </w:p>
        </w:tc>
      </w:tr>
      <w:tr w:rsidR="00C424E5" w14:paraId="31194F39" w14:textId="77777777">
        <w:tc>
          <w:tcPr>
            <w:cnfStyle w:val="001000000000" w:firstRow="0" w:lastRow="0" w:firstColumn="1" w:lastColumn="0" w:oddVBand="0" w:evenVBand="0" w:oddHBand="0" w:evenHBand="0" w:firstRowFirstColumn="0" w:firstRowLastColumn="0" w:lastRowFirstColumn="0" w:lastRowLastColumn="0"/>
            <w:tcW w:w="3740" w:type="dxa"/>
          </w:tcPr>
          <w:p w14:paraId="373BD9E4" w14:textId="77777777" w:rsidR="00C424E5" w:rsidRDefault="00C424E5">
            <w:r>
              <w:t>Housing and community amenities</w:t>
            </w:r>
          </w:p>
        </w:tc>
        <w:tc>
          <w:tcPr>
            <w:tcW w:w="794" w:type="dxa"/>
          </w:tcPr>
          <w:p w14:paraId="0E22D9BF" w14:textId="77777777" w:rsidR="00C424E5" w:rsidRDefault="00C424E5">
            <w:pPr>
              <w:cnfStyle w:val="000000000000" w:firstRow="0" w:lastRow="0" w:firstColumn="0" w:lastColumn="0" w:oddVBand="0" w:evenVBand="0" w:oddHBand="0" w:evenHBand="0" w:firstRowFirstColumn="0" w:firstRowLastColumn="0" w:lastRowFirstColumn="0" w:lastRowLastColumn="0"/>
            </w:pPr>
            <w:r>
              <w:t>58</w:t>
            </w:r>
          </w:p>
        </w:tc>
        <w:tc>
          <w:tcPr>
            <w:tcW w:w="794" w:type="dxa"/>
          </w:tcPr>
          <w:p w14:paraId="6A0826A9" w14:textId="77777777" w:rsidR="00C424E5" w:rsidRDefault="00C424E5">
            <w:pPr>
              <w:cnfStyle w:val="000000000000" w:firstRow="0" w:lastRow="0" w:firstColumn="0" w:lastColumn="0" w:oddVBand="0" w:evenVBand="0" w:oddHBand="0" w:evenHBand="0" w:firstRowFirstColumn="0" w:firstRowLastColumn="0" w:lastRowFirstColumn="0" w:lastRowLastColumn="0"/>
            </w:pPr>
            <w:r>
              <w:t>35</w:t>
            </w:r>
          </w:p>
        </w:tc>
        <w:tc>
          <w:tcPr>
            <w:tcW w:w="794" w:type="dxa"/>
          </w:tcPr>
          <w:p w14:paraId="55C01D06" w14:textId="77777777" w:rsidR="00C424E5" w:rsidRDefault="00C424E5">
            <w:pPr>
              <w:cnfStyle w:val="000000000000" w:firstRow="0" w:lastRow="0" w:firstColumn="0" w:lastColumn="0" w:oddVBand="0" w:evenVBand="0" w:oddHBand="0" w:evenHBand="0" w:firstRowFirstColumn="0" w:firstRowLastColumn="0" w:lastRowFirstColumn="0" w:lastRowLastColumn="0"/>
            </w:pPr>
            <w:r>
              <w:t>79</w:t>
            </w:r>
          </w:p>
        </w:tc>
        <w:tc>
          <w:tcPr>
            <w:tcW w:w="794" w:type="dxa"/>
          </w:tcPr>
          <w:p w14:paraId="46266425" w14:textId="77777777" w:rsidR="00C424E5" w:rsidRDefault="00C424E5">
            <w:pPr>
              <w:cnfStyle w:val="000000000000" w:firstRow="0" w:lastRow="0" w:firstColumn="0" w:lastColumn="0" w:oddVBand="0" w:evenVBand="0" w:oddHBand="0" w:evenHBand="0" w:firstRowFirstColumn="0" w:firstRowLastColumn="0" w:lastRowFirstColumn="0" w:lastRowLastColumn="0"/>
            </w:pPr>
            <w:r>
              <w:t>45</w:t>
            </w:r>
          </w:p>
        </w:tc>
        <w:tc>
          <w:tcPr>
            <w:tcW w:w="794" w:type="dxa"/>
          </w:tcPr>
          <w:p w14:paraId="49DCA7AC" w14:textId="77777777" w:rsidR="00C424E5" w:rsidRDefault="00C424E5">
            <w:pPr>
              <w:cnfStyle w:val="000000000000" w:firstRow="0" w:lastRow="0" w:firstColumn="0" w:lastColumn="0" w:oddVBand="0" w:evenVBand="0" w:oddHBand="0" w:evenHBand="0" w:firstRowFirstColumn="0" w:firstRowLastColumn="0" w:lastRowFirstColumn="0" w:lastRowLastColumn="0"/>
            </w:pPr>
            <w:r>
              <w:t>104</w:t>
            </w:r>
          </w:p>
        </w:tc>
      </w:tr>
      <w:tr w:rsidR="00C424E5" w14:paraId="62F11837" w14:textId="77777777">
        <w:tc>
          <w:tcPr>
            <w:cnfStyle w:val="001000000000" w:firstRow="0" w:lastRow="0" w:firstColumn="1" w:lastColumn="0" w:oddVBand="0" w:evenVBand="0" w:oddHBand="0" w:evenHBand="0" w:firstRowFirstColumn="0" w:firstRowLastColumn="0" w:lastRowFirstColumn="0" w:lastRowLastColumn="0"/>
            <w:tcW w:w="3740" w:type="dxa"/>
          </w:tcPr>
          <w:p w14:paraId="3300FA1A" w14:textId="77777777" w:rsidR="00C424E5" w:rsidRDefault="00C424E5">
            <w:r>
              <w:t>Health</w:t>
            </w:r>
          </w:p>
        </w:tc>
        <w:tc>
          <w:tcPr>
            <w:tcW w:w="794" w:type="dxa"/>
          </w:tcPr>
          <w:p w14:paraId="47877A5B" w14:textId="77777777" w:rsidR="00C424E5" w:rsidRDefault="00C424E5">
            <w:pPr>
              <w:cnfStyle w:val="000000000000" w:firstRow="0" w:lastRow="0" w:firstColumn="0" w:lastColumn="0" w:oddVBand="0" w:evenVBand="0" w:oddHBand="0" w:evenHBand="0" w:firstRowFirstColumn="0" w:firstRowLastColumn="0" w:lastRowFirstColumn="0" w:lastRowLastColumn="0"/>
            </w:pPr>
            <w:r>
              <w:t>2 479</w:t>
            </w:r>
          </w:p>
        </w:tc>
        <w:tc>
          <w:tcPr>
            <w:tcW w:w="794" w:type="dxa"/>
          </w:tcPr>
          <w:p w14:paraId="336DD6C4" w14:textId="77777777" w:rsidR="00C424E5" w:rsidRDefault="00C424E5">
            <w:pPr>
              <w:cnfStyle w:val="000000000000" w:firstRow="0" w:lastRow="0" w:firstColumn="0" w:lastColumn="0" w:oddVBand="0" w:evenVBand="0" w:oddHBand="0" w:evenHBand="0" w:firstRowFirstColumn="0" w:firstRowLastColumn="0" w:lastRowFirstColumn="0" w:lastRowLastColumn="0"/>
            </w:pPr>
            <w:r>
              <w:t>2 361</w:t>
            </w:r>
          </w:p>
        </w:tc>
        <w:tc>
          <w:tcPr>
            <w:tcW w:w="794" w:type="dxa"/>
          </w:tcPr>
          <w:p w14:paraId="17D4F1A6" w14:textId="77777777" w:rsidR="00C424E5" w:rsidRDefault="00C424E5">
            <w:pPr>
              <w:cnfStyle w:val="000000000000" w:firstRow="0" w:lastRow="0" w:firstColumn="0" w:lastColumn="0" w:oddVBand="0" w:evenVBand="0" w:oddHBand="0" w:evenHBand="0" w:firstRowFirstColumn="0" w:firstRowLastColumn="0" w:lastRowFirstColumn="0" w:lastRowLastColumn="0"/>
            </w:pPr>
            <w:r>
              <w:t>2 032</w:t>
            </w:r>
          </w:p>
        </w:tc>
        <w:tc>
          <w:tcPr>
            <w:tcW w:w="794" w:type="dxa"/>
          </w:tcPr>
          <w:p w14:paraId="5F473BFA" w14:textId="77777777" w:rsidR="00C424E5" w:rsidRDefault="00C424E5">
            <w:pPr>
              <w:cnfStyle w:val="000000000000" w:firstRow="0" w:lastRow="0" w:firstColumn="0" w:lastColumn="0" w:oddVBand="0" w:evenVBand="0" w:oddHBand="0" w:evenHBand="0" w:firstRowFirstColumn="0" w:firstRowLastColumn="0" w:lastRowFirstColumn="0" w:lastRowLastColumn="0"/>
            </w:pPr>
            <w:r>
              <w:t>1 133</w:t>
            </w:r>
          </w:p>
        </w:tc>
        <w:tc>
          <w:tcPr>
            <w:tcW w:w="794" w:type="dxa"/>
          </w:tcPr>
          <w:p w14:paraId="4AD4DB62" w14:textId="77777777" w:rsidR="00C424E5" w:rsidRDefault="00C424E5">
            <w:pPr>
              <w:cnfStyle w:val="000000000000" w:firstRow="0" w:lastRow="0" w:firstColumn="0" w:lastColumn="0" w:oddVBand="0" w:evenVBand="0" w:oddHBand="0" w:evenHBand="0" w:firstRowFirstColumn="0" w:firstRowLastColumn="0" w:lastRowFirstColumn="0" w:lastRowLastColumn="0"/>
            </w:pPr>
            <w:r>
              <w:t>1 159</w:t>
            </w:r>
          </w:p>
        </w:tc>
      </w:tr>
      <w:tr w:rsidR="00C424E5" w14:paraId="4E93070E" w14:textId="77777777">
        <w:tc>
          <w:tcPr>
            <w:cnfStyle w:val="001000000000" w:firstRow="0" w:lastRow="0" w:firstColumn="1" w:lastColumn="0" w:oddVBand="0" w:evenVBand="0" w:oddHBand="0" w:evenHBand="0" w:firstRowFirstColumn="0" w:firstRowLastColumn="0" w:lastRowFirstColumn="0" w:lastRowLastColumn="0"/>
            <w:tcW w:w="3740" w:type="dxa"/>
          </w:tcPr>
          <w:p w14:paraId="563AD91C" w14:textId="77777777" w:rsidR="00C424E5" w:rsidRDefault="00C424E5">
            <w:r>
              <w:t>Recreation, culture and religion</w:t>
            </w:r>
          </w:p>
        </w:tc>
        <w:tc>
          <w:tcPr>
            <w:tcW w:w="794" w:type="dxa"/>
          </w:tcPr>
          <w:p w14:paraId="2AA7ECED" w14:textId="77777777" w:rsidR="00C424E5" w:rsidRDefault="00C424E5">
            <w:pPr>
              <w:cnfStyle w:val="000000000000" w:firstRow="0" w:lastRow="0" w:firstColumn="0" w:lastColumn="0" w:oddVBand="0" w:evenVBand="0" w:oddHBand="0" w:evenHBand="0" w:firstRowFirstColumn="0" w:firstRowLastColumn="0" w:lastRowFirstColumn="0" w:lastRowLastColumn="0"/>
            </w:pPr>
            <w:r>
              <w:t>111</w:t>
            </w:r>
          </w:p>
        </w:tc>
        <w:tc>
          <w:tcPr>
            <w:tcW w:w="794" w:type="dxa"/>
          </w:tcPr>
          <w:p w14:paraId="07390D34" w14:textId="77777777" w:rsidR="00C424E5" w:rsidRDefault="00C424E5">
            <w:pPr>
              <w:cnfStyle w:val="000000000000" w:firstRow="0" w:lastRow="0" w:firstColumn="0" w:lastColumn="0" w:oddVBand="0" w:evenVBand="0" w:oddHBand="0" w:evenHBand="0" w:firstRowFirstColumn="0" w:firstRowLastColumn="0" w:lastRowFirstColumn="0" w:lastRowLastColumn="0"/>
            </w:pPr>
            <w:r>
              <w:t>152</w:t>
            </w:r>
          </w:p>
        </w:tc>
        <w:tc>
          <w:tcPr>
            <w:tcW w:w="794" w:type="dxa"/>
          </w:tcPr>
          <w:p w14:paraId="32BC33D9" w14:textId="77777777" w:rsidR="00C424E5" w:rsidRDefault="00C424E5">
            <w:pPr>
              <w:cnfStyle w:val="000000000000" w:firstRow="0" w:lastRow="0" w:firstColumn="0" w:lastColumn="0" w:oddVBand="0" w:evenVBand="0" w:oddHBand="0" w:evenHBand="0" w:firstRowFirstColumn="0" w:firstRowLastColumn="0" w:lastRowFirstColumn="0" w:lastRowLastColumn="0"/>
            </w:pPr>
            <w:r>
              <w:t>76</w:t>
            </w:r>
          </w:p>
        </w:tc>
        <w:tc>
          <w:tcPr>
            <w:tcW w:w="794" w:type="dxa"/>
          </w:tcPr>
          <w:p w14:paraId="791DC8E5" w14:textId="77777777" w:rsidR="00C424E5" w:rsidRDefault="00C424E5">
            <w:pPr>
              <w:cnfStyle w:val="000000000000" w:firstRow="0" w:lastRow="0" w:firstColumn="0" w:lastColumn="0" w:oddVBand="0" w:evenVBand="0" w:oddHBand="0" w:evenHBand="0" w:firstRowFirstColumn="0" w:firstRowLastColumn="0" w:lastRowFirstColumn="0" w:lastRowLastColumn="0"/>
            </w:pPr>
            <w:r>
              <w:t>188</w:t>
            </w:r>
          </w:p>
        </w:tc>
        <w:tc>
          <w:tcPr>
            <w:tcW w:w="794" w:type="dxa"/>
          </w:tcPr>
          <w:p w14:paraId="06B0FAD2" w14:textId="77777777" w:rsidR="00C424E5" w:rsidRDefault="00C424E5">
            <w:pPr>
              <w:cnfStyle w:val="000000000000" w:firstRow="0" w:lastRow="0" w:firstColumn="0" w:lastColumn="0" w:oddVBand="0" w:evenVBand="0" w:oddHBand="0" w:evenHBand="0" w:firstRowFirstColumn="0" w:firstRowLastColumn="0" w:lastRowFirstColumn="0" w:lastRowLastColumn="0"/>
            </w:pPr>
            <w:r>
              <w:t>267</w:t>
            </w:r>
          </w:p>
        </w:tc>
      </w:tr>
      <w:tr w:rsidR="00C424E5" w14:paraId="50871451" w14:textId="77777777">
        <w:tc>
          <w:tcPr>
            <w:cnfStyle w:val="001000000000" w:firstRow="0" w:lastRow="0" w:firstColumn="1" w:lastColumn="0" w:oddVBand="0" w:evenVBand="0" w:oddHBand="0" w:evenHBand="0" w:firstRowFirstColumn="0" w:firstRowLastColumn="0" w:lastRowFirstColumn="0" w:lastRowLastColumn="0"/>
            <w:tcW w:w="3740" w:type="dxa"/>
          </w:tcPr>
          <w:p w14:paraId="798289D6" w14:textId="77777777" w:rsidR="00C424E5" w:rsidRDefault="00C424E5">
            <w:r>
              <w:t>Education</w:t>
            </w:r>
          </w:p>
        </w:tc>
        <w:tc>
          <w:tcPr>
            <w:tcW w:w="794" w:type="dxa"/>
          </w:tcPr>
          <w:p w14:paraId="1FEECA35" w14:textId="77777777" w:rsidR="00C424E5" w:rsidRDefault="00C424E5">
            <w:pPr>
              <w:cnfStyle w:val="000000000000" w:firstRow="0" w:lastRow="0" w:firstColumn="0" w:lastColumn="0" w:oddVBand="0" w:evenVBand="0" w:oddHBand="0" w:evenHBand="0" w:firstRowFirstColumn="0" w:firstRowLastColumn="0" w:lastRowFirstColumn="0" w:lastRowLastColumn="0"/>
            </w:pPr>
            <w:r>
              <w:t>2 977</w:t>
            </w:r>
          </w:p>
        </w:tc>
        <w:tc>
          <w:tcPr>
            <w:tcW w:w="794" w:type="dxa"/>
          </w:tcPr>
          <w:p w14:paraId="26D029A6" w14:textId="77777777" w:rsidR="00C424E5" w:rsidRDefault="00C424E5">
            <w:pPr>
              <w:cnfStyle w:val="000000000000" w:firstRow="0" w:lastRow="0" w:firstColumn="0" w:lastColumn="0" w:oddVBand="0" w:evenVBand="0" w:oddHBand="0" w:evenHBand="0" w:firstRowFirstColumn="0" w:firstRowLastColumn="0" w:lastRowFirstColumn="0" w:lastRowLastColumn="0"/>
            </w:pPr>
            <w:r>
              <w:t>3 471</w:t>
            </w:r>
          </w:p>
        </w:tc>
        <w:tc>
          <w:tcPr>
            <w:tcW w:w="794" w:type="dxa"/>
          </w:tcPr>
          <w:p w14:paraId="1ADA8958" w14:textId="77777777" w:rsidR="00C424E5" w:rsidRDefault="00C424E5">
            <w:pPr>
              <w:cnfStyle w:val="000000000000" w:firstRow="0" w:lastRow="0" w:firstColumn="0" w:lastColumn="0" w:oddVBand="0" w:evenVBand="0" w:oddHBand="0" w:evenHBand="0" w:firstRowFirstColumn="0" w:firstRowLastColumn="0" w:lastRowFirstColumn="0" w:lastRowLastColumn="0"/>
            </w:pPr>
            <w:r>
              <w:t>1 915</w:t>
            </w:r>
          </w:p>
        </w:tc>
        <w:tc>
          <w:tcPr>
            <w:tcW w:w="794" w:type="dxa"/>
          </w:tcPr>
          <w:p w14:paraId="4CD3A5BF" w14:textId="77777777" w:rsidR="00C424E5" w:rsidRDefault="00C424E5">
            <w:pPr>
              <w:cnfStyle w:val="000000000000" w:firstRow="0" w:lastRow="0" w:firstColumn="0" w:lastColumn="0" w:oddVBand="0" w:evenVBand="0" w:oddHBand="0" w:evenHBand="0" w:firstRowFirstColumn="0" w:firstRowLastColumn="0" w:lastRowFirstColumn="0" w:lastRowLastColumn="0"/>
            </w:pPr>
            <w:r>
              <w:t>1 199</w:t>
            </w:r>
          </w:p>
        </w:tc>
        <w:tc>
          <w:tcPr>
            <w:tcW w:w="794" w:type="dxa"/>
          </w:tcPr>
          <w:p w14:paraId="6E8A73BD" w14:textId="77777777" w:rsidR="00C424E5" w:rsidRDefault="00C424E5">
            <w:pPr>
              <w:cnfStyle w:val="000000000000" w:firstRow="0" w:lastRow="0" w:firstColumn="0" w:lastColumn="0" w:oddVBand="0" w:evenVBand="0" w:oddHBand="0" w:evenHBand="0" w:firstRowFirstColumn="0" w:firstRowLastColumn="0" w:lastRowFirstColumn="0" w:lastRowLastColumn="0"/>
            </w:pPr>
            <w:r>
              <w:t>1 258</w:t>
            </w:r>
          </w:p>
        </w:tc>
      </w:tr>
      <w:tr w:rsidR="00C424E5" w14:paraId="420D4361" w14:textId="77777777">
        <w:tc>
          <w:tcPr>
            <w:cnfStyle w:val="001000000000" w:firstRow="0" w:lastRow="0" w:firstColumn="1" w:lastColumn="0" w:oddVBand="0" w:evenVBand="0" w:oddHBand="0" w:evenHBand="0" w:firstRowFirstColumn="0" w:firstRowLastColumn="0" w:lastRowFirstColumn="0" w:lastRowLastColumn="0"/>
            <w:tcW w:w="3740" w:type="dxa"/>
          </w:tcPr>
          <w:p w14:paraId="69234E9A" w14:textId="77777777" w:rsidR="00C424E5" w:rsidRDefault="00C424E5">
            <w:r>
              <w:t>Social protection</w:t>
            </w:r>
          </w:p>
        </w:tc>
        <w:tc>
          <w:tcPr>
            <w:tcW w:w="794" w:type="dxa"/>
          </w:tcPr>
          <w:p w14:paraId="0A8B485C" w14:textId="77777777" w:rsidR="00C424E5" w:rsidRDefault="00C424E5">
            <w:pPr>
              <w:cnfStyle w:val="000000000000" w:firstRow="0" w:lastRow="0" w:firstColumn="0" w:lastColumn="0" w:oddVBand="0" w:evenVBand="0" w:oddHBand="0" w:evenHBand="0" w:firstRowFirstColumn="0" w:firstRowLastColumn="0" w:lastRowFirstColumn="0" w:lastRowLastColumn="0"/>
            </w:pPr>
            <w:r>
              <w:t>569</w:t>
            </w:r>
          </w:p>
        </w:tc>
        <w:tc>
          <w:tcPr>
            <w:tcW w:w="794" w:type="dxa"/>
          </w:tcPr>
          <w:p w14:paraId="1C639FCE" w14:textId="77777777" w:rsidR="00C424E5" w:rsidRDefault="00C424E5">
            <w:pPr>
              <w:cnfStyle w:val="000000000000" w:firstRow="0" w:lastRow="0" w:firstColumn="0" w:lastColumn="0" w:oddVBand="0" w:evenVBand="0" w:oddHBand="0" w:evenHBand="0" w:firstRowFirstColumn="0" w:firstRowLastColumn="0" w:lastRowFirstColumn="0" w:lastRowLastColumn="0"/>
            </w:pPr>
            <w:r>
              <w:t>599</w:t>
            </w:r>
          </w:p>
        </w:tc>
        <w:tc>
          <w:tcPr>
            <w:tcW w:w="794" w:type="dxa"/>
          </w:tcPr>
          <w:p w14:paraId="34F66606" w14:textId="77777777" w:rsidR="00C424E5" w:rsidRDefault="00C424E5">
            <w:pPr>
              <w:cnfStyle w:val="000000000000" w:firstRow="0" w:lastRow="0" w:firstColumn="0" w:lastColumn="0" w:oddVBand="0" w:evenVBand="0" w:oddHBand="0" w:evenHBand="0" w:firstRowFirstColumn="0" w:firstRowLastColumn="0" w:lastRowFirstColumn="0" w:lastRowLastColumn="0"/>
            </w:pPr>
            <w:r>
              <w:t>921</w:t>
            </w:r>
          </w:p>
        </w:tc>
        <w:tc>
          <w:tcPr>
            <w:tcW w:w="794" w:type="dxa"/>
          </w:tcPr>
          <w:p w14:paraId="6BB4B2E4" w14:textId="77777777" w:rsidR="00C424E5" w:rsidRDefault="00C424E5">
            <w:pPr>
              <w:cnfStyle w:val="000000000000" w:firstRow="0" w:lastRow="0" w:firstColumn="0" w:lastColumn="0" w:oddVBand="0" w:evenVBand="0" w:oddHBand="0" w:evenHBand="0" w:firstRowFirstColumn="0" w:firstRowLastColumn="0" w:lastRowFirstColumn="0" w:lastRowLastColumn="0"/>
            </w:pPr>
            <w:r>
              <w:t>462</w:t>
            </w:r>
          </w:p>
        </w:tc>
        <w:tc>
          <w:tcPr>
            <w:tcW w:w="794" w:type="dxa"/>
          </w:tcPr>
          <w:p w14:paraId="0E3FD64F" w14:textId="77777777" w:rsidR="00C424E5" w:rsidRDefault="00C424E5">
            <w:pPr>
              <w:cnfStyle w:val="000000000000" w:firstRow="0" w:lastRow="0" w:firstColumn="0" w:lastColumn="0" w:oddVBand="0" w:evenVBand="0" w:oddHBand="0" w:evenHBand="0" w:firstRowFirstColumn="0" w:firstRowLastColumn="0" w:lastRowFirstColumn="0" w:lastRowLastColumn="0"/>
            </w:pPr>
            <w:r>
              <w:t>89</w:t>
            </w:r>
          </w:p>
        </w:tc>
      </w:tr>
      <w:tr w:rsidR="00C424E5" w14:paraId="65E1C104" w14:textId="77777777">
        <w:tc>
          <w:tcPr>
            <w:cnfStyle w:val="001000000000" w:firstRow="0" w:lastRow="0" w:firstColumn="1" w:lastColumn="0" w:oddVBand="0" w:evenVBand="0" w:oddHBand="0" w:evenHBand="0" w:firstRowFirstColumn="0" w:firstRowLastColumn="0" w:lastRowFirstColumn="0" w:lastRowLastColumn="0"/>
            <w:tcW w:w="3740" w:type="dxa"/>
          </w:tcPr>
          <w:p w14:paraId="11DEC04D" w14:textId="77777777" w:rsidR="00C424E5" w:rsidRDefault="00C424E5">
            <w:r>
              <w:t>Transport</w:t>
            </w:r>
          </w:p>
        </w:tc>
        <w:tc>
          <w:tcPr>
            <w:tcW w:w="794" w:type="dxa"/>
          </w:tcPr>
          <w:p w14:paraId="2983F835" w14:textId="77777777" w:rsidR="00C424E5" w:rsidRDefault="00C424E5">
            <w:pPr>
              <w:cnfStyle w:val="000000000000" w:firstRow="0" w:lastRow="0" w:firstColumn="0" w:lastColumn="0" w:oddVBand="0" w:evenVBand="0" w:oddHBand="0" w:evenHBand="0" w:firstRowFirstColumn="0" w:firstRowLastColumn="0" w:lastRowFirstColumn="0" w:lastRowLastColumn="0"/>
            </w:pPr>
            <w:r>
              <w:t>13 846</w:t>
            </w:r>
          </w:p>
        </w:tc>
        <w:tc>
          <w:tcPr>
            <w:tcW w:w="794" w:type="dxa"/>
          </w:tcPr>
          <w:p w14:paraId="46D5BF80" w14:textId="77777777" w:rsidR="00C424E5" w:rsidRDefault="00C424E5">
            <w:pPr>
              <w:cnfStyle w:val="000000000000" w:firstRow="0" w:lastRow="0" w:firstColumn="0" w:lastColumn="0" w:oddVBand="0" w:evenVBand="0" w:oddHBand="0" w:evenHBand="0" w:firstRowFirstColumn="0" w:firstRowLastColumn="0" w:lastRowFirstColumn="0" w:lastRowLastColumn="0"/>
            </w:pPr>
            <w:r>
              <w:t>13 277</w:t>
            </w:r>
          </w:p>
        </w:tc>
        <w:tc>
          <w:tcPr>
            <w:tcW w:w="794" w:type="dxa"/>
          </w:tcPr>
          <w:p w14:paraId="11207ED3" w14:textId="77777777" w:rsidR="00C424E5" w:rsidRDefault="00C424E5">
            <w:pPr>
              <w:cnfStyle w:val="000000000000" w:firstRow="0" w:lastRow="0" w:firstColumn="0" w:lastColumn="0" w:oddVBand="0" w:evenVBand="0" w:oddHBand="0" w:evenHBand="0" w:firstRowFirstColumn="0" w:firstRowLastColumn="0" w:lastRowFirstColumn="0" w:lastRowLastColumn="0"/>
            </w:pPr>
            <w:r>
              <w:t>12 874</w:t>
            </w:r>
          </w:p>
        </w:tc>
        <w:tc>
          <w:tcPr>
            <w:tcW w:w="794" w:type="dxa"/>
          </w:tcPr>
          <w:p w14:paraId="26AE18A8" w14:textId="77777777" w:rsidR="00C424E5" w:rsidRDefault="00C424E5">
            <w:pPr>
              <w:cnfStyle w:val="000000000000" w:firstRow="0" w:lastRow="0" w:firstColumn="0" w:lastColumn="0" w:oddVBand="0" w:evenVBand="0" w:oddHBand="0" w:evenHBand="0" w:firstRowFirstColumn="0" w:firstRowLastColumn="0" w:lastRowFirstColumn="0" w:lastRowLastColumn="0"/>
            </w:pPr>
            <w:r>
              <w:t>12 304</w:t>
            </w:r>
          </w:p>
        </w:tc>
        <w:tc>
          <w:tcPr>
            <w:tcW w:w="794" w:type="dxa"/>
          </w:tcPr>
          <w:p w14:paraId="7FF49AC0" w14:textId="77777777" w:rsidR="00C424E5" w:rsidRDefault="00C424E5">
            <w:pPr>
              <w:cnfStyle w:val="000000000000" w:firstRow="0" w:lastRow="0" w:firstColumn="0" w:lastColumn="0" w:oddVBand="0" w:evenVBand="0" w:oddHBand="0" w:evenHBand="0" w:firstRowFirstColumn="0" w:firstRowLastColumn="0" w:lastRowFirstColumn="0" w:lastRowLastColumn="0"/>
            </w:pPr>
            <w:r>
              <w:t>12 336</w:t>
            </w:r>
          </w:p>
        </w:tc>
      </w:tr>
      <w:tr w:rsidR="00C424E5" w14:paraId="65A14C1D"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20B6ADAB" w14:textId="77777777" w:rsidR="00C424E5" w:rsidRDefault="00C424E5">
            <w:r>
              <w:t>Not allocated by function</w:t>
            </w:r>
            <w:r>
              <w:rPr>
                <w:vertAlign w:val="superscript"/>
              </w:rPr>
              <w:t xml:space="preserve"> (a)</w:t>
            </w:r>
          </w:p>
        </w:tc>
        <w:tc>
          <w:tcPr>
            <w:tcW w:w="794" w:type="dxa"/>
            <w:tcBorders>
              <w:bottom w:val="single" w:sz="6" w:space="0" w:color="auto"/>
            </w:tcBorders>
          </w:tcPr>
          <w:p w14:paraId="1B312C3A" w14:textId="77777777" w:rsidR="00C424E5" w:rsidRDefault="00C424E5">
            <w:pPr>
              <w:cnfStyle w:val="000000000000" w:firstRow="0" w:lastRow="0" w:firstColumn="0" w:lastColumn="0" w:oddVBand="0" w:evenVBand="0" w:oddHBand="0" w:evenHBand="0" w:firstRowFirstColumn="0" w:firstRowLastColumn="0" w:lastRowFirstColumn="0" w:lastRowLastColumn="0"/>
            </w:pPr>
            <w:r>
              <w:t>(7 347)</w:t>
            </w:r>
          </w:p>
        </w:tc>
        <w:tc>
          <w:tcPr>
            <w:tcW w:w="794" w:type="dxa"/>
            <w:tcBorders>
              <w:bottom w:val="single" w:sz="6" w:space="0" w:color="auto"/>
            </w:tcBorders>
          </w:tcPr>
          <w:p w14:paraId="487A5BE6" w14:textId="77777777" w:rsidR="00C424E5" w:rsidRDefault="00C424E5">
            <w:pPr>
              <w:cnfStyle w:val="000000000000" w:firstRow="0" w:lastRow="0" w:firstColumn="0" w:lastColumn="0" w:oddVBand="0" w:evenVBand="0" w:oddHBand="0" w:evenHBand="0" w:firstRowFirstColumn="0" w:firstRowLastColumn="0" w:lastRowFirstColumn="0" w:lastRowLastColumn="0"/>
            </w:pPr>
            <w:r>
              <w:t>(7 902)</w:t>
            </w:r>
          </w:p>
        </w:tc>
        <w:tc>
          <w:tcPr>
            <w:tcW w:w="794" w:type="dxa"/>
            <w:tcBorders>
              <w:bottom w:val="single" w:sz="6" w:space="0" w:color="auto"/>
            </w:tcBorders>
          </w:tcPr>
          <w:p w14:paraId="1924748D" w14:textId="77777777" w:rsidR="00C424E5" w:rsidRDefault="00C424E5">
            <w:pPr>
              <w:cnfStyle w:val="000000000000" w:firstRow="0" w:lastRow="0" w:firstColumn="0" w:lastColumn="0" w:oddVBand="0" w:evenVBand="0" w:oddHBand="0" w:evenHBand="0" w:firstRowFirstColumn="0" w:firstRowLastColumn="0" w:lastRowFirstColumn="0" w:lastRowLastColumn="0"/>
            </w:pPr>
            <w:r>
              <w:t>(2 347)</w:t>
            </w:r>
          </w:p>
        </w:tc>
        <w:tc>
          <w:tcPr>
            <w:tcW w:w="794" w:type="dxa"/>
            <w:tcBorders>
              <w:bottom w:val="single" w:sz="6" w:space="0" w:color="auto"/>
            </w:tcBorders>
          </w:tcPr>
          <w:p w14:paraId="26981194" w14:textId="77777777" w:rsidR="00C424E5" w:rsidRDefault="00C424E5">
            <w:pPr>
              <w:cnfStyle w:val="000000000000" w:firstRow="0" w:lastRow="0" w:firstColumn="0" w:lastColumn="0" w:oddVBand="0" w:evenVBand="0" w:oddHBand="0" w:evenHBand="0" w:firstRowFirstColumn="0" w:firstRowLastColumn="0" w:lastRowFirstColumn="0" w:lastRowLastColumn="0"/>
            </w:pPr>
            <w:r>
              <w:t>2 438</w:t>
            </w:r>
          </w:p>
        </w:tc>
        <w:tc>
          <w:tcPr>
            <w:tcW w:w="794" w:type="dxa"/>
            <w:tcBorders>
              <w:bottom w:val="single" w:sz="6" w:space="0" w:color="auto"/>
            </w:tcBorders>
          </w:tcPr>
          <w:p w14:paraId="32E711C4" w14:textId="77777777" w:rsidR="00C424E5" w:rsidRDefault="00C424E5">
            <w:pPr>
              <w:cnfStyle w:val="000000000000" w:firstRow="0" w:lastRow="0" w:firstColumn="0" w:lastColumn="0" w:oddVBand="0" w:evenVBand="0" w:oddHBand="0" w:evenHBand="0" w:firstRowFirstColumn="0" w:firstRowLastColumn="0" w:lastRowFirstColumn="0" w:lastRowLastColumn="0"/>
            </w:pPr>
            <w:r>
              <w:t>2 133</w:t>
            </w:r>
          </w:p>
        </w:tc>
      </w:tr>
      <w:tr w:rsidR="00C424E5" w14:paraId="5A9C1148"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77F1F269" w14:textId="77777777" w:rsidR="00C424E5" w:rsidRDefault="00C424E5">
            <w:r>
              <w:rPr>
                <w:b/>
              </w:rPr>
              <w:t>Total purchases of non</w:t>
            </w:r>
            <w:r>
              <w:rPr>
                <w:b/>
              </w:rPr>
              <w:noBreakHyphen/>
              <w:t>financial assets</w:t>
            </w:r>
          </w:p>
        </w:tc>
        <w:tc>
          <w:tcPr>
            <w:tcW w:w="794" w:type="dxa"/>
            <w:tcBorders>
              <w:top w:val="single" w:sz="6" w:space="0" w:color="auto"/>
              <w:bottom w:val="single" w:sz="12" w:space="0" w:color="auto"/>
            </w:tcBorders>
          </w:tcPr>
          <w:p w14:paraId="17EDAC58"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15 138</w:t>
            </w:r>
          </w:p>
        </w:tc>
        <w:tc>
          <w:tcPr>
            <w:tcW w:w="794" w:type="dxa"/>
            <w:tcBorders>
              <w:top w:val="single" w:sz="6" w:space="0" w:color="auto"/>
              <w:bottom w:val="single" w:sz="12" w:space="0" w:color="auto"/>
            </w:tcBorders>
          </w:tcPr>
          <w:p w14:paraId="13F96BBC"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14 788</w:t>
            </w:r>
          </w:p>
        </w:tc>
        <w:tc>
          <w:tcPr>
            <w:tcW w:w="794" w:type="dxa"/>
            <w:tcBorders>
              <w:top w:val="single" w:sz="6" w:space="0" w:color="auto"/>
              <w:bottom w:val="single" w:sz="12" w:space="0" w:color="auto"/>
            </w:tcBorders>
          </w:tcPr>
          <w:p w14:paraId="62A6D4E0"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16 820</w:t>
            </w:r>
          </w:p>
        </w:tc>
        <w:tc>
          <w:tcPr>
            <w:tcW w:w="794" w:type="dxa"/>
            <w:tcBorders>
              <w:top w:val="single" w:sz="6" w:space="0" w:color="auto"/>
              <w:bottom w:val="single" w:sz="12" w:space="0" w:color="auto"/>
            </w:tcBorders>
          </w:tcPr>
          <w:p w14:paraId="35417D74"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18 559</w:t>
            </w:r>
          </w:p>
        </w:tc>
        <w:tc>
          <w:tcPr>
            <w:tcW w:w="794" w:type="dxa"/>
            <w:tcBorders>
              <w:top w:val="single" w:sz="6" w:space="0" w:color="auto"/>
              <w:bottom w:val="single" w:sz="12" w:space="0" w:color="auto"/>
            </w:tcBorders>
          </w:tcPr>
          <w:p w14:paraId="2C768A15" w14:textId="30DA76C8" w:rsidR="00C424E5" w:rsidRDefault="00C424E5">
            <w:pPr>
              <w:cnfStyle w:val="000000000000" w:firstRow="0" w:lastRow="0" w:firstColumn="0" w:lastColumn="0" w:oddVBand="0" w:evenVBand="0" w:oddHBand="0" w:evenHBand="0" w:firstRowFirstColumn="0" w:firstRowLastColumn="0" w:lastRowFirstColumn="0" w:lastRowLastColumn="0"/>
            </w:pPr>
            <w:r>
              <w:rPr>
                <w:b/>
              </w:rPr>
              <w:t>17 885</w:t>
            </w:r>
          </w:p>
        </w:tc>
      </w:tr>
    </w:tbl>
    <w:p w14:paraId="304FE634" w14:textId="77777777" w:rsidR="00C424E5" w:rsidRPr="00DA1FBC" w:rsidRDefault="00C424E5" w:rsidP="006206EF">
      <w:pPr>
        <w:pStyle w:val="Note"/>
        <w:ind w:left="0" w:firstLine="0"/>
      </w:pPr>
      <w:r w:rsidRPr="00DA1FBC">
        <w:t>Note:</w:t>
      </w:r>
    </w:p>
    <w:p w14:paraId="043F13B7" w14:textId="62ACD954" w:rsidR="00C424E5" w:rsidRDefault="00C424E5" w:rsidP="006206EF">
      <w:pPr>
        <w:pStyle w:val="Note"/>
      </w:pPr>
      <w:r w:rsidRPr="00DA1FBC">
        <w:t>(a)</w:t>
      </w:r>
      <w:r w:rsidRPr="00DA1FBC">
        <w:tab/>
        <w:t>Estimated amount available to be allocated to departments and projects in future budgets, including major capital investment. It</w:t>
      </w:r>
      <w:r w:rsidR="008C39B9">
        <w:t> </w:t>
      </w:r>
      <w:r w:rsidRPr="00DA1FBC">
        <w:t>also includes estimated underspends, which may be subject to carryover.</w:t>
      </w:r>
    </w:p>
    <w:p w14:paraId="02E3F727" w14:textId="77777777" w:rsidR="00C424E5" w:rsidRDefault="00C424E5" w:rsidP="006206EF"/>
    <w:p w14:paraId="7E8D31F6" w14:textId="77777777" w:rsidR="00C424E5" w:rsidRDefault="00C424E5" w:rsidP="006206EF">
      <w:pPr>
        <w:pStyle w:val="TableHeading"/>
        <w:pageBreakBefore/>
        <w:ind w:left="1022" w:hanging="1022"/>
      </w:pPr>
      <w:r w:rsidRPr="00181E4A">
        <w:lastRenderedPageBreak/>
        <w:t>Purchases of non-financial assets by portfolio department</w:t>
      </w:r>
      <w:r w:rsidRPr="00181E4A">
        <w:tab/>
        <w:t>($ million)</w:t>
      </w:r>
    </w:p>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F70B1C" w14:paraId="41FBB417" w14:textId="77777777" w:rsidTr="00A836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09C29D50" w14:textId="077E9B8C" w:rsidR="00F70B1C" w:rsidRDefault="00F70B1C"/>
        </w:tc>
        <w:tc>
          <w:tcPr>
            <w:tcW w:w="794" w:type="dxa"/>
          </w:tcPr>
          <w:p w14:paraId="0A19C2AF" w14:textId="167E6929" w:rsidR="00F70B1C" w:rsidRDefault="00F70B1C" w:rsidP="00A853D3">
            <w:pPr>
              <w:cnfStyle w:val="100000000000" w:firstRow="1" w:lastRow="0" w:firstColumn="0" w:lastColumn="0" w:oddVBand="0" w:evenVBand="0" w:oddHBand="0" w:evenHBand="0" w:firstRowFirstColumn="0" w:firstRowLastColumn="0" w:lastRowFirstColumn="0" w:lastRowLastColumn="0"/>
            </w:pPr>
            <w:r>
              <w:t>2022</w:t>
            </w:r>
            <w:r>
              <w:noBreakHyphen/>
              <w:t>23</w:t>
            </w:r>
            <w:r>
              <w:rPr>
                <w:i w:val="0"/>
              </w:rPr>
              <w:br/>
            </w:r>
            <w:r>
              <w:t>budget</w:t>
            </w:r>
          </w:p>
        </w:tc>
        <w:tc>
          <w:tcPr>
            <w:tcW w:w="794" w:type="dxa"/>
          </w:tcPr>
          <w:p w14:paraId="194E6508" w14:textId="142D1021" w:rsidR="00F70B1C" w:rsidRDefault="00F70B1C" w:rsidP="0080414F">
            <w:pPr>
              <w:cnfStyle w:val="100000000000" w:firstRow="1" w:lastRow="0" w:firstColumn="0" w:lastColumn="0" w:oddVBand="0" w:evenVBand="0" w:oddHBand="0" w:evenHBand="0" w:firstRowFirstColumn="0" w:firstRowLastColumn="0" w:lastRowFirstColumn="0" w:lastRowLastColumn="0"/>
            </w:pPr>
            <w:r>
              <w:t>2022</w:t>
            </w:r>
            <w:r>
              <w:noBreakHyphen/>
              <w:t>23</w:t>
            </w:r>
            <w:r>
              <w:rPr>
                <w:i w:val="0"/>
              </w:rPr>
              <w:br/>
            </w:r>
            <w:r>
              <w:t>revised</w:t>
            </w:r>
          </w:p>
        </w:tc>
        <w:tc>
          <w:tcPr>
            <w:tcW w:w="794" w:type="dxa"/>
          </w:tcPr>
          <w:p w14:paraId="6F8692E2" w14:textId="1E5C03B2" w:rsidR="00F70B1C" w:rsidRDefault="00F70B1C" w:rsidP="0090275A">
            <w:pPr>
              <w:cnfStyle w:val="100000000000" w:firstRow="1" w:lastRow="0" w:firstColumn="0" w:lastColumn="0" w:oddVBand="0" w:evenVBand="0" w:oddHBand="0" w:evenHBand="0" w:firstRowFirstColumn="0" w:firstRowLastColumn="0" w:lastRowFirstColumn="0" w:lastRowLastColumn="0"/>
            </w:pPr>
            <w:r>
              <w:t>2023</w:t>
            </w:r>
            <w:r>
              <w:noBreakHyphen/>
              <w:t>24</w:t>
            </w:r>
            <w:r>
              <w:rPr>
                <w:i w:val="0"/>
              </w:rPr>
              <w:br/>
            </w:r>
            <w:r>
              <w:t>estimate</w:t>
            </w:r>
          </w:p>
        </w:tc>
        <w:tc>
          <w:tcPr>
            <w:tcW w:w="794" w:type="dxa"/>
          </w:tcPr>
          <w:p w14:paraId="18BDE409" w14:textId="519137B3" w:rsidR="00F70B1C" w:rsidRDefault="00F70B1C" w:rsidP="0080011F">
            <w:pPr>
              <w:cnfStyle w:val="100000000000" w:firstRow="1" w:lastRow="0" w:firstColumn="0" w:lastColumn="0" w:oddVBand="0" w:evenVBand="0" w:oddHBand="0" w:evenHBand="0" w:firstRowFirstColumn="0" w:firstRowLastColumn="0" w:lastRowFirstColumn="0" w:lastRowLastColumn="0"/>
            </w:pPr>
            <w:r>
              <w:t>2024</w:t>
            </w:r>
            <w:r>
              <w:noBreakHyphen/>
              <w:t>25</w:t>
            </w:r>
            <w:r>
              <w:rPr>
                <w:i w:val="0"/>
              </w:rPr>
              <w:br/>
            </w:r>
            <w:r>
              <w:t>estimate</w:t>
            </w:r>
          </w:p>
        </w:tc>
        <w:tc>
          <w:tcPr>
            <w:tcW w:w="794" w:type="dxa"/>
          </w:tcPr>
          <w:p w14:paraId="47E1F187" w14:textId="255745FA" w:rsidR="00F70B1C" w:rsidRDefault="00F70B1C" w:rsidP="00760D50">
            <w:pPr>
              <w:cnfStyle w:val="100000000000" w:firstRow="1" w:lastRow="0" w:firstColumn="0" w:lastColumn="0" w:oddVBand="0" w:evenVBand="0" w:oddHBand="0" w:evenHBand="0" w:firstRowFirstColumn="0" w:firstRowLastColumn="0" w:lastRowFirstColumn="0" w:lastRowLastColumn="0"/>
            </w:pPr>
            <w:r>
              <w:t>2025</w:t>
            </w:r>
            <w:r>
              <w:noBreakHyphen/>
              <w:t>26</w:t>
            </w:r>
            <w:r>
              <w:rPr>
                <w:i w:val="0"/>
              </w:rPr>
              <w:br/>
            </w:r>
            <w:r>
              <w:t>estimate</w:t>
            </w:r>
          </w:p>
        </w:tc>
      </w:tr>
      <w:tr w:rsidR="00C424E5" w14:paraId="24FCDC99" w14:textId="77777777">
        <w:tc>
          <w:tcPr>
            <w:cnfStyle w:val="001000000000" w:firstRow="0" w:lastRow="0" w:firstColumn="1" w:lastColumn="0" w:oddVBand="0" w:evenVBand="0" w:oddHBand="0" w:evenHBand="0" w:firstRowFirstColumn="0" w:firstRowLastColumn="0" w:lastRowFirstColumn="0" w:lastRowLastColumn="0"/>
            <w:tcW w:w="3740" w:type="dxa"/>
          </w:tcPr>
          <w:p w14:paraId="03A2646F" w14:textId="77777777" w:rsidR="00C424E5" w:rsidRDefault="00C424E5">
            <w:r>
              <w:t>Education and Training</w:t>
            </w:r>
          </w:p>
        </w:tc>
        <w:tc>
          <w:tcPr>
            <w:tcW w:w="794" w:type="dxa"/>
          </w:tcPr>
          <w:p w14:paraId="07F3A78E" w14:textId="77777777" w:rsidR="00C424E5" w:rsidRDefault="00C424E5">
            <w:pPr>
              <w:cnfStyle w:val="000000000000" w:firstRow="0" w:lastRow="0" w:firstColumn="0" w:lastColumn="0" w:oddVBand="0" w:evenVBand="0" w:oddHBand="0" w:evenHBand="0" w:firstRowFirstColumn="0" w:firstRowLastColumn="0" w:lastRowFirstColumn="0" w:lastRowLastColumn="0"/>
            </w:pPr>
            <w:r>
              <w:t>2 808</w:t>
            </w:r>
          </w:p>
        </w:tc>
        <w:tc>
          <w:tcPr>
            <w:tcW w:w="794" w:type="dxa"/>
          </w:tcPr>
          <w:p w14:paraId="296FB307" w14:textId="77777777" w:rsidR="00C424E5" w:rsidRDefault="00C424E5">
            <w:pPr>
              <w:cnfStyle w:val="000000000000" w:firstRow="0" w:lastRow="0" w:firstColumn="0" w:lastColumn="0" w:oddVBand="0" w:evenVBand="0" w:oddHBand="0" w:evenHBand="0" w:firstRowFirstColumn="0" w:firstRowLastColumn="0" w:lastRowFirstColumn="0" w:lastRowLastColumn="0"/>
            </w:pPr>
            <w:r>
              <w:t>3 303</w:t>
            </w:r>
          </w:p>
        </w:tc>
        <w:tc>
          <w:tcPr>
            <w:tcW w:w="794" w:type="dxa"/>
          </w:tcPr>
          <w:p w14:paraId="3D33CF1D" w14:textId="77777777" w:rsidR="00C424E5" w:rsidRDefault="00C424E5">
            <w:pPr>
              <w:cnfStyle w:val="000000000000" w:firstRow="0" w:lastRow="0" w:firstColumn="0" w:lastColumn="0" w:oddVBand="0" w:evenVBand="0" w:oddHBand="0" w:evenHBand="0" w:firstRowFirstColumn="0" w:firstRowLastColumn="0" w:lastRowFirstColumn="0" w:lastRowLastColumn="0"/>
            </w:pPr>
            <w:r>
              <w:t>1 718</w:t>
            </w:r>
          </w:p>
        </w:tc>
        <w:tc>
          <w:tcPr>
            <w:tcW w:w="794" w:type="dxa"/>
          </w:tcPr>
          <w:p w14:paraId="079D4E86" w14:textId="77777777" w:rsidR="00C424E5" w:rsidRDefault="00C424E5">
            <w:pPr>
              <w:cnfStyle w:val="000000000000" w:firstRow="0" w:lastRow="0" w:firstColumn="0" w:lastColumn="0" w:oddVBand="0" w:evenVBand="0" w:oddHBand="0" w:evenHBand="0" w:firstRowFirstColumn="0" w:firstRowLastColumn="0" w:lastRowFirstColumn="0" w:lastRowLastColumn="0"/>
            </w:pPr>
            <w:r>
              <w:t>931</w:t>
            </w:r>
          </w:p>
        </w:tc>
        <w:tc>
          <w:tcPr>
            <w:tcW w:w="794" w:type="dxa"/>
          </w:tcPr>
          <w:p w14:paraId="38DA2CFE" w14:textId="77777777" w:rsidR="00C424E5" w:rsidRDefault="00C424E5">
            <w:pPr>
              <w:cnfStyle w:val="000000000000" w:firstRow="0" w:lastRow="0" w:firstColumn="0" w:lastColumn="0" w:oddVBand="0" w:evenVBand="0" w:oddHBand="0" w:evenHBand="0" w:firstRowFirstColumn="0" w:firstRowLastColumn="0" w:lastRowFirstColumn="0" w:lastRowLastColumn="0"/>
            </w:pPr>
            <w:r>
              <w:t>370</w:t>
            </w:r>
          </w:p>
        </w:tc>
      </w:tr>
      <w:tr w:rsidR="00C424E5" w14:paraId="646B378C" w14:textId="77777777">
        <w:tc>
          <w:tcPr>
            <w:cnfStyle w:val="001000000000" w:firstRow="0" w:lastRow="0" w:firstColumn="1" w:lastColumn="0" w:oddVBand="0" w:evenVBand="0" w:oddHBand="0" w:evenHBand="0" w:firstRowFirstColumn="0" w:firstRowLastColumn="0" w:lastRowFirstColumn="0" w:lastRowLastColumn="0"/>
            <w:tcW w:w="3740" w:type="dxa"/>
          </w:tcPr>
          <w:p w14:paraId="13A7A8A2" w14:textId="77777777" w:rsidR="00C424E5" w:rsidRDefault="00C424E5">
            <w:r>
              <w:t>Environment, Land, Water and Planning</w:t>
            </w:r>
          </w:p>
        </w:tc>
        <w:tc>
          <w:tcPr>
            <w:tcW w:w="794" w:type="dxa"/>
          </w:tcPr>
          <w:p w14:paraId="21FD1A88" w14:textId="77777777" w:rsidR="00C424E5" w:rsidRDefault="00C424E5">
            <w:pPr>
              <w:cnfStyle w:val="000000000000" w:firstRow="0" w:lastRow="0" w:firstColumn="0" w:lastColumn="0" w:oddVBand="0" w:evenVBand="0" w:oddHBand="0" w:evenHBand="0" w:firstRowFirstColumn="0" w:firstRowLastColumn="0" w:lastRowFirstColumn="0" w:lastRowLastColumn="0"/>
            </w:pPr>
            <w:r>
              <w:t>406</w:t>
            </w:r>
          </w:p>
        </w:tc>
        <w:tc>
          <w:tcPr>
            <w:tcW w:w="794" w:type="dxa"/>
          </w:tcPr>
          <w:p w14:paraId="05EF986B" w14:textId="77777777" w:rsidR="00C424E5" w:rsidRDefault="00C424E5">
            <w:pPr>
              <w:cnfStyle w:val="000000000000" w:firstRow="0" w:lastRow="0" w:firstColumn="0" w:lastColumn="0" w:oddVBand="0" w:evenVBand="0" w:oddHBand="0" w:evenHBand="0" w:firstRowFirstColumn="0" w:firstRowLastColumn="0" w:lastRowFirstColumn="0" w:lastRowLastColumn="0"/>
            </w:pPr>
            <w:r>
              <w:t>417</w:t>
            </w:r>
          </w:p>
        </w:tc>
        <w:tc>
          <w:tcPr>
            <w:tcW w:w="794" w:type="dxa"/>
          </w:tcPr>
          <w:p w14:paraId="53B6FF83" w14:textId="77777777" w:rsidR="00C424E5" w:rsidRDefault="00C424E5">
            <w:pPr>
              <w:cnfStyle w:val="000000000000" w:firstRow="0" w:lastRow="0" w:firstColumn="0" w:lastColumn="0" w:oddVBand="0" w:evenVBand="0" w:oddHBand="0" w:evenHBand="0" w:firstRowFirstColumn="0" w:firstRowLastColumn="0" w:lastRowFirstColumn="0" w:lastRowLastColumn="0"/>
            </w:pPr>
            <w:r>
              <w:t>286</w:t>
            </w:r>
          </w:p>
        </w:tc>
        <w:tc>
          <w:tcPr>
            <w:tcW w:w="794" w:type="dxa"/>
          </w:tcPr>
          <w:p w14:paraId="2E7518BC" w14:textId="77777777" w:rsidR="00C424E5" w:rsidRDefault="00C424E5">
            <w:pPr>
              <w:cnfStyle w:val="000000000000" w:firstRow="0" w:lastRow="0" w:firstColumn="0" w:lastColumn="0" w:oddVBand="0" w:evenVBand="0" w:oddHBand="0" w:evenHBand="0" w:firstRowFirstColumn="0" w:firstRowLastColumn="0" w:lastRowFirstColumn="0" w:lastRowLastColumn="0"/>
            </w:pPr>
            <w:r>
              <w:t>200</w:t>
            </w:r>
          </w:p>
        </w:tc>
        <w:tc>
          <w:tcPr>
            <w:tcW w:w="794" w:type="dxa"/>
          </w:tcPr>
          <w:p w14:paraId="5D42BD76" w14:textId="77777777" w:rsidR="00C424E5" w:rsidRDefault="00C424E5">
            <w:pPr>
              <w:cnfStyle w:val="000000000000" w:firstRow="0" w:lastRow="0" w:firstColumn="0" w:lastColumn="0" w:oddVBand="0" w:evenVBand="0" w:oddHBand="0" w:evenHBand="0" w:firstRowFirstColumn="0" w:firstRowLastColumn="0" w:lastRowFirstColumn="0" w:lastRowLastColumn="0"/>
            </w:pPr>
            <w:r>
              <w:t>146</w:t>
            </w:r>
          </w:p>
        </w:tc>
      </w:tr>
      <w:tr w:rsidR="00C424E5" w14:paraId="0BE3915D" w14:textId="77777777">
        <w:tc>
          <w:tcPr>
            <w:cnfStyle w:val="001000000000" w:firstRow="0" w:lastRow="0" w:firstColumn="1" w:lastColumn="0" w:oddVBand="0" w:evenVBand="0" w:oddHBand="0" w:evenHBand="0" w:firstRowFirstColumn="0" w:firstRowLastColumn="0" w:lastRowFirstColumn="0" w:lastRowLastColumn="0"/>
            <w:tcW w:w="3740" w:type="dxa"/>
          </w:tcPr>
          <w:p w14:paraId="003EF458" w14:textId="77777777" w:rsidR="00C424E5" w:rsidRDefault="00C424E5">
            <w:r>
              <w:t>Families, Fairness and Housing</w:t>
            </w:r>
          </w:p>
        </w:tc>
        <w:tc>
          <w:tcPr>
            <w:tcW w:w="794" w:type="dxa"/>
          </w:tcPr>
          <w:p w14:paraId="0A307876" w14:textId="77777777" w:rsidR="00C424E5" w:rsidRDefault="00C424E5">
            <w:pPr>
              <w:cnfStyle w:val="000000000000" w:firstRow="0" w:lastRow="0" w:firstColumn="0" w:lastColumn="0" w:oddVBand="0" w:evenVBand="0" w:oddHBand="0" w:evenHBand="0" w:firstRowFirstColumn="0" w:firstRowLastColumn="0" w:lastRowFirstColumn="0" w:lastRowLastColumn="0"/>
            </w:pPr>
            <w:r>
              <w:t>112</w:t>
            </w:r>
          </w:p>
        </w:tc>
        <w:tc>
          <w:tcPr>
            <w:tcW w:w="794" w:type="dxa"/>
          </w:tcPr>
          <w:p w14:paraId="008A0BF5" w14:textId="77777777" w:rsidR="00C424E5" w:rsidRDefault="00C424E5">
            <w:pPr>
              <w:cnfStyle w:val="000000000000" w:firstRow="0" w:lastRow="0" w:firstColumn="0" w:lastColumn="0" w:oddVBand="0" w:evenVBand="0" w:oddHBand="0" w:evenHBand="0" w:firstRowFirstColumn="0" w:firstRowLastColumn="0" w:lastRowFirstColumn="0" w:lastRowLastColumn="0"/>
            </w:pPr>
            <w:r>
              <w:t>128</w:t>
            </w:r>
          </w:p>
        </w:tc>
        <w:tc>
          <w:tcPr>
            <w:tcW w:w="794" w:type="dxa"/>
          </w:tcPr>
          <w:p w14:paraId="4AF963A0" w14:textId="77777777" w:rsidR="00C424E5" w:rsidRDefault="00C424E5">
            <w:pPr>
              <w:cnfStyle w:val="000000000000" w:firstRow="0" w:lastRow="0" w:firstColumn="0" w:lastColumn="0" w:oddVBand="0" w:evenVBand="0" w:oddHBand="0" w:evenHBand="0" w:firstRowFirstColumn="0" w:firstRowLastColumn="0" w:lastRowFirstColumn="0" w:lastRowLastColumn="0"/>
            </w:pPr>
            <w:r>
              <w:t>59</w:t>
            </w:r>
          </w:p>
        </w:tc>
        <w:tc>
          <w:tcPr>
            <w:tcW w:w="794" w:type="dxa"/>
          </w:tcPr>
          <w:p w14:paraId="5C6FD375" w14:textId="77777777" w:rsidR="00C424E5" w:rsidRDefault="00C424E5">
            <w:pPr>
              <w:cnfStyle w:val="000000000000" w:firstRow="0" w:lastRow="0" w:firstColumn="0" w:lastColumn="0" w:oddVBand="0" w:evenVBand="0" w:oddHBand="0" w:evenHBand="0" w:firstRowFirstColumn="0" w:firstRowLastColumn="0" w:lastRowFirstColumn="0" w:lastRowLastColumn="0"/>
            </w:pPr>
            <w:r>
              <w:t>51</w:t>
            </w:r>
          </w:p>
        </w:tc>
        <w:tc>
          <w:tcPr>
            <w:tcW w:w="794" w:type="dxa"/>
          </w:tcPr>
          <w:p w14:paraId="49102837" w14:textId="77777777" w:rsidR="00C424E5" w:rsidRDefault="00C424E5">
            <w:pPr>
              <w:cnfStyle w:val="000000000000" w:firstRow="0" w:lastRow="0" w:firstColumn="0" w:lastColumn="0" w:oddVBand="0" w:evenVBand="0" w:oddHBand="0" w:evenHBand="0" w:firstRowFirstColumn="0" w:firstRowLastColumn="0" w:lastRowFirstColumn="0" w:lastRowLastColumn="0"/>
            </w:pPr>
            <w:r>
              <w:t>51</w:t>
            </w:r>
          </w:p>
        </w:tc>
      </w:tr>
      <w:tr w:rsidR="00C424E5" w14:paraId="77B2536F" w14:textId="77777777">
        <w:tc>
          <w:tcPr>
            <w:cnfStyle w:val="001000000000" w:firstRow="0" w:lastRow="0" w:firstColumn="1" w:lastColumn="0" w:oddVBand="0" w:evenVBand="0" w:oddHBand="0" w:evenHBand="0" w:firstRowFirstColumn="0" w:firstRowLastColumn="0" w:lastRowFirstColumn="0" w:lastRowLastColumn="0"/>
            <w:tcW w:w="3740" w:type="dxa"/>
          </w:tcPr>
          <w:p w14:paraId="344C45EC" w14:textId="77777777" w:rsidR="00C424E5" w:rsidRDefault="00C424E5">
            <w:r>
              <w:t>Health</w:t>
            </w:r>
          </w:p>
        </w:tc>
        <w:tc>
          <w:tcPr>
            <w:tcW w:w="794" w:type="dxa"/>
          </w:tcPr>
          <w:p w14:paraId="6D233DDB" w14:textId="77777777" w:rsidR="00C424E5" w:rsidRDefault="00C424E5">
            <w:pPr>
              <w:cnfStyle w:val="000000000000" w:firstRow="0" w:lastRow="0" w:firstColumn="0" w:lastColumn="0" w:oddVBand="0" w:evenVBand="0" w:oddHBand="0" w:evenHBand="0" w:firstRowFirstColumn="0" w:firstRowLastColumn="0" w:lastRowFirstColumn="0" w:lastRowLastColumn="0"/>
            </w:pPr>
            <w:r>
              <w:t>1 571</w:t>
            </w:r>
          </w:p>
        </w:tc>
        <w:tc>
          <w:tcPr>
            <w:tcW w:w="794" w:type="dxa"/>
          </w:tcPr>
          <w:p w14:paraId="7C08F390" w14:textId="77777777" w:rsidR="00C424E5" w:rsidRDefault="00C424E5">
            <w:pPr>
              <w:cnfStyle w:val="000000000000" w:firstRow="0" w:lastRow="0" w:firstColumn="0" w:lastColumn="0" w:oddVBand="0" w:evenVBand="0" w:oddHBand="0" w:evenHBand="0" w:firstRowFirstColumn="0" w:firstRowLastColumn="0" w:lastRowFirstColumn="0" w:lastRowLastColumn="0"/>
            </w:pPr>
            <w:r>
              <w:t>2 235</w:t>
            </w:r>
          </w:p>
        </w:tc>
        <w:tc>
          <w:tcPr>
            <w:tcW w:w="794" w:type="dxa"/>
          </w:tcPr>
          <w:p w14:paraId="7E74E900" w14:textId="77777777" w:rsidR="00C424E5" w:rsidRDefault="00C424E5">
            <w:pPr>
              <w:cnfStyle w:val="000000000000" w:firstRow="0" w:lastRow="0" w:firstColumn="0" w:lastColumn="0" w:oddVBand="0" w:evenVBand="0" w:oddHBand="0" w:evenHBand="0" w:firstRowFirstColumn="0" w:firstRowLastColumn="0" w:lastRowFirstColumn="0" w:lastRowLastColumn="0"/>
            </w:pPr>
            <w:r>
              <w:t>1 350</w:t>
            </w:r>
          </w:p>
        </w:tc>
        <w:tc>
          <w:tcPr>
            <w:tcW w:w="794" w:type="dxa"/>
          </w:tcPr>
          <w:p w14:paraId="661B916B" w14:textId="77777777" w:rsidR="00C424E5" w:rsidRDefault="00C424E5">
            <w:pPr>
              <w:cnfStyle w:val="000000000000" w:firstRow="0" w:lastRow="0" w:firstColumn="0" w:lastColumn="0" w:oddVBand="0" w:evenVBand="0" w:oddHBand="0" w:evenHBand="0" w:firstRowFirstColumn="0" w:firstRowLastColumn="0" w:lastRowFirstColumn="0" w:lastRowLastColumn="0"/>
            </w:pPr>
            <w:r>
              <w:t>632</w:t>
            </w:r>
          </w:p>
        </w:tc>
        <w:tc>
          <w:tcPr>
            <w:tcW w:w="794" w:type="dxa"/>
          </w:tcPr>
          <w:p w14:paraId="4AA6AFC7" w14:textId="77777777" w:rsidR="00C424E5" w:rsidRDefault="00C424E5">
            <w:pPr>
              <w:cnfStyle w:val="000000000000" w:firstRow="0" w:lastRow="0" w:firstColumn="0" w:lastColumn="0" w:oddVBand="0" w:evenVBand="0" w:oddHBand="0" w:evenHBand="0" w:firstRowFirstColumn="0" w:firstRowLastColumn="0" w:lastRowFirstColumn="0" w:lastRowLastColumn="0"/>
            </w:pPr>
            <w:r>
              <w:t>519</w:t>
            </w:r>
          </w:p>
        </w:tc>
      </w:tr>
      <w:tr w:rsidR="00C424E5" w14:paraId="6E092A43" w14:textId="77777777">
        <w:tc>
          <w:tcPr>
            <w:cnfStyle w:val="001000000000" w:firstRow="0" w:lastRow="0" w:firstColumn="1" w:lastColumn="0" w:oddVBand="0" w:evenVBand="0" w:oddHBand="0" w:evenHBand="0" w:firstRowFirstColumn="0" w:firstRowLastColumn="0" w:lastRowFirstColumn="0" w:lastRowLastColumn="0"/>
            <w:tcW w:w="3740" w:type="dxa"/>
          </w:tcPr>
          <w:p w14:paraId="0F37C9FB" w14:textId="77777777" w:rsidR="00C424E5" w:rsidRDefault="00C424E5">
            <w:r>
              <w:t>Jobs, Precincts and Regions</w:t>
            </w:r>
          </w:p>
        </w:tc>
        <w:tc>
          <w:tcPr>
            <w:tcW w:w="794" w:type="dxa"/>
          </w:tcPr>
          <w:p w14:paraId="6A4C5103" w14:textId="77777777" w:rsidR="00C424E5" w:rsidRDefault="00C424E5">
            <w:pPr>
              <w:cnfStyle w:val="000000000000" w:firstRow="0" w:lastRow="0" w:firstColumn="0" w:lastColumn="0" w:oddVBand="0" w:evenVBand="0" w:oddHBand="0" w:evenHBand="0" w:firstRowFirstColumn="0" w:firstRowLastColumn="0" w:lastRowFirstColumn="0" w:lastRowLastColumn="0"/>
            </w:pPr>
            <w:r>
              <w:t>54</w:t>
            </w:r>
          </w:p>
        </w:tc>
        <w:tc>
          <w:tcPr>
            <w:tcW w:w="794" w:type="dxa"/>
          </w:tcPr>
          <w:p w14:paraId="0CCCCE17" w14:textId="77777777" w:rsidR="00C424E5" w:rsidRDefault="00C424E5">
            <w:pPr>
              <w:cnfStyle w:val="000000000000" w:firstRow="0" w:lastRow="0" w:firstColumn="0" w:lastColumn="0" w:oddVBand="0" w:evenVBand="0" w:oddHBand="0" w:evenHBand="0" w:firstRowFirstColumn="0" w:firstRowLastColumn="0" w:lastRowFirstColumn="0" w:lastRowLastColumn="0"/>
            </w:pPr>
            <w:r>
              <w:t>329</w:t>
            </w:r>
          </w:p>
        </w:tc>
        <w:tc>
          <w:tcPr>
            <w:tcW w:w="794" w:type="dxa"/>
          </w:tcPr>
          <w:p w14:paraId="280AEE59" w14:textId="77777777" w:rsidR="00C424E5" w:rsidRDefault="00C424E5">
            <w:pPr>
              <w:cnfStyle w:val="000000000000" w:firstRow="0" w:lastRow="0" w:firstColumn="0" w:lastColumn="0" w:oddVBand="0" w:evenVBand="0" w:oddHBand="0" w:evenHBand="0" w:firstRowFirstColumn="0" w:firstRowLastColumn="0" w:lastRowFirstColumn="0" w:lastRowLastColumn="0"/>
            </w:pPr>
            <w:r>
              <w:t>44</w:t>
            </w:r>
          </w:p>
        </w:tc>
        <w:tc>
          <w:tcPr>
            <w:tcW w:w="794" w:type="dxa"/>
          </w:tcPr>
          <w:p w14:paraId="46668354" w14:textId="77777777" w:rsidR="00C424E5" w:rsidRDefault="00C424E5">
            <w:pPr>
              <w:cnfStyle w:val="000000000000" w:firstRow="0" w:lastRow="0" w:firstColumn="0" w:lastColumn="0" w:oddVBand="0" w:evenVBand="0" w:oddHBand="0" w:evenHBand="0" w:firstRowFirstColumn="0" w:firstRowLastColumn="0" w:lastRowFirstColumn="0" w:lastRowLastColumn="0"/>
            </w:pPr>
            <w:r>
              <w:t>30</w:t>
            </w:r>
          </w:p>
        </w:tc>
        <w:tc>
          <w:tcPr>
            <w:tcW w:w="794" w:type="dxa"/>
          </w:tcPr>
          <w:p w14:paraId="65C913CA" w14:textId="77777777" w:rsidR="00C424E5" w:rsidRDefault="00C424E5">
            <w:pPr>
              <w:cnfStyle w:val="000000000000" w:firstRow="0" w:lastRow="0" w:firstColumn="0" w:lastColumn="0" w:oddVBand="0" w:evenVBand="0" w:oddHBand="0" w:evenHBand="0" w:firstRowFirstColumn="0" w:firstRowLastColumn="0" w:lastRowFirstColumn="0" w:lastRowLastColumn="0"/>
            </w:pPr>
            <w:r>
              <w:t>30</w:t>
            </w:r>
          </w:p>
        </w:tc>
      </w:tr>
      <w:tr w:rsidR="00C424E5" w14:paraId="3E94495F" w14:textId="77777777">
        <w:tc>
          <w:tcPr>
            <w:cnfStyle w:val="001000000000" w:firstRow="0" w:lastRow="0" w:firstColumn="1" w:lastColumn="0" w:oddVBand="0" w:evenVBand="0" w:oddHBand="0" w:evenHBand="0" w:firstRowFirstColumn="0" w:firstRowLastColumn="0" w:lastRowFirstColumn="0" w:lastRowLastColumn="0"/>
            <w:tcW w:w="3740" w:type="dxa"/>
          </w:tcPr>
          <w:p w14:paraId="70A72C2C" w14:textId="77777777" w:rsidR="00C424E5" w:rsidRDefault="00C424E5">
            <w:r>
              <w:t>Justice and Community Safety</w:t>
            </w:r>
          </w:p>
        </w:tc>
        <w:tc>
          <w:tcPr>
            <w:tcW w:w="794" w:type="dxa"/>
          </w:tcPr>
          <w:p w14:paraId="58567A1C" w14:textId="77777777" w:rsidR="00C424E5" w:rsidRDefault="00C424E5">
            <w:pPr>
              <w:cnfStyle w:val="000000000000" w:firstRow="0" w:lastRow="0" w:firstColumn="0" w:lastColumn="0" w:oddVBand="0" w:evenVBand="0" w:oddHBand="0" w:evenHBand="0" w:firstRowFirstColumn="0" w:firstRowLastColumn="0" w:lastRowFirstColumn="0" w:lastRowLastColumn="0"/>
            </w:pPr>
            <w:r>
              <w:t>958</w:t>
            </w:r>
          </w:p>
        </w:tc>
        <w:tc>
          <w:tcPr>
            <w:tcW w:w="794" w:type="dxa"/>
          </w:tcPr>
          <w:p w14:paraId="08977432" w14:textId="77777777" w:rsidR="00C424E5" w:rsidRDefault="00C424E5">
            <w:pPr>
              <w:cnfStyle w:val="000000000000" w:firstRow="0" w:lastRow="0" w:firstColumn="0" w:lastColumn="0" w:oddVBand="0" w:evenVBand="0" w:oddHBand="0" w:evenHBand="0" w:firstRowFirstColumn="0" w:firstRowLastColumn="0" w:lastRowFirstColumn="0" w:lastRowLastColumn="0"/>
            </w:pPr>
            <w:r>
              <w:t>1 060</w:t>
            </w:r>
          </w:p>
        </w:tc>
        <w:tc>
          <w:tcPr>
            <w:tcW w:w="794" w:type="dxa"/>
          </w:tcPr>
          <w:p w14:paraId="3551447B" w14:textId="77777777" w:rsidR="00C424E5" w:rsidRDefault="00C424E5">
            <w:pPr>
              <w:cnfStyle w:val="000000000000" w:firstRow="0" w:lastRow="0" w:firstColumn="0" w:lastColumn="0" w:oddVBand="0" w:evenVBand="0" w:oddHBand="0" w:evenHBand="0" w:firstRowFirstColumn="0" w:firstRowLastColumn="0" w:lastRowFirstColumn="0" w:lastRowLastColumn="0"/>
            </w:pPr>
            <w:r>
              <w:t>304</w:t>
            </w:r>
          </w:p>
        </w:tc>
        <w:tc>
          <w:tcPr>
            <w:tcW w:w="794" w:type="dxa"/>
          </w:tcPr>
          <w:p w14:paraId="09BD03DF" w14:textId="77777777" w:rsidR="00C424E5" w:rsidRDefault="00C424E5">
            <w:pPr>
              <w:cnfStyle w:val="000000000000" w:firstRow="0" w:lastRow="0" w:firstColumn="0" w:lastColumn="0" w:oddVBand="0" w:evenVBand="0" w:oddHBand="0" w:evenHBand="0" w:firstRowFirstColumn="0" w:firstRowLastColumn="0" w:lastRowFirstColumn="0" w:lastRowLastColumn="0"/>
            </w:pPr>
            <w:r>
              <w:t>181</w:t>
            </w:r>
          </w:p>
        </w:tc>
        <w:tc>
          <w:tcPr>
            <w:tcW w:w="794" w:type="dxa"/>
          </w:tcPr>
          <w:p w14:paraId="334A25AE" w14:textId="77777777" w:rsidR="00C424E5" w:rsidRDefault="00C424E5">
            <w:pPr>
              <w:cnfStyle w:val="000000000000" w:firstRow="0" w:lastRow="0" w:firstColumn="0" w:lastColumn="0" w:oddVBand="0" w:evenVBand="0" w:oddHBand="0" w:evenHBand="0" w:firstRowFirstColumn="0" w:firstRowLastColumn="0" w:lastRowFirstColumn="0" w:lastRowLastColumn="0"/>
            </w:pPr>
            <w:r>
              <w:t>132</w:t>
            </w:r>
          </w:p>
        </w:tc>
      </w:tr>
      <w:tr w:rsidR="00C424E5" w14:paraId="73BB78C5" w14:textId="77777777">
        <w:tc>
          <w:tcPr>
            <w:cnfStyle w:val="001000000000" w:firstRow="0" w:lastRow="0" w:firstColumn="1" w:lastColumn="0" w:oddVBand="0" w:evenVBand="0" w:oddHBand="0" w:evenHBand="0" w:firstRowFirstColumn="0" w:firstRowLastColumn="0" w:lastRowFirstColumn="0" w:lastRowLastColumn="0"/>
            <w:tcW w:w="3740" w:type="dxa"/>
          </w:tcPr>
          <w:p w14:paraId="59CF8E16" w14:textId="77777777" w:rsidR="00C424E5" w:rsidRDefault="00C424E5">
            <w:r>
              <w:t>Premier and Cabinet</w:t>
            </w:r>
          </w:p>
        </w:tc>
        <w:tc>
          <w:tcPr>
            <w:tcW w:w="794" w:type="dxa"/>
          </w:tcPr>
          <w:p w14:paraId="0A8AD443" w14:textId="77777777" w:rsidR="00C424E5" w:rsidRDefault="00C424E5">
            <w:pPr>
              <w:cnfStyle w:val="000000000000" w:firstRow="0" w:lastRow="0" w:firstColumn="0" w:lastColumn="0" w:oddVBand="0" w:evenVBand="0" w:oddHBand="0" w:evenHBand="0" w:firstRowFirstColumn="0" w:firstRowLastColumn="0" w:lastRowFirstColumn="0" w:lastRowLastColumn="0"/>
            </w:pPr>
            <w:r>
              <w:t>47</w:t>
            </w:r>
          </w:p>
        </w:tc>
        <w:tc>
          <w:tcPr>
            <w:tcW w:w="794" w:type="dxa"/>
          </w:tcPr>
          <w:p w14:paraId="0AFDC1E5" w14:textId="77777777" w:rsidR="00C424E5" w:rsidRDefault="00C424E5">
            <w:pPr>
              <w:cnfStyle w:val="000000000000" w:firstRow="0" w:lastRow="0" w:firstColumn="0" w:lastColumn="0" w:oddVBand="0" w:evenVBand="0" w:oddHBand="0" w:evenHBand="0" w:firstRowFirstColumn="0" w:firstRowLastColumn="0" w:lastRowFirstColumn="0" w:lastRowLastColumn="0"/>
            </w:pPr>
            <w:r>
              <w:t>41</w:t>
            </w:r>
          </w:p>
        </w:tc>
        <w:tc>
          <w:tcPr>
            <w:tcW w:w="794" w:type="dxa"/>
          </w:tcPr>
          <w:p w14:paraId="44042078" w14:textId="77777777" w:rsidR="00C424E5" w:rsidRDefault="00C424E5">
            <w:pPr>
              <w:cnfStyle w:val="000000000000" w:firstRow="0" w:lastRow="0" w:firstColumn="0" w:lastColumn="0" w:oddVBand="0" w:evenVBand="0" w:oddHBand="0" w:evenHBand="0" w:firstRowFirstColumn="0" w:firstRowLastColumn="0" w:lastRowFirstColumn="0" w:lastRowLastColumn="0"/>
            </w:pPr>
            <w:r>
              <w:t>18</w:t>
            </w:r>
          </w:p>
        </w:tc>
        <w:tc>
          <w:tcPr>
            <w:tcW w:w="794" w:type="dxa"/>
          </w:tcPr>
          <w:p w14:paraId="6D5E70DC" w14:textId="77777777" w:rsidR="00C424E5" w:rsidRDefault="00C424E5">
            <w:pPr>
              <w:cnfStyle w:val="000000000000" w:firstRow="0" w:lastRow="0" w:firstColumn="0" w:lastColumn="0" w:oddVBand="0" w:evenVBand="0" w:oddHBand="0" w:evenHBand="0" w:firstRowFirstColumn="0" w:firstRowLastColumn="0" w:lastRowFirstColumn="0" w:lastRowLastColumn="0"/>
            </w:pPr>
            <w:r>
              <w:t>37</w:t>
            </w:r>
          </w:p>
        </w:tc>
        <w:tc>
          <w:tcPr>
            <w:tcW w:w="794" w:type="dxa"/>
          </w:tcPr>
          <w:p w14:paraId="5B1C9CE2" w14:textId="77777777" w:rsidR="00C424E5" w:rsidRDefault="00C424E5">
            <w:pPr>
              <w:cnfStyle w:val="000000000000" w:firstRow="0" w:lastRow="0" w:firstColumn="0" w:lastColumn="0" w:oddVBand="0" w:evenVBand="0" w:oddHBand="0" w:evenHBand="0" w:firstRowFirstColumn="0" w:firstRowLastColumn="0" w:lastRowFirstColumn="0" w:lastRowLastColumn="0"/>
            </w:pPr>
            <w:r>
              <w:t>37</w:t>
            </w:r>
          </w:p>
        </w:tc>
      </w:tr>
      <w:tr w:rsidR="00C424E5" w14:paraId="474D5F2B" w14:textId="77777777">
        <w:tc>
          <w:tcPr>
            <w:cnfStyle w:val="001000000000" w:firstRow="0" w:lastRow="0" w:firstColumn="1" w:lastColumn="0" w:oddVBand="0" w:evenVBand="0" w:oddHBand="0" w:evenHBand="0" w:firstRowFirstColumn="0" w:firstRowLastColumn="0" w:lastRowFirstColumn="0" w:lastRowLastColumn="0"/>
            <w:tcW w:w="3740" w:type="dxa"/>
          </w:tcPr>
          <w:p w14:paraId="7A150244" w14:textId="77777777" w:rsidR="00C424E5" w:rsidRDefault="00C424E5">
            <w:r>
              <w:t>Transport</w:t>
            </w:r>
          </w:p>
        </w:tc>
        <w:tc>
          <w:tcPr>
            <w:tcW w:w="794" w:type="dxa"/>
          </w:tcPr>
          <w:p w14:paraId="1304EFB4" w14:textId="77777777" w:rsidR="00C424E5" w:rsidRDefault="00C424E5">
            <w:pPr>
              <w:cnfStyle w:val="000000000000" w:firstRow="0" w:lastRow="0" w:firstColumn="0" w:lastColumn="0" w:oddVBand="0" w:evenVBand="0" w:oddHBand="0" w:evenHBand="0" w:firstRowFirstColumn="0" w:firstRowLastColumn="0" w:lastRowFirstColumn="0" w:lastRowLastColumn="0"/>
            </w:pPr>
            <w:r>
              <w:t>8 430</w:t>
            </w:r>
          </w:p>
        </w:tc>
        <w:tc>
          <w:tcPr>
            <w:tcW w:w="794" w:type="dxa"/>
          </w:tcPr>
          <w:p w14:paraId="3F6C8FC0" w14:textId="77777777" w:rsidR="00C424E5" w:rsidRDefault="00C424E5">
            <w:pPr>
              <w:cnfStyle w:val="000000000000" w:firstRow="0" w:lastRow="0" w:firstColumn="0" w:lastColumn="0" w:oddVBand="0" w:evenVBand="0" w:oddHBand="0" w:evenHBand="0" w:firstRowFirstColumn="0" w:firstRowLastColumn="0" w:lastRowFirstColumn="0" w:lastRowLastColumn="0"/>
            </w:pPr>
            <w:r>
              <w:t>9 400</w:t>
            </w:r>
          </w:p>
        </w:tc>
        <w:tc>
          <w:tcPr>
            <w:tcW w:w="794" w:type="dxa"/>
          </w:tcPr>
          <w:p w14:paraId="42D39DE7" w14:textId="77777777" w:rsidR="00C424E5" w:rsidRDefault="00C424E5">
            <w:pPr>
              <w:cnfStyle w:val="000000000000" w:firstRow="0" w:lastRow="0" w:firstColumn="0" w:lastColumn="0" w:oddVBand="0" w:evenVBand="0" w:oddHBand="0" w:evenHBand="0" w:firstRowFirstColumn="0" w:firstRowLastColumn="0" w:lastRowFirstColumn="0" w:lastRowLastColumn="0"/>
            </w:pPr>
            <w:r>
              <w:t>6 768</w:t>
            </w:r>
          </w:p>
        </w:tc>
        <w:tc>
          <w:tcPr>
            <w:tcW w:w="794" w:type="dxa"/>
          </w:tcPr>
          <w:p w14:paraId="4B5D8900" w14:textId="77777777" w:rsidR="00C424E5" w:rsidRDefault="00C424E5">
            <w:pPr>
              <w:cnfStyle w:val="000000000000" w:firstRow="0" w:lastRow="0" w:firstColumn="0" w:lastColumn="0" w:oddVBand="0" w:evenVBand="0" w:oddHBand="0" w:evenHBand="0" w:firstRowFirstColumn="0" w:firstRowLastColumn="0" w:lastRowFirstColumn="0" w:lastRowLastColumn="0"/>
            </w:pPr>
            <w:r>
              <w:t>4 016</w:t>
            </w:r>
          </w:p>
        </w:tc>
        <w:tc>
          <w:tcPr>
            <w:tcW w:w="794" w:type="dxa"/>
          </w:tcPr>
          <w:p w14:paraId="5E5D95EC" w14:textId="77777777" w:rsidR="00C424E5" w:rsidRDefault="00C424E5">
            <w:pPr>
              <w:cnfStyle w:val="000000000000" w:firstRow="0" w:lastRow="0" w:firstColumn="0" w:lastColumn="0" w:oddVBand="0" w:evenVBand="0" w:oddHBand="0" w:evenHBand="0" w:firstRowFirstColumn="0" w:firstRowLastColumn="0" w:lastRowFirstColumn="0" w:lastRowLastColumn="0"/>
            </w:pPr>
            <w:r>
              <w:t>979</w:t>
            </w:r>
          </w:p>
        </w:tc>
      </w:tr>
      <w:tr w:rsidR="00C424E5" w14:paraId="3A221711" w14:textId="77777777">
        <w:tc>
          <w:tcPr>
            <w:cnfStyle w:val="001000000000" w:firstRow="0" w:lastRow="0" w:firstColumn="1" w:lastColumn="0" w:oddVBand="0" w:evenVBand="0" w:oddHBand="0" w:evenHBand="0" w:firstRowFirstColumn="0" w:firstRowLastColumn="0" w:lastRowFirstColumn="0" w:lastRowLastColumn="0"/>
            <w:tcW w:w="3740" w:type="dxa"/>
          </w:tcPr>
          <w:p w14:paraId="7E48C5B1" w14:textId="77777777" w:rsidR="00C424E5" w:rsidRDefault="00C424E5">
            <w:r>
              <w:t>Treasury and Finance</w:t>
            </w:r>
          </w:p>
        </w:tc>
        <w:tc>
          <w:tcPr>
            <w:tcW w:w="794" w:type="dxa"/>
          </w:tcPr>
          <w:p w14:paraId="48D505AC" w14:textId="77777777" w:rsidR="00C424E5" w:rsidRDefault="00C424E5">
            <w:pPr>
              <w:cnfStyle w:val="000000000000" w:firstRow="0" w:lastRow="0" w:firstColumn="0" w:lastColumn="0" w:oddVBand="0" w:evenVBand="0" w:oddHBand="0" w:evenHBand="0" w:firstRowFirstColumn="0" w:firstRowLastColumn="0" w:lastRowFirstColumn="0" w:lastRowLastColumn="0"/>
            </w:pPr>
            <w:r>
              <w:t>190</w:t>
            </w:r>
          </w:p>
        </w:tc>
        <w:tc>
          <w:tcPr>
            <w:tcW w:w="794" w:type="dxa"/>
          </w:tcPr>
          <w:p w14:paraId="2F476064" w14:textId="77777777" w:rsidR="00C424E5" w:rsidRDefault="00C424E5">
            <w:pPr>
              <w:cnfStyle w:val="000000000000" w:firstRow="0" w:lastRow="0" w:firstColumn="0" w:lastColumn="0" w:oddVBand="0" w:evenVBand="0" w:oddHBand="0" w:evenHBand="0" w:firstRowFirstColumn="0" w:firstRowLastColumn="0" w:lastRowFirstColumn="0" w:lastRowLastColumn="0"/>
            </w:pPr>
            <w:r>
              <w:t>204</w:t>
            </w:r>
          </w:p>
        </w:tc>
        <w:tc>
          <w:tcPr>
            <w:tcW w:w="794" w:type="dxa"/>
          </w:tcPr>
          <w:p w14:paraId="6049AC0D" w14:textId="77777777" w:rsidR="00C424E5" w:rsidRDefault="00C424E5">
            <w:pPr>
              <w:cnfStyle w:val="000000000000" w:firstRow="0" w:lastRow="0" w:firstColumn="0" w:lastColumn="0" w:oddVBand="0" w:evenVBand="0" w:oddHBand="0" w:evenHBand="0" w:firstRowFirstColumn="0" w:firstRowLastColumn="0" w:lastRowFirstColumn="0" w:lastRowLastColumn="0"/>
            </w:pPr>
            <w:r>
              <w:t>71</w:t>
            </w:r>
          </w:p>
        </w:tc>
        <w:tc>
          <w:tcPr>
            <w:tcW w:w="794" w:type="dxa"/>
          </w:tcPr>
          <w:p w14:paraId="055A52C1" w14:textId="77777777" w:rsidR="00C424E5" w:rsidRDefault="00C424E5">
            <w:pPr>
              <w:cnfStyle w:val="000000000000" w:firstRow="0" w:lastRow="0" w:firstColumn="0" w:lastColumn="0" w:oddVBand="0" w:evenVBand="0" w:oddHBand="0" w:evenHBand="0" w:firstRowFirstColumn="0" w:firstRowLastColumn="0" w:lastRowFirstColumn="0" w:lastRowLastColumn="0"/>
            </w:pPr>
            <w:r>
              <w:t>78</w:t>
            </w:r>
          </w:p>
        </w:tc>
        <w:tc>
          <w:tcPr>
            <w:tcW w:w="794" w:type="dxa"/>
          </w:tcPr>
          <w:p w14:paraId="75257C65" w14:textId="77777777" w:rsidR="00C424E5" w:rsidRDefault="00C424E5">
            <w:pPr>
              <w:cnfStyle w:val="000000000000" w:firstRow="0" w:lastRow="0" w:firstColumn="0" w:lastColumn="0" w:oddVBand="0" w:evenVBand="0" w:oddHBand="0" w:evenHBand="0" w:firstRowFirstColumn="0" w:firstRowLastColumn="0" w:lastRowFirstColumn="0" w:lastRowLastColumn="0"/>
            </w:pPr>
            <w:r>
              <w:t>70</w:t>
            </w:r>
          </w:p>
        </w:tc>
      </w:tr>
      <w:tr w:rsidR="00C424E5" w14:paraId="0852A3CD" w14:textId="77777777">
        <w:tc>
          <w:tcPr>
            <w:cnfStyle w:val="001000000000" w:firstRow="0" w:lastRow="0" w:firstColumn="1" w:lastColumn="0" w:oddVBand="0" w:evenVBand="0" w:oddHBand="0" w:evenHBand="0" w:firstRowFirstColumn="0" w:firstRowLastColumn="0" w:lastRowFirstColumn="0" w:lastRowLastColumn="0"/>
            <w:tcW w:w="3740" w:type="dxa"/>
          </w:tcPr>
          <w:p w14:paraId="48DBC210" w14:textId="77777777" w:rsidR="00C424E5" w:rsidRDefault="00C424E5">
            <w:r>
              <w:t>Parliament</w:t>
            </w:r>
          </w:p>
        </w:tc>
        <w:tc>
          <w:tcPr>
            <w:tcW w:w="794" w:type="dxa"/>
          </w:tcPr>
          <w:p w14:paraId="31B0C651" w14:textId="77777777" w:rsidR="00C424E5" w:rsidRDefault="00C424E5">
            <w:pPr>
              <w:cnfStyle w:val="000000000000" w:firstRow="0" w:lastRow="0" w:firstColumn="0" w:lastColumn="0" w:oddVBand="0" w:evenVBand="0" w:oddHBand="0" w:evenHBand="0" w:firstRowFirstColumn="0" w:firstRowLastColumn="0" w:lastRowFirstColumn="0" w:lastRowLastColumn="0"/>
            </w:pPr>
            <w:r>
              <w:t>19</w:t>
            </w:r>
          </w:p>
        </w:tc>
        <w:tc>
          <w:tcPr>
            <w:tcW w:w="794" w:type="dxa"/>
          </w:tcPr>
          <w:p w14:paraId="65B4D77B" w14:textId="77777777" w:rsidR="00C424E5" w:rsidRDefault="00C424E5">
            <w:pPr>
              <w:cnfStyle w:val="000000000000" w:firstRow="0" w:lastRow="0" w:firstColumn="0" w:lastColumn="0" w:oddVBand="0" w:evenVBand="0" w:oddHBand="0" w:evenHBand="0" w:firstRowFirstColumn="0" w:firstRowLastColumn="0" w:lastRowFirstColumn="0" w:lastRowLastColumn="0"/>
            </w:pPr>
            <w:r>
              <w:t>28</w:t>
            </w:r>
          </w:p>
        </w:tc>
        <w:tc>
          <w:tcPr>
            <w:tcW w:w="794" w:type="dxa"/>
          </w:tcPr>
          <w:p w14:paraId="65BB8384" w14:textId="77777777" w:rsidR="00C424E5" w:rsidRDefault="00C424E5">
            <w:pPr>
              <w:cnfStyle w:val="000000000000" w:firstRow="0" w:lastRow="0" w:firstColumn="0" w:lastColumn="0" w:oddVBand="0" w:evenVBand="0" w:oddHBand="0" w:evenHBand="0" w:firstRowFirstColumn="0" w:firstRowLastColumn="0" w:lastRowFirstColumn="0" w:lastRowLastColumn="0"/>
            </w:pPr>
            <w:r>
              <w:t>7</w:t>
            </w:r>
          </w:p>
        </w:tc>
        <w:tc>
          <w:tcPr>
            <w:tcW w:w="794" w:type="dxa"/>
          </w:tcPr>
          <w:p w14:paraId="65B14621" w14:textId="77777777" w:rsidR="00C424E5" w:rsidRDefault="00C424E5">
            <w:pPr>
              <w:cnfStyle w:val="000000000000" w:firstRow="0" w:lastRow="0" w:firstColumn="0" w:lastColumn="0" w:oddVBand="0" w:evenVBand="0" w:oddHBand="0" w:evenHBand="0" w:firstRowFirstColumn="0" w:firstRowLastColumn="0" w:lastRowFirstColumn="0" w:lastRowLastColumn="0"/>
            </w:pPr>
            <w:r>
              <w:t>3</w:t>
            </w:r>
          </w:p>
        </w:tc>
        <w:tc>
          <w:tcPr>
            <w:tcW w:w="794" w:type="dxa"/>
          </w:tcPr>
          <w:p w14:paraId="5CDC3E66" w14:textId="77777777" w:rsidR="00C424E5" w:rsidRDefault="00C424E5">
            <w:pPr>
              <w:cnfStyle w:val="000000000000" w:firstRow="0" w:lastRow="0" w:firstColumn="0" w:lastColumn="0" w:oddVBand="0" w:evenVBand="0" w:oddHBand="0" w:evenHBand="0" w:firstRowFirstColumn="0" w:firstRowLastColumn="0" w:lastRowFirstColumn="0" w:lastRowLastColumn="0"/>
            </w:pPr>
            <w:r>
              <w:t>3</w:t>
            </w:r>
          </w:p>
        </w:tc>
      </w:tr>
      <w:tr w:rsidR="00C424E5" w14:paraId="3A32843D" w14:textId="77777777">
        <w:tc>
          <w:tcPr>
            <w:cnfStyle w:val="001000000000" w:firstRow="0" w:lastRow="0" w:firstColumn="1" w:lastColumn="0" w:oddVBand="0" w:evenVBand="0" w:oddHBand="0" w:evenHBand="0" w:firstRowFirstColumn="0" w:firstRowLastColumn="0" w:lastRowFirstColumn="0" w:lastRowLastColumn="0"/>
            <w:tcW w:w="3740" w:type="dxa"/>
          </w:tcPr>
          <w:p w14:paraId="6562B3A8" w14:textId="77777777" w:rsidR="00C424E5" w:rsidRDefault="00C424E5">
            <w:r>
              <w:t>Courts</w:t>
            </w:r>
          </w:p>
        </w:tc>
        <w:tc>
          <w:tcPr>
            <w:tcW w:w="794" w:type="dxa"/>
          </w:tcPr>
          <w:p w14:paraId="1693191D" w14:textId="77777777" w:rsidR="00C424E5" w:rsidRDefault="00C424E5">
            <w:pPr>
              <w:cnfStyle w:val="000000000000" w:firstRow="0" w:lastRow="0" w:firstColumn="0" w:lastColumn="0" w:oddVBand="0" w:evenVBand="0" w:oddHBand="0" w:evenHBand="0" w:firstRowFirstColumn="0" w:firstRowLastColumn="0" w:lastRowFirstColumn="0" w:lastRowLastColumn="0"/>
            </w:pPr>
            <w:r>
              <w:t>158</w:t>
            </w:r>
          </w:p>
        </w:tc>
        <w:tc>
          <w:tcPr>
            <w:tcW w:w="794" w:type="dxa"/>
          </w:tcPr>
          <w:p w14:paraId="24372249" w14:textId="77777777" w:rsidR="00C424E5" w:rsidRDefault="00C424E5">
            <w:pPr>
              <w:cnfStyle w:val="000000000000" w:firstRow="0" w:lastRow="0" w:firstColumn="0" w:lastColumn="0" w:oddVBand="0" w:evenVBand="0" w:oddHBand="0" w:evenHBand="0" w:firstRowFirstColumn="0" w:firstRowLastColumn="0" w:lastRowFirstColumn="0" w:lastRowLastColumn="0"/>
            </w:pPr>
            <w:r>
              <w:t>194</w:t>
            </w:r>
          </w:p>
        </w:tc>
        <w:tc>
          <w:tcPr>
            <w:tcW w:w="794" w:type="dxa"/>
          </w:tcPr>
          <w:p w14:paraId="722B1F8F" w14:textId="77777777" w:rsidR="00C424E5" w:rsidRDefault="00C424E5">
            <w:pPr>
              <w:cnfStyle w:val="000000000000" w:firstRow="0" w:lastRow="0" w:firstColumn="0" w:lastColumn="0" w:oddVBand="0" w:evenVBand="0" w:oddHBand="0" w:evenHBand="0" w:firstRowFirstColumn="0" w:firstRowLastColumn="0" w:lastRowFirstColumn="0" w:lastRowLastColumn="0"/>
            </w:pPr>
            <w:r>
              <w:t>61</w:t>
            </w:r>
          </w:p>
        </w:tc>
        <w:tc>
          <w:tcPr>
            <w:tcW w:w="794" w:type="dxa"/>
          </w:tcPr>
          <w:p w14:paraId="7B66B75E" w14:textId="77777777" w:rsidR="00C424E5" w:rsidRDefault="00C424E5">
            <w:pPr>
              <w:cnfStyle w:val="000000000000" w:firstRow="0" w:lastRow="0" w:firstColumn="0" w:lastColumn="0" w:oddVBand="0" w:evenVBand="0" w:oddHBand="0" w:evenHBand="0" w:firstRowFirstColumn="0" w:firstRowLastColumn="0" w:lastRowFirstColumn="0" w:lastRowLastColumn="0"/>
            </w:pPr>
            <w:r>
              <w:t>32</w:t>
            </w:r>
          </w:p>
        </w:tc>
        <w:tc>
          <w:tcPr>
            <w:tcW w:w="794" w:type="dxa"/>
          </w:tcPr>
          <w:p w14:paraId="2E958C42" w14:textId="77777777" w:rsidR="00C424E5" w:rsidRDefault="00C424E5">
            <w:pPr>
              <w:cnfStyle w:val="000000000000" w:firstRow="0" w:lastRow="0" w:firstColumn="0" w:lastColumn="0" w:oddVBand="0" w:evenVBand="0" w:oddHBand="0" w:evenHBand="0" w:firstRowFirstColumn="0" w:firstRowLastColumn="0" w:lastRowFirstColumn="0" w:lastRowLastColumn="0"/>
            </w:pPr>
            <w:r>
              <w:t>19</w:t>
            </w:r>
          </w:p>
        </w:tc>
      </w:tr>
      <w:tr w:rsidR="00C424E5" w14:paraId="2D6BC0B3" w14:textId="77777777">
        <w:tc>
          <w:tcPr>
            <w:cnfStyle w:val="001000000000" w:firstRow="0" w:lastRow="0" w:firstColumn="1" w:lastColumn="0" w:oddVBand="0" w:evenVBand="0" w:oddHBand="0" w:evenHBand="0" w:firstRowFirstColumn="0" w:firstRowLastColumn="0" w:lastRowFirstColumn="0" w:lastRowLastColumn="0"/>
            <w:tcW w:w="3740" w:type="dxa"/>
          </w:tcPr>
          <w:p w14:paraId="3F07DDD8" w14:textId="77777777" w:rsidR="00C424E5" w:rsidRDefault="00C424E5">
            <w:r>
              <w:t>Regulatory bodies and other part funded agencies</w:t>
            </w:r>
            <w:r>
              <w:rPr>
                <w:vertAlign w:val="superscript"/>
              </w:rPr>
              <w:t xml:space="preserve"> (a)</w:t>
            </w:r>
          </w:p>
        </w:tc>
        <w:tc>
          <w:tcPr>
            <w:tcW w:w="794" w:type="dxa"/>
          </w:tcPr>
          <w:p w14:paraId="2BD67E76" w14:textId="77777777" w:rsidR="00C424E5" w:rsidRDefault="00C424E5">
            <w:pPr>
              <w:cnfStyle w:val="000000000000" w:firstRow="0" w:lastRow="0" w:firstColumn="0" w:lastColumn="0" w:oddVBand="0" w:evenVBand="0" w:oddHBand="0" w:evenHBand="0" w:firstRowFirstColumn="0" w:firstRowLastColumn="0" w:lastRowFirstColumn="0" w:lastRowLastColumn="0"/>
            </w:pPr>
            <w:r>
              <w:t>165</w:t>
            </w:r>
          </w:p>
        </w:tc>
        <w:tc>
          <w:tcPr>
            <w:tcW w:w="794" w:type="dxa"/>
          </w:tcPr>
          <w:p w14:paraId="5EBE4A49" w14:textId="77777777" w:rsidR="00C424E5" w:rsidRDefault="00C424E5">
            <w:pPr>
              <w:cnfStyle w:val="000000000000" w:firstRow="0" w:lastRow="0" w:firstColumn="0" w:lastColumn="0" w:oddVBand="0" w:evenVBand="0" w:oddHBand="0" w:evenHBand="0" w:firstRowFirstColumn="0" w:firstRowLastColumn="0" w:lastRowFirstColumn="0" w:lastRowLastColumn="0"/>
            </w:pPr>
            <w:r>
              <w:t>211</w:t>
            </w:r>
          </w:p>
        </w:tc>
        <w:tc>
          <w:tcPr>
            <w:tcW w:w="794" w:type="dxa"/>
          </w:tcPr>
          <w:p w14:paraId="4534AF0E" w14:textId="77777777" w:rsidR="00C424E5" w:rsidRDefault="00C424E5">
            <w:pPr>
              <w:cnfStyle w:val="000000000000" w:firstRow="0" w:lastRow="0" w:firstColumn="0" w:lastColumn="0" w:oddVBand="0" w:evenVBand="0" w:oddHBand="0" w:evenHBand="0" w:firstRowFirstColumn="0" w:firstRowLastColumn="0" w:lastRowFirstColumn="0" w:lastRowLastColumn="0"/>
            </w:pPr>
            <w:r>
              <w:t>142</w:t>
            </w:r>
          </w:p>
        </w:tc>
        <w:tc>
          <w:tcPr>
            <w:tcW w:w="794" w:type="dxa"/>
          </w:tcPr>
          <w:p w14:paraId="112C9271" w14:textId="77777777" w:rsidR="00C424E5" w:rsidRDefault="00C424E5">
            <w:pPr>
              <w:cnfStyle w:val="000000000000" w:firstRow="0" w:lastRow="0" w:firstColumn="0" w:lastColumn="0" w:oddVBand="0" w:evenVBand="0" w:oddHBand="0" w:evenHBand="0" w:firstRowFirstColumn="0" w:firstRowLastColumn="0" w:lastRowFirstColumn="0" w:lastRowLastColumn="0"/>
            </w:pPr>
            <w:r>
              <w:t>128</w:t>
            </w:r>
          </w:p>
        </w:tc>
        <w:tc>
          <w:tcPr>
            <w:tcW w:w="794" w:type="dxa"/>
          </w:tcPr>
          <w:p w14:paraId="75FAB12B" w14:textId="77777777" w:rsidR="00C424E5" w:rsidRDefault="00C424E5">
            <w:pPr>
              <w:cnfStyle w:val="000000000000" w:firstRow="0" w:lastRow="0" w:firstColumn="0" w:lastColumn="0" w:oddVBand="0" w:evenVBand="0" w:oddHBand="0" w:evenHBand="0" w:firstRowFirstColumn="0" w:firstRowLastColumn="0" w:lastRowFirstColumn="0" w:lastRowLastColumn="0"/>
            </w:pPr>
            <w:r>
              <w:t>137</w:t>
            </w:r>
          </w:p>
        </w:tc>
      </w:tr>
      <w:tr w:rsidR="00C424E5" w14:paraId="5CB1D4CA" w14:textId="77777777">
        <w:tc>
          <w:tcPr>
            <w:cnfStyle w:val="001000000000" w:firstRow="0" w:lastRow="0" w:firstColumn="1" w:lastColumn="0" w:oddVBand="0" w:evenVBand="0" w:oddHBand="0" w:evenHBand="0" w:firstRowFirstColumn="0" w:firstRowLastColumn="0" w:lastRowFirstColumn="0" w:lastRowLastColumn="0"/>
            <w:tcW w:w="3740" w:type="dxa"/>
          </w:tcPr>
          <w:p w14:paraId="19CC5318" w14:textId="77777777" w:rsidR="00C424E5" w:rsidRDefault="00C424E5">
            <w:r>
              <w:t>Asset contingencies not allocated to departments</w:t>
            </w:r>
            <w:r>
              <w:rPr>
                <w:vertAlign w:val="superscript"/>
              </w:rPr>
              <w:t xml:space="preserve"> (b)</w:t>
            </w:r>
          </w:p>
        </w:tc>
        <w:tc>
          <w:tcPr>
            <w:tcW w:w="794" w:type="dxa"/>
          </w:tcPr>
          <w:p w14:paraId="4E9C7ECF" w14:textId="77777777" w:rsidR="00C424E5" w:rsidRDefault="00C424E5">
            <w:pPr>
              <w:cnfStyle w:val="000000000000" w:firstRow="0" w:lastRow="0" w:firstColumn="0" w:lastColumn="0" w:oddVBand="0" w:evenVBand="0" w:oddHBand="0" w:evenHBand="0" w:firstRowFirstColumn="0" w:firstRowLastColumn="0" w:lastRowFirstColumn="0" w:lastRowLastColumn="0"/>
            </w:pPr>
            <w:r>
              <w:t>7 611</w:t>
            </w:r>
          </w:p>
        </w:tc>
        <w:tc>
          <w:tcPr>
            <w:tcW w:w="794" w:type="dxa"/>
          </w:tcPr>
          <w:p w14:paraId="64B9A2CA" w14:textId="77777777" w:rsidR="00C424E5" w:rsidRDefault="00C424E5">
            <w:pPr>
              <w:cnfStyle w:val="000000000000" w:firstRow="0" w:lastRow="0" w:firstColumn="0" w:lastColumn="0" w:oddVBand="0" w:evenVBand="0" w:oddHBand="0" w:evenHBand="0" w:firstRowFirstColumn="0" w:firstRowLastColumn="0" w:lastRowFirstColumn="0" w:lastRowLastColumn="0"/>
            </w:pPr>
            <w:r>
              <w:t>5 187</w:t>
            </w:r>
          </w:p>
        </w:tc>
        <w:tc>
          <w:tcPr>
            <w:tcW w:w="794" w:type="dxa"/>
          </w:tcPr>
          <w:p w14:paraId="40A7062F" w14:textId="77777777" w:rsidR="00C424E5" w:rsidRDefault="00C424E5">
            <w:pPr>
              <w:cnfStyle w:val="000000000000" w:firstRow="0" w:lastRow="0" w:firstColumn="0" w:lastColumn="0" w:oddVBand="0" w:evenVBand="0" w:oddHBand="0" w:evenHBand="0" w:firstRowFirstColumn="0" w:firstRowLastColumn="0" w:lastRowFirstColumn="0" w:lastRowLastColumn="0"/>
            </w:pPr>
            <w:r>
              <w:t>8 802</w:t>
            </w:r>
          </w:p>
        </w:tc>
        <w:tc>
          <w:tcPr>
            <w:tcW w:w="794" w:type="dxa"/>
          </w:tcPr>
          <w:p w14:paraId="62A51B01" w14:textId="77777777" w:rsidR="00C424E5" w:rsidRDefault="00C424E5">
            <w:pPr>
              <w:cnfStyle w:val="000000000000" w:firstRow="0" w:lastRow="0" w:firstColumn="0" w:lastColumn="0" w:oddVBand="0" w:evenVBand="0" w:oddHBand="0" w:evenHBand="0" w:firstRowFirstColumn="0" w:firstRowLastColumn="0" w:lastRowFirstColumn="0" w:lastRowLastColumn="0"/>
            </w:pPr>
            <w:r>
              <w:t>10 042</w:t>
            </w:r>
          </w:p>
        </w:tc>
        <w:tc>
          <w:tcPr>
            <w:tcW w:w="794" w:type="dxa"/>
          </w:tcPr>
          <w:p w14:paraId="7309DEB6" w14:textId="77777777" w:rsidR="00C424E5" w:rsidRDefault="00C424E5">
            <w:pPr>
              <w:cnfStyle w:val="000000000000" w:firstRow="0" w:lastRow="0" w:firstColumn="0" w:lastColumn="0" w:oddVBand="0" w:evenVBand="0" w:oddHBand="0" w:evenHBand="0" w:firstRowFirstColumn="0" w:firstRowLastColumn="0" w:lastRowFirstColumn="0" w:lastRowLastColumn="0"/>
            </w:pPr>
            <w:r>
              <w:t>14 370</w:t>
            </w:r>
          </w:p>
        </w:tc>
      </w:tr>
      <w:tr w:rsidR="00C424E5" w14:paraId="11508470"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2D3D4025" w14:textId="77777777" w:rsidR="00C424E5" w:rsidRDefault="00C424E5">
            <w:r>
              <w:t>Adjustments</w:t>
            </w:r>
            <w:r>
              <w:rPr>
                <w:vertAlign w:val="superscript"/>
              </w:rPr>
              <w:t xml:space="preserve"> (c)</w:t>
            </w:r>
          </w:p>
        </w:tc>
        <w:tc>
          <w:tcPr>
            <w:tcW w:w="794" w:type="dxa"/>
            <w:tcBorders>
              <w:bottom w:val="single" w:sz="6" w:space="0" w:color="auto"/>
            </w:tcBorders>
          </w:tcPr>
          <w:p w14:paraId="21D2A176" w14:textId="77777777" w:rsidR="00C424E5" w:rsidRDefault="00C424E5">
            <w:pPr>
              <w:cnfStyle w:val="000000000000" w:firstRow="0" w:lastRow="0" w:firstColumn="0" w:lastColumn="0" w:oddVBand="0" w:evenVBand="0" w:oddHBand="0" w:evenHBand="0" w:firstRowFirstColumn="0" w:firstRowLastColumn="0" w:lastRowFirstColumn="0" w:lastRowLastColumn="0"/>
            </w:pPr>
            <w:r>
              <w:t>(7 391)</w:t>
            </w:r>
          </w:p>
        </w:tc>
        <w:tc>
          <w:tcPr>
            <w:tcW w:w="794" w:type="dxa"/>
            <w:tcBorders>
              <w:bottom w:val="single" w:sz="6" w:space="0" w:color="auto"/>
            </w:tcBorders>
          </w:tcPr>
          <w:p w14:paraId="2888F36D" w14:textId="77777777" w:rsidR="00C424E5" w:rsidRDefault="00C424E5">
            <w:pPr>
              <w:cnfStyle w:val="000000000000" w:firstRow="0" w:lastRow="0" w:firstColumn="0" w:lastColumn="0" w:oddVBand="0" w:evenVBand="0" w:oddHBand="0" w:evenHBand="0" w:firstRowFirstColumn="0" w:firstRowLastColumn="0" w:lastRowFirstColumn="0" w:lastRowLastColumn="0"/>
            </w:pPr>
            <w:r>
              <w:t>(7 948)</w:t>
            </w:r>
          </w:p>
        </w:tc>
        <w:tc>
          <w:tcPr>
            <w:tcW w:w="794" w:type="dxa"/>
            <w:tcBorders>
              <w:bottom w:val="single" w:sz="6" w:space="0" w:color="auto"/>
            </w:tcBorders>
          </w:tcPr>
          <w:p w14:paraId="28EF61FC" w14:textId="77777777" w:rsidR="00C424E5" w:rsidRDefault="00C424E5">
            <w:pPr>
              <w:cnfStyle w:val="000000000000" w:firstRow="0" w:lastRow="0" w:firstColumn="0" w:lastColumn="0" w:oddVBand="0" w:evenVBand="0" w:oddHBand="0" w:evenHBand="0" w:firstRowFirstColumn="0" w:firstRowLastColumn="0" w:lastRowFirstColumn="0" w:lastRowLastColumn="0"/>
            </w:pPr>
            <w:r>
              <w:t>(2 812)</w:t>
            </w:r>
          </w:p>
        </w:tc>
        <w:tc>
          <w:tcPr>
            <w:tcW w:w="794" w:type="dxa"/>
            <w:tcBorders>
              <w:bottom w:val="single" w:sz="6" w:space="0" w:color="auto"/>
            </w:tcBorders>
          </w:tcPr>
          <w:p w14:paraId="028EBBAB" w14:textId="77777777" w:rsidR="00C424E5" w:rsidRDefault="00C424E5">
            <w:pPr>
              <w:cnfStyle w:val="000000000000" w:firstRow="0" w:lastRow="0" w:firstColumn="0" w:lastColumn="0" w:oddVBand="0" w:evenVBand="0" w:oddHBand="0" w:evenHBand="0" w:firstRowFirstColumn="0" w:firstRowLastColumn="0" w:lastRowFirstColumn="0" w:lastRowLastColumn="0"/>
            </w:pPr>
            <w:r>
              <w:t>2 197</w:t>
            </w:r>
          </w:p>
        </w:tc>
        <w:tc>
          <w:tcPr>
            <w:tcW w:w="794" w:type="dxa"/>
            <w:tcBorders>
              <w:bottom w:val="single" w:sz="6" w:space="0" w:color="auto"/>
            </w:tcBorders>
          </w:tcPr>
          <w:p w14:paraId="38C24EA9" w14:textId="77777777" w:rsidR="00C424E5" w:rsidRDefault="00C424E5">
            <w:pPr>
              <w:cnfStyle w:val="000000000000" w:firstRow="0" w:lastRow="0" w:firstColumn="0" w:lastColumn="0" w:oddVBand="0" w:evenVBand="0" w:oddHBand="0" w:evenHBand="0" w:firstRowFirstColumn="0" w:firstRowLastColumn="0" w:lastRowFirstColumn="0" w:lastRowLastColumn="0"/>
            </w:pPr>
            <w:r>
              <w:t>1 020</w:t>
            </w:r>
          </w:p>
        </w:tc>
      </w:tr>
      <w:tr w:rsidR="00C424E5" w14:paraId="24A0EFB4"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58F57B67" w14:textId="77777777" w:rsidR="00C424E5" w:rsidRDefault="00C424E5">
            <w:r>
              <w:rPr>
                <w:b/>
              </w:rPr>
              <w:t>Total purchases of non</w:t>
            </w:r>
            <w:r>
              <w:rPr>
                <w:b/>
              </w:rPr>
              <w:noBreakHyphen/>
              <w:t>financial assets</w:t>
            </w:r>
          </w:p>
        </w:tc>
        <w:tc>
          <w:tcPr>
            <w:tcW w:w="794" w:type="dxa"/>
            <w:tcBorders>
              <w:top w:val="single" w:sz="6" w:space="0" w:color="auto"/>
              <w:bottom w:val="single" w:sz="12" w:space="0" w:color="auto"/>
            </w:tcBorders>
          </w:tcPr>
          <w:p w14:paraId="5C8BF988"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15 138</w:t>
            </w:r>
          </w:p>
        </w:tc>
        <w:tc>
          <w:tcPr>
            <w:tcW w:w="794" w:type="dxa"/>
            <w:tcBorders>
              <w:top w:val="single" w:sz="6" w:space="0" w:color="auto"/>
              <w:bottom w:val="single" w:sz="12" w:space="0" w:color="auto"/>
            </w:tcBorders>
          </w:tcPr>
          <w:p w14:paraId="00F0AB74"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14 788</w:t>
            </w:r>
          </w:p>
        </w:tc>
        <w:tc>
          <w:tcPr>
            <w:tcW w:w="794" w:type="dxa"/>
            <w:tcBorders>
              <w:top w:val="single" w:sz="6" w:space="0" w:color="auto"/>
              <w:bottom w:val="single" w:sz="12" w:space="0" w:color="auto"/>
            </w:tcBorders>
          </w:tcPr>
          <w:p w14:paraId="2BEE3AD6"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16 820</w:t>
            </w:r>
          </w:p>
        </w:tc>
        <w:tc>
          <w:tcPr>
            <w:tcW w:w="794" w:type="dxa"/>
            <w:tcBorders>
              <w:top w:val="single" w:sz="6" w:space="0" w:color="auto"/>
              <w:bottom w:val="single" w:sz="12" w:space="0" w:color="auto"/>
            </w:tcBorders>
          </w:tcPr>
          <w:p w14:paraId="6D53F856"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18 559</w:t>
            </w:r>
          </w:p>
        </w:tc>
        <w:tc>
          <w:tcPr>
            <w:tcW w:w="794" w:type="dxa"/>
            <w:tcBorders>
              <w:top w:val="single" w:sz="6" w:space="0" w:color="auto"/>
              <w:bottom w:val="single" w:sz="12" w:space="0" w:color="auto"/>
            </w:tcBorders>
          </w:tcPr>
          <w:p w14:paraId="496AE35B" w14:textId="7EFB3DCB" w:rsidR="00C424E5" w:rsidRDefault="00C424E5">
            <w:pPr>
              <w:cnfStyle w:val="000000000000" w:firstRow="0" w:lastRow="0" w:firstColumn="0" w:lastColumn="0" w:oddVBand="0" w:evenVBand="0" w:oddHBand="0" w:evenHBand="0" w:firstRowFirstColumn="0" w:firstRowLastColumn="0" w:lastRowFirstColumn="0" w:lastRowLastColumn="0"/>
            </w:pPr>
            <w:r>
              <w:rPr>
                <w:b/>
              </w:rPr>
              <w:t>17 885</w:t>
            </w:r>
          </w:p>
        </w:tc>
      </w:tr>
    </w:tbl>
    <w:p w14:paraId="4D189778" w14:textId="77777777" w:rsidR="00C424E5" w:rsidRPr="00DA1FBC" w:rsidRDefault="00C424E5" w:rsidP="006206EF">
      <w:pPr>
        <w:pStyle w:val="Note"/>
        <w:ind w:left="0" w:firstLine="0"/>
      </w:pPr>
      <w:r w:rsidRPr="00DA1FBC">
        <w:t>Notes:</w:t>
      </w:r>
    </w:p>
    <w:p w14:paraId="4377B095" w14:textId="77777777" w:rsidR="00C424E5" w:rsidRPr="00DA1FBC" w:rsidRDefault="00C424E5" w:rsidP="006206EF">
      <w:pPr>
        <w:pStyle w:val="Note"/>
      </w:pPr>
      <w:r w:rsidRPr="00DA1FBC">
        <w:t>(a)</w:t>
      </w:r>
      <w:r w:rsidRPr="00DA1FBC">
        <w:tab/>
        <w:t>Other general government sector agencies not allocated to departmental portfolios.</w:t>
      </w:r>
    </w:p>
    <w:p w14:paraId="61BE23BC" w14:textId="77777777" w:rsidR="00C424E5" w:rsidRPr="00DA1FBC" w:rsidRDefault="00C424E5" w:rsidP="006206EF">
      <w:pPr>
        <w:pStyle w:val="Note"/>
      </w:pPr>
      <w:r w:rsidRPr="00DA1FBC">
        <w:t>(b)</w:t>
      </w:r>
      <w:r w:rsidRPr="00DA1FBC">
        <w:tab/>
        <w:t>The following table provides a breakdown of the general government sector asset contingencies not allocated to departments.</w:t>
      </w:r>
    </w:p>
    <w:p w14:paraId="566DDACE" w14:textId="77777777" w:rsidR="00C424E5" w:rsidRDefault="00C424E5" w:rsidP="006206EF">
      <w:pPr>
        <w:pStyle w:val="Note"/>
      </w:pPr>
      <w:r w:rsidRPr="00DA1FBC">
        <w:t>(c)</w:t>
      </w:r>
      <w:r w:rsidRPr="00DA1FBC">
        <w:tab/>
        <w:t>Mainly comprises estimated departmental underspend, which may be subject to carryover, and estimated underspends by other regulatory bodies and other part</w:t>
      </w:r>
      <w:r w:rsidRPr="00DA1FBC">
        <w:noBreakHyphen/>
        <w:t>funded agencies.</w:t>
      </w:r>
    </w:p>
    <w:p w14:paraId="4F70062C" w14:textId="77777777" w:rsidR="00C424E5" w:rsidRPr="00DA1FBC" w:rsidRDefault="00C424E5" w:rsidP="00A330B7"/>
    <w:p w14:paraId="17A9B10F" w14:textId="77777777" w:rsidR="00C424E5" w:rsidRDefault="00C424E5" w:rsidP="006206EF">
      <w:pPr>
        <w:pStyle w:val="TableHeading"/>
      </w:pPr>
      <w:r w:rsidRPr="00181E4A">
        <w:t xml:space="preserve">General government asset contingencies not allocated to departments </w:t>
      </w:r>
      <w:r w:rsidRPr="00181E4A">
        <w:tab/>
        <w:t>($ million)</w:t>
      </w:r>
    </w:p>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F70B1C" w14:paraId="47C1C307" w14:textId="77777777" w:rsidTr="00A836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63FA5594" w14:textId="74B32CEA" w:rsidR="00F70B1C" w:rsidRDefault="00F70B1C"/>
        </w:tc>
        <w:tc>
          <w:tcPr>
            <w:tcW w:w="794" w:type="dxa"/>
          </w:tcPr>
          <w:p w14:paraId="15B1F366" w14:textId="2DEEABA3" w:rsidR="00F70B1C" w:rsidRDefault="00F70B1C" w:rsidP="00BB1F10">
            <w:pPr>
              <w:cnfStyle w:val="100000000000" w:firstRow="1" w:lastRow="0" w:firstColumn="0" w:lastColumn="0" w:oddVBand="0" w:evenVBand="0" w:oddHBand="0" w:evenHBand="0" w:firstRowFirstColumn="0" w:firstRowLastColumn="0" w:lastRowFirstColumn="0" w:lastRowLastColumn="0"/>
            </w:pPr>
            <w:r>
              <w:t>2022</w:t>
            </w:r>
            <w:r>
              <w:noBreakHyphen/>
              <w:t>23</w:t>
            </w:r>
            <w:r>
              <w:rPr>
                <w:i w:val="0"/>
              </w:rPr>
              <w:br/>
            </w:r>
            <w:r>
              <w:t>budget</w:t>
            </w:r>
          </w:p>
        </w:tc>
        <w:tc>
          <w:tcPr>
            <w:tcW w:w="794" w:type="dxa"/>
          </w:tcPr>
          <w:p w14:paraId="66D3415B" w14:textId="596AFCE5" w:rsidR="00F70B1C" w:rsidRDefault="00F70B1C" w:rsidP="00BC130E">
            <w:pPr>
              <w:cnfStyle w:val="100000000000" w:firstRow="1" w:lastRow="0" w:firstColumn="0" w:lastColumn="0" w:oddVBand="0" w:evenVBand="0" w:oddHBand="0" w:evenHBand="0" w:firstRowFirstColumn="0" w:firstRowLastColumn="0" w:lastRowFirstColumn="0" w:lastRowLastColumn="0"/>
            </w:pPr>
            <w:r>
              <w:t>2022</w:t>
            </w:r>
            <w:r>
              <w:noBreakHyphen/>
              <w:t>23</w:t>
            </w:r>
            <w:r>
              <w:rPr>
                <w:i w:val="0"/>
              </w:rPr>
              <w:br/>
            </w:r>
            <w:r>
              <w:t>revised</w:t>
            </w:r>
          </w:p>
        </w:tc>
        <w:tc>
          <w:tcPr>
            <w:tcW w:w="794" w:type="dxa"/>
          </w:tcPr>
          <w:p w14:paraId="517F2DD4" w14:textId="33112363" w:rsidR="00F70B1C" w:rsidRDefault="00F70B1C" w:rsidP="008A5145">
            <w:pPr>
              <w:cnfStyle w:val="100000000000" w:firstRow="1" w:lastRow="0" w:firstColumn="0" w:lastColumn="0" w:oddVBand="0" w:evenVBand="0" w:oddHBand="0" w:evenHBand="0" w:firstRowFirstColumn="0" w:firstRowLastColumn="0" w:lastRowFirstColumn="0" w:lastRowLastColumn="0"/>
            </w:pPr>
            <w:r>
              <w:t>2023</w:t>
            </w:r>
            <w:r>
              <w:noBreakHyphen/>
              <w:t>24</w:t>
            </w:r>
            <w:r>
              <w:rPr>
                <w:i w:val="0"/>
              </w:rPr>
              <w:br/>
            </w:r>
            <w:r>
              <w:t>estimate</w:t>
            </w:r>
          </w:p>
        </w:tc>
        <w:tc>
          <w:tcPr>
            <w:tcW w:w="794" w:type="dxa"/>
          </w:tcPr>
          <w:p w14:paraId="170DFBD4" w14:textId="6A075AF5" w:rsidR="00F70B1C" w:rsidRDefault="00F70B1C" w:rsidP="004F5B60">
            <w:pPr>
              <w:cnfStyle w:val="100000000000" w:firstRow="1" w:lastRow="0" w:firstColumn="0" w:lastColumn="0" w:oddVBand="0" w:evenVBand="0" w:oddHBand="0" w:evenHBand="0" w:firstRowFirstColumn="0" w:firstRowLastColumn="0" w:lastRowFirstColumn="0" w:lastRowLastColumn="0"/>
            </w:pPr>
            <w:r>
              <w:t>2024</w:t>
            </w:r>
            <w:r>
              <w:noBreakHyphen/>
              <w:t>25</w:t>
            </w:r>
            <w:r>
              <w:rPr>
                <w:i w:val="0"/>
              </w:rPr>
              <w:br/>
            </w:r>
            <w:r>
              <w:t>estimate</w:t>
            </w:r>
          </w:p>
        </w:tc>
        <w:tc>
          <w:tcPr>
            <w:tcW w:w="794" w:type="dxa"/>
          </w:tcPr>
          <w:p w14:paraId="0E82B761" w14:textId="2E584104" w:rsidR="00F70B1C" w:rsidRDefault="00F70B1C" w:rsidP="009A42D9">
            <w:pPr>
              <w:cnfStyle w:val="100000000000" w:firstRow="1" w:lastRow="0" w:firstColumn="0" w:lastColumn="0" w:oddVBand="0" w:evenVBand="0" w:oddHBand="0" w:evenHBand="0" w:firstRowFirstColumn="0" w:firstRowLastColumn="0" w:lastRowFirstColumn="0" w:lastRowLastColumn="0"/>
            </w:pPr>
            <w:r>
              <w:t>2025</w:t>
            </w:r>
            <w:r>
              <w:noBreakHyphen/>
              <w:t>26</w:t>
            </w:r>
            <w:r>
              <w:rPr>
                <w:i w:val="0"/>
              </w:rPr>
              <w:br/>
            </w:r>
            <w:r>
              <w:t>estimate</w:t>
            </w:r>
          </w:p>
        </w:tc>
      </w:tr>
      <w:tr w:rsidR="00C424E5" w14:paraId="12181BB5" w14:textId="77777777">
        <w:tc>
          <w:tcPr>
            <w:cnfStyle w:val="001000000000" w:firstRow="0" w:lastRow="0" w:firstColumn="1" w:lastColumn="0" w:oddVBand="0" w:evenVBand="0" w:oddHBand="0" w:evenHBand="0" w:firstRowFirstColumn="0" w:firstRowLastColumn="0" w:lastRowFirstColumn="0" w:lastRowLastColumn="0"/>
            <w:tcW w:w="3740" w:type="dxa"/>
          </w:tcPr>
          <w:p w14:paraId="684C420F" w14:textId="77777777" w:rsidR="00C424E5" w:rsidRDefault="00C424E5">
            <w:r>
              <w:t>Decisions made but not yet allocated</w:t>
            </w:r>
            <w:r>
              <w:rPr>
                <w:vertAlign w:val="superscript"/>
              </w:rPr>
              <w:t xml:space="preserve"> (a)(b)</w:t>
            </w:r>
          </w:p>
        </w:tc>
        <w:tc>
          <w:tcPr>
            <w:tcW w:w="794" w:type="dxa"/>
          </w:tcPr>
          <w:p w14:paraId="508F2CC3" w14:textId="77777777" w:rsidR="00C424E5" w:rsidRDefault="00C424E5">
            <w:pPr>
              <w:cnfStyle w:val="000000000000" w:firstRow="0" w:lastRow="0" w:firstColumn="0" w:lastColumn="0" w:oddVBand="0" w:evenVBand="0" w:oddHBand="0" w:evenHBand="0" w:firstRowFirstColumn="0" w:firstRowLastColumn="0" w:lastRowFirstColumn="0" w:lastRowLastColumn="0"/>
            </w:pPr>
            <w:r>
              <w:t>8 831</w:t>
            </w:r>
          </w:p>
        </w:tc>
        <w:tc>
          <w:tcPr>
            <w:tcW w:w="794" w:type="dxa"/>
          </w:tcPr>
          <w:p w14:paraId="1FB52396" w14:textId="77777777" w:rsidR="00C424E5" w:rsidRDefault="00C424E5">
            <w:pPr>
              <w:cnfStyle w:val="000000000000" w:firstRow="0" w:lastRow="0" w:firstColumn="0" w:lastColumn="0" w:oddVBand="0" w:evenVBand="0" w:oddHBand="0" w:evenHBand="0" w:firstRowFirstColumn="0" w:firstRowLastColumn="0" w:lastRowFirstColumn="0" w:lastRowLastColumn="0"/>
            </w:pPr>
            <w:r>
              <w:t>5 505</w:t>
            </w:r>
          </w:p>
        </w:tc>
        <w:tc>
          <w:tcPr>
            <w:tcW w:w="794" w:type="dxa"/>
          </w:tcPr>
          <w:p w14:paraId="0322F6CE" w14:textId="77777777" w:rsidR="00C424E5" w:rsidRDefault="00C424E5">
            <w:pPr>
              <w:cnfStyle w:val="000000000000" w:firstRow="0" w:lastRow="0" w:firstColumn="0" w:lastColumn="0" w:oddVBand="0" w:evenVBand="0" w:oddHBand="0" w:evenHBand="0" w:firstRowFirstColumn="0" w:firstRowLastColumn="0" w:lastRowFirstColumn="0" w:lastRowLastColumn="0"/>
            </w:pPr>
            <w:r>
              <w:t>11 303</w:t>
            </w:r>
          </w:p>
        </w:tc>
        <w:tc>
          <w:tcPr>
            <w:tcW w:w="794" w:type="dxa"/>
          </w:tcPr>
          <w:p w14:paraId="6F62F0FC" w14:textId="77777777" w:rsidR="00C424E5" w:rsidRDefault="00C424E5">
            <w:pPr>
              <w:cnfStyle w:val="000000000000" w:firstRow="0" w:lastRow="0" w:firstColumn="0" w:lastColumn="0" w:oddVBand="0" w:evenVBand="0" w:oddHBand="0" w:evenHBand="0" w:firstRowFirstColumn="0" w:firstRowLastColumn="0" w:lastRowFirstColumn="0" w:lastRowLastColumn="0"/>
            </w:pPr>
            <w:r>
              <w:t>12 569</w:t>
            </w:r>
          </w:p>
        </w:tc>
        <w:tc>
          <w:tcPr>
            <w:tcW w:w="794" w:type="dxa"/>
          </w:tcPr>
          <w:p w14:paraId="41C3DD93" w14:textId="77777777" w:rsidR="00C424E5" w:rsidRDefault="00C424E5">
            <w:pPr>
              <w:cnfStyle w:val="000000000000" w:firstRow="0" w:lastRow="0" w:firstColumn="0" w:lastColumn="0" w:oddVBand="0" w:evenVBand="0" w:oddHBand="0" w:evenHBand="0" w:firstRowFirstColumn="0" w:firstRowLastColumn="0" w:lastRowFirstColumn="0" w:lastRowLastColumn="0"/>
            </w:pPr>
            <w:r>
              <w:t>16 141</w:t>
            </w:r>
          </w:p>
        </w:tc>
      </w:tr>
      <w:tr w:rsidR="00C424E5" w14:paraId="7613BB7B"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41EBB749" w14:textId="77777777" w:rsidR="00C424E5" w:rsidRDefault="00C424E5">
            <w:r>
              <w:t>Funding not allocated to specific purposes</w:t>
            </w:r>
            <w:r>
              <w:rPr>
                <w:vertAlign w:val="superscript"/>
              </w:rPr>
              <w:t xml:space="preserve"> (c)</w:t>
            </w:r>
          </w:p>
        </w:tc>
        <w:tc>
          <w:tcPr>
            <w:tcW w:w="794" w:type="dxa"/>
            <w:tcBorders>
              <w:bottom w:val="single" w:sz="6" w:space="0" w:color="auto"/>
            </w:tcBorders>
          </w:tcPr>
          <w:p w14:paraId="0AE33EC5"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4AEBB779"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4FEA87BB" w14:textId="77777777" w:rsidR="00C424E5" w:rsidRDefault="00C424E5">
            <w:pPr>
              <w:cnfStyle w:val="000000000000" w:firstRow="0" w:lastRow="0" w:firstColumn="0" w:lastColumn="0" w:oddVBand="0" w:evenVBand="0" w:oddHBand="0" w:evenHBand="0" w:firstRowFirstColumn="0" w:firstRowLastColumn="0" w:lastRowFirstColumn="0" w:lastRowLastColumn="0"/>
            </w:pPr>
            <w:r>
              <w:t>500</w:t>
            </w:r>
          </w:p>
        </w:tc>
        <w:tc>
          <w:tcPr>
            <w:tcW w:w="794" w:type="dxa"/>
            <w:tcBorders>
              <w:bottom w:val="single" w:sz="6" w:space="0" w:color="auto"/>
            </w:tcBorders>
          </w:tcPr>
          <w:p w14:paraId="7365E48D" w14:textId="77777777" w:rsidR="00C424E5" w:rsidRDefault="00C424E5">
            <w:pPr>
              <w:cnfStyle w:val="000000000000" w:firstRow="0" w:lastRow="0" w:firstColumn="0" w:lastColumn="0" w:oddVBand="0" w:evenVBand="0" w:oddHBand="0" w:evenHBand="0" w:firstRowFirstColumn="0" w:firstRowLastColumn="0" w:lastRowFirstColumn="0" w:lastRowLastColumn="0"/>
            </w:pPr>
            <w:r>
              <w:t>700</w:t>
            </w:r>
          </w:p>
        </w:tc>
        <w:tc>
          <w:tcPr>
            <w:tcW w:w="794" w:type="dxa"/>
            <w:tcBorders>
              <w:bottom w:val="single" w:sz="6" w:space="0" w:color="auto"/>
            </w:tcBorders>
          </w:tcPr>
          <w:p w14:paraId="26FDEA56" w14:textId="77777777" w:rsidR="00C424E5" w:rsidRDefault="00C424E5">
            <w:pPr>
              <w:cnfStyle w:val="000000000000" w:firstRow="0" w:lastRow="0" w:firstColumn="0" w:lastColumn="0" w:oddVBand="0" w:evenVBand="0" w:oddHBand="0" w:evenHBand="0" w:firstRowFirstColumn="0" w:firstRowLastColumn="0" w:lastRowFirstColumn="0" w:lastRowLastColumn="0"/>
            </w:pPr>
            <w:r>
              <w:t>1 200</w:t>
            </w:r>
          </w:p>
        </w:tc>
      </w:tr>
      <w:tr w:rsidR="00C424E5" w14:paraId="7F18DFF6"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6E0C6082" w14:textId="77777777" w:rsidR="00C424E5" w:rsidRDefault="00C424E5">
            <w:r>
              <w:rPr>
                <w:b/>
              </w:rPr>
              <w:t>Total general government asset contingencies</w:t>
            </w:r>
          </w:p>
        </w:tc>
        <w:tc>
          <w:tcPr>
            <w:tcW w:w="794" w:type="dxa"/>
            <w:tcBorders>
              <w:top w:val="single" w:sz="6" w:space="0" w:color="auto"/>
              <w:bottom w:val="single" w:sz="12" w:space="0" w:color="auto"/>
            </w:tcBorders>
          </w:tcPr>
          <w:p w14:paraId="6BDF3AC2"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8 831</w:t>
            </w:r>
          </w:p>
        </w:tc>
        <w:tc>
          <w:tcPr>
            <w:tcW w:w="794" w:type="dxa"/>
            <w:tcBorders>
              <w:top w:val="single" w:sz="6" w:space="0" w:color="auto"/>
              <w:bottom w:val="single" w:sz="12" w:space="0" w:color="auto"/>
            </w:tcBorders>
          </w:tcPr>
          <w:p w14:paraId="6DDE1517"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5 505</w:t>
            </w:r>
          </w:p>
        </w:tc>
        <w:tc>
          <w:tcPr>
            <w:tcW w:w="794" w:type="dxa"/>
            <w:tcBorders>
              <w:top w:val="single" w:sz="6" w:space="0" w:color="auto"/>
              <w:bottom w:val="single" w:sz="12" w:space="0" w:color="auto"/>
            </w:tcBorders>
          </w:tcPr>
          <w:p w14:paraId="7BDC13DB"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11 803</w:t>
            </w:r>
          </w:p>
        </w:tc>
        <w:tc>
          <w:tcPr>
            <w:tcW w:w="794" w:type="dxa"/>
            <w:tcBorders>
              <w:top w:val="single" w:sz="6" w:space="0" w:color="auto"/>
              <w:bottom w:val="single" w:sz="12" w:space="0" w:color="auto"/>
            </w:tcBorders>
          </w:tcPr>
          <w:p w14:paraId="44F2A62E"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13 269</w:t>
            </w:r>
          </w:p>
        </w:tc>
        <w:tc>
          <w:tcPr>
            <w:tcW w:w="794" w:type="dxa"/>
            <w:tcBorders>
              <w:top w:val="single" w:sz="6" w:space="0" w:color="auto"/>
              <w:bottom w:val="single" w:sz="12" w:space="0" w:color="auto"/>
            </w:tcBorders>
          </w:tcPr>
          <w:p w14:paraId="2BDE02A9" w14:textId="1F21F4A5" w:rsidR="00C424E5" w:rsidRDefault="00C424E5">
            <w:pPr>
              <w:cnfStyle w:val="000000000000" w:firstRow="0" w:lastRow="0" w:firstColumn="0" w:lastColumn="0" w:oddVBand="0" w:evenVBand="0" w:oddHBand="0" w:evenHBand="0" w:firstRowFirstColumn="0" w:firstRowLastColumn="0" w:lastRowFirstColumn="0" w:lastRowLastColumn="0"/>
            </w:pPr>
            <w:r>
              <w:rPr>
                <w:b/>
              </w:rPr>
              <w:t>17 341</w:t>
            </w:r>
          </w:p>
        </w:tc>
      </w:tr>
    </w:tbl>
    <w:p w14:paraId="7854E703" w14:textId="77777777" w:rsidR="00C424E5" w:rsidRPr="00DA1FBC" w:rsidRDefault="00C424E5" w:rsidP="006206EF">
      <w:pPr>
        <w:pStyle w:val="Note"/>
        <w:ind w:left="0" w:firstLine="0"/>
      </w:pPr>
      <w:r w:rsidRPr="00DA1FBC">
        <w:t>Notes:</w:t>
      </w:r>
    </w:p>
    <w:p w14:paraId="6C2F47A9" w14:textId="77777777" w:rsidR="00C424E5" w:rsidRPr="00DA1FBC" w:rsidRDefault="00C424E5" w:rsidP="006206EF">
      <w:pPr>
        <w:pStyle w:val="Note"/>
      </w:pPr>
      <w:r w:rsidRPr="00DA1FBC">
        <w:t>(a)</w:t>
      </w:r>
      <w:r w:rsidRPr="00DA1FBC">
        <w:tab/>
        <w:t>A provision to account for asset policy decisions for which the funding has yet to be allocated to departments.</w:t>
      </w:r>
    </w:p>
    <w:p w14:paraId="6CDD1C0C" w14:textId="77777777" w:rsidR="00C424E5" w:rsidRPr="00DA1FBC" w:rsidRDefault="00C424E5" w:rsidP="006206EF">
      <w:pPr>
        <w:pStyle w:val="Note"/>
      </w:pPr>
      <w:r w:rsidRPr="00DA1FBC">
        <w:t>(b)</w:t>
      </w:r>
      <w:r w:rsidRPr="00DA1FBC">
        <w:tab/>
        <w:t>Asset contingencies include equity contributions to other sectors for capital projects which are included as part of net cash flows from investments in financial assets for policy purposes, rather than purchases of non-financial assets, on the cash flow statement.</w:t>
      </w:r>
    </w:p>
    <w:p w14:paraId="7989E9B9" w14:textId="77777777" w:rsidR="00C424E5" w:rsidRDefault="00C424E5" w:rsidP="006206EF">
      <w:pPr>
        <w:pStyle w:val="Note"/>
      </w:pPr>
      <w:r w:rsidRPr="00DA1FBC">
        <w:t>(c)</w:t>
      </w:r>
      <w:r w:rsidRPr="00DA1FBC">
        <w:tab/>
        <w:t>An unallocated provision available for future government asset investment decisions.</w:t>
      </w:r>
    </w:p>
    <w:p w14:paraId="3AD857AB" w14:textId="77777777" w:rsidR="00C424E5" w:rsidRDefault="00C424E5" w:rsidP="00A330B7">
      <w:pPr>
        <w:pStyle w:val="Heading3"/>
        <w:pageBreakBefore/>
        <w:spacing w:after="60"/>
        <w:rPr>
          <w:sz w:val="20"/>
          <w:szCs w:val="20"/>
        </w:rPr>
      </w:pPr>
      <w:bookmarkStart w:id="67" w:name="_Toc117172284"/>
      <w:r w:rsidRPr="00A330B7">
        <w:rPr>
          <w:sz w:val="20"/>
          <w:szCs w:val="20"/>
        </w:rPr>
        <w:lastRenderedPageBreak/>
        <w:t>Net acquisition of non-financial assets from transactions</w:t>
      </w:r>
      <w:r w:rsidRPr="00A330B7">
        <w:rPr>
          <w:sz w:val="20"/>
          <w:szCs w:val="20"/>
        </w:rPr>
        <w:tab/>
        <w:t>($ million)</w:t>
      </w:r>
      <w:bookmarkEnd w:id="67"/>
    </w:p>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F70B1C" w14:paraId="176C0A2D" w14:textId="77777777" w:rsidTr="00A836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18A7FF89" w14:textId="571006D5" w:rsidR="00F70B1C" w:rsidRDefault="00F70B1C"/>
        </w:tc>
        <w:tc>
          <w:tcPr>
            <w:tcW w:w="794" w:type="dxa"/>
          </w:tcPr>
          <w:p w14:paraId="0002D808" w14:textId="7757EA4C" w:rsidR="00F70B1C" w:rsidRDefault="00F70B1C" w:rsidP="00D2249A">
            <w:pPr>
              <w:cnfStyle w:val="100000000000" w:firstRow="1" w:lastRow="0" w:firstColumn="0" w:lastColumn="0" w:oddVBand="0" w:evenVBand="0" w:oddHBand="0" w:evenHBand="0" w:firstRowFirstColumn="0" w:firstRowLastColumn="0" w:lastRowFirstColumn="0" w:lastRowLastColumn="0"/>
            </w:pPr>
            <w:r>
              <w:t>2022</w:t>
            </w:r>
            <w:r>
              <w:noBreakHyphen/>
              <w:t>23</w:t>
            </w:r>
            <w:r>
              <w:rPr>
                <w:i w:val="0"/>
              </w:rPr>
              <w:br/>
            </w:r>
            <w:r>
              <w:t>budget</w:t>
            </w:r>
          </w:p>
        </w:tc>
        <w:tc>
          <w:tcPr>
            <w:tcW w:w="794" w:type="dxa"/>
          </w:tcPr>
          <w:p w14:paraId="0826534C" w14:textId="404C934C" w:rsidR="00F70B1C" w:rsidRDefault="00F70B1C" w:rsidP="00D94727">
            <w:pPr>
              <w:cnfStyle w:val="100000000000" w:firstRow="1" w:lastRow="0" w:firstColumn="0" w:lastColumn="0" w:oddVBand="0" w:evenVBand="0" w:oddHBand="0" w:evenHBand="0" w:firstRowFirstColumn="0" w:firstRowLastColumn="0" w:lastRowFirstColumn="0" w:lastRowLastColumn="0"/>
            </w:pPr>
            <w:r>
              <w:t>2022</w:t>
            </w:r>
            <w:r>
              <w:noBreakHyphen/>
              <w:t>23</w:t>
            </w:r>
            <w:r>
              <w:rPr>
                <w:i w:val="0"/>
              </w:rPr>
              <w:br/>
            </w:r>
            <w:r>
              <w:t>revised</w:t>
            </w:r>
          </w:p>
        </w:tc>
        <w:tc>
          <w:tcPr>
            <w:tcW w:w="794" w:type="dxa"/>
          </w:tcPr>
          <w:p w14:paraId="41563A6A" w14:textId="3D029F91" w:rsidR="00F70B1C" w:rsidRDefault="00F70B1C" w:rsidP="002D676E">
            <w:pPr>
              <w:cnfStyle w:val="100000000000" w:firstRow="1" w:lastRow="0" w:firstColumn="0" w:lastColumn="0" w:oddVBand="0" w:evenVBand="0" w:oddHBand="0" w:evenHBand="0" w:firstRowFirstColumn="0" w:firstRowLastColumn="0" w:lastRowFirstColumn="0" w:lastRowLastColumn="0"/>
            </w:pPr>
            <w:r>
              <w:t>2023</w:t>
            </w:r>
            <w:r>
              <w:noBreakHyphen/>
              <w:t>24</w:t>
            </w:r>
            <w:r>
              <w:rPr>
                <w:i w:val="0"/>
              </w:rPr>
              <w:br/>
            </w:r>
            <w:r>
              <w:t>estimate</w:t>
            </w:r>
          </w:p>
        </w:tc>
        <w:tc>
          <w:tcPr>
            <w:tcW w:w="794" w:type="dxa"/>
          </w:tcPr>
          <w:p w14:paraId="240BD7D6" w14:textId="0E260B22" w:rsidR="00F70B1C" w:rsidRDefault="00F70B1C" w:rsidP="008A1DBC">
            <w:pPr>
              <w:cnfStyle w:val="100000000000" w:firstRow="1" w:lastRow="0" w:firstColumn="0" w:lastColumn="0" w:oddVBand="0" w:evenVBand="0" w:oddHBand="0" w:evenHBand="0" w:firstRowFirstColumn="0" w:firstRowLastColumn="0" w:lastRowFirstColumn="0" w:lastRowLastColumn="0"/>
            </w:pPr>
            <w:r>
              <w:t>2024</w:t>
            </w:r>
            <w:r>
              <w:noBreakHyphen/>
              <w:t>25</w:t>
            </w:r>
            <w:r>
              <w:rPr>
                <w:i w:val="0"/>
              </w:rPr>
              <w:br/>
            </w:r>
            <w:r>
              <w:t>estimate</w:t>
            </w:r>
          </w:p>
        </w:tc>
        <w:tc>
          <w:tcPr>
            <w:tcW w:w="794" w:type="dxa"/>
          </w:tcPr>
          <w:p w14:paraId="7563F99E" w14:textId="79EB8DE5" w:rsidR="00F70B1C" w:rsidRDefault="00F70B1C" w:rsidP="006B40C3">
            <w:pPr>
              <w:cnfStyle w:val="100000000000" w:firstRow="1" w:lastRow="0" w:firstColumn="0" w:lastColumn="0" w:oddVBand="0" w:evenVBand="0" w:oddHBand="0" w:evenHBand="0" w:firstRowFirstColumn="0" w:firstRowLastColumn="0" w:lastRowFirstColumn="0" w:lastRowLastColumn="0"/>
            </w:pPr>
            <w:r>
              <w:t>2025</w:t>
            </w:r>
            <w:r>
              <w:noBreakHyphen/>
              <w:t>26</w:t>
            </w:r>
            <w:r>
              <w:rPr>
                <w:i w:val="0"/>
              </w:rPr>
              <w:br/>
            </w:r>
            <w:r>
              <w:t>estimate</w:t>
            </w:r>
          </w:p>
        </w:tc>
      </w:tr>
      <w:tr w:rsidR="00C424E5" w14:paraId="776EFC68" w14:textId="77777777">
        <w:tc>
          <w:tcPr>
            <w:cnfStyle w:val="001000000000" w:firstRow="0" w:lastRow="0" w:firstColumn="1" w:lastColumn="0" w:oddVBand="0" w:evenVBand="0" w:oddHBand="0" w:evenHBand="0" w:firstRowFirstColumn="0" w:firstRowLastColumn="0" w:lastRowFirstColumn="0" w:lastRowLastColumn="0"/>
            <w:tcW w:w="3740" w:type="dxa"/>
          </w:tcPr>
          <w:p w14:paraId="5F2C5979" w14:textId="31137BC2" w:rsidR="00C424E5" w:rsidRDefault="00C424E5">
            <w:r>
              <w:t>Purchases of non</w:t>
            </w:r>
            <w:r>
              <w:noBreakHyphen/>
              <w:t xml:space="preserve">financial assets </w:t>
            </w:r>
            <w:r w:rsidR="00253AF8">
              <w:br/>
            </w:r>
            <w:r>
              <w:t>(including change in inventories)</w:t>
            </w:r>
          </w:p>
        </w:tc>
        <w:tc>
          <w:tcPr>
            <w:tcW w:w="794" w:type="dxa"/>
          </w:tcPr>
          <w:p w14:paraId="43716F97" w14:textId="77777777" w:rsidR="00C424E5" w:rsidRDefault="00C424E5">
            <w:pPr>
              <w:cnfStyle w:val="000000000000" w:firstRow="0" w:lastRow="0" w:firstColumn="0" w:lastColumn="0" w:oddVBand="0" w:evenVBand="0" w:oddHBand="0" w:evenHBand="0" w:firstRowFirstColumn="0" w:firstRowLastColumn="0" w:lastRowFirstColumn="0" w:lastRowLastColumn="0"/>
            </w:pPr>
            <w:r>
              <w:t>14 746</w:t>
            </w:r>
          </w:p>
        </w:tc>
        <w:tc>
          <w:tcPr>
            <w:tcW w:w="794" w:type="dxa"/>
          </w:tcPr>
          <w:p w14:paraId="71D2DEA0" w14:textId="77777777" w:rsidR="00C424E5" w:rsidRDefault="00C424E5">
            <w:pPr>
              <w:cnfStyle w:val="000000000000" w:firstRow="0" w:lastRow="0" w:firstColumn="0" w:lastColumn="0" w:oddVBand="0" w:evenVBand="0" w:oddHBand="0" w:evenHBand="0" w:firstRowFirstColumn="0" w:firstRowLastColumn="0" w:lastRowFirstColumn="0" w:lastRowLastColumn="0"/>
            </w:pPr>
            <w:r>
              <w:t>14 281</w:t>
            </w:r>
          </w:p>
        </w:tc>
        <w:tc>
          <w:tcPr>
            <w:tcW w:w="794" w:type="dxa"/>
          </w:tcPr>
          <w:p w14:paraId="41B39A1C" w14:textId="77777777" w:rsidR="00C424E5" w:rsidRDefault="00C424E5">
            <w:pPr>
              <w:cnfStyle w:val="000000000000" w:firstRow="0" w:lastRow="0" w:firstColumn="0" w:lastColumn="0" w:oddVBand="0" w:evenVBand="0" w:oddHBand="0" w:evenHBand="0" w:firstRowFirstColumn="0" w:firstRowLastColumn="0" w:lastRowFirstColumn="0" w:lastRowLastColumn="0"/>
            </w:pPr>
            <w:r>
              <w:t>16 543</w:t>
            </w:r>
          </w:p>
        </w:tc>
        <w:tc>
          <w:tcPr>
            <w:tcW w:w="794" w:type="dxa"/>
          </w:tcPr>
          <w:p w14:paraId="222BF2EC" w14:textId="77777777" w:rsidR="00C424E5" w:rsidRDefault="00C424E5">
            <w:pPr>
              <w:cnfStyle w:val="000000000000" w:firstRow="0" w:lastRow="0" w:firstColumn="0" w:lastColumn="0" w:oddVBand="0" w:evenVBand="0" w:oddHBand="0" w:evenHBand="0" w:firstRowFirstColumn="0" w:firstRowLastColumn="0" w:lastRowFirstColumn="0" w:lastRowLastColumn="0"/>
            </w:pPr>
            <w:r>
              <w:t>18 336</w:t>
            </w:r>
          </w:p>
        </w:tc>
        <w:tc>
          <w:tcPr>
            <w:tcW w:w="794" w:type="dxa"/>
          </w:tcPr>
          <w:p w14:paraId="0B131DE8" w14:textId="77777777" w:rsidR="00C424E5" w:rsidRDefault="00C424E5">
            <w:pPr>
              <w:cnfStyle w:val="000000000000" w:firstRow="0" w:lastRow="0" w:firstColumn="0" w:lastColumn="0" w:oddVBand="0" w:evenVBand="0" w:oddHBand="0" w:evenHBand="0" w:firstRowFirstColumn="0" w:firstRowLastColumn="0" w:lastRowFirstColumn="0" w:lastRowLastColumn="0"/>
            </w:pPr>
            <w:r>
              <w:t>17 889</w:t>
            </w:r>
          </w:p>
        </w:tc>
      </w:tr>
      <w:tr w:rsidR="00C424E5" w14:paraId="62ACD517" w14:textId="77777777">
        <w:tc>
          <w:tcPr>
            <w:cnfStyle w:val="001000000000" w:firstRow="0" w:lastRow="0" w:firstColumn="1" w:lastColumn="0" w:oddVBand="0" w:evenVBand="0" w:oddHBand="0" w:evenHBand="0" w:firstRowFirstColumn="0" w:firstRowLastColumn="0" w:lastRowFirstColumn="0" w:lastRowLastColumn="0"/>
            <w:tcW w:w="3740" w:type="dxa"/>
          </w:tcPr>
          <w:p w14:paraId="77D62BA5" w14:textId="77777777" w:rsidR="00C424E5" w:rsidRDefault="00C424E5">
            <w:r>
              <w:t>Less: Sales of non</w:t>
            </w:r>
            <w:r>
              <w:noBreakHyphen/>
              <w:t>financial assets</w:t>
            </w:r>
          </w:p>
        </w:tc>
        <w:tc>
          <w:tcPr>
            <w:tcW w:w="794" w:type="dxa"/>
          </w:tcPr>
          <w:p w14:paraId="6E556188" w14:textId="77777777" w:rsidR="00C424E5" w:rsidRDefault="00C424E5">
            <w:pPr>
              <w:cnfStyle w:val="000000000000" w:firstRow="0" w:lastRow="0" w:firstColumn="0" w:lastColumn="0" w:oddVBand="0" w:evenVBand="0" w:oddHBand="0" w:evenHBand="0" w:firstRowFirstColumn="0" w:firstRowLastColumn="0" w:lastRowFirstColumn="0" w:lastRowLastColumn="0"/>
            </w:pPr>
            <w:r>
              <w:t>(693)</w:t>
            </w:r>
          </w:p>
        </w:tc>
        <w:tc>
          <w:tcPr>
            <w:tcW w:w="794" w:type="dxa"/>
          </w:tcPr>
          <w:p w14:paraId="5C8BA3B4" w14:textId="77777777" w:rsidR="00C424E5" w:rsidRDefault="00C424E5">
            <w:pPr>
              <w:cnfStyle w:val="000000000000" w:firstRow="0" w:lastRow="0" w:firstColumn="0" w:lastColumn="0" w:oddVBand="0" w:evenVBand="0" w:oddHBand="0" w:evenHBand="0" w:firstRowFirstColumn="0" w:firstRowLastColumn="0" w:lastRowFirstColumn="0" w:lastRowLastColumn="0"/>
            </w:pPr>
            <w:r>
              <w:t>(423)</w:t>
            </w:r>
          </w:p>
        </w:tc>
        <w:tc>
          <w:tcPr>
            <w:tcW w:w="794" w:type="dxa"/>
          </w:tcPr>
          <w:p w14:paraId="74140F9F" w14:textId="77777777" w:rsidR="00C424E5" w:rsidRDefault="00C424E5">
            <w:pPr>
              <w:cnfStyle w:val="000000000000" w:firstRow="0" w:lastRow="0" w:firstColumn="0" w:lastColumn="0" w:oddVBand="0" w:evenVBand="0" w:oddHBand="0" w:evenHBand="0" w:firstRowFirstColumn="0" w:firstRowLastColumn="0" w:lastRowFirstColumn="0" w:lastRowLastColumn="0"/>
            </w:pPr>
            <w:r>
              <w:t>(661)</w:t>
            </w:r>
          </w:p>
        </w:tc>
        <w:tc>
          <w:tcPr>
            <w:tcW w:w="794" w:type="dxa"/>
          </w:tcPr>
          <w:p w14:paraId="40A841CB" w14:textId="77777777" w:rsidR="00C424E5" w:rsidRDefault="00C424E5">
            <w:pPr>
              <w:cnfStyle w:val="000000000000" w:firstRow="0" w:lastRow="0" w:firstColumn="0" w:lastColumn="0" w:oddVBand="0" w:evenVBand="0" w:oddHBand="0" w:evenHBand="0" w:firstRowFirstColumn="0" w:firstRowLastColumn="0" w:lastRowFirstColumn="0" w:lastRowLastColumn="0"/>
            </w:pPr>
            <w:r>
              <w:t>(607)</w:t>
            </w:r>
          </w:p>
        </w:tc>
        <w:tc>
          <w:tcPr>
            <w:tcW w:w="794" w:type="dxa"/>
          </w:tcPr>
          <w:p w14:paraId="11F0EC7B" w14:textId="77777777" w:rsidR="00C424E5" w:rsidRDefault="00C424E5">
            <w:pPr>
              <w:cnfStyle w:val="000000000000" w:firstRow="0" w:lastRow="0" w:firstColumn="0" w:lastColumn="0" w:oddVBand="0" w:evenVBand="0" w:oddHBand="0" w:evenHBand="0" w:firstRowFirstColumn="0" w:firstRowLastColumn="0" w:lastRowFirstColumn="0" w:lastRowLastColumn="0"/>
            </w:pPr>
            <w:r>
              <w:t>(698)</w:t>
            </w:r>
          </w:p>
        </w:tc>
      </w:tr>
      <w:tr w:rsidR="00C424E5" w14:paraId="75C45212" w14:textId="77777777">
        <w:tc>
          <w:tcPr>
            <w:cnfStyle w:val="001000000000" w:firstRow="0" w:lastRow="0" w:firstColumn="1" w:lastColumn="0" w:oddVBand="0" w:evenVBand="0" w:oddHBand="0" w:evenHBand="0" w:firstRowFirstColumn="0" w:firstRowLastColumn="0" w:lastRowFirstColumn="0" w:lastRowLastColumn="0"/>
            <w:tcW w:w="3740" w:type="dxa"/>
          </w:tcPr>
          <w:p w14:paraId="1B77CC38" w14:textId="77777777" w:rsidR="00C424E5" w:rsidRDefault="00C424E5">
            <w:r>
              <w:t>Less: Depreciation and amortisation</w:t>
            </w:r>
          </w:p>
        </w:tc>
        <w:tc>
          <w:tcPr>
            <w:tcW w:w="794" w:type="dxa"/>
          </w:tcPr>
          <w:p w14:paraId="5DE2334B" w14:textId="77777777" w:rsidR="00C424E5" w:rsidRDefault="00C424E5">
            <w:pPr>
              <w:cnfStyle w:val="000000000000" w:firstRow="0" w:lastRow="0" w:firstColumn="0" w:lastColumn="0" w:oddVBand="0" w:evenVBand="0" w:oddHBand="0" w:evenHBand="0" w:firstRowFirstColumn="0" w:firstRowLastColumn="0" w:lastRowFirstColumn="0" w:lastRowLastColumn="0"/>
            </w:pPr>
            <w:r>
              <w:t>(4 650)</w:t>
            </w:r>
          </w:p>
        </w:tc>
        <w:tc>
          <w:tcPr>
            <w:tcW w:w="794" w:type="dxa"/>
          </w:tcPr>
          <w:p w14:paraId="49D6B1DE" w14:textId="77777777" w:rsidR="00C424E5" w:rsidRDefault="00C424E5">
            <w:pPr>
              <w:cnfStyle w:val="000000000000" w:firstRow="0" w:lastRow="0" w:firstColumn="0" w:lastColumn="0" w:oddVBand="0" w:evenVBand="0" w:oddHBand="0" w:evenHBand="0" w:firstRowFirstColumn="0" w:firstRowLastColumn="0" w:lastRowFirstColumn="0" w:lastRowLastColumn="0"/>
            </w:pPr>
            <w:r>
              <w:t>(4 712)</w:t>
            </w:r>
          </w:p>
        </w:tc>
        <w:tc>
          <w:tcPr>
            <w:tcW w:w="794" w:type="dxa"/>
          </w:tcPr>
          <w:p w14:paraId="4C726186" w14:textId="77777777" w:rsidR="00C424E5" w:rsidRDefault="00C424E5">
            <w:pPr>
              <w:cnfStyle w:val="000000000000" w:firstRow="0" w:lastRow="0" w:firstColumn="0" w:lastColumn="0" w:oddVBand="0" w:evenVBand="0" w:oddHBand="0" w:evenHBand="0" w:firstRowFirstColumn="0" w:firstRowLastColumn="0" w:lastRowFirstColumn="0" w:lastRowLastColumn="0"/>
            </w:pPr>
            <w:r>
              <w:t>(4 712)</w:t>
            </w:r>
          </w:p>
        </w:tc>
        <w:tc>
          <w:tcPr>
            <w:tcW w:w="794" w:type="dxa"/>
          </w:tcPr>
          <w:p w14:paraId="5B141D48" w14:textId="77777777" w:rsidR="00C424E5" w:rsidRDefault="00C424E5">
            <w:pPr>
              <w:cnfStyle w:val="000000000000" w:firstRow="0" w:lastRow="0" w:firstColumn="0" w:lastColumn="0" w:oddVBand="0" w:evenVBand="0" w:oddHBand="0" w:evenHBand="0" w:firstRowFirstColumn="0" w:firstRowLastColumn="0" w:lastRowFirstColumn="0" w:lastRowLastColumn="0"/>
            </w:pPr>
            <w:r>
              <w:t>(4 826)</w:t>
            </w:r>
          </w:p>
        </w:tc>
        <w:tc>
          <w:tcPr>
            <w:tcW w:w="794" w:type="dxa"/>
          </w:tcPr>
          <w:p w14:paraId="2DB43790" w14:textId="77777777" w:rsidR="00C424E5" w:rsidRDefault="00C424E5">
            <w:pPr>
              <w:cnfStyle w:val="000000000000" w:firstRow="0" w:lastRow="0" w:firstColumn="0" w:lastColumn="0" w:oddVBand="0" w:evenVBand="0" w:oddHBand="0" w:evenHBand="0" w:firstRowFirstColumn="0" w:firstRowLastColumn="0" w:lastRowFirstColumn="0" w:lastRowLastColumn="0"/>
            </w:pPr>
            <w:r>
              <w:t>(5 090)</w:t>
            </w:r>
          </w:p>
        </w:tc>
      </w:tr>
      <w:tr w:rsidR="00C424E5" w14:paraId="33F0502E"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078D76AD" w14:textId="77777777" w:rsidR="00C424E5" w:rsidRDefault="00C424E5">
            <w:r>
              <w:t>Less: Other movements in non</w:t>
            </w:r>
            <w:r>
              <w:noBreakHyphen/>
              <w:t>financial assets</w:t>
            </w:r>
            <w:r>
              <w:rPr>
                <w:vertAlign w:val="superscript"/>
              </w:rPr>
              <w:t xml:space="preserve"> (a)(b)</w:t>
            </w:r>
          </w:p>
        </w:tc>
        <w:tc>
          <w:tcPr>
            <w:tcW w:w="794" w:type="dxa"/>
            <w:tcBorders>
              <w:bottom w:val="single" w:sz="6" w:space="0" w:color="auto"/>
            </w:tcBorders>
          </w:tcPr>
          <w:p w14:paraId="590E8152" w14:textId="77777777" w:rsidR="00C424E5" w:rsidRDefault="00C424E5">
            <w:pPr>
              <w:cnfStyle w:val="000000000000" w:firstRow="0" w:lastRow="0" w:firstColumn="0" w:lastColumn="0" w:oddVBand="0" w:evenVBand="0" w:oddHBand="0" w:evenHBand="0" w:firstRowFirstColumn="0" w:firstRowLastColumn="0" w:lastRowFirstColumn="0" w:lastRowLastColumn="0"/>
            </w:pPr>
            <w:r>
              <w:t>(2 900)</w:t>
            </w:r>
          </w:p>
        </w:tc>
        <w:tc>
          <w:tcPr>
            <w:tcW w:w="794" w:type="dxa"/>
            <w:tcBorders>
              <w:bottom w:val="single" w:sz="6" w:space="0" w:color="auto"/>
            </w:tcBorders>
          </w:tcPr>
          <w:p w14:paraId="1C8402A7" w14:textId="77777777" w:rsidR="00C424E5" w:rsidRDefault="00C424E5">
            <w:pPr>
              <w:cnfStyle w:val="000000000000" w:firstRow="0" w:lastRow="0" w:firstColumn="0" w:lastColumn="0" w:oddVBand="0" w:evenVBand="0" w:oddHBand="0" w:evenHBand="0" w:firstRowFirstColumn="0" w:firstRowLastColumn="0" w:lastRowFirstColumn="0" w:lastRowLastColumn="0"/>
            </w:pPr>
            <w:r>
              <w:t>(2 100)</w:t>
            </w:r>
          </w:p>
        </w:tc>
        <w:tc>
          <w:tcPr>
            <w:tcW w:w="794" w:type="dxa"/>
            <w:tcBorders>
              <w:bottom w:val="single" w:sz="6" w:space="0" w:color="auto"/>
            </w:tcBorders>
          </w:tcPr>
          <w:p w14:paraId="0F668EAC" w14:textId="77777777" w:rsidR="00C424E5" w:rsidRDefault="00C424E5">
            <w:pPr>
              <w:cnfStyle w:val="000000000000" w:firstRow="0" w:lastRow="0" w:firstColumn="0" w:lastColumn="0" w:oddVBand="0" w:evenVBand="0" w:oddHBand="0" w:evenHBand="0" w:firstRowFirstColumn="0" w:firstRowLastColumn="0" w:lastRowFirstColumn="0" w:lastRowLastColumn="0"/>
            </w:pPr>
            <w:r>
              <w:t>(3 206)</w:t>
            </w:r>
          </w:p>
        </w:tc>
        <w:tc>
          <w:tcPr>
            <w:tcW w:w="794" w:type="dxa"/>
            <w:tcBorders>
              <w:bottom w:val="single" w:sz="6" w:space="0" w:color="auto"/>
            </w:tcBorders>
          </w:tcPr>
          <w:p w14:paraId="6C7C1354" w14:textId="77777777" w:rsidR="00C424E5" w:rsidRDefault="00C424E5">
            <w:pPr>
              <w:cnfStyle w:val="000000000000" w:firstRow="0" w:lastRow="0" w:firstColumn="0" w:lastColumn="0" w:oddVBand="0" w:evenVBand="0" w:oddHBand="0" w:evenHBand="0" w:firstRowFirstColumn="0" w:firstRowLastColumn="0" w:lastRowFirstColumn="0" w:lastRowLastColumn="0"/>
            </w:pPr>
            <w:r>
              <w:t>(6 471)</w:t>
            </w:r>
          </w:p>
        </w:tc>
        <w:tc>
          <w:tcPr>
            <w:tcW w:w="794" w:type="dxa"/>
            <w:tcBorders>
              <w:bottom w:val="single" w:sz="6" w:space="0" w:color="auto"/>
            </w:tcBorders>
          </w:tcPr>
          <w:p w14:paraId="6EFE7C38" w14:textId="77777777" w:rsidR="00C424E5" w:rsidRDefault="00C424E5">
            <w:pPr>
              <w:cnfStyle w:val="000000000000" w:firstRow="0" w:lastRow="0" w:firstColumn="0" w:lastColumn="0" w:oddVBand="0" w:evenVBand="0" w:oddHBand="0" w:evenHBand="0" w:firstRowFirstColumn="0" w:firstRowLastColumn="0" w:lastRowFirstColumn="0" w:lastRowLastColumn="0"/>
            </w:pPr>
            <w:r>
              <w:t>(15 129)</w:t>
            </w:r>
          </w:p>
        </w:tc>
      </w:tr>
      <w:tr w:rsidR="00C424E5" w14:paraId="52058E6A"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2540B47A" w14:textId="77777777" w:rsidR="00C424E5" w:rsidRDefault="00C424E5">
            <w:r>
              <w:rPr>
                <w:b/>
              </w:rPr>
              <w:t>Total net acquisition of non</w:t>
            </w:r>
            <w:r>
              <w:rPr>
                <w:b/>
              </w:rPr>
              <w:noBreakHyphen/>
              <w:t>financial assets from transactions</w:t>
            </w:r>
          </w:p>
        </w:tc>
        <w:tc>
          <w:tcPr>
            <w:tcW w:w="794" w:type="dxa"/>
            <w:tcBorders>
              <w:top w:val="single" w:sz="6" w:space="0" w:color="auto"/>
              <w:bottom w:val="single" w:sz="12" w:space="0" w:color="auto"/>
            </w:tcBorders>
          </w:tcPr>
          <w:p w14:paraId="3E5875E6"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6 504</w:t>
            </w:r>
          </w:p>
        </w:tc>
        <w:tc>
          <w:tcPr>
            <w:tcW w:w="794" w:type="dxa"/>
            <w:tcBorders>
              <w:top w:val="single" w:sz="6" w:space="0" w:color="auto"/>
              <w:bottom w:val="single" w:sz="12" w:space="0" w:color="auto"/>
            </w:tcBorders>
          </w:tcPr>
          <w:p w14:paraId="62AFE0A1"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7 046</w:t>
            </w:r>
          </w:p>
        </w:tc>
        <w:tc>
          <w:tcPr>
            <w:tcW w:w="794" w:type="dxa"/>
            <w:tcBorders>
              <w:top w:val="single" w:sz="6" w:space="0" w:color="auto"/>
              <w:bottom w:val="single" w:sz="12" w:space="0" w:color="auto"/>
            </w:tcBorders>
          </w:tcPr>
          <w:p w14:paraId="104965CB"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7 964</w:t>
            </w:r>
          </w:p>
        </w:tc>
        <w:tc>
          <w:tcPr>
            <w:tcW w:w="794" w:type="dxa"/>
            <w:tcBorders>
              <w:top w:val="single" w:sz="6" w:space="0" w:color="auto"/>
              <w:bottom w:val="single" w:sz="12" w:space="0" w:color="auto"/>
            </w:tcBorders>
          </w:tcPr>
          <w:p w14:paraId="6AD2E666"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6 432</w:t>
            </w:r>
          </w:p>
        </w:tc>
        <w:tc>
          <w:tcPr>
            <w:tcW w:w="794" w:type="dxa"/>
            <w:tcBorders>
              <w:top w:val="single" w:sz="6" w:space="0" w:color="auto"/>
              <w:bottom w:val="single" w:sz="12" w:space="0" w:color="auto"/>
            </w:tcBorders>
          </w:tcPr>
          <w:p w14:paraId="37DDC619" w14:textId="18CEF815" w:rsidR="00C424E5" w:rsidRDefault="00C424E5">
            <w:pPr>
              <w:cnfStyle w:val="000000000000" w:firstRow="0" w:lastRow="0" w:firstColumn="0" w:lastColumn="0" w:oddVBand="0" w:evenVBand="0" w:oddHBand="0" w:evenHBand="0" w:firstRowFirstColumn="0" w:firstRowLastColumn="0" w:lastRowFirstColumn="0" w:lastRowLastColumn="0"/>
            </w:pPr>
            <w:r>
              <w:rPr>
                <w:b/>
              </w:rPr>
              <w:t>(3 028)</w:t>
            </w:r>
          </w:p>
        </w:tc>
      </w:tr>
    </w:tbl>
    <w:p w14:paraId="3A355079" w14:textId="77777777" w:rsidR="00C424E5" w:rsidRPr="00DA1FBC" w:rsidRDefault="00C424E5" w:rsidP="006206EF">
      <w:pPr>
        <w:pStyle w:val="Note"/>
        <w:ind w:left="0" w:firstLine="0"/>
      </w:pPr>
      <w:r w:rsidRPr="00DA1FBC">
        <w:t>Notes:</w:t>
      </w:r>
    </w:p>
    <w:p w14:paraId="2A5D153D" w14:textId="77777777" w:rsidR="00C424E5" w:rsidRPr="00DA1FBC" w:rsidRDefault="00C424E5" w:rsidP="006206EF">
      <w:pPr>
        <w:pStyle w:val="Note"/>
      </w:pPr>
      <w:bookmarkStart w:id="68" w:name="_Hlk5278972"/>
      <w:r w:rsidRPr="00DA1FBC">
        <w:t>(a)</w:t>
      </w:r>
      <w:r w:rsidRPr="00DA1FBC">
        <w:tab/>
        <w:t>Other movements in non-financial assets includes transferring fixed assets to other sectors of government, recognising the right</w:t>
      </w:r>
      <w:r w:rsidRPr="00DA1FBC">
        <w:noBreakHyphen/>
        <w:t>of</w:t>
      </w:r>
      <w:r w:rsidRPr="00DA1FBC">
        <w:noBreakHyphen/>
        <w:t xml:space="preserve">use assets under lease arrangements, and recognising service concession arrangements, including from public private partnerships. </w:t>
      </w:r>
    </w:p>
    <w:bookmarkEnd w:id="68"/>
    <w:p w14:paraId="5004927C" w14:textId="77777777" w:rsidR="00C424E5" w:rsidRPr="00EB0DCC" w:rsidRDefault="00C424E5" w:rsidP="006206EF">
      <w:pPr>
        <w:pStyle w:val="Note"/>
        <w:rPr>
          <w:lang w:val="en-US"/>
        </w:rPr>
      </w:pPr>
      <w:r w:rsidRPr="00DA1FBC">
        <w:t>(b)</w:t>
      </w:r>
      <w:r w:rsidRPr="00DA1FBC">
        <w:tab/>
      </w:r>
      <w:bookmarkStart w:id="69" w:name="_Hlk5279049"/>
      <w:r w:rsidRPr="00DA1FBC">
        <w:t xml:space="preserve">The public private partnerships across the budget and forward estimates relate to the High Capacity Metro Trains </w:t>
      </w:r>
      <w:r>
        <w:t>p</w:t>
      </w:r>
      <w:r w:rsidRPr="00DA1FBC">
        <w:t xml:space="preserve">roject, the Metro Tunnel, the new Footscray Hospital, </w:t>
      </w:r>
      <w:r>
        <w:t xml:space="preserve">the </w:t>
      </w:r>
      <w:r w:rsidRPr="00DA1FBC">
        <w:t>Frankston Hospital Redevelopment</w:t>
      </w:r>
      <w:bookmarkEnd w:id="69"/>
      <w:r>
        <w:t xml:space="preserve"> and the West Gate Tunnel Project</w:t>
      </w:r>
      <w:r>
        <w:rPr>
          <w:color w:val="FF0000"/>
        </w:rPr>
        <w:t>.</w:t>
      </w:r>
      <w:r w:rsidRPr="00DA1FBC">
        <w:t xml:space="preserve"> </w:t>
      </w:r>
    </w:p>
    <w:bookmarkEnd w:id="61"/>
    <w:p w14:paraId="5A748A45" w14:textId="77777777" w:rsidR="00C424E5" w:rsidRDefault="00C424E5" w:rsidP="006206EF"/>
    <w:p w14:paraId="43E95022" w14:textId="77777777" w:rsidR="00C424E5" w:rsidRDefault="00C424E5" w:rsidP="006206EF">
      <w:pPr>
        <w:sectPr w:rsidR="00C424E5" w:rsidSect="001D2C42">
          <w:type w:val="continuous"/>
          <w:pgSz w:w="9979" w:h="14175" w:code="9"/>
          <w:pgMar w:top="1134" w:right="1134" w:bottom="1134" w:left="1134" w:header="624" w:footer="567" w:gutter="0"/>
          <w:cols w:space="708"/>
          <w:titlePg/>
          <w:docGrid w:linePitch="360"/>
        </w:sectPr>
      </w:pPr>
    </w:p>
    <w:p w14:paraId="68B404BC" w14:textId="77777777" w:rsidR="00C424E5" w:rsidRPr="00890874" w:rsidRDefault="00C424E5" w:rsidP="006206EF">
      <w:pPr>
        <w:pStyle w:val="Heading2"/>
        <w:sectPr w:rsidR="00C424E5" w:rsidRPr="00890874" w:rsidSect="00901119">
          <w:footerReference w:type="first" r:id="rId44"/>
          <w:pgSz w:w="9979" w:h="14175" w:code="9"/>
          <w:pgMar w:top="1134" w:right="1134" w:bottom="1134" w:left="1134" w:header="624" w:footer="567" w:gutter="0"/>
          <w:cols w:space="708"/>
          <w:docGrid w:linePitch="360"/>
        </w:sectPr>
      </w:pPr>
      <w:r w:rsidRPr="00890874">
        <w:lastRenderedPageBreak/>
        <w:t>MAJOR ASSETS AND INVESTMENTS</w:t>
      </w:r>
    </w:p>
    <w:p w14:paraId="5D269F13" w14:textId="77777777" w:rsidR="00C424E5" w:rsidRPr="00CB3BFE" w:rsidRDefault="00C424E5" w:rsidP="006206EF">
      <w:pPr>
        <w:pStyle w:val="Heading30"/>
      </w:pPr>
      <w:r w:rsidRPr="00890874">
        <w:t>Introduction</w:t>
      </w:r>
    </w:p>
    <w:p w14:paraId="2DB182A1" w14:textId="77777777" w:rsidR="00C424E5" w:rsidRDefault="00C424E5" w:rsidP="006206EF">
      <w:r>
        <w:t xml:space="preserve">This </w:t>
      </w:r>
      <w:r w:rsidRPr="00890874">
        <w:t>section</w:t>
      </w:r>
      <w:r>
        <w:t xml:space="preserve"> outlines the major assets that the general government sector controls </w:t>
      </w:r>
      <w:r w:rsidRPr="00CB3BFE">
        <w:t>reflecting</w:t>
      </w:r>
      <w:r>
        <w:t xml:space="preserve"> investing activities in the previous, current and future years.</w:t>
      </w:r>
    </w:p>
    <w:p w14:paraId="0DED3574" w14:textId="77777777" w:rsidR="00C424E5" w:rsidRPr="00CB3BFE" w:rsidRDefault="00C424E5" w:rsidP="006206EF">
      <w:pPr>
        <w:pStyle w:val="Heading30"/>
      </w:pPr>
      <w:r>
        <w:br w:type="column"/>
      </w:r>
      <w:r w:rsidRPr="00890874">
        <w:t>Structure</w:t>
      </w:r>
    </w:p>
    <w:p w14:paraId="60286A3F" w14:textId="79386F1C" w:rsidR="00C424E5" w:rsidRDefault="00C424E5">
      <w:pPr>
        <w:pStyle w:val="TOC9"/>
        <w:rPr>
          <w:rFonts w:eastAsiaTheme="minorEastAsia"/>
          <w:noProof/>
          <w:spacing w:val="0"/>
          <w:sz w:val="22"/>
          <w:lang w:eastAsia="en-AU"/>
        </w:rPr>
      </w:pPr>
      <w:r>
        <w:fldChar w:fldCharType="begin"/>
      </w:r>
      <w:r>
        <w:instrText xml:space="preserve"> TOC \h \z \t "Heading 3 (#),9" \b Section_4 \* MERGEFORMAT </w:instrText>
      </w:r>
      <w:r>
        <w:fldChar w:fldCharType="separate"/>
      </w:r>
      <w:hyperlink w:anchor="_Toc117172328" w:history="1">
        <w:r w:rsidRPr="00A1428B">
          <w:rPr>
            <w:rStyle w:val="Hyperlink"/>
            <w:noProof/>
          </w:rPr>
          <w:t>3.4.1</w:t>
        </w:r>
        <w:r>
          <w:rPr>
            <w:rFonts w:eastAsiaTheme="minorEastAsia"/>
            <w:noProof/>
            <w:spacing w:val="0"/>
            <w:sz w:val="22"/>
            <w:lang w:eastAsia="en-AU"/>
          </w:rPr>
          <w:tab/>
        </w:r>
        <w:r w:rsidRPr="00A1428B">
          <w:rPr>
            <w:rStyle w:val="Hyperlink"/>
            <w:noProof/>
          </w:rPr>
          <w:t>Total land, buildings, infrastructure, plant and equipment</w:t>
        </w:r>
        <w:r>
          <w:rPr>
            <w:noProof/>
            <w:webHidden/>
          </w:rPr>
          <w:tab/>
        </w:r>
        <w:r>
          <w:rPr>
            <w:noProof/>
            <w:webHidden/>
          </w:rPr>
          <w:fldChar w:fldCharType="begin"/>
        </w:r>
        <w:r>
          <w:rPr>
            <w:noProof/>
            <w:webHidden/>
          </w:rPr>
          <w:instrText xml:space="preserve"> PAGEREF _Toc117172328 \h </w:instrText>
        </w:r>
        <w:r>
          <w:rPr>
            <w:noProof/>
            <w:webHidden/>
          </w:rPr>
        </w:r>
        <w:r>
          <w:rPr>
            <w:noProof/>
            <w:webHidden/>
          </w:rPr>
          <w:fldChar w:fldCharType="separate"/>
        </w:r>
        <w:r w:rsidR="00087BE6">
          <w:rPr>
            <w:noProof/>
            <w:webHidden/>
          </w:rPr>
          <w:t>54</w:t>
        </w:r>
        <w:r>
          <w:rPr>
            <w:noProof/>
            <w:webHidden/>
          </w:rPr>
          <w:fldChar w:fldCharType="end"/>
        </w:r>
      </w:hyperlink>
    </w:p>
    <w:p w14:paraId="0980DB31" w14:textId="248A36E6" w:rsidR="00C424E5" w:rsidRDefault="00087BE6">
      <w:pPr>
        <w:pStyle w:val="TOC9"/>
        <w:rPr>
          <w:rFonts w:eastAsiaTheme="minorEastAsia"/>
          <w:noProof/>
          <w:spacing w:val="0"/>
          <w:sz w:val="22"/>
          <w:lang w:eastAsia="en-AU"/>
        </w:rPr>
      </w:pPr>
      <w:hyperlink w:anchor="_Toc117172329" w:history="1">
        <w:r w:rsidR="00C424E5" w:rsidRPr="00A1428B">
          <w:rPr>
            <w:rStyle w:val="Hyperlink"/>
            <w:noProof/>
          </w:rPr>
          <w:t>3.4.2</w:t>
        </w:r>
        <w:r w:rsidR="00C424E5">
          <w:rPr>
            <w:rFonts w:eastAsiaTheme="minorEastAsia"/>
            <w:noProof/>
            <w:spacing w:val="0"/>
            <w:sz w:val="22"/>
            <w:lang w:eastAsia="en-AU"/>
          </w:rPr>
          <w:tab/>
        </w:r>
        <w:r w:rsidR="00C424E5" w:rsidRPr="00A1428B">
          <w:rPr>
            <w:rStyle w:val="Hyperlink"/>
            <w:noProof/>
          </w:rPr>
          <w:t>Depreciation</w:t>
        </w:r>
        <w:r w:rsidR="00C424E5">
          <w:rPr>
            <w:noProof/>
            <w:webHidden/>
          </w:rPr>
          <w:tab/>
        </w:r>
        <w:r w:rsidR="00C424E5">
          <w:rPr>
            <w:noProof/>
            <w:webHidden/>
          </w:rPr>
          <w:fldChar w:fldCharType="begin"/>
        </w:r>
        <w:r w:rsidR="00C424E5">
          <w:rPr>
            <w:noProof/>
            <w:webHidden/>
          </w:rPr>
          <w:instrText xml:space="preserve"> PAGEREF _Toc117172329 \h </w:instrText>
        </w:r>
        <w:r w:rsidR="00C424E5">
          <w:rPr>
            <w:noProof/>
            <w:webHidden/>
          </w:rPr>
        </w:r>
        <w:r w:rsidR="00C424E5">
          <w:rPr>
            <w:noProof/>
            <w:webHidden/>
          </w:rPr>
          <w:fldChar w:fldCharType="separate"/>
        </w:r>
        <w:r>
          <w:rPr>
            <w:noProof/>
            <w:webHidden/>
          </w:rPr>
          <w:t>55</w:t>
        </w:r>
        <w:r w:rsidR="00C424E5">
          <w:rPr>
            <w:noProof/>
            <w:webHidden/>
          </w:rPr>
          <w:fldChar w:fldCharType="end"/>
        </w:r>
      </w:hyperlink>
    </w:p>
    <w:p w14:paraId="2F659449" w14:textId="03A0FF4B" w:rsidR="00C424E5" w:rsidRDefault="00087BE6">
      <w:pPr>
        <w:pStyle w:val="TOC9"/>
        <w:rPr>
          <w:rFonts w:eastAsiaTheme="minorEastAsia"/>
          <w:noProof/>
          <w:spacing w:val="0"/>
          <w:sz w:val="22"/>
          <w:lang w:eastAsia="en-AU"/>
        </w:rPr>
      </w:pPr>
      <w:hyperlink w:anchor="_Toc117172330" w:history="1">
        <w:r w:rsidR="00C424E5" w:rsidRPr="00A1428B">
          <w:rPr>
            <w:rStyle w:val="Hyperlink"/>
            <w:noProof/>
          </w:rPr>
          <w:t>3.4.3</w:t>
        </w:r>
        <w:r w:rsidR="00C424E5">
          <w:rPr>
            <w:rFonts w:eastAsiaTheme="minorEastAsia"/>
            <w:noProof/>
            <w:spacing w:val="0"/>
            <w:sz w:val="22"/>
            <w:lang w:eastAsia="en-AU"/>
          </w:rPr>
          <w:tab/>
        </w:r>
        <w:r w:rsidR="00C424E5" w:rsidRPr="00A1428B">
          <w:rPr>
            <w:rStyle w:val="Hyperlink"/>
            <w:noProof/>
          </w:rPr>
          <w:t xml:space="preserve">Reconciliation of movements in </w:t>
        </w:r>
        <w:r w:rsidR="00C424E5">
          <w:rPr>
            <w:rStyle w:val="Hyperlink"/>
            <w:noProof/>
          </w:rPr>
          <w:br/>
        </w:r>
        <w:r w:rsidR="00C424E5" w:rsidRPr="00A1428B">
          <w:rPr>
            <w:rStyle w:val="Hyperlink"/>
            <w:noProof/>
          </w:rPr>
          <w:t xml:space="preserve">land, buildings, infrastructure,  </w:t>
        </w:r>
        <w:r w:rsidR="00C424E5">
          <w:rPr>
            <w:rStyle w:val="Hyperlink"/>
            <w:noProof/>
          </w:rPr>
          <w:br/>
        </w:r>
        <w:r w:rsidR="00C424E5" w:rsidRPr="00A1428B">
          <w:rPr>
            <w:rStyle w:val="Hyperlink"/>
            <w:noProof/>
          </w:rPr>
          <w:t>plant and equipment</w:t>
        </w:r>
        <w:r w:rsidR="00C424E5">
          <w:rPr>
            <w:noProof/>
            <w:webHidden/>
          </w:rPr>
          <w:tab/>
        </w:r>
        <w:r w:rsidR="00C424E5">
          <w:rPr>
            <w:noProof/>
            <w:webHidden/>
          </w:rPr>
          <w:fldChar w:fldCharType="begin"/>
        </w:r>
        <w:r w:rsidR="00C424E5">
          <w:rPr>
            <w:noProof/>
            <w:webHidden/>
          </w:rPr>
          <w:instrText xml:space="preserve"> PAGEREF _Toc117172330 \h </w:instrText>
        </w:r>
        <w:r w:rsidR="00C424E5">
          <w:rPr>
            <w:noProof/>
            <w:webHidden/>
          </w:rPr>
        </w:r>
        <w:r w:rsidR="00C424E5">
          <w:rPr>
            <w:noProof/>
            <w:webHidden/>
          </w:rPr>
          <w:fldChar w:fldCharType="separate"/>
        </w:r>
        <w:r>
          <w:rPr>
            <w:noProof/>
            <w:webHidden/>
          </w:rPr>
          <w:t>56</w:t>
        </w:r>
        <w:r w:rsidR="00C424E5">
          <w:rPr>
            <w:noProof/>
            <w:webHidden/>
          </w:rPr>
          <w:fldChar w:fldCharType="end"/>
        </w:r>
      </w:hyperlink>
    </w:p>
    <w:p w14:paraId="66F671CF" w14:textId="7659DB0F" w:rsidR="00C424E5" w:rsidRDefault="00087BE6">
      <w:pPr>
        <w:pStyle w:val="TOC9"/>
        <w:rPr>
          <w:rFonts w:eastAsiaTheme="minorEastAsia"/>
          <w:noProof/>
          <w:spacing w:val="0"/>
          <w:sz w:val="22"/>
          <w:lang w:eastAsia="en-AU"/>
        </w:rPr>
      </w:pPr>
      <w:hyperlink w:anchor="_Toc117172331" w:history="1">
        <w:r w:rsidR="00C424E5" w:rsidRPr="00A1428B">
          <w:rPr>
            <w:rStyle w:val="Hyperlink"/>
            <w:noProof/>
          </w:rPr>
          <w:t>3.4.4</w:t>
        </w:r>
        <w:r w:rsidR="00C424E5">
          <w:rPr>
            <w:rFonts w:eastAsiaTheme="minorEastAsia"/>
            <w:noProof/>
            <w:spacing w:val="0"/>
            <w:sz w:val="22"/>
            <w:lang w:eastAsia="en-AU"/>
          </w:rPr>
          <w:tab/>
        </w:r>
        <w:r w:rsidR="00C424E5" w:rsidRPr="00A1428B">
          <w:rPr>
            <w:rStyle w:val="Hyperlink"/>
            <w:noProof/>
          </w:rPr>
          <w:t>Other non-financial assets</w:t>
        </w:r>
        <w:r w:rsidR="00C424E5">
          <w:rPr>
            <w:noProof/>
            <w:webHidden/>
          </w:rPr>
          <w:tab/>
        </w:r>
        <w:r w:rsidR="00C424E5">
          <w:rPr>
            <w:noProof/>
            <w:webHidden/>
          </w:rPr>
          <w:fldChar w:fldCharType="begin"/>
        </w:r>
        <w:r w:rsidR="00C424E5">
          <w:rPr>
            <w:noProof/>
            <w:webHidden/>
          </w:rPr>
          <w:instrText xml:space="preserve"> PAGEREF _Toc117172331 \h </w:instrText>
        </w:r>
        <w:r w:rsidR="00C424E5">
          <w:rPr>
            <w:noProof/>
            <w:webHidden/>
          </w:rPr>
        </w:r>
        <w:r w:rsidR="00C424E5">
          <w:rPr>
            <w:noProof/>
            <w:webHidden/>
          </w:rPr>
          <w:fldChar w:fldCharType="separate"/>
        </w:r>
        <w:r>
          <w:rPr>
            <w:noProof/>
            <w:webHidden/>
          </w:rPr>
          <w:t>57</w:t>
        </w:r>
        <w:r w:rsidR="00C424E5">
          <w:rPr>
            <w:noProof/>
            <w:webHidden/>
          </w:rPr>
          <w:fldChar w:fldCharType="end"/>
        </w:r>
      </w:hyperlink>
    </w:p>
    <w:p w14:paraId="1779025F" w14:textId="590F67F7" w:rsidR="00C424E5" w:rsidRDefault="00087BE6">
      <w:pPr>
        <w:pStyle w:val="TOC9"/>
        <w:rPr>
          <w:rFonts w:eastAsiaTheme="minorEastAsia"/>
          <w:noProof/>
          <w:spacing w:val="0"/>
          <w:sz w:val="22"/>
          <w:lang w:eastAsia="en-AU"/>
        </w:rPr>
      </w:pPr>
      <w:hyperlink w:anchor="_Toc117172332" w:history="1">
        <w:r w:rsidR="00C424E5" w:rsidRPr="00A1428B">
          <w:rPr>
            <w:rStyle w:val="Hyperlink"/>
            <w:noProof/>
          </w:rPr>
          <w:t>3.4.5</w:t>
        </w:r>
        <w:r w:rsidR="00C424E5">
          <w:rPr>
            <w:rFonts w:eastAsiaTheme="minorEastAsia"/>
            <w:noProof/>
            <w:spacing w:val="0"/>
            <w:sz w:val="22"/>
            <w:lang w:eastAsia="en-AU"/>
          </w:rPr>
          <w:tab/>
        </w:r>
        <w:r w:rsidR="00C424E5" w:rsidRPr="00A1428B">
          <w:rPr>
            <w:rStyle w:val="Hyperlink"/>
            <w:noProof/>
          </w:rPr>
          <w:t xml:space="preserve">Total assets by classification of </w:t>
        </w:r>
        <w:r w:rsidR="002E4CB0">
          <w:rPr>
            <w:rStyle w:val="Hyperlink"/>
            <w:noProof/>
          </w:rPr>
          <w:br/>
        </w:r>
        <w:r w:rsidR="00C424E5" w:rsidRPr="00A1428B">
          <w:rPr>
            <w:rStyle w:val="Hyperlink"/>
            <w:noProof/>
          </w:rPr>
          <w:t>the functions of government</w:t>
        </w:r>
        <w:r w:rsidR="00C424E5">
          <w:rPr>
            <w:noProof/>
            <w:webHidden/>
          </w:rPr>
          <w:tab/>
        </w:r>
        <w:r w:rsidR="00C424E5">
          <w:rPr>
            <w:noProof/>
            <w:webHidden/>
          </w:rPr>
          <w:fldChar w:fldCharType="begin"/>
        </w:r>
        <w:r w:rsidR="00C424E5">
          <w:rPr>
            <w:noProof/>
            <w:webHidden/>
          </w:rPr>
          <w:instrText xml:space="preserve"> PAGEREF _Toc117172332 \h </w:instrText>
        </w:r>
        <w:r w:rsidR="00C424E5">
          <w:rPr>
            <w:noProof/>
            <w:webHidden/>
          </w:rPr>
        </w:r>
        <w:r w:rsidR="00C424E5">
          <w:rPr>
            <w:noProof/>
            <w:webHidden/>
          </w:rPr>
          <w:fldChar w:fldCharType="separate"/>
        </w:r>
        <w:r>
          <w:rPr>
            <w:noProof/>
            <w:webHidden/>
          </w:rPr>
          <w:t>57</w:t>
        </w:r>
        <w:r w:rsidR="00C424E5">
          <w:rPr>
            <w:noProof/>
            <w:webHidden/>
          </w:rPr>
          <w:fldChar w:fldCharType="end"/>
        </w:r>
      </w:hyperlink>
    </w:p>
    <w:p w14:paraId="185CA6C5" w14:textId="77777777" w:rsidR="00C424E5" w:rsidRDefault="00C424E5" w:rsidP="006206EF">
      <w:pPr>
        <w:pStyle w:val="TOC9"/>
      </w:pPr>
      <w:r>
        <w:rPr>
          <w:b/>
          <w:bCs/>
          <w:noProof/>
          <w:lang w:val="en-US"/>
        </w:rPr>
        <w:fldChar w:fldCharType="end"/>
      </w:r>
    </w:p>
    <w:p w14:paraId="35768625" w14:textId="77777777" w:rsidR="00C424E5" w:rsidRDefault="00C424E5" w:rsidP="006206EF">
      <w:pPr>
        <w:sectPr w:rsidR="00C424E5" w:rsidSect="00890874">
          <w:type w:val="continuous"/>
          <w:pgSz w:w="9979" w:h="14175" w:code="9"/>
          <w:pgMar w:top="1134" w:right="1134" w:bottom="1134" w:left="1134" w:header="624" w:footer="567" w:gutter="0"/>
          <w:cols w:num="2" w:space="708"/>
          <w:titlePg/>
          <w:docGrid w:linePitch="360"/>
        </w:sectPr>
      </w:pPr>
    </w:p>
    <w:p w14:paraId="1F050439" w14:textId="77777777" w:rsidR="00C424E5" w:rsidRDefault="00C424E5" w:rsidP="00A330B7">
      <w:pPr>
        <w:pStyle w:val="Heading3"/>
        <w:spacing w:after="60"/>
        <w:rPr>
          <w:sz w:val="20"/>
          <w:szCs w:val="20"/>
        </w:rPr>
      </w:pPr>
      <w:bookmarkStart w:id="70" w:name="_Toc117172328"/>
      <w:bookmarkStart w:id="71" w:name="Section_4"/>
      <w:r w:rsidRPr="00A330B7">
        <w:rPr>
          <w:sz w:val="20"/>
          <w:szCs w:val="20"/>
        </w:rPr>
        <w:t xml:space="preserve">Total land, buildings, infrastructure, plant and equipment </w:t>
      </w:r>
      <w:r w:rsidRPr="00A330B7">
        <w:rPr>
          <w:sz w:val="20"/>
          <w:szCs w:val="20"/>
          <w:vertAlign w:val="superscript"/>
        </w:rPr>
        <w:t>(a)</w:t>
      </w:r>
      <w:r w:rsidRPr="00A330B7">
        <w:rPr>
          <w:sz w:val="20"/>
          <w:szCs w:val="20"/>
        </w:rPr>
        <w:tab/>
        <w:t>($ million)</w:t>
      </w:r>
      <w:bookmarkEnd w:id="70"/>
    </w:p>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F70B1C" w14:paraId="32FF34C5" w14:textId="77777777" w:rsidTr="00A836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1E7FBCD3" w14:textId="4C42BE5D" w:rsidR="00F70B1C" w:rsidRDefault="00F70B1C"/>
        </w:tc>
        <w:tc>
          <w:tcPr>
            <w:tcW w:w="794" w:type="dxa"/>
          </w:tcPr>
          <w:p w14:paraId="257BB462" w14:textId="53187090" w:rsidR="00F70B1C" w:rsidRDefault="00F70B1C" w:rsidP="005D6CC9">
            <w:pPr>
              <w:cnfStyle w:val="100000000000" w:firstRow="1" w:lastRow="0" w:firstColumn="0" w:lastColumn="0" w:oddVBand="0" w:evenVBand="0" w:oddHBand="0" w:evenHBand="0" w:firstRowFirstColumn="0" w:firstRowLastColumn="0" w:lastRowFirstColumn="0" w:lastRowLastColumn="0"/>
            </w:pPr>
            <w:r>
              <w:t>2023</w:t>
            </w:r>
            <w:r>
              <w:rPr>
                <w:i w:val="0"/>
              </w:rPr>
              <w:br/>
            </w:r>
            <w:r>
              <w:t>budget</w:t>
            </w:r>
          </w:p>
        </w:tc>
        <w:tc>
          <w:tcPr>
            <w:tcW w:w="794" w:type="dxa"/>
          </w:tcPr>
          <w:p w14:paraId="15C3E341" w14:textId="6B07F881" w:rsidR="00F70B1C" w:rsidRDefault="00F70B1C" w:rsidP="0032377F">
            <w:pPr>
              <w:cnfStyle w:val="100000000000" w:firstRow="1" w:lastRow="0" w:firstColumn="0" w:lastColumn="0" w:oddVBand="0" w:evenVBand="0" w:oddHBand="0" w:evenHBand="0" w:firstRowFirstColumn="0" w:firstRowLastColumn="0" w:lastRowFirstColumn="0" w:lastRowLastColumn="0"/>
            </w:pPr>
            <w:r>
              <w:t>2023</w:t>
            </w:r>
            <w:r>
              <w:rPr>
                <w:i w:val="0"/>
              </w:rPr>
              <w:br/>
            </w:r>
            <w:r>
              <w:t>revised</w:t>
            </w:r>
          </w:p>
        </w:tc>
        <w:tc>
          <w:tcPr>
            <w:tcW w:w="794" w:type="dxa"/>
          </w:tcPr>
          <w:p w14:paraId="16F1EB50" w14:textId="311A2CB9" w:rsidR="00F70B1C" w:rsidRDefault="00F70B1C" w:rsidP="004A0B09">
            <w:pPr>
              <w:cnfStyle w:val="100000000000" w:firstRow="1" w:lastRow="0" w:firstColumn="0" w:lastColumn="0" w:oddVBand="0" w:evenVBand="0" w:oddHBand="0" w:evenHBand="0" w:firstRowFirstColumn="0" w:firstRowLastColumn="0" w:lastRowFirstColumn="0" w:lastRowLastColumn="0"/>
            </w:pPr>
            <w:r>
              <w:t>2024</w:t>
            </w:r>
            <w:r>
              <w:rPr>
                <w:i w:val="0"/>
              </w:rPr>
              <w:br/>
            </w:r>
            <w:r>
              <w:t>estimate</w:t>
            </w:r>
          </w:p>
        </w:tc>
        <w:tc>
          <w:tcPr>
            <w:tcW w:w="794" w:type="dxa"/>
          </w:tcPr>
          <w:p w14:paraId="59DD2677" w14:textId="31D4BA79" w:rsidR="00F70B1C" w:rsidRDefault="00F70B1C" w:rsidP="00AF5E8B">
            <w:pPr>
              <w:cnfStyle w:val="100000000000" w:firstRow="1" w:lastRow="0" w:firstColumn="0" w:lastColumn="0" w:oddVBand="0" w:evenVBand="0" w:oddHBand="0" w:evenHBand="0" w:firstRowFirstColumn="0" w:firstRowLastColumn="0" w:lastRowFirstColumn="0" w:lastRowLastColumn="0"/>
            </w:pPr>
            <w:r>
              <w:t>2025</w:t>
            </w:r>
            <w:r>
              <w:rPr>
                <w:i w:val="0"/>
              </w:rPr>
              <w:br/>
            </w:r>
            <w:r>
              <w:t>estimate</w:t>
            </w:r>
          </w:p>
        </w:tc>
        <w:tc>
          <w:tcPr>
            <w:tcW w:w="794" w:type="dxa"/>
          </w:tcPr>
          <w:p w14:paraId="14198B3C" w14:textId="010C8809" w:rsidR="00F70B1C" w:rsidRDefault="00F70B1C" w:rsidP="00BE664D">
            <w:pPr>
              <w:cnfStyle w:val="100000000000" w:firstRow="1" w:lastRow="0" w:firstColumn="0" w:lastColumn="0" w:oddVBand="0" w:evenVBand="0" w:oddHBand="0" w:evenHBand="0" w:firstRowFirstColumn="0" w:firstRowLastColumn="0" w:lastRowFirstColumn="0" w:lastRowLastColumn="0"/>
            </w:pPr>
            <w:r>
              <w:t>2026</w:t>
            </w:r>
            <w:r>
              <w:rPr>
                <w:i w:val="0"/>
              </w:rPr>
              <w:br/>
            </w:r>
            <w:r>
              <w:t>estimate</w:t>
            </w:r>
          </w:p>
        </w:tc>
      </w:tr>
      <w:tr w:rsidR="00C424E5" w14:paraId="37C67968" w14:textId="77777777">
        <w:tc>
          <w:tcPr>
            <w:cnfStyle w:val="001000000000" w:firstRow="0" w:lastRow="0" w:firstColumn="1" w:lastColumn="0" w:oddVBand="0" w:evenVBand="0" w:oddHBand="0" w:evenHBand="0" w:firstRowFirstColumn="0" w:firstRowLastColumn="0" w:lastRowFirstColumn="0" w:lastRowLastColumn="0"/>
            <w:tcW w:w="3740" w:type="dxa"/>
          </w:tcPr>
          <w:p w14:paraId="4C7DEE7F" w14:textId="77777777" w:rsidR="00C424E5" w:rsidRDefault="00C424E5">
            <w:r>
              <w:t>Buildings</w:t>
            </w:r>
          </w:p>
        </w:tc>
        <w:tc>
          <w:tcPr>
            <w:tcW w:w="794" w:type="dxa"/>
          </w:tcPr>
          <w:p w14:paraId="16335E6C" w14:textId="77777777" w:rsidR="00C424E5" w:rsidRDefault="00C424E5">
            <w:pPr>
              <w:cnfStyle w:val="000000000000" w:firstRow="0" w:lastRow="0" w:firstColumn="0" w:lastColumn="0" w:oddVBand="0" w:evenVBand="0" w:oddHBand="0" w:evenHBand="0" w:firstRowFirstColumn="0" w:firstRowLastColumn="0" w:lastRowFirstColumn="0" w:lastRowLastColumn="0"/>
            </w:pPr>
            <w:r>
              <w:t>54 613</w:t>
            </w:r>
          </w:p>
        </w:tc>
        <w:tc>
          <w:tcPr>
            <w:tcW w:w="794" w:type="dxa"/>
          </w:tcPr>
          <w:p w14:paraId="4BBA185F" w14:textId="77777777" w:rsidR="00C424E5" w:rsidRDefault="00C424E5">
            <w:pPr>
              <w:cnfStyle w:val="000000000000" w:firstRow="0" w:lastRow="0" w:firstColumn="0" w:lastColumn="0" w:oddVBand="0" w:evenVBand="0" w:oddHBand="0" w:evenHBand="0" w:firstRowFirstColumn="0" w:firstRowLastColumn="0" w:lastRowFirstColumn="0" w:lastRowLastColumn="0"/>
            </w:pPr>
            <w:r>
              <w:t>54 545</w:t>
            </w:r>
          </w:p>
        </w:tc>
        <w:tc>
          <w:tcPr>
            <w:tcW w:w="794" w:type="dxa"/>
          </w:tcPr>
          <w:p w14:paraId="3D45C4C3" w14:textId="77777777" w:rsidR="00C424E5" w:rsidRDefault="00C424E5">
            <w:pPr>
              <w:cnfStyle w:val="000000000000" w:firstRow="0" w:lastRow="0" w:firstColumn="0" w:lastColumn="0" w:oddVBand="0" w:evenVBand="0" w:oddHBand="0" w:evenHBand="0" w:firstRowFirstColumn="0" w:firstRowLastColumn="0" w:lastRowFirstColumn="0" w:lastRowLastColumn="0"/>
            </w:pPr>
            <w:r>
              <w:t>57 718</w:t>
            </w:r>
          </w:p>
        </w:tc>
        <w:tc>
          <w:tcPr>
            <w:tcW w:w="794" w:type="dxa"/>
          </w:tcPr>
          <w:p w14:paraId="389A34EC" w14:textId="77777777" w:rsidR="00C424E5" w:rsidRDefault="00C424E5">
            <w:pPr>
              <w:cnfStyle w:val="000000000000" w:firstRow="0" w:lastRow="0" w:firstColumn="0" w:lastColumn="0" w:oddVBand="0" w:evenVBand="0" w:oddHBand="0" w:evenHBand="0" w:firstRowFirstColumn="0" w:firstRowLastColumn="0" w:lastRowFirstColumn="0" w:lastRowLastColumn="0"/>
            </w:pPr>
            <w:r>
              <w:t>61 540</w:t>
            </w:r>
          </w:p>
        </w:tc>
        <w:tc>
          <w:tcPr>
            <w:tcW w:w="794" w:type="dxa"/>
          </w:tcPr>
          <w:p w14:paraId="0EED1189" w14:textId="77777777" w:rsidR="00C424E5" w:rsidRDefault="00C424E5">
            <w:pPr>
              <w:cnfStyle w:val="000000000000" w:firstRow="0" w:lastRow="0" w:firstColumn="0" w:lastColumn="0" w:oddVBand="0" w:evenVBand="0" w:oddHBand="0" w:evenHBand="0" w:firstRowFirstColumn="0" w:firstRowLastColumn="0" w:lastRowFirstColumn="0" w:lastRowLastColumn="0"/>
            </w:pPr>
            <w:r>
              <w:t>63 624</w:t>
            </w:r>
          </w:p>
        </w:tc>
      </w:tr>
      <w:tr w:rsidR="00C424E5" w14:paraId="02EABAD7" w14:textId="77777777">
        <w:tc>
          <w:tcPr>
            <w:cnfStyle w:val="001000000000" w:firstRow="0" w:lastRow="0" w:firstColumn="1" w:lastColumn="0" w:oddVBand="0" w:evenVBand="0" w:oddHBand="0" w:evenHBand="0" w:firstRowFirstColumn="0" w:firstRowLastColumn="0" w:lastRowFirstColumn="0" w:lastRowLastColumn="0"/>
            <w:tcW w:w="3740" w:type="dxa"/>
          </w:tcPr>
          <w:p w14:paraId="542C4CF1" w14:textId="77777777" w:rsidR="00C424E5" w:rsidRDefault="00C424E5">
            <w:r>
              <w:t>Land and national parks</w:t>
            </w:r>
          </w:p>
        </w:tc>
        <w:tc>
          <w:tcPr>
            <w:tcW w:w="794" w:type="dxa"/>
          </w:tcPr>
          <w:p w14:paraId="4290A24D" w14:textId="77777777" w:rsidR="00C424E5" w:rsidRDefault="00C424E5">
            <w:pPr>
              <w:cnfStyle w:val="000000000000" w:firstRow="0" w:lastRow="0" w:firstColumn="0" w:lastColumn="0" w:oddVBand="0" w:evenVBand="0" w:oddHBand="0" w:evenHBand="0" w:firstRowFirstColumn="0" w:firstRowLastColumn="0" w:lastRowFirstColumn="0" w:lastRowLastColumn="0"/>
            </w:pPr>
            <w:r>
              <w:t>93 906</w:t>
            </w:r>
          </w:p>
        </w:tc>
        <w:tc>
          <w:tcPr>
            <w:tcW w:w="794" w:type="dxa"/>
          </w:tcPr>
          <w:p w14:paraId="41AF3B44" w14:textId="77777777" w:rsidR="00C424E5" w:rsidRDefault="00C424E5">
            <w:pPr>
              <w:cnfStyle w:val="000000000000" w:firstRow="0" w:lastRow="0" w:firstColumn="0" w:lastColumn="0" w:oddVBand="0" w:evenVBand="0" w:oddHBand="0" w:evenHBand="0" w:firstRowFirstColumn="0" w:firstRowLastColumn="0" w:lastRowFirstColumn="0" w:lastRowLastColumn="0"/>
            </w:pPr>
            <w:r>
              <w:t>94 401</w:t>
            </w:r>
          </w:p>
        </w:tc>
        <w:tc>
          <w:tcPr>
            <w:tcW w:w="794" w:type="dxa"/>
          </w:tcPr>
          <w:p w14:paraId="7A816AA1" w14:textId="77777777" w:rsidR="00C424E5" w:rsidRDefault="00C424E5">
            <w:pPr>
              <w:cnfStyle w:val="000000000000" w:firstRow="0" w:lastRow="0" w:firstColumn="0" w:lastColumn="0" w:oddVBand="0" w:evenVBand="0" w:oddHBand="0" w:evenHBand="0" w:firstRowFirstColumn="0" w:firstRowLastColumn="0" w:lastRowFirstColumn="0" w:lastRowLastColumn="0"/>
            </w:pPr>
            <w:r>
              <w:t>94 608</w:t>
            </w:r>
          </w:p>
        </w:tc>
        <w:tc>
          <w:tcPr>
            <w:tcW w:w="794" w:type="dxa"/>
          </w:tcPr>
          <w:p w14:paraId="51E494E7" w14:textId="77777777" w:rsidR="00C424E5" w:rsidRDefault="00C424E5">
            <w:pPr>
              <w:cnfStyle w:val="000000000000" w:firstRow="0" w:lastRow="0" w:firstColumn="0" w:lastColumn="0" w:oddVBand="0" w:evenVBand="0" w:oddHBand="0" w:evenHBand="0" w:firstRowFirstColumn="0" w:firstRowLastColumn="0" w:lastRowFirstColumn="0" w:lastRowLastColumn="0"/>
            </w:pPr>
            <w:r>
              <w:t>101 180</w:t>
            </w:r>
          </w:p>
        </w:tc>
        <w:tc>
          <w:tcPr>
            <w:tcW w:w="794" w:type="dxa"/>
          </w:tcPr>
          <w:p w14:paraId="493149D8" w14:textId="77777777" w:rsidR="00C424E5" w:rsidRDefault="00C424E5">
            <w:pPr>
              <w:cnfStyle w:val="000000000000" w:firstRow="0" w:lastRow="0" w:firstColumn="0" w:lastColumn="0" w:oddVBand="0" w:evenVBand="0" w:oddHBand="0" w:evenHBand="0" w:firstRowFirstColumn="0" w:firstRowLastColumn="0" w:lastRowFirstColumn="0" w:lastRowLastColumn="0"/>
            </w:pPr>
            <w:r>
              <w:t>101 331</w:t>
            </w:r>
          </w:p>
        </w:tc>
      </w:tr>
      <w:tr w:rsidR="00C424E5" w14:paraId="398A559D" w14:textId="77777777">
        <w:tc>
          <w:tcPr>
            <w:cnfStyle w:val="001000000000" w:firstRow="0" w:lastRow="0" w:firstColumn="1" w:lastColumn="0" w:oddVBand="0" w:evenVBand="0" w:oddHBand="0" w:evenHBand="0" w:firstRowFirstColumn="0" w:firstRowLastColumn="0" w:lastRowFirstColumn="0" w:lastRowLastColumn="0"/>
            <w:tcW w:w="3740" w:type="dxa"/>
          </w:tcPr>
          <w:p w14:paraId="020E75A5" w14:textId="77777777" w:rsidR="00C424E5" w:rsidRDefault="00C424E5">
            <w:r>
              <w:t>Infrastructure systems</w:t>
            </w:r>
          </w:p>
        </w:tc>
        <w:tc>
          <w:tcPr>
            <w:tcW w:w="794" w:type="dxa"/>
          </w:tcPr>
          <w:p w14:paraId="7FC3DC82" w14:textId="77777777" w:rsidR="00C424E5" w:rsidRDefault="00C424E5">
            <w:pPr>
              <w:cnfStyle w:val="000000000000" w:firstRow="0" w:lastRow="0" w:firstColumn="0" w:lastColumn="0" w:oddVBand="0" w:evenVBand="0" w:oddHBand="0" w:evenHBand="0" w:firstRowFirstColumn="0" w:firstRowLastColumn="0" w:lastRowFirstColumn="0" w:lastRowLastColumn="0"/>
            </w:pPr>
            <w:r>
              <w:t>23 374</w:t>
            </w:r>
          </w:p>
        </w:tc>
        <w:tc>
          <w:tcPr>
            <w:tcW w:w="794" w:type="dxa"/>
          </w:tcPr>
          <w:p w14:paraId="17EF6674" w14:textId="77777777" w:rsidR="00C424E5" w:rsidRDefault="00C424E5">
            <w:pPr>
              <w:cnfStyle w:val="000000000000" w:firstRow="0" w:lastRow="0" w:firstColumn="0" w:lastColumn="0" w:oddVBand="0" w:evenVBand="0" w:oddHBand="0" w:evenHBand="0" w:firstRowFirstColumn="0" w:firstRowLastColumn="0" w:lastRowFirstColumn="0" w:lastRowLastColumn="0"/>
            </w:pPr>
            <w:r>
              <w:t>23 509</w:t>
            </w:r>
          </w:p>
        </w:tc>
        <w:tc>
          <w:tcPr>
            <w:tcW w:w="794" w:type="dxa"/>
          </w:tcPr>
          <w:p w14:paraId="563A2C75" w14:textId="77777777" w:rsidR="00C424E5" w:rsidRDefault="00C424E5">
            <w:pPr>
              <w:cnfStyle w:val="000000000000" w:firstRow="0" w:lastRow="0" w:firstColumn="0" w:lastColumn="0" w:oddVBand="0" w:evenVBand="0" w:oddHBand="0" w:evenHBand="0" w:firstRowFirstColumn="0" w:firstRowLastColumn="0" w:lastRowFirstColumn="0" w:lastRowLastColumn="0"/>
            </w:pPr>
            <w:r>
              <w:t>28 605</w:t>
            </w:r>
          </w:p>
        </w:tc>
        <w:tc>
          <w:tcPr>
            <w:tcW w:w="794" w:type="dxa"/>
          </w:tcPr>
          <w:p w14:paraId="10C866D0" w14:textId="77777777" w:rsidR="00C424E5" w:rsidRDefault="00C424E5">
            <w:pPr>
              <w:cnfStyle w:val="000000000000" w:firstRow="0" w:lastRow="0" w:firstColumn="0" w:lastColumn="0" w:oddVBand="0" w:evenVBand="0" w:oddHBand="0" w:evenHBand="0" w:firstRowFirstColumn="0" w:firstRowLastColumn="0" w:lastRowFirstColumn="0" w:lastRowLastColumn="0"/>
            </w:pPr>
            <w:r>
              <w:t>28 877</w:t>
            </w:r>
          </w:p>
        </w:tc>
        <w:tc>
          <w:tcPr>
            <w:tcW w:w="794" w:type="dxa"/>
          </w:tcPr>
          <w:p w14:paraId="731CF906" w14:textId="77777777" w:rsidR="00C424E5" w:rsidRDefault="00C424E5">
            <w:pPr>
              <w:cnfStyle w:val="000000000000" w:firstRow="0" w:lastRow="0" w:firstColumn="0" w:lastColumn="0" w:oddVBand="0" w:evenVBand="0" w:oddHBand="0" w:evenHBand="0" w:firstRowFirstColumn="0" w:firstRowLastColumn="0" w:lastRowFirstColumn="0" w:lastRowLastColumn="0"/>
            </w:pPr>
            <w:r>
              <w:t>22 754</w:t>
            </w:r>
          </w:p>
        </w:tc>
      </w:tr>
      <w:tr w:rsidR="00C424E5" w14:paraId="09EF67AE" w14:textId="77777777">
        <w:tc>
          <w:tcPr>
            <w:cnfStyle w:val="001000000000" w:firstRow="0" w:lastRow="0" w:firstColumn="1" w:lastColumn="0" w:oddVBand="0" w:evenVBand="0" w:oddHBand="0" w:evenHBand="0" w:firstRowFirstColumn="0" w:firstRowLastColumn="0" w:lastRowFirstColumn="0" w:lastRowLastColumn="0"/>
            <w:tcW w:w="3740" w:type="dxa"/>
          </w:tcPr>
          <w:p w14:paraId="0B033A63" w14:textId="77777777" w:rsidR="00C424E5" w:rsidRDefault="00C424E5">
            <w:r>
              <w:t>Plant, equipment and vehicles</w:t>
            </w:r>
          </w:p>
        </w:tc>
        <w:tc>
          <w:tcPr>
            <w:tcW w:w="794" w:type="dxa"/>
          </w:tcPr>
          <w:p w14:paraId="15E38CFB" w14:textId="77777777" w:rsidR="00C424E5" w:rsidRDefault="00C424E5">
            <w:pPr>
              <w:cnfStyle w:val="000000000000" w:firstRow="0" w:lastRow="0" w:firstColumn="0" w:lastColumn="0" w:oddVBand="0" w:evenVBand="0" w:oddHBand="0" w:evenHBand="0" w:firstRowFirstColumn="0" w:firstRowLastColumn="0" w:lastRowFirstColumn="0" w:lastRowLastColumn="0"/>
            </w:pPr>
            <w:r>
              <w:t>6 057</w:t>
            </w:r>
          </w:p>
        </w:tc>
        <w:tc>
          <w:tcPr>
            <w:tcW w:w="794" w:type="dxa"/>
          </w:tcPr>
          <w:p w14:paraId="55A448AE" w14:textId="77777777" w:rsidR="00C424E5" w:rsidRDefault="00C424E5">
            <w:pPr>
              <w:cnfStyle w:val="000000000000" w:firstRow="0" w:lastRow="0" w:firstColumn="0" w:lastColumn="0" w:oddVBand="0" w:evenVBand="0" w:oddHBand="0" w:evenHBand="0" w:firstRowFirstColumn="0" w:firstRowLastColumn="0" w:lastRowFirstColumn="0" w:lastRowLastColumn="0"/>
            </w:pPr>
            <w:r>
              <w:t>6 501</w:t>
            </w:r>
          </w:p>
        </w:tc>
        <w:tc>
          <w:tcPr>
            <w:tcW w:w="794" w:type="dxa"/>
          </w:tcPr>
          <w:p w14:paraId="1A8530B3" w14:textId="77777777" w:rsidR="00C424E5" w:rsidRDefault="00C424E5">
            <w:pPr>
              <w:cnfStyle w:val="000000000000" w:firstRow="0" w:lastRow="0" w:firstColumn="0" w:lastColumn="0" w:oddVBand="0" w:evenVBand="0" w:oddHBand="0" w:evenHBand="0" w:firstRowFirstColumn="0" w:firstRowLastColumn="0" w:lastRowFirstColumn="0" w:lastRowLastColumn="0"/>
            </w:pPr>
            <w:r>
              <w:t>5 255</w:t>
            </w:r>
          </w:p>
        </w:tc>
        <w:tc>
          <w:tcPr>
            <w:tcW w:w="794" w:type="dxa"/>
          </w:tcPr>
          <w:p w14:paraId="02AA15AD" w14:textId="77777777" w:rsidR="00C424E5" w:rsidRDefault="00C424E5">
            <w:pPr>
              <w:cnfStyle w:val="000000000000" w:firstRow="0" w:lastRow="0" w:firstColumn="0" w:lastColumn="0" w:oddVBand="0" w:evenVBand="0" w:oddHBand="0" w:evenHBand="0" w:firstRowFirstColumn="0" w:firstRowLastColumn="0" w:lastRowFirstColumn="0" w:lastRowLastColumn="0"/>
            </w:pPr>
            <w:r>
              <w:t>4 955</w:t>
            </w:r>
          </w:p>
        </w:tc>
        <w:tc>
          <w:tcPr>
            <w:tcW w:w="794" w:type="dxa"/>
          </w:tcPr>
          <w:p w14:paraId="520E4EBC" w14:textId="77777777" w:rsidR="00C424E5" w:rsidRDefault="00C424E5">
            <w:pPr>
              <w:cnfStyle w:val="000000000000" w:firstRow="0" w:lastRow="0" w:firstColumn="0" w:lastColumn="0" w:oddVBand="0" w:evenVBand="0" w:oddHBand="0" w:evenHBand="0" w:firstRowFirstColumn="0" w:firstRowLastColumn="0" w:lastRowFirstColumn="0" w:lastRowLastColumn="0"/>
            </w:pPr>
            <w:r>
              <w:t>4 754</w:t>
            </w:r>
          </w:p>
        </w:tc>
      </w:tr>
      <w:tr w:rsidR="00C424E5" w14:paraId="75D1FEDA" w14:textId="77777777">
        <w:tc>
          <w:tcPr>
            <w:cnfStyle w:val="001000000000" w:firstRow="0" w:lastRow="0" w:firstColumn="1" w:lastColumn="0" w:oddVBand="0" w:evenVBand="0" w:oddHBand="0" w:evenHBand="0" w:firstRowFirstColumn="0" w:firstRowLastColumn="0" w:lastRowFirstColumn="0" w:lastRowLastColumn="0"/>
            <w:tcW w:w="3740" w:type="dxa"/>
          </w:tcPr>
          <w:p w14:paraId="40693F79" w14:textId="77777777" w:rsidR="00C424E5" w:rsidRDefault="00C424E5">
            <w:r>
              <w:t>Roads and road infrastructure</w:t>
            </w:r>
          </w:p>
        </w:tc>
        <w:tc>
          <w:tcPr>
            <w:tcW w:w="794" w:type="dxa"/>
          </w:tcPr>
          <w:p w14:paraId="20B4E6D1" w14:textId="77777777" w:rsidR="00C424E5" w:rsidRDefault="00C424E5">
            <w:pPr>
              <w:cnfStyle w:val="000000000000" w:firstRow="0" w:lastRow="0" w:firstColumn="0" w:lastColumn="0" w:oddVBand="0" w:evenVBand="0" w:oddHBand="0" w:evenHBand="0" w:firstRowFirstColumn="0" w:firstRowLastColumn="0" w:lastRowFirstColumn="0" w:lastRowLastColumn="0"/>
            </w:pPr>
            <w:r>
              <w:t>40 834</w:t>
            </w:r>
          </w:p>
        </w:tc>
        <w:tc>
          <w:tcPr>
            <w:tcW w:w="794" w:type="dxa"/>
          </w:tcPr>
          <w:p w14:paraId="57079BF1" w14:textId="77777777" w:rsidR="00C424E5" w:rsidRDefault="00C424E5">
            <w:pPr>
              <w:cnfStyle w:val="000000000000" w:firstRow="0" w:lastRow="0" w:firstColumn="0" w:lastColumn="0" w:oddVBand="0" w:evenVBand="0" w:oddHBand="0" w:evenHBand="0" w:firstRowFirstColumn="0" w:firstRowLastColumn="0" w:lastRowFirstColumn="0" w:lastRowLastColumn="0"/>
            </w:pPr>
            <w:r>
              <w:t>40 226</w:t>
            </w:r>
          </w:p>
        </w:tc>
        <w:tc>
          <w:tcPr>
            <w:tcW w:w="794" w:type="dxa"/>
          </w:tcPr>
          <w:p w14:paraId="59F65958" w14:textId="77777777" w:rsidR="00C424E5" w:rsidRDefault="00C424E5">
            <w:pPr>
              <w:cnfStyle w:val="000000000000" w:firstRow="0" w:lastRow="0" w:firstColumn="0" w:lastColumn="0" w:oddVBand="0" w:evenVBand="0" w:oddHBand="0" w:evenHBand="0" w:firstRowFirstColumn="0" w:firstRowLastColumn="0" w:lastRowFirstColumn="0" w:lastRowLastColumn="0"/>
            </w:pPr>
            <w:r>
              <w:t>47 794</w:t>
            </w:r>
          </w:p>
        </w:tc>
        <w:tc>
          <w:tcPr>
            <w:tcW w:w="794" w:type="dxa"/>
          </w:tcPr>
          <w:p w14:paraId="5ACE7B47" w14:textId="77777777" w:rsidR="00C424E5" w:rsidRDefault="00C424E5">
            <w:pPr>
              <w:cnfStyle w:val="000000000000" w:firstRow="0" w:lastRow="0" w:firstColumn="0" w:lastColumn="0" w:oddVBand="0" w:evenVBand="0" w:oddHBand="0" w:evenHBand="0" w:firstRowFirstColumn="0" w:firstRowLastColumn="0" w:lastRowFirstColumn="0" w:lastRowLastColumn="0"/>
            </w:pPr>
            <w:r>
              <w:t>53 609</w:t>
            </w:r>
          </w:p>
        </w:tc>
        <w:tc>
          <w:tcPr>
            <w:tcW w:w="794" w:type="dxa"/>
          </w:tcPr>
          <w:p w14:paraId="3E5C4BBA" w14:textId="77777777" w:rsidR="00C424E5" w:rsidRDefault="00C424E5">
            <w:pPr>
              <w:cnfStyle w:val="000000000000" w:firstRow="0" w:lastRow="0" w:firstColumn="0" w:lastColumn="0" w:oddVBand="0" w:evenVBand="0" w:oddHBand="0" w:evenHBand="0" w:firstRowFirstColumn="0" w:firstRowLastColumn="0" w:lastRowFirstColumn="0" w:lastRowLastColumn="0"/>
            </w:pPr>
            <w:r>
              <w:t>56 502</w:t>
            </w:r>
          </w:p>
        </w:tc>
      </w:tr>
      <w:tr w:rsidR="00C424E5" w14:paraId="7ADC764B" w14:textId="77777777">
        <w:tc>
          <w:tcPr>
            <w:cnfStyle w:val="001000000000" w:firstRow="0" w:lastRow="0" w:firstColumn="1" w:lastColumn="0" w:oddVBand="0" w:evenVBand="0" w:oddHBand="0" w:evenHBand="0" w:firstRowFirstColumn="0" w:firstRowLastColumn="0" w:lastRowFirstColumn="0" w:lastRowLastColumn="0"/>
            <w:tcW w:w="3740" w:type="dxa"/>
          </w:tcPr>
          <w:p w14:paraId="142ADAB3" w14:textId="77777777" w:rsidR="00C424E5" w:rsidRDefault="00C424E5">
            <w:r>
              <w:t>Earthworks</w:t>
            </w:r>
          </w:p>
        </w:tc>
        <w:tc>
          <w:tcPr>
            <w:tcW w:w="794" w:type="dxa"/>
          </w:tcPr>
          <w:p w14:paraId="4B14AEE9" w14:textId="77777777" w:rsidR="00C424E5" w:rsidRDefault="00C424E5">
            <w:pPr>
              <w:cnfStyle w:val="000000000000" w:firstRow="0" w:lastRow="0" w:firstColumn="0" w:lastColumn="0" w:oddVBand="0" w:evenVBand="0" w:oddHBand="0" w:evenHBand="0" w:firstRowFirstColumn="0" w:firstRowLastColumn="0" w:lastRowFirstColumn="0" w:lastRowLastColumn="0"/>
            </w:pPr>
            <w:r>
              <w:t>10 035</w:t>
            </w:r>
          </w:p>
        </w:tc>
        <w:tc>
          <w:tcPr>
            <w:tcW w:w="794" w:type="dxa"/>
          </w:tcPr>
          <w:p w14:paraId="73870F16" w14:textId="77777777" w:rsidR="00C424E5" w:rsidRDefault="00C424E5">
            <w:pPr>
              <w:cnfStyle w:val="000000000000" w:firstRow="0" w:lastRow="0" w:firstColumn="0" w:lastColumn="0" w:oddVBand="0" w:evenVBand="0" w:oddHBand="0" w:evenHBand="0" w:firstRowFirstColumn="0" w:firstRowLastColumn="0" w:lastRowFirstColumn="0" w:lastRowLastColumn="0"/>
            </w:pPr>
            <w:r>
              <w:t>10 035</w:t>
            </w:r>
          </w:p>
        </w:tc>
        <w:tc>
          <w:tcPr>
            <w:tcW w:w="794" w:type="dxa"/>
          </w:tcPr>
          <w:p w14:paraId="1F5AB528" w14:textId="77777777" w:rsidR="00C424E5" w:rsidRDefault="00C424E5">
            <w:pPr>
              <w:cnfStyle w:val="000000000000" w:firstRow="0" w:lastRow="0" w:firstColumn="0" w:lastColumn="0" w:oddVBand="0" w:evenVBand="0" w:oddHBand="0" w:evenHBand="0" w:firstRowFirstColumn="0" w:firstRowLastColumn="0" w:lastRowFirstColumn="0" w:lastRowLastColumn="0"/>
            </w:pPr>
            <w:r>
              <w:t>9 950</w:t>
            </w:r>
          </w:p>
        </w:tc>
        <w:tc>
          <w:tcPr>
            <w:tcW w:w="794" w:type="dxa"/>
          </w:tcPr>
          <w:p w14:paraId="75E4843D" w14:textId="77777777" w:rsidR="00C424E5" w:rsidRDefault="00C424E5">
            <w:pPr>
              <w:cnfStyle w:val="000000000000" w:firstRow="0" w:lastRow="0" w:firstColumn="0" w:lastColumn="0" w:oddVBand="0" w:evenVBand="0" w:oddHBand="0" w:evenHBand="0" w:firstRowFirstColumn="0" w:firstRowLastColumn="0" w:lastRowFirstColumn="0" w:lastRowLastColumn="0"/>
            </w:pPr>
            <w:r>
              <w:t>10 057</w:t>
            </w:r>
          </w:p>
        </w:tc>
        <w:tc>
          <w:tcPr>
            <w:tcW w:w="794" w:type="dxa"/>
          </w:tcPr>
          <w:p w14:paraId="5AB207A7" w14:textId="77777777" w:rsidR="00C424E5" w:rsidRDefault="00C424E5">
            <w:pPr>
              <w:cnfStyle w:val="000000000000" w:firstRow="0" w:lastRow="0" w:firstColumn="0" w:lastColumn="0" w:oddVBand="0" w:evenVBand="0" w:oddHBand="0" w:evenHBand="0" w:firstRowFirstColumn="0" w:firstRowLastColumn="0" w:lastRowFirstColumn="0" w:lastRowLastColumn="0"/>
            </w:pPr>
            <w:r>
              <w:t>10 053</w:t>
            </w:r>
          </w:p>
        </w:tc>
      </w:tr>
      <w:tr w:rsidR="00C424E5" w14:paraId="32FD92F6"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76B31946" w14:textId="77777777" w:rsidR="00C424E5" w:rsidRDefault="00C424E5">
            <w:r>
              <w:t>Cultural assets</w:t>
            </w:r>
          </w:p>
        </w:tc>
        <w:tc>
          <w:tcPr>
            <w:tcW w:w="794" w:type="dxa"/>
            <w:tcBorders>
              <w:bottom w:val="single" w:sz="6" w:space="0" w:color="auto"/>
            </w:tcBorders>
          </w:tcPr>
          <w:p w14:paraId="4FDD8059" w14:textId="77777777" w:rsidR="00C424E5" w:rsidRDefault="00C424E5">
            <w:pPr>
              <w:cnfStyle w:val="000000000000" w:firstRow="0" w:lastRow="0" w:firstColumn="0" w:lastColumn="0" w:oddVBand="0" w:evenVBand="0" w:oddHBand="0" w:evenHBand="0" w:firstRowFirstColumn="0" w:firstRowLastColumn="0" w:lastRowFirstColumn="0" w:lastRowLastColumn="0"/>
            </w:pPr>
            <w:r>
              <w:t>6 765</w:t>
            </w:r>
          </w:p>
        </w:tc>
        <w:tc>
          <w:tcPr>
            <w:tcW w:w="794" w:type="dxa"/>
            <w:tcBorders>
              <w:bottom w:val="single" w:sz="6" w:space="0" w:color="auto"/>
            </w:tcBorders>
          </w:tcPr>
          <w:p w14:paraId="7F91C226" w14:textId="77777777" w:rsidR="00C424E5" w:rsidRDefault="00C424E5">
            <w:pPr>
              <w:cnfStyle w:val="000000000000" w:firstRow="0" w:lastRow="0" w:firstColumn="0" w:lastColumn="0" w:oddVBand="0" w:evenVBand="0" w:oddHBand="0" w:evenHBand="0" w:firstRowFirstColumn="0" w:firstRowLastColumn="0" w:lastRowFirstColumn="0" w:lastRowLastColumn="0"/>
            </w:pPr>
            <w:r>
              <w:t>6 765</w:t>
            </w:r>
          </w:p>
        </w:tc>
        <w:tc>
          <w:tcPr>
            <w:tcW w:w="794" w:type="dxa"/>
            <w:tcBorders>
              <w:bottom w:val="single" w:sz="6" w:space="0" w:color="auto"/>
            </w:tcBorders>
          </w:tcPr>
          <w:p w14:paraId="15D23A9F" w14:textId="77777777" w:rsidR="00C424E5" w:rsidRDefault="00C424E5">
            <w:pPr>
              <w:cnfStyle w:val="000000000000" w:firstRow="0" w:lastRow="0" w:firstColumn="0" w:lastColumn="0" w:oddVBand="0" w:evenVBand="0" w:oddHBand="0" w:evenHBand="0" w:firstRowFirstColumn="0" w:firstRowLastColumn="0" w:lastRowFirstColumn="0" w:lastRowLastColumn="0"/>
            </w:pPr>
            <w:r>
              <w:t>6 771</w:t>
            </w:r>
          </w:p>
        </w:tc>
        <w:tc>
          <w:tcPr>
            <w:tcW w:w="794" w:type="dxa"/>
            <w:tcBorders>
              <w:bottom w:val="single" w:sz="6" w:space="0" w:color="auto"/>
            </w:tcBorders>
          </w:tcPr>
          <w:p w14:paraId="3D1FA155" w14:textId="77777777" w:rsidR="00C424E5" w:rsidRDefault="00C424E5">
            <w:pPr>
              <w:cnfStyle w:val="000000000000" w:firstRow="0" w:lastRow="0" w:firstColumn="0" w:lastColumn="0" w:oddVBand="0" w:evenVBand="0" w:oddHBand="0" w:evenHBand="0" w:firstRowFirstColumn="0" w:firstRowLastColumn="0" w:lastRowFirstColumn="0" w:lastRowLastColumn="0"/>
            </w:pPr>
            <w:r>
              <w:t>7 607</w:t>
            </w:r>
          </w:p>
        </w:tc>
        <w:tc>
          <w:tcPr>
            <w:tcW w:w="794" w:type="dxa"/>
            <w:tcBorders>
              <w:bottom w:val="single" w:sz="6" w:space="0" w:color="auto"/>
            </w:tcBorders>
          </w:tcPr>
          <w:p w14:paraId="017CFCDE" w14:textId="77777777" w:rsidR="00C424E5" w:rsidRDefault="00C424E5">
            <w:pPr>
              <w:cnfStyle w:val="000000000000" w:firstRow="0" w:lastRow="0" w:firstColumn="0" w:lastColumn="0" w:oddVBand="0" w:evenVBand="0" w:oddHBand="0" w:evenHBand="0" w:firstRowFirstColumn="0" w:firstRowLastColumn="0" w:lastRowFirstColumn="0" w:lastRowLastColumn="0"/>
            </w:pPr>
            <w:r>
              <w:t>7 854</w:t>
            </w:r>
          </w:p>
        </w:tc>
      </w:tr>
      <w:tr w:rsidR="00C424E5" w14:paraId="6F432CA0"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44FBB7B1" w14:textId="77777777" w:rsidR="00C424E5" w:rsidRDefault="00C424E5">
            <w:r>
              <w:rPr>
                <w:b/>
              </w:rPr>
              <w:t>Total land, buildings, infrastructure, plant and equipment</w:t>
            </w:r>
          </w:p>
        </w:tc>
        <w:tc>
          <w:tcPr>
            <w:tcW w:w="794" w:type="dxa"/>
            <w:tcBorders>
              <w:top w:val="single" w:sz="6" w:space="0" w:color="auto"/>
              <w:bottom w:val="single" w:sz="12" w:space="0" w:color="auto"/>
            </w:tcBorders>
          </w:tcPr>
          <w:p w14:paraId="07C2DBDB"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235 585</w:t>
            </w:r>
          </w:p>
        </w:tc>
        <w:tc>
          <w:tcPr>
            <w:tcW w:w="794" w:type="dxa"/>
            <w:tcBorders>
              <w:top w:val="single" w:sz="6" w:space="0" w:color="auto"/>
              <w:bottom w:val="single" w:sz="12" w:space="0" w:color="auto"/>
            </w:tcBorders>
          </w:tcPr>
          <w:p w14:paraId="5979148F"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235 982</w:t>
            </w:r>
          </w:p>
        </w:tc>
        <w:tc>
          <w:tcPr>
            <w:tcW w:w="794" w:type="dxa"/>
            <w:tcBorders>
              <w:top w:val="single" w:sz="6" w:space="0" w:color="auto"/>
              <w:bottom w:val="single" w:sz="12" w:space="0" w:color="auto"/>
            </w:tcBorders>
          </w:tcPr>
          <w:p w14:paraId="15168E0A"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250 701</w:t>
            </w:r>
          </w:p>
        </w:tc>
        <w:tc>
          <w:tcPr>
            <w:tcW w:w="794" w:type="dxa"/>
            <w:tcBorders>
              <w:top w:val="single" w:sz="6" w:space="0" w:color="auto"/>
              <w:bottom w:val="single" w:sz="12" w:space="0" w:color="auto"/>
            </w:tcBorders>
          </w:tcPr>
          <w:p w14:paraId="1D53D22D"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267 826</w:t>
            </w:r>
          </w:p>
        </w:tc>
        <w:tc>
          <w:tcPr>
            <w:tcW w:w="794" w:type="dxa"/>
            <w:tcBorders>
              <w:top w:val="single" w:sz="6" w:space="0" w:color="auto"/>
              <w:bottom w:val="single" w:sz="12" w:space="0" w:color="auto"/>
            </w:tcBorders>
          </w:tcPr>
          <w:p w14:paraId="33B2D932" w14:textId="1CE304FA" w:rsidR="00C424E5" w:rsidRDefault="00C424E5">
            <w:pPr>
              <w:cnfStyle w:val="000000000000" w:firstRow="0" w:lastRow="0" w:firstColumn="0" w:lastColumn="0" w:oddVBand="0" w:evenVBand="0" w:oddHBand="0" w:evenHBand="0" w:firstRowFirstColumn="0" w:firstRowLastColumn="0" w:lastRowFirstColumn="0" w:lastRowLastColumn="0"/>
            </w:pPr>
            <w:r>
              <w:rPr>
                <w:b/>
              </w:rPr>
              <w:t>266 872</w:t>
            </w:r>
          </w:p>
        </w:tc>
      </w:tr>
    </w:tbl>
    <w:p w14:paraId="7F13F1AE" w14:textId="77777777" w:rsidR="00C424E5" w:rsidRPr="003A1BED" w:rsidRDefault="00C424E5" w:rsidP="006206EF">
      <w:pPr>
        <w:pStyle w:val="Note"/>
        <w:ind w:left="0" w:firstLine="0"/>
      </w:pPr>
      <w:r w:rsidRPr="003A1BED">
        <w:t>Note:</w:t>
      </w:r>
    </w:p>
    <w:p w14:paraId="3B2B8E48" w14:textId="77777777" w:rsidR="00C424E5" w:rsidRPr="003A1BED" w:rsidRDefault="00C424E5" w:rsidP="006206EF">
      <w:pPr>
        <w:pStyle w:val="Note"/>
      </w:pPr>
      <w:r w:rsidRPr="003A1BED">
        <w:t>(a)</w:t>
      </w:r>
      <w:r w:rsidRPr="003A1BED">
        <w:tab/>
        <w:t>The balances for each class of assets includes those related to service concession arrangement assets and right-of-use assets.</w:t>
      </w:r>
    </w:p>
    <w:p w14:paraId="10FE338E" w14:textId="77777777" w:rsidR="00C424E5" w:rsidRPr="003A1BED" w:rsidRDefault="00C424E5" w:rsidP="006206EF"/>
    <w:p w14:paraId="030C886F" w14:textId="77777777" w:rsidR="00C424E5" w:rsidRPr="003A1BED" w:rsidRDefault="00C424E5" w:rsidP="006206EF">
      <w:pPr>
        <w:pageBreakBefore/>
      </w:pPr>
      <w:r w:rsidRPr="003A1BED">
        <w:lastRenderedPageBreak/>
        <w:t>The following two tables are subsets of total land, buildings, infrastructure, plant and equipment by right-of-use (leased) assets and service concession assets.</w:t>
      </w:r>
    </w:p>
    <w:p w14:paraId="12DAC67F" w14:textId="77777777" w:rsidR="00C424E5" w:rsidRDefault="00C424E5" w:rsidP="006206EF">
      <w:pPr>
        <w:pStyle w:val="TableHeading"/>
      </w:pPr>
      <w:r w:rsidRPr="00E4496E">
        <w:t xml:space="preserve">Total </w:t>
      </w:r>
      <w:r w:rsidRPr="0075710E">
        <w:t xml:space="preserve">right-of-use </w:t>
      </w:r>
      <w:r w:rsidRPr="00E4496E">
        <w:t>(leased) assets: buildings, infrastructure, plant and equipment</w:t>
      </w:r>
      <w:r w:rsidRPr="00E4496E">
        <w:tab/>
        <w:t>($</w:t>
      </w:r>
      <w:r>
        <w:t xml:space="preserve"> </w:t>
      </w:r>
      <w:r w:rsidRPr="00E4496E">
        <w:t>million)</w:t>
      </w:r>
    </w:p>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F70B1C" w14:paraId="77B09994" w14:textId="77777777" w:rsidTr="00A836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6DFDA424" w14:textId="596DFBC0" w:rsidR="00F70B1C" w:rsidRDefault="00F70B1C"/>
        </w:tc>
        <w:tc>
          <w:tcPr>
            <w:tcW w:w="794" w:type="dxa"/>
          </w:tcPr>
          <w:p w14:paraId="368EFE27" w14:textId="12361EF3" w:rsidR="00F70B1C" w:rsidRDefault="00F70B1C" w:rsidP="008F6D55">
            <w:pPr>
              <w:cnfStyle w:val="100000000000" w:firstRow="1" w:lastRow="0" w:firstColumn="0" w:lastColumn="0" w:oddVBand="0" w:evenVBand="0" w:oddHBand="0" w:evenHBand="0" w:firstRowFirstColumn="0" w:firstRowLastColumn="0" w:lastRowFirstColumn="0" w:lastRowLastColumn="0"/>
            </w:pPr>
            <w:r>
              <w:t>2023</w:t>
            </w:r>
            <w:r>
              <w:rPr>
                <w:i w:val="0"/>
              </w:rPr>
              <w:br/>
            </w:r>
            <w:r>
              <w:t>budget</w:t>
            </w:r>
          </w:p>
        </w:tc>
        <w:tc>
          <w:tcPr>
            <w:tcW w:w="794" w:type="dxa"/>
          </w:tcPr>
          <w:p w14:paraId="26B8E86C" w14:textId="687A1A37" w:rsidR="00F70B1C" w:rsidRDefault="00F70B1C" w:rsidP="0004039F">
            <w:pPr>
              <w:cnfStyle w:val="100000000000" w:firstRow="1" w:lastRow="0" w:firstColumn="0" w:lastColumn="0" w:oddVBand="0" w:evenVBand="0" w:oddHBand="0" w:evenHBand="0" w:firstRowFirstColumn="0" w:firstRowLastColumn="0" w:lastRowFirstColumn="0" w:lastRowLastColumn="0"/>
            </w:pPr>
            <w:r>
              <w:t>2023</w:t>
            </w:r>
            <w:r>
              <w:rPr>
                <w:i w:val="0"/>
              </w:rPr>
              <w:br/>
            </w:r>
            <w:r>
              <w:t>revised</w:t>
            </w:r>
          </w:p>
        </w:tc>
        <w:tc>
          <w:tcPr>
            <w:tcW w:w="794" w:type="dxa"/>
          </w:tcPr>
          <w:p w14:paraId="1EB9514D" w14:textId="292FEDDB" w:rsidR="00F70B1C" w:rsidRDefault="00F70B1C" w:rsidP="00CB7F4F">
            <w:pPr>
              <w:cnfStyle w:val="100000000000" w:firstRow="1" w:lastRow="0" w:firstColumn="0" w:lastColumn="0" w:oddVBand="0" w:evenVBand="0" w:oddHBand="0" w:evenHBand="0" w:firstRowFirstColumn="0" w:firstRowLastColumn="0" w:lastRowFirstColumn="0" w:lastRowLastColumn="0"/>
            </w:pPr>
            <w:r>
              <w:t>2024</w:t>
            </w:r>
            <w:r>
              <w:rPr>
                <w:i w:val="0"/>
              </w:rPr>
              <w:br/>
            </w:r>
            <w:r>
              <w:t>estimate</w:t>
            </w:r>
          </w:p>
        </w:tc>
        <w:tc>
          <w:tcPr>
            <w:tcW w:w="794" w:type="dxa"/>
          </w:tcPr>
          <w:p w14:paraId="4670B730" w14:textId="4ABE309C" w:rsidR="00F70B1C" w:rsidRDefault="00F70B1C" w:rsidP="00CC3CCE">
            <w:pPr>
              <w:cnfStyle w:val="100000000000" w:firstRow="1" w:lastRow="0" w:firstColumn="0" w:lastColumn="0" w:oddVBand="0" w:evenVBand="0" w:oddHBand="0" w:evenHBand="0" w:firstRowFirstColumn="0" w:firstRowLastColumn="0" w:lastRowFirstColumn="0" w:lastRowLastColumn="0"/>
            </w:pPr>
            <w:r>
              <w:t>2025</w:t>
            </w:r>
            <w:r>
              <w:rPr>
                <w:i w:val="0"/>
              </w:rPr>
              <w:br/>
            </w:r>
            <w:r>
              <w:t>estimate</w:t>
            </w:r>
          </w:p>
        </w:tc>
        <w:tc>
          <w:tcPr>
            <w:tcW w:w="794" w:type="dxa"/>
          </w:tcPr>
          <w:p w14:paraId="6D307976" w14:textId="416CAC78" w:rsidR="00F70B1C" w:rsidRDefault="00F70B1C" w:rsidP="004E6DAA">
            <w:pPr>
              <w:cnfStyle w:val="100000000000" w:firstRow="1" w:lastRow="0" w:firstColumn="0" w:lastColumn="0" w:oddVBand="0" w:evenVBand="0" w:oddHBand="0" w:evenHBand="0" w:firstRowFirstColumn="0" w:firstRowLastColumn="0" w:lastRowFirstColumn="0" w:lastRowLastColumn="0"/>
            </w:pPr>
            <w:r>
              <w:t>2026</w:t>
            </w:r>
            <w:r>
              <w:rPr>
                <w:i w:val="0"/>
              </w:rPr>
              <w:br/>
            </w:r>
            <w:r>
              <w:t>estimate</w:t>
            </w:r>
          </w:p>
        </w:tc>
      </w:tr>
      <w:tr w:rsidR="00C424E5" w14:paraId="5AE84375" w14:textId="77777777">
        <w:tc>
          <w:tcPr>
            <w:cnfStyle w:val="001000000000" w:firstRow="0" w:lastRow="0" w:firstColumn="1" w:lastColumn="0" w:oddVBand="0" w:evenVBand="0" w:oddHBand="0" w:evenHBand="0" w:firstRowFirstColumn="0" w:firstRowLastColumn="0" w:lastRowFirstColumn="0" w:lastRowLastColumn="0"/>
            <w:tcW w:w="3740" w:type="dxa"/>
          </w:tcPr>
          <w:p w14:paraId="6A2CC512" w14:textId="77777777" w:rsidR="00C424E5" w:rsidRDefault="00C424E5">
            <w:r>
              <w:t>Buildings</w:t>
            </w:r>
          </w:p>
        </w:tc>
        <w:tc>
          <w:tcPr>
            <w:tcW w:w="794" w:type="dxa"/>
          </w:tcPr>
          <w:p w14:paraId="52912B64" w14:textId="77777777" w:rsidR="00C424E5" w:rsidRDefault="00C424E5">
            <w:pPr>
              <w:cnfStyle w:val="000000000000" w:firstRow="0" w:lastRow="0" w:firstColumn="0" w:lastColumn="0" w:oddVBand="0" w:evenVBand="0" w:oddHBand="0" w:evenHBand="0" w:firstRowFirstColumn="0" w:firstRowLastColumn="0" w:lastRowFirstColumn="0" w:lastRowLastColumn="0"/>
            </w:pPr>
            <w:r>
              <w:t>8 141</w:t>
            </w:r>
          </w:p>
        </w:tc>
        <w:tc>
          <w:tcPr>
            <w:tcW w:w="794" w:type="dxa"/>
          </w:tcPr>
          <w:p w14:paraId="263A6BBA" w14:textId="77777777" w:rsidR="00C424E5" w:rsidRDefault="00C424E5">
            <w:pPr>
              <w:cnfStyle w:val="000000000000" w:firstRow="0" w:lastRow="0" w:firstColumn="0" w:lastColumn="0" w:oddVBand="0" w:evenVBand="0" w:oddHBand="0" w:evenHBand="0" w:firstRowFirstColumn="0" w:firstRowLastColumn="0" w:lastRowFirstColumn="0" w:lastRowLastColumn="0"/>
            </w:pPr>
            <w:r>
              <w:t>8 173</w:t>
            </w:r>
          </w:p>
        </w:tc>
        <w:tc>
          <w:tcPr>
            <w:tcW w:w="794" w:type="dxa"/>
          </w:tcPr>
          <w:p w14:paraId="2A439497" w14:textId="77777777" w:rsidR="00C424E5" w:rsidRDefault="00C424E5">
            <w:pPr>
              <w:cnfStyle w:val="000000000000" w:firstRow="0" w:lastRow="0" w:firstColumn="0" w:lastColumn="0" w:oddVBand="0" w:evenVBand="0" w:oddHBand="0" w:evenHBand="0" w:firstRowFirstColumn="0" w:firstRowLastColumn="0" w:lastRowFirstColumn="0" w:lastRowLastColumn="0"/>
            </w:pPr>
            <w:r>
              <w:t>7 577</w:t>
            </w:r>
          </w:p>
        </w:tc>
        <w:tc>
          <w:tcPr>
            <w:tcW w:w="794" w:type="dxa"/>
          </w:tcPr>
          <w:p w14:paraId="7DA82C69" w14:textId="77777777" w:rsidR="00C424E5" w:rsidRDefault="00C424E5">
            <w:pPr>
              <w:cnfStyle w:val="000000000000" w:firstRow="0" w:lastRow="0" w:firstColumn="0" w:lastColumn="0" w:oddVBand="0" w:evenVBand="0" w:oddHBand="0" w:evenHBand="0" w:firstRowFirstColumn="0" w:firstRowLastColumn="0" w:lastRowFirstColumn="0" w:lastRowLastColumn="0"/>
            </w:pPr>
            <w:r>
              <w:t>7 010</w:t>
            </w:r>
          </w:p>
        </w:tc>
        <w:tc>
          <w:tcPr>
            <w:tcW w:w="794" w:type="dxa"/>
          </w:tcPr>
          <w:p w14:paraId="37BCA3E4" w14:textId="77777777" w:rsidR="00C424E5" w:rsidRDefault="00C424E5">
            <w:pPr>
              <w:cnfStyle w:val="000000000000" w:firstRow="0" w:lastRow="0" w:firstColumn="0" w:lastColumn="0" w:oddVBand="0" w:evenVBand="0" w:oddHBand="0" w:evenHBand="0" w:firstRowFirstColumn="0" w:firstRowLastColumn="0" w:lastRowFirstColumn="0" w:lastRowLastColumn="0"/>
            </w:pPr>
            <w:r>
              <w:t>6 451</w:t>
            </w:r>
          </w:p>
        </w:tc>
      </w:tr>
      <w:tr w:rsidR="00C424E5" w14:paraId="30451783" w14:textId="77777777">
        <w:tc>
          <w:tcPr>
            <w:cnfStyle w:val="001000000000" w:firstRow="0" w:lastRow="0" w:firstColumn="1" w:lastColumn="0" w:oddVBand="0" w:evenVBand="0" w:oddHBand="0" w:evenHBand="0" w:firstRowFirstColumn="0" w:firstRowLastColumn="0" w:lastRowFirstColumn="0" w:lastRowLastColumn="0"/>
            <w:tcW w:w="3740" w:type="dxa"/>
          </w:tcPr>
          <w:p w14:paraId="1B70D358" w14:textId="77777777" w:rsidR="00C424E5" w:rsidRDefault="00C424E5">
            <w:r>
              <w:t>Infrastructure systems</w:t>
            </w:r>
          </w:p>
        </w:tc>
        <w:tc>
          <w:tcPr>
            <w:tcW w:w="794" w:type="dxa"/>
          </w:tcPr>
          <w:p w14:paraId="5268A9C4" w14:textId="77777777" w:rsidR="00C424E5" w:rsidRDefault="00C424E5">
            <w:pPr>
              <w:cnfStyle w:val="000000000000" w:firstRow="0" w:lastRow="0" w:firstColumn="0" w:lastColumn="0" w:oddVBand="0" w:evenVBand="0" w:oddHBand="0" w:evenHBand="0" w:firstRowFirstColumn="0" w:firstRowLastColumn="0" w:lastRowFirstColumn="0" w:lastRowLastColumn="0"/>
            </w:pPr>
            <w:r>
              <w:t>1</w:t>
            </w:r>
          </w:p>
        </w:tc>
        <w:tc>
          <w:tcPr>
            <w:tcW w:w="794" w:type="dxa"/>
          </w:tcPr>
          <w:p w14:paraId="14459308" w14:textId="77777777" w:rsidR="00C424E5" w:rsidRDefault="00C424E5">
            <w:pPr>
              <w:cnfStyle w:val="000000000000" w:firstRow="0" w:lastRow="0" w:firstColumn="0" w:lastColumn="0" w:oddVBand="0" w:evenVBand="0" w:oddHBand="0" w:evenHBand="0" w:firstRowFirstColumn="0" w:firstRowLastColumn="0" w:lastRowFirstColumn="0" w:lastRowLastColumn="0"/>
            </w:pPr>
            <w:r>
              <w:t>1</w:t>
            </w:r>
          </w:p>
        </w:tc>
        <w:tc>
          <w:tcPr>
            <w:tcW w:w="794" w:type="dxa"/>
          </w:tcPr>
          <w:p w14:paraId="4C2650AE" w14:textId="77777777" w:rsidR="00C424E5" w:rsidRDefault="00C424E5">
            <w:pPr>
              <w:cnfStyle w:val="000000000000" w:firstRow="0" w:lastRow="0" w:firstColumn="0" w:lastColumn="0" w:oddVBand="0" w:evenVBand="0" w:oddHBand="0" w:evenHBand="0" w:firstRowFirstColumn="0" w:firstRowLastColumn="0" w:lastRowFirstColumn="0" w:lastRowLastColumn="0"/>
            </w:pPr>
            <w:r>
              <w:t>2</w:t>
            </w:r>
          </w:p>
        </w:tc>
        <w:tc>
          <w:tcPr>
            <w:tcW w:w="794" w:type="dxa"/>
          </w:tcPr>
          <w:p w14:paraId="74F1F495" w14:textId="77777777" w:rsidR="00C424E5" w:rsidRDefault="00C424E5">
            <w:pPr>
              <w:cnfStyle w:val="000000000000" w:firstRow="0" w:lastRow="0" w:firstColumn="0" w:lastColumn="0" w:oddVBand="0" w:evenVBand="0" w:oddHBand="0" w:evenHBand="0" w:firstRowFirstColumn="0" w:firstRowLastColumn="0" w:lastRowFirstColumn="0" w:lastRowLastColumn="0"/>
            </w:pPr>
            <w:r>
              <w:t>2</w:t>
            </w:r>
          </w:p>
        </w:tc>
        <w:tc>
          <w:tcPr>
            <w:tcW w:w="794" w:type="dxa"/>
          </w:tcPr>
          <w:p w14:paraId="0140DC03" w14:textId="77777777" w:rsidR="00C424E5" w:rsidRDefault="00C424E5">
            <w:pPr>
              <w:cnfStyle w:val="000000000000" w:firstRow="0" w:lastRow="0" w:firstColumn="0" w:lastColumn="0" w:oddVBand="0" w:evenVBand="0" w:oddHBand="0" w:evenHBand="0" w:firstRowFirstColumn="0" w:firstRowLastColumn="0" w:lastRowFirstColumn="0" w:lastRowLastColumn="0"/>
            </w:pPr>
            <w:r>
              <w:t>2</w:t>
            </w:r>
          </w:p>
        </w:tc>
      </w:tr>
      <w:tr w:rsidR="00C424E5" w14:paraId="6881910C"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65A3CDD0" w14:textId="77777777" w:rsidR="00C424E5" w:rsidRDefault="00C424E5">
            <w:r>
              <w:t>Plant, equipment and vehicles</w:t>
            </w:r>
          </w:p>
        </w:tc>
        <w:tc>
          <w:tcPr>
            <w:tcW w:w="794" w:type="dxa"/>
            <w:tcBorders>
              <w:bottom w:val="single" w:sz="6" w:space="0" w:color="auto"/>
            </w:tcBorders>
          </w:tcPr>
          <w:p w14:paraId="581B8601" w14:textId="77777777" w:rsidR="00C424E5" w:rsidRDefault="00C424E5">
            <w:pPr>
              <w:cnfStyle w:val="000000000000" w:firstRow="0" w:lastRow="0" w:firstColumn="0" w:lastColumn="0" w:oddVBand="0" w:evenVBand="0" w:oddHBand="0" w:evenHBand="0" w:firstRowFirstColumn="0" w:firstRowLastColumn="0" w:lastRowFirstColumn="0" w:lastRowLastColumn="0"/>
            </w:pPr>
            <w:r>
              <w:t>402</w:t>
            </w:r>
          </w:p>
        </w:tc>
        <w:tc>
          <w:tcPr>
            <w:tcW w:w="794" w:type="dxa"/>
            <w:tcBorders>
              <w:bottom w:val="single" w:sz="6" w:space="0" w:color="auto"/>
            </w:tcBorders>
          </w:tcPr>
          <w:p w14:paraId="32F0CA00" w14:textId="77777777" w:rsidR="00C424E5" w:rsidRDefault="00C424E5">
            <w:pPr>
              <w:cnfStyle w:val="000000000000" w:firstRow="0" w:lastRow="0" w:firstColumn="0" w:lastColumn="0" w:oddVBand="0" w:evenVBand="0" w:oddHBand="0" w:evenHBand="0" w:firstRowFirstColumn="0" w:firstRowLastColumn="0" w:lastRowFirstColumn="0" w:lastRowLastColumn="0"/>
            </w:pPr>
            <w:r>
              <w:t>401</w:t>
            </w:r>
          </w:p>
        </w:tc>
        <w:tc>
          <w:tcPr>
            <w:tcW w:w="794" w:type="dxa"/>
            <w:tcBorders>
              <w:bottom w:val="single" w:sz="6" w:space="0" w:color="auto"/>
            </w:tcBorders>
          </w:tcPr>
          <w:p w14:paraId="5A824295" w14:textId="77777777" w:rsidR="00C424E5" w:rsidRDefault="00C424E5">
            <w:pPr>
              <w:cnfStyle w:val="000000000000" w:firstRow="0" w:lastRow="0" w:firstColumn="0" w:lastColumn="0" w:oddVBand="0" w:evenVBand="0" w:oddHBand="0" w:evenHBand="0" w:firstRowFirstColumn="0" w:firstRowLastColumn="0" w:lastRowFirstColumn="0" w:lastRowLastColumn="0"/>
            </w:pPr>
            <w:r>
              <w:t>294</w:t>
            </w:r>
          </w:p>
        </w:tc>
        <w:tc>
          <w:tcPr>
            <w:tcW w:w="794" w:type="dxa"/>
            <w:tcBorders>
              <w:bottom w:val="single" w:sz="6" w:space="0" w:color="auto"/>
            </w:tcBorders>
          </w:tcPr>
          <w:p w14:paraId="52412D23" w14:textId="77777777" w:rsidR="00C424E5" w:rsidRDefault="00C424E5">
            <w:pPr>
              <w:cnfStyle w:val="000000000000" w:firstRow="0" w:lastRow="0" w:firstColumn="0" w:lastColumn="0" w:oddVBand="0" w:evenVBand="0" w:oddHBand="0" w:evenHBand="0" w:firstRowFirstColumn="0" w:firstRowLastColumn="0" w:lastRowFirstColumn="0" w:lastRowLastColumn="0"/>
            </w:pPr>
            <w:r>
              <w:t>209</w:t>
            </w:r>
          </w:p>
        </w:tc>
        <w:tc>
          <w:tcPr>
            <w:tcW w:w="794" w:type="dxa"/>
            <w:tcBorders>
              <w:bottom w:val="single" w:sz="6" w:space="0" w:color="auto"/>
            </w:tcBorders>
          </w:tcPr>
          <w:p w14:paraId="296D7DD8" w14:textId="77777777" w:rsidR="00C424E5" w:rsidRDefault="00C424E5">
            <w:pPr>
              <w:cnfStyle w:val="000000000000" w:firstRow="0" w:lastRow="0" w:firstColumn="0" w:lastColumn="0" w:oddVBand="0" w:evenVBand="0" w:oddHBand="0" w:evenHBand="0" w:firstRowFirstColumn="0" w:firstRowLastColumn="0" w:lastRowFirstColumn="0" w:lastRowLastColumn="0"/>
            </w:pPr>
            <w:r>
              <w:t>123</w:t>
            </w:r>
          </w:p>
        </w:tc>
      </w:tr>
      <w:tr w:rsidR="00C424E5" w14:paraId="531C4169"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4DA6616F" w14:textId="77777777" w:rsidR="00C424E5" w:rsidRDefault="00C424E5">
            <w:r>
              <w:rPr>
                <w:b/>
              </w:rPr>
              <w:t>Total right</w:t>
            </w:r>
            <w:r>
              <w:rPr>
                <w:b/>
              </w:rPr>
              <w:noBreakHyphen/>
              <w:t>of</w:t>
            </w:r>
            <w:r>
              <w:rPr>
                <w:b/>
              </w:rPr>
              <w:noBreakHyphen/>
              <w:t>use assets: buildings, infrastructure, plant and equipment</w:t>
            </w:r>
          </w:p>
        </w:tc>
        <w:tc>
          <w:tcPr>
            <w:tcW w:w="794" w:type="dxa"/>
            <w:tcBorders>
              <w:top w:val="single" w:sz="6" w:space="0" w:color="auto"/>
              <w:bottom w:val="single" w:sz="12" w:space="0" w:color="auto"/>
            </w:tcBorders>
          </w:tcPr>
          <w:p w14:paraId="02F4C4A2"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8 544</w:t>
            </w:r>
          </w:p>
        </w:tc>
        <w:tc>
          <w:tcPr>
            <w:tcW w:w="794" w:type="dxa"/>
            <w:tcBorders>
              <w:top w:val="single" w:sz="6" w:space="0" w:color="auto"/>
              <w:bottom w:val="single" w:sz="12" w:space="0" w:color="auto"/>
            </w:tcBorders>
          </w:tcPr>
          <w:p w14:paraId="03281E26"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8 575</w:t>
            </w:r>
          </w:p>
        </w:tc>
        <w:tc>
          <w:tcPr>
            <w:tcW w:w="794" w:type="dxa"/>
            <w:tcBorders>
              <w:top w:val="single" w:sz="6" w:space="0" w:color="auto"/>
              <w:bottom w:val="single" w:sz="12" w:space="0" w:color="auto"/>
            </w:tcBorders>
          </w:tcPr>
          <w:p w14:paraId="35193A20"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7 873</w:t>
            </w:r>
          </w:p>
        </w:tc>
        <w:tc>
          <w:tcPr>
            <w:tcW w:w="794" w:type="dxa"/>
            <w:tcBorders>
              <w:top w:val="single" w:sz="6" w:space="0" w:color="auto"/>
              <w:bottom w:val="single" w:sz="12" w:space="0" w:color="auto"/>
            </w:tcBorders>
          </w:tcPr>
          <w:p w14:paraId="23D7AF72"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7 221</w:t>
            </w:r>
          </w:p>
        </w:tc>
        <w:tc>
          <w:tcPr>
            <w:tcW w:w="794" w:type="dxa"/>
            <w:tcBorders>
              <w:top w:val="single" w:sz="6" w:space="0" w:color="auto"/>
              <w:bottom w:val="single" w:sz="12" w:space="0" w:color="auto"/>
            </w:tcBorders>
          </w:tcPr>
          <w:p w14:paraId="247261BC" w14:textId="378DE3EE" w:rsidR="00C424E5" w:rsidRDefault="00C424E5">
            <w:pPr>
              <w:cnfStyle w:val="000000000000" w:firstRow="0" w:lastRow="0" w:firstColumn="0" w:lastColumn="0" w:oddVBand="0" w:evenVBand="0" w:oddHBand="0" w:evenHBand="0" w:firstRowFirstColumn="0" w:firstRowLastColumn="0" w:lastRowFirstColumn="0" w:lastRowLastColumn="0"/>
            </w:pPr>
            <w:r>
              <w:rPr>
                <w:b/>
              </w:rPr>
              <w:t>6 577</w:t>
            </w:r>
          </w:p>
        </w:tc>
      </w:tr>
    </w:tbl>
    <w:p w14:paraId="7E064A5C" w14:textId="77777777" w:rsidR="00C424E5" w:rsidRDefault="00C424E5" w:rsidP="006206EF"/>
    <w:p w14:paraId="525F96DE" w14:textId="77777777" w:rsidR="00C424E5" w:rsidRDefault="00C424E5" w:rsidP="006206EF">
      <w:pPr>
        <w:pStyle w:val="TableHeading"/>
      </w:pPr>
      <w:r>
        <w:t>Total service concession assets: land, buildings, infrastructure, plant and equipment</w:t>
      </w:r>
    </w:p>
    <w:p w14:paraId="382BAEC5" w14:textId="77777777" w:rsidR="00C424E5" w:rsidRDefault="00C424E5" w:rsidP="006206EF">
      <w:pPr>
        <w:pStyle w:val="TableUnits"/>
      </w:pPr>
      <w:r>
        <w:t>($ million)</w:t>
      </w:r>
    </w:p>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F70B1C" w14:paraId="3172F95C" w14:textId="77777777" w:rsidTr="00A836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7EDC9986" w14:textId="54D030AD" w:rsidR="00F70B1C" w:rsidRDefault="00F70B1C"/>
        </w:tc>
        <w:tc>
          <w:tcPr>
            <w:tcW w:w="794" w:type="dxa"/>
          </w:tcPr>
          <w:p w14:paraId="6FFAA156" w14:textId="7471F5AF" w:rsidR="00F70B1C" w:rsidRDefault="00F70B1C" w:rsidP="000E480C">
            <w:pPr>
              <w:cnfStyle w:val="100000000000" w:firstRow="1" w:lastRow="0" w:firstColumn="0" w:lastColumn="0" w:oddVBand="0" w:evenVBand="0" w:oddHBand="0" w:evenHBand="0" w:firstRowFirstColumn="0" w:firstRowLastColumn="0" w:lastRowFirstColumn="0" w:lastRowLastColumn="0"/>
            </w:pPr>
            <w:r>
              <w:t>2023</w:t>
            </w:r>
            <w:r>
              <w:rPr>
                <w:i w:val="0"/>
              </w:rPr>
              <w:br/>
            </w:r>
            <w:r>
              <w:t>budget</w:t>
            </w:r>
          </w:p>
        </w:tc>
        <w:tc>
          <w:tcPr>
            <w:tcW w:w="794" w:type="dxa"/>
          </w:tcPr>
          <w:p w14:paraId="7D0C6397" w14:textId="263D75F1" w:rsidR="00F70B1C" w:rsidRDefault="00F70B1C" w:rsidP="007C5B59">
            <w:pPr>
              <w:cnfStyle w:val="100000000000" w:firstRow="1" w:lastRow="0" w:firstColumn="0" w:lastColumn="0" w:oddVBand="0" w:evenVBand="0" w:oddHBand="0" w:evenHBand="0" w:firstRowFirstColumn="0" w:firstRowLastColumn="0" w:lastRowFirstColumn="0" w:lastRowLastColumn="0"/>
            </w:pPr>
            <w:r>
              <w:t>2023</w:t>
            </w:r>
            <w:r>
              <w:rPr>
                <w:i w:val="0"/>
              </w:rPr>
              <w:br/>
            </w:r>
            <w:r>
              <w:t>revised</w:t>
            </w:r>
          </w:p>
        </w:tc>
        <w:tc>
          <w:tcPr>
            <w:tcW w:w="794" w:type="dxa"/>
          </w:tcPr>
          <w:p w14:paraId="5F5581BA" w14:textId="6E2C28C9" w:rsidR="00F70B1C" w:rsidRDefault="00F70B1C" w:rsidP="00BE0A44">
            <w:pPr>
              <w:cnfStyle w:val="100000000000" w:firstRow="1" w:lastRow="0" w:firstColumn="0" w:lastColumn="0" w:oddVBand="0" w:evenVBand="0" w:oddHBand="0" w:evenHBand="0" w:firstRowFirstColumn="0" w:firstRowLastColumn="0" w:lastRowFirstColumn="0" w:lastRowLastColumn="0"/>
            </w:pPr>
            <w:r>
              <w:t>2024</w:t>
            </w:r>
            <w:r>
              <w:rPr>
                <w:i w:val="0"/>
              </w:rPr>
              <w:br/>
            </w:r>
            <w:r>
              <w:t>estimate</w:t>
            </w:r>
          </w:p>
        </w:tc>
        <w:tc>
          <w:tcPr>
            <w:tcW w:w="794" w:type="dxa"/>
          </w:tcPr>
          <w:p w14:paraId="6E5EAFBC" w14:textId="51E36F02" w:rsidR="00F70B1C" w:rsidRDefault="00F70B1C" w:rsidP="000D3199">
            <w:pPr>
              <w:cnfStyle w:val="100000000000" w:firstRow="1" w:lastRow="0" w:firstColumn="0" w:lastColumn="0" w:oddVBand="0" w:evenVBand="0" w:oddHBand="0" w:evenHBand="0" w:firstRowFirstColumn="0" w:firstRowLastColumn="0" w:lastRowFirstColumn="0" w:lastRowLastColumn="0"/>
            </w:pPr>
            <w:r>
              <w:t>2025</w:t>
            </w:r>
            <w:r>
              <w:rPr>
                <w:i w:val="0"/>
              </w:rPr>
              <w:br/>
            </w:r>
            <w:r>
              <w:t>estimate</w:t>
            </w:r>
          </w:p>
        </w:tc>
        <w:tc>
          <w:tcPr>
            <w:tcW w:w="794" w:type="dxa"/>
          </w:tcPr>
          <w:p w14:paraId="4188A01B" w14:textId="69F28BBF" w:rsidR="00F70B1C" w:rsidRDefault="00F70B1C" w:rsidP="00F36CD1">
            <w:pPr>
              <w:cnfStyle w:val="100000000000" w:firstRow="1" w:lastRow="0" w:firstColumn="0" w:lastColumn="0" w:oddVBand="0" w:evenVBand="0" w:oddHBand="0" w:evenHBand="0" w:firstRowFirstColumn="0" w:firstRowLastColumn="0" w:lastRowFirstColumn="0" w:lastRowLastColumn="0"/>
            </w:pPr>
            <w:r>
              <w:t>2026</w:t>
            </w:r>
            <w:r>
              <w:rPr>
                <w:i w:val="0"/>
              </w:rPr>
              <w:br/>
            </w:r>
            <w:r>
              <w:t>estimate</w:t>
            </w:r>
          </w:p>
        </w:tc>
      </w:tr>
      <w:tr w:rsidR="00C424E5" w14:paraId="2CEBD9A7" w14:textId="77777777">
        <w:tc>
          <w:tcPr>
            <w:cnfStyle w:val="001000000000" w:firstRow="0" w:lastRow="0" w:firstColumn="1" w:lastColumn="0" w:oddVBand="0" w:evenVBand="0" w:oddHBand="0" w:evenHBand="0" w:firstRowFirstColumn="0" w:firstRowLastColumn="0" w:lastRowFirstColumn="0" w:lastRowLastColumn="0"/>
            <w:tcW w:w="3740" w:type="dxa"/>
          </w:tcPr>
          <w:p w14:paraId="0CA47B2F" w14:textId="77777777" w:rsidR="00C424E5" w:rsidRDefault="00C424E5">
            <w:r>
              <w:t>Buildings</w:t>
            </w:r>
          </w:p>
        </w:tc>
        <w:tc>
          <w:tcPr>
            <w:tcW w:w="794" w:type="dxa"/>
          </w:tcPr>
          <w:p w14:paraId="1D168022" w14:textId="77777777" w:rsidR="00C424E5" w:rsidRDefault="00C424E5">
            <w:pPr>
              <w:cnfStyle w:val="000000000000" w:firstRow="0" w:lastRow="0" w:firstColumn="0" w:lastColumn="0" w:oddVBand="0" w:evenVBand="0" w:oddHBand="0" w:evenHBand="0" w:firstRowFirstColumn="0" w:firstRowLastColumn="0" w:lastRowFirstColumn="0" w:lastRowLastColumn="0"/>
            </w:pPr>
            <w:r>
              <w:t>1 927</w:t>
            </w:r>
          </w:p>
        </w:tc>
        <w:tc>
          <w:tcPr>
            <w:tcW w:w="794" w:type="dxa"/>
          </w:tcPr>
          <w:p w14:paraId="033E6BD3" w14:textId="77777777" w:rsidR="00C424E5" w:rsidRDefault="00C424E5">
            <w:pPr>
              <w:cnfStyle w:val="000000000000" w:firstRow="0" w:lastRow="0" w:firstColumn="0" w:lastColumn="0" w:oddVBand="0" w:evenVBand="0" w:oddHBand="0" w:evenHBand="0" w:firstRowFirstColumn="0" w:firstRowLastColumn="0" w:lastRowFirstColumn="0" w:lastRowLastColumn="0"/>
            </w:pPr>
            <w:r>
              <w:t>1 927</w:t>
            </w:r>
          </w:p>
        </w:tc>
        <w:tc>
          <w:tcPr>
            <w:tcW w:w="794" w:type="dxa"/>
          </w:tcPr>
          <w:p w14:paraId="0CBB3E78" w14:textId="77777777" w:rsidR="00C424E5" w:rsidRDefault="00C424E5">
            <w:pPr>
              <w:cnfStyle w:val="000000000000" w:firstRow="0" w:lastRow="0" w:firstColumn="0" w:lastColumn="0" w:oddVBand="0" w:evenVBand="0" w:oddHBand="0" w:evenHBand="0" w:firstRowFirstColumn="0" w:firstRowLastColumn="0" w:lastRowFirstColumn="0" w:lastRowLastColumn="0"/>
            </w:pPr>
            <w:r>
              <w:t>1 875</w:t>
            </w:r>
          </w:p>
        </w:tc>
        <w:tc>
          <w:tcPr>
            <w:tcW w:w="794" w:type="dxa"/>
          </w:tcPr>
          <w:p w14:paraId="065839A5" w14:textId="77777777" w:rsidR="00C424E5" w:rsidRDefault="00C424E5">
            <w:pPr>
              <w:cnfStyle w:val="000000000000" w:firstRow="0" w:lastRow="0" w:firstColumn="0" w:lastColumn="0" w:oddVBand="0" w:evenVBand="0" w:oddHBand="0" w:evenHBand="0" w:firstRowFirstColumn="0" w:firstRowLastColumn="0" w:lastRowFirstColumn="0" w:lastRowLastColumn="0"/>
            </w:pPr>
            <w:r>
              <w:t>1 821</w:t>
            </w:r>
          </w:p>
        </w:tc>
        <w:tc>
          <w:tcPr>
            <w:tcW w:w="794" w:type="dxa"/>
          </w:tcPr>
          <w:p w14:paraId="01A83452" w14:textId="77777777" w:rsidR="00C424E5" w:rsidRDefault="00C424E5">
            <w:pPr>
              <w:cnfStyle w:val="000000000000" w:firstRow="0" w:lastRow="0" w:firstColumn="0" w:lastColumn="0" w:oddVBand="0" w:evenVBand="0" w:oddHBand="0" w:evenHBand="0" w:firstRowFirstColumn="0" w:firstRowLastColumn="0" w:lastRowFirstColumn="0" w:lastRowLastColumn="0"/>
            </w:pPr>
            <w:r>
              <w:t>1 767</w:t>
            </w:r>
          </w:p>
        </w:tc>
      </w:tr>
      <w:tr w:rsidR="00C424E5" w14:paraId="4C9F58F5" w14:textId="77777777">
        <w:tc>
          <w:tcPr>
            <w:cnfStyle w:val="001000000000" w:firstRow="0" w:lastRow="0" w:firstColumn="1" w:lastColumn="0" w:oddVBand="0" w:evenVBand="0" w:oddHBand="0" w:evenHBand="0" w:firstRowFirstColumn="0" w:firstRowLastColumn="0" w:lastRowFirstColumn="0" w:lastRowLastColumn="0"/>
            <w:tcW w:w="3740" w:type="dxa"/>
          </w:tcPr>
          <w:p w14:paraId="6F09A084" w14:textId="77777777" w:rsidR="00C424E5" w:rsidRDefault="00C424E5">
            <w:r>
              <w:t>Land</w:t>
            </w:r>
          </w:p>
        </w:tc>
        <w:tc>
          <w:tcPr>
            <w:tcW w:w="794" w:type="dxa"/>
          </w:tcPr>
          <w:p w14:paraId="5F5FE1A3" w14:textId="77777777" w:rsidR="00C424E5" w:rsidRDefault="00C424E5">
            <w:pPr>
              <w:cnfStyle w:val="000000000000" w:firstRow="0" w:lastRow="0" w:firstColumn="0" w:lastColumn="0" w:oddVBand="0" w:evenVBand="0" w:oddHBand="0" w:evenHBand="0" w:firstRowFirstColumn="0" w:firstRowLastColumn="0" w:lastRowFirstColumn="0" w:lastRowLastColumn="0"/>
            </w:pPr>
            <w:r>
              <w:t>3 353</w:t>
            </w:r>
          </w:p>
        </w:tc>
        <w:tc>
          <w:tcPr>
            <w:tcW w:w="794" w:type="dxa"/>
          </w:tcPr>
          <w:p w14:paraId="7C600373" w14:textId="77777777" w:rsidR="00C424E5" w:rsidRDefault="00C424E5">
            <w:pPr>
              <w:cnfStyle w:val="000000000000" w:firstRow="0" w:lastRow="0" w:firstColumn="0" w:lastColumn="0" w:oddVBand="0" w:evenVBand="0" w:oddHBand="0" w:evenHBand="0" w:firstRowFirstColumn="0" w:firstRowLastColumn="0" w:lastRowFirstColumn="0" w:lastRowLastColumn="0"/>
            </w:pPr>
            <w:r>
              <w:t>3 353</w:t>
            </w:r>
          </w:p>
        </w:tc>
        <w:tc>
          <w:tcPr>
            <w:tcW w:w="794" w:type="dxa"/>
          </w:tcPr>
          <w:p w14:paraId="0A715FCC" w14:textId="77777777" w:rsidR="00C424E5" w:rsidRDefault="00C424E5">
            <w:pPr>
              <w:cnfStyle w:val="000000000000" w:firstRow="0" w:lastRow="0" w:firstColumn="0" w:lastColumn="0" w:oddVBand="0" w:evenVBand="0" w:oddHBand="0" w:evenHBand="0" w:firstRowFirstColumn="0" w:firstRowLastColumn="0" w:lastRowFirstColumn="0" w:lastRowLastColumn="0"/>
            </w:pPr>
            <w:r>
              <w:t>3 353</w:t>
            </w:r>
          </w:p>
        </w:tc>
        <w:tc>
          <w:tcPr>
            <w:tcW w:w="794" w:type="dxa"/>
          </w:tcPr>
          <w:p w14:paraId="3A74C2E4" w14:textId="77777777" w:rsidR="00C424E5" w:rsidRDefault="00C424E5">
            <w:pPr>
              <w:cnfStyle w:val="000000000000" w:firstRow="0" w:lastRow="0" w:firstColumn="0" w:lastColumn="0" w:oddVBand="0" w:evenVBand="0" w:oddHBand="0" w:evenHBand="0" w:firstRowFirstColumn="0" w:firstRowLastColumn="0" w:lastRowFirstColumn="0" w:lastRowLastColumn="0"/>
            </w:pPr>
            <w:r>
              <w:t>3 653</w:t>
            </w:r>
          </w:p>
        </w:tc>
        <w:tc>
          <w:tcPr>
            <w:tcW w:w="794" w:type="dxa"/>
          </w:tcPr>
          <w:p w14:paraId="2C657DFF" w14:textId="77777777" w:rsidR="00C424E5" w:rsidRDefault="00C424E5">
            <w:pPr>
              <w:cnfStyle w:val="000000000000" w:firstRow="0" w:lastRow="0" w:firstColumn="0" w:lastColumn="0" w:oddVBand="0" w:evenVBand="0" w:oddHBand="0" w:evenHBand="0" w:firstRowFirstColumn="0" w:firstRowLastColumn="0" w:lastRowFirstColumn="0" w:lastRowLastColumn="0"/>
            </w:pPr>
            <w:r>
              <w:t>3 653</w:t>
            </w:r>
          </w:p>
        </w:tc>
      </w:tr>
      <w:tr w:rsidR="00C424E5" w14:paraId="5FEEA1C9" w14:textId="77777777">
        <w:tc>
          <w:tcPr>
            <w:cnfStyle w:val="001000000000" w:firstRow="0" w:lastRow="0" w:firstColumn="1" w:lastColumn="0" w:oddVBand="0" w:evenVBand="0" w:oddHBand="0" w:evenHBand="0" w:firstRowFirstColumn="0" w:firstRowLastColumn="0" w:lastRowFirstColumn="0" w:lastRowLastColumn="0"/>
            <w:tcW w:w="3740" w:type="dxa"/>
          </w:tcPr>
          <w:p w14:paraId="1824871F" w14:textId="77777777" w:rsidR="00C424E5" w:rsidRDefault="00C424E5">
            <w:r>
              <w:t>Infrastructure systems</w:t>
            </w:r>
          </w:p>
        </w:tc>
        <w:tc>
          <w:tcPr>
            <w:tcW w:w="794" w:type="dxa"/>
          </w:tcPr>
          <w:p w14:paraId="4C607B1D" w14:textId="77777777" w:rsidR="00C424E5" w:rsidRDefault="00C424E5">
            <w:pPr>
              <w:cnfStyle w:val="000000000000" w:firstRow="0" w:lastRow="0" w:firstColumn="0" w:lastColumn="0" w:oddVBand="0" w:evenVBand="0" w:oddHBand="0" w:evenHBand="0" w:firstRowFirstColumn="0" w:firstRowLastColumn="0" w:lastRowFirstColumn="0" w:lastRowLastColumn="0"/>
            </w:pPr>
            <w:r>
              <w:t>8 327</w:t>
            </w:r>
          </w:p>
        </w:tc>
        <w:tc>
          <w:tcPr>
            <w:tcW w:w="794" w:type="dxa"/>
          </w:tcPr>
          <w:p w14:paraId="2C5FF2FC" w14:textId="77777777" w:rsidR="00C424E5" w:rsidRDefault="00C424E5">
            <w:pPr>
              <w:cnfStyle w:val="000000000000" w:firstRow="0" w:lastRow="0" w:firstColumn="0" w:lastColumn="0" w:oddVBand="0" w:evenVBand="0" w:oddHBand="0" w:evenHBand="0" w:firstRowFirstColumn="0" w:firstRowLastColumn="0" w:lastRowFirstColumn="0" w:lastRowLastColumn="0"/>
            </w:pPr>
            <w:r>
              <w:t>8 590</w:t>
            </w:r>
          </w:p>
        </w:tc>
        <w:tc>
          <w:tcPr>
            <w:tcW w:w="794" w:type="dxa"/>
          </w:tcPr>
          <w:p w14:paraId="77F97327" w14:textId="77777777" w:rsidR="00C424E5" w:rsidRDefault="00C424E5">
            <w:pPr>
              <w:cnfStyle w:val="000000000000" w:firstRow="0" w:lastRow="0" w:firstColumn="0" w:lastColumn="0" w:oddVBand="0" w:evenVBand="0" w:oddHBand="0" w:evenHBand="0" w:firstRowFirstColumn="0" w:firstRowLastColumn="0" w:lastRowFirstColumn="0" w:lastRowLastColumn="0"/>
            </w:pPr>
            <w:r>
              <w:t>10 326</w:t>
            </w:r>
          </w:p>
        </w:tc>
        <w:tc>
          <w:tcPr>
            <w:tcW w:w="794" w:type="dxa"/>
          </w:tcPr>
          <w:p w14:paraId="37C3958E" w14:textId="77777777" w:rsidR="00C424E5" w:rsidRDefault="00C424E5">
            <w:pPr>
              <w:cnfStyle w:val="000000000000" w:firstRow="0" w:lastRow="0" w:firstColumn="0" w:lastColumn="0" w:oddVBand="0" w:evenVBand="0" w:oddHBand="0" w:evenHBand="0" w:firstRowFirstColumn="0" w:firstRowLastColumn="0" w:lastRowFirstColumn="0" w:lastRowLastColumn="0"/>
            </w:pPr>
            <w:r>
              <w:t>10 544</w:t>
            </w:r>
          </w:p>
        </w:tc>
        <w:tc>
          <w:tcPr>
            <w:tcW w:w="794" w:type="dxa"/>
          </w:tcPr>
          <w:p w14:paraId="654D4220" w14:textId="77777777" w:rsidR="00C424E5" w:rsidRDefault="00C424E5">
            <w:pPr>
              <w:cnfStyle w:val="000000000000" w:firstRow="0" w:lastRow="0" w:firstColumn="0" w:lastColumn="0" w:oddVBand="0" w:evenVBand="0" w:oddHBand="0" w:evenHBand="0" w:firstRowFirstColumn="0" w:firstRowLastColumn="0" w:lastRowFirstColumn="0" w:lastRowLastColumn="0"/>
            </w:pPr>
            <w:r>
              <w:t>1 646</w:t>
            </w:r>
          </w:p>
        </w:tc>
      </w:tr>
      <w:tr w:rsidR="00C424E5" w14:paraId="406B3BFD" w14:textId="77777777">
        <w:tc>
          <w:tcPr>
            <w:cnfStyle w:val="001000000000" w:firstRow="0" w:lastRow="0" w:firstColumn="1" w:lastColumn="0" w:oddVBand="0" w:evenVBand="0" w:oddHBand="0" w:evenHBand="0" w:firstRowFirstColumn="0" w:firstRowLastColumn="0" w:lastRowFirstColumn="0" w:lastRowLastColumn="0"/>
            <w:tcW w:w="3740" w:type="dxa"/>
          </w:tcPr>
          <w:p w14:paraId="60C185E4" w14:textId="77777777" w:rsidR="00C424E5" w:rsidRDefault="00C424E5">
            <w:r>
              <w:t>Plant, equipment and vehicles</w:t>
            </w:r>
          </w:p>
        </w:tc>
        <w:tc>
          <w:tcPr>
            <w:tcW w:w="794" w:type="dxa"/>
          </w:tcPr>
          <w:p w14:paraId="7B3A6EEA" w14:textId="77777777" w:rsidR="00C424E5" w:rsidRDefault="00C424E5">
            <w:pPr>
              <w:cnfStyle w:val="000000000000" w:firstRow="0" w:lastRow="0" w:firstColumn="0" w:lastColumn="0" w:oddVBand="0" w:evenVBand="0" w:oddHBand="0" w:evenHBand="0" w:firstRowFirstColumn="0" w:firstRowLastColumn="0" w:lastRowFirstColumn="0" w:lastRowLastColumn="0"/>
            </w:pPr>
            <w:r>
              <w:t>1 430</w:t>
            </w:r>
          </w:p>
        </w:tc>
        <w:tc>
          <w:tcPr>
            <w:tcW w:w="794" w:type="dxa"/>
          </w:tcPr>
          <w:p w14:paraId="0BBE0737" w14:textId="77777777" w:rsidR="00C424E5" w:rsidRDefault="00C424E5">
            <w:pPr>
              <w:cnfStyle w:val="000000000000" w:firstRow="0" w:lastRow="0" w:firstColumn="0" w:lastColumn="0" w:oddVBand="0" w:evenVBand="0" w:oddHBand="0" w:evenHBand="0" w:firstRowFirstColumn="0" w:firstRowLastColumn="0" w:lastRowFirstColumn="0" w:lastRowLastColumn="0"/>
            </w:pPr>
            <w:r>
              <w:t>1 430</w:t>
            </w:r>
          </w:p>
        </w:tc>
        <w:tc>
          <w:tcPr>
            <w:tcW w:w="794" w:type="dxa"/>
          </w:tcPr>
          <w:p w14:paraId="1427745E" w14:textId="77777777" w:rsidR="00C424E5" w:rsidRDefault="00C424E5">
            <w:pPr>
              <w:cnfStyle w:val="000000000000" w:firstRow="0" w:lastRow="0" w:firstColumn="0" w:lastColumn="0" w:oddVBand="0" w:evenVBand="0" w:oddHBand="0" w:evenHBand="0" w:firstRowFirstColumn="0" w:firstRowLastColumn="0" w:lastRowFirstColumn="0" w:lastRowLastColumn="0"/>
            </w:pPr>
            <w:r>
              <w:t>96</w:t>
            </w:r>
          </w:p>
        </w:tc>
        <w:tc>
          <w:tcPr>
            <w:tcW w:w="794" w:type="dxa"/>
          </w:tcPr>
          <w:p w14:paraId="48A7F425" w14:textId="77777777" w:rsidR="00C424E5" w:rsidRDefault="00C424E5">
            <w:pPr>
              <w:cnfStyle w:val="000000000000" w:firstRow="0" w:lastRow="0" w:firstColumn="0" w:lastColumn="0" w:oddVBand="0" w:evenVBand="0" w:oddHBand="0" w:evenHBand="0" w:firstRowFirstColumn="0" w:firstRowLastColumn="0" w:lastRowFirstColumn="0" w:lastRowLastColumn="0"/>
            </w:pPr>
            <w:r>
              <w:t>141</w:t>
            </w:r>
          </w:p>
        </w:tc>
        <w:tc>
          <w:tcPr>
            <w:tcW w:w="794" w:type="dxa"/>
          </w:tcPr>
          <w:p w14:paraId="6E4DF98B" w14:textId="77777777" w:rsidR="00C424E5" w:rsidRDefault="00C424E5">
            <w:pPr>
              <w:cnfStyle w:val="000000000000" w:firstRow="0" w:lastRow="0" w:firstColumn="0" w:lastColumn="0" w:oddVBand="0" w:evenVBand="0" w:oddHBand="0" w:evenHBand="0" w:firstRowFirstColumn="0" w:firstRowLastColumn="0" w:lastRowFirstColumn="0" w:lastRowLastColumn="0"/>
            </w:pPr>
            <w:r>
              <w:t>170</w:t>
            </w:r>
          </w:p>
        </w:tc>
      </w:tr>
      <w:tr w:rsidR="00C424E5" w14:paraId="280B67D9" w14:textId="77777777">
        <w:tc>
          <w:tcPr>
            <w:cnfStyle w:val="001000000000" w:firstRow="0" w:lastRow="0" w:firstColumn="1" w:lastColumn="0" w:oddVBand="0" w:evenVBand="0" w:oddHBand="0" w:evenHBand="0" w:firstRowFirstColumn="0" w:firstRowLastColumn="0" w:lastRowFirstColumn="0" w:lastRowLastColumn="0"/>
            <w:tcW w:w="3740" w:type="dxa"/>
          </w:tcPr>
          <w:p w14:paraId="6CE9215D" w14:textId="77777777" w:rsidR="00C424E5" w:rsidRDefault="00C424E5">
            <w:r>
              <w:t>Roads and road infrastructure</w:t>
            </w:r>
          </w:p>
        </w:tc>
        <w:tc>
          <w:tcPr>
            <w:tcW w:w="794" w:type="dxa"/>
          </w:tcPr>
          <w:p w14:paraId="46B1DF6D" w14:textId="77777777" w:rsidR="00C424E5" w:rsidRDefault="00C424E5">
            <w:pPr>
              <w:cnfStyle w:val="000000000000" w:firstRow="0" w:lastRow="0" w:firstColumn="0" w:lastColumn="0" w:oddVBand="0" w:evenVBand="0" w:oddHBand="0" w:evenHBand="0" w:firstRowFirstColumn="0" w:firstRowLastColumn="0" w:lastRowFirstColumn="0" w:lastRowLastColumn="0"/>
            </w:pPr>
            <w:r>
              <w:t>15 434</w:t>
            </w:r>
          </w:p>
        </w:tc>
        <w:tc>
          <w:tcPr>
            <w:tcW w:w="794" w:type="dxa"/>
          </w:tcPr>
          <w:p w14:paraId="30D52F24" w14:textId="77777777" w:rsidR="00C424E5" w:rsidRDefault="00C424E5">
            <w:pPr>
              <w:cnfStyle w:val="000000000000" w:firstRow="0" w:lastRow="0" w:firstColumn="0" w:lastColumn="0" w:oddVBand="0" w:evenVBand="0" w:oddHBand="0" w:evenHBand="0" w:firstRowFirstColumn="0" w:firstRowLastColumn="0" w:lastRowFirstColumn="0" w:lastRowLastColumn="0"/>
            </w:pPr>
            <w:r>
              <w:t>15 242</w:t>
            </w:r>
          </w:p>
        </w:tc>
        <w:tc>
          <w:tcPr>
            <w:tcW w:w="794" w:type="dxa"/>
          </w:tcPr>
          <w:p w14:paraId="7D7E4A0C" w14:textId="77777777" w:rsidR="00C424E5" w:rsidRDefault="00C424E5">
            <w:pPr>
              <w:cnfStyle w:val="000000000000" w:firstRow="0" w:lastRow="0" w:firstColumn="0" w:lastColumn="0" w:oddVBand="0" w:evenVBand="0" w:oddHBand="0" w:evenHBand="0" w:firstRowFirstColumn="0" w:firstRowLastColumn="0" w:lastRowFirstColumn="0" w:lastRowLastColumn="0"/>
            </w:pPr>
            <w:r>
              <w:t>16 795</w:t>
            </w:r>
          </w:p>
        </w:tc>
        <w:tc>
          <w:tcPr>
            <w:tcW w:w="794" w:type="dxa"/>
          </w:tcPr>
          <w:p w14:paraId="70EBA39F" w14:textId="77777777" w:rsidR="00C424E5" w:rsidRDefault="00C424E5">
            <w:pPr>
              <w:cnfStyle w:val="000000000000" w:firstRow="0" w:lastRow="0" w:firstColumn="0" w:lastColumn="0" w:oddVBand="0" w:evenVBand="0" w:oddHBand="0" w:evenHBand="0" w:firstRowFirstColumn="0" w:firstRowLastColumn="0" w:lastRowFirstColumn="0" w:lastRowLastColumn="0"/>
            </w:pPr>
            <w:r>
              <w:t>18 391</w:t>
            </w:r>
          </w:p>
        </w:tc>
        <w:tc>
          <w:tcPr>
            <w:tcW w:w="794" w:type="dxa"/>
          </w:tcPr>
          <w:p w14:paraId="1AF0EEF2" w14:textId="77777777" w:rsidR="00C424E5" w:rsidRDefault="00C424E5">
            <w:pPr>
              <w:cnfStyle w:val="000000000000" w:firstRow="0" w:lastRow="0" w:firstColumn="0" w:lastColumn="0" w:oddVBand="0" w:evenVBand="0" w:oddHBand="0" w:evenHBand="0" w:firstRowFirstColumn="0" w:firstRowLastColumn="0" w:lastRowFirstColumn="0" w:lastRowLastColumn="0"/>
            </w:pPr>
            <w:r>
              <w:t>18 535</w:t>
            </w:r>
          </w:p>
        </w:tc>
      </w:tr>
      <w:tr w:rsidR="00C424E5" w14:paraId="1B607031"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589BB092" w14:textId="77777777" w:rsidR="00C424E5" w:rsidRDefault="00C424E5">
            <w:r>
              <w:t>Earthworks</w:t>
            </w:r>
          </w:p>
        </w:tc>
        <w:tc>
          <w:tcPr>
            <w:tcW w:w="794" w:type="dxa"/>
            <w:tcBorders>
              <w:bottom w:val="single" w:sz="6" w:space="0" w:color="auto"/>
            </w:tcBorders>
          </w:tcPr>
          <w:p w14:paraId="67D1A87A" w14:textId="77777777" w:rsidR="00C424E5" w:rsidRDefault="00C424E5">
            <w:pPr>
              <w:cnfStyle w:val="000000000000" w:firstRow="0" w:lastRow="0" w:firstColumn="0" w:lastColumn="0" w:oddVBand="0" w:evenVBand="0" w:oddHBand="0" w:evenHBand="0" w:firstRowFirstColumn="0" w:firstRowLastColumn="0" w:lastRowFirstColumn="0" w:lastRowLastColumn="0"/>
            </w:pPr>
            <w:r>
              <w:t>916</w:t>
            </w:r>
          </w:p>
        </w:tc>
        <w:tc>
          <w:tcPr>
            <w:tcW w:w="794" w:type="dxa"/>
            <w:tcBorders>
              <w:bottom w:val="single" w:sz="6" w:space="0" w:color="auto"/>
            </w:tcBorders>
          </w:tcPr>
          <w:p w14:paraId="71394F8C" w14:textId="77777777" w:rsidR="00C424E5" w:rsidRDefault="00C424E5">
            <w:pPr>
              <w:cnfStyle w:val="000000000000" w:firstRow="0" w:lastRow="0" w:firstColumn="0" w:lastColumn="0" w:oddVBand="0" w:evenVBand="0" w:oddHBand="0" w:evenHBand="0" w:firstRowFirstColumn="0" w:firstRowLastColumn="0" w:lastRowFirstColumn="0" w:lastRowLastColumn="0"/>
            </w:pPr>
            <w:r>
              <w:t>916</w:t>
            </w:r>
          </w:p>
        </w:tc>
        <w:tc>
          <w:tcPr>
            <w:tcW w:w="794" w:type="dxa"/>
            <w:tcBorders>
              <w:bottom w:val="single" w:sz="6" w:space="0" w:color="auto"/>
            </w:tcBorders>
          </w:tcPr>
          <w:p w14:paraId="3EAD9808" w14:textId="77777777" w:rsidR="00C424E5" w:rsidRDefault="00C424E5">
            <w:pPr>
              <w:cnfStyle w:val="000000000000" w:firstRow="0" w:lastRow="0" w:firstColumn="0" w:lastColumn="0" w:oddVBand="0" w:evenVBand="0" w:oddHBand="0" w:evenHBand="0" w:firstRowFirstColumn="0" w:firstRowLastColumn="0" w:lastRowFirstColumn="0" w:lastRowLastColumn="0"/>
            </w:pPr>
            <w:r>
              <w:t>916</w:t>
            </w:r>
          </w:p>
        </w:tc>
        <w:tc>
          <w:tcPr>
            <w:tcW w:w="794" w:type="dxa"/>
            <w:tcBorders>
              <w:bottom w:val="single" w:sz="6" w:space="0" w:color="auto"/>
            </w:tcBorders>
          </w:tcPr>
          <w:p w14:paraId="24AE5395" w14:textId="77777777" w:rsidR="00C424E5" w:rsidRDefault="00C424E5">
            <w:pPr>
              <w:cnfStyle w:val="000000000000" w:firstRow="0" w:lastRow="0" w:firstColumn="0" w:lastColumn="0" w:oddVBand="0" w:evenVBand="0" w:oddHBand="0" w:evenHBand="0" w:firstRowFirstColumn="0" w:firstRowLastColumn="0" w:lastRowFirstColumn="0" w:lastRowLastColumn="0"/>
            </w:pPr>
            <w:r>
              <w:t>990</w:t>
            </w:r>
          </w:p>
        </w:tc>
        <w:tc>
          <w:tcPr>
            <w:tcW w:w="794" w:type="dxa"/>
            <w:tcBorders>
              <w:bottom w:val="single" w:sz="6" w:space="0" w:color="auto"/>
            </w:tcBorders>
          </w:tcPr>
          <w:p w14:paraId="4EC94B74" w14:textId="77777777" w:rsidR="00C424E5" w:rsidRDefault="00C424E5">
            <w:pPr>
              <w:cnfStyle w:val="000000000000" w:firstRow="0" w:lastRow="0" w:firstColumn="0" w:lastColumn="0" w:oddVBand="0" w:evenVBand="0" w:oddHBand="0" w:evenHBand="0" w:firstRowFirstColumn="0" w:firstRowLastColumn="0" w:lastRowFirstColumn="0" w:lastRowLastColumn="0"/>
            </w:pPr>
            <w:r>
              <w:t>990</w:t>
            </w:r>
          </w:p>
        </w:tc>
      </w:tr>
      <w:tr w:rsidR="00C424E5" w14:paraId="568233CF"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5DBCD37A" w14:textId="77777777" w:rsidR="00C424E5" w:rsidRDefault="00C424E5">
            <w:r>
              <w:rPr>
                <w:b/>
              </w:rPr>
              <w:t>Total service concession assets: land, buildings, infrastructure, plant and equipment</w:t>
            </w:r>
          </w:p>
        </w:tc>
        <w:tc>
          <w:tcPr>
            <w:tcW w:w="794" w:type="dxa"/>
            <w:tcBorders>
              <w:top w:val="single" w:sz="6" w:space="0" w:color="auto"/>
              <w:bottom w:val="single" w:sz="12" w:space="0" w:color="auto"/>
            </w:tcBorders>
          </w:tcPr>
          <w:p w14:paraId="3009DAB2"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31 386</w:t>
            </w:r>
          </w:p>
        </w:tc>
        <w:tc>
          <w:tcPr>
            <w:tcW w:w="794" w:type="dxa"/>
            <w:tcBorders>
              <w:top w:val="single" w:sz="6" w:space="0" w:color="auto"/>
              <w:bottom w:val="single" w:sz="12" w:space="0" w:color="auto"/>
            </w:tcBorders>
          </w:tcPr>
          <w:p w14:paraId="05179D4F"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31 457</w:t>
            </w:r>
          </w:p>
        </w:tc>
        <w:tc>
          <w:tcPr>
            <w:tcW w:w="794" w:type="dxa"/>
            <w:tcBorders>
              <w:top w:val="single" w:sz="6" w:space="0" w:color="auto"/>
              <w:bottom w:val="single" w:sz="12" w:space="0" w:color="auto"/>
            </w:tcBorders>
          </w:tcPr>
          <w:p w14:paraId="75FA8D7A"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33 360</w:t>
            </w:r>
          </w:p>
        </w:tc>
        <w:tc>
          <w:tcPr>
            <w:tcW w:w="794" w:type="dxa"/>
            <w:tcBorders>
              <w:top w:val="single" w:sz="6" w:space="0" w:color="auto"/>
              <w:bottom w:val="single" w:sz="12" w:space="0" w:color="auto"/>
            </w:tcBorders>
          </w:tcPr>
          <w:p w14:paraId="281280DA"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35 540</w:t>
            </w:r>
          </w:p>
        </w:tc>
        <w:tc>
          <w:tcPr>
            <w:tcW w:w="794" w:type="dxa"/>
            <w:tcBorders>
              <w:top w:val="single" w:sz="6" w:space="0" w:color="auto"/>
              <w:bottom w:val="single" w:sz="12" w:space="0" w:color="auto"/>
            </w:tcBorders>
          </w:tcPr>
          <w:p w14:paraId="68E5E4AA" w14:textId="6B5FC9DE" w:rsidR="00C424E5" w:rsidRDefault="00C424E5">
            <w:pPr>
              <w:cnfStyle w:val="000000000000" w:firstRow="0" w:lastRow="0" w:firstColumn="0" w:lastColumn="0" w:oddVBand="0" w:evenVBand="0" w:oddHBand="0" w:evenHBand="0" w:firstRowFirstColumn="0" w:firstRowLastColumn="0" w:lastRowFirstColumn="0" w:lastRowLastColumn="0"/>
            </w:pPr>
            <w:r>
              <w:rPr>
                <w:b/>
              </w:rPr>
              <w:t>26 762</w:t>
            </w:r>
          </w:p>
        </w:tc>
      </w:tr>
    </w:tbl>
    <w:p w14:paraId="5C0A752C" w14:textId="77777777" w:rsidR="00C424E5" w:rsidRDefault="00C424E5" w:rsidP="006206EF"/>
    <w:p w14:paraId="183E052F" w14:textId="77777777" w:rsidR="00C424E5" w:rsidRDefault="00C424E5" w:rsidP="006206EF"/>
    <w:p w14:paraId="1E599AA4" w14:textId="77777777" w:rsidR="00C424E5" w:rsidRDefault="00C424E5" w:rsidP="00A330B7">
      <w:pPr>
        <w:pStyle w:val="Heading3"/>
        <w:spacing w:after="60"/>
        <w:rPr>
          <w:sz w:val="20"/>
          <w:szCs w:val="20"/>
        </w:rPr>
      </w:pPr>
      <w:bookmarkStart w:id="72" w:name="_Toc117172329"/>
      <w:r w:rsidRPr="00A330B7">
        <w:rPr>
          <w:sz w:val="20"/>
          <w:szCs w:val="20"/>
        </w:rPr>
        <w:t>Depreciation</w:t>
      </w:r>
      <w:r w:rsidRPr="00A330B7">
        <w:rPr>
          <w:sz w:val="20"/>
          <w:szCs w:val="20"/>
        </w:rPr>
        <w:tab/>
        <w:t>($ million)</w:t>
      </w:r>
      <w:bookmarkEnd w:id="72"/>
    </w:p>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F70B1C" w14:paraId="41C646F6" w14:textId="77777777" w:rsidTr="00A836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6E8E52C0" w14:textId="53225FA5" w:rsidR="00F70B1C" w:rsidRDefault="00F70B1C"/>
        </w:tc>
        <w:tc>
          <w:tcPr>
            <w:tcW w:w="794" w:type="dxa"/>
          </w:tcPr>
          <w:p w14:paraId="65099366" w14:textId="1C32354C" w:rsidR="00F70B1C" w:rsidRDefault="00F70B1C" w:rsidP="00B10336">
            <w:pPr>
              <w:cnfStyle w:val="100000000000" w:firstRow="1" w:lastRow="0" w:firstColumn="0" w:lastColumn="0" w:oddVBand="0" w:evenVBand="0" w:oddHBand="0" w:evenHBand="0" w:firstRowFirstColumn="0" w:firstRowLastColumn="0" w:lastRowFirstColumn="0" w:lastRowLastColumn="0"/>
            </w:pPr>
            <w:r>
              <w:t>2022</w:t>
            </w:r>
            <w:r>
              <w:noBreakHyphen/>
              <w:t>23</w:t>
            </w:r>
            <w:r>
              <w:rPr>
                <w:i w:val="0"/>
              </w:rPr>
              <w:br/>
            </w:r>
            <w:r>
              <w:t>budget</w:t>
            </w:r>
          </w:p>
        </w:tc>
        <w:tc>
          <w:tcPr>
            <w:tcW w:w="794" w:type="dxa"/>
          </w:tcPr>
          <w:p w14:paraId="3B688F70" w14:textId="4784A19E" w:rsidR="00F70B1C" w:rsidRDefault="00F70B1C" w:rsidP="00476C7E">
            <w:pPr>
              <w:cnfStyle w:val="100000000000" w:firstRow="1" w:lastRow="0" w:firstColumn="0" w:lastColumn="0" w:oddVBand="0" w:evenVBand="0" w:oddHBand="0" w:evenHBand="0" w:firstRowFirstColumn="0" w:firstRowLastColumn="0" w:lastRowFirstColumn="0" w:lastRowLastColumn="0"/>
            </w:pPr>
            <w:r>
              <w:t>2022</w:t>
            </w:r>
            <w:r>
              <w:noBreakHyphen/>
              <w:t>23</w:t>
            </w:r>
            <w:r>
              <w:rPr>
                <w:i w:val="0"/>
              </w:rPr>
              <w:br/>
            </w:r>
            <w:r>
              <w:t>revised</w:t>
            </w:r>
          </w:p>
        </w:tc>
        <w:tc>
          <w:tcPr>
            <w:tcW w:w="794" w:type="dxa"/>
          </w:tcPr>
          <w:p w14:paraId="35539E4B" w14:textId="1655B376" w:rsidR="00F70B1C" w:rsidRDefault="00F70B1C" w:rsidP="00230515">
            <w:pPr>
              <w:cnfStyle w:val="100000000000" w:firstRow="1" w:lastRow="0" w:firstColumn="0" w:lastColumn="0" w:oddVBand="0" w:evenVBand="0" w:oddHBand="0" w:evenHBand="0" w:firstRowFirstColumn="0" w:firstRowLastColumn="0" w:lastRowFirstColumn="0" w:lastRowLastColumn="0"/>
            </w:pPr>
            <w:r>
              <w:t>2023</w:t>
            </w:r>
            <w:r>
              <w:noBreakHyphen/>
              <w:t>24</w:t>
            </w:r>
            <w:r>
              <w:rPr>
                <w:i w:val="0"/>
              </w:rPr>
              <w:br/>
            </w:r>
            <w:r>
              <w:t>estimate</w:t>
            </w:r>
          </w:p>
        </w:tc>
        <w:tc>
          <w:tcPr>
            <w:tcW w:w="794" w:type="dxa"/>
          </w:tcPr>
          <w:p w14:paraId="63EC7E95" w14:textId="55732BDF" w:rsidR="00F70B1C" w:rsidRDefault="00F70B1C" w:rsidP="0004513A">
            <w:pPr>
              <w:cnfStyle w:val="100000000000" w:firstRow="1" w:lastRow="0" w:firstColumn="0" w:lastColumn="0" w:oddVBand="0" w:evenVBand="0" w:oddHBand="0" w:evenHBand="0" w:firstRowFirstColumn="0" w:firstRowLastColumn="0" w:lastRowFirstColumn="0" w:lastRowLastColumn="0"/>
            </w:pPr>
            <w:r>
              <w:t>2024</w:t>
            </w:r>
            <w:r>
              <w:noBreakHyphen/>
              <w:t>25</w:t>
            </w:r>
            <w:r>
              <w:rPr>
                <w:i w:val="0"/>
              </w:rPr>
              <w:br/>
            </w:r>
            <w:r>
              <w:t>estimate</w:t>
            </w:r>
          </w:p>
        </w:tc>
        <w:tc>
          <w:tcPr>
            <w:tcW w:w="794" w:type="dxa"/>
          </w:tcPr>
          <w:p w14:paraId="02C10415" w14:textId="0AD5C42A" w:rsidR="00F70B1C" w:rsidRDefault="00F70B1C" w:rsidP="00E5689A">
            <w:pPr>
              <w:cnfStyle w:val="100000000000" w:firstRow="1" w:lastRow="0" w:firstColumn="0" w:lastColumn="0" w:oddVBand="0" w:evenVBand="0" w:oddHBand="0" w:evenHBand="0" w:firstRowFirstColumn="0" w:firstRowLastColumn="0" w:lastRowFirstColumn="0" w:lastRowLastColumn="0"/>
            </w:pPr>
            <w:r>
              <w:t>2025</w:t>
            </w:r>
            <w:r>
              <w:noBreakHyphen/>
              <w:t>26</w:t>
            </w:r>
            <w:r>
              <w:rPr>
                <w:i w:val="0"/>
              </w:rPr>
              <w:br/>
            </w:r>
            <w:r>
              <w:t>estimate</w:t>
            </w:r>
          </w:p>
        </w:tc>
      </w:tr>
      <w:tr w:rsidR="00C424E5" w14:paraId="63C486F9" w14:textId="77777777">
        <w:tc>
          <w:tcPr>
            <w:cnfStyle w:val="001000000000" w:firstRow="0" w:lastRow="0" w:firstColumn="1" w:lastColumn="0" w:oddVBand="0" w:evenVBand="0" w:oddHBand="0" w:evenHBand="0" w:firstRowFirstColumn="0" w:firstRowLastColumn="0" w:lastRowFirstColumn="0" w:lastRowLastColumn="0"/>
            <w:tcW w:w="3740" w:type="dxa"/>
          </w:tcPr>
          <w:p w14:paraId="7B66CE1A" w14:textId="77777777" w:rsidR="00C424E5" w:rsidRDefault="00C424E5">
            <w:r>
              <w:t>Buildings</w:t>
            </w:r>
            <w:r>
              <w:rPr>
                <w:vertAlign w:val="superscript"/>
              </w:rPr>
              <w:t xml:space="preserve"> (a)</w:t>
            </w:r>
          </w:p>
        </w:tc>
        <w:tc>
          <w:tcPr>
            <w:tcW w:w="794" w:type="dxa"/>
          </w:tcPr>
          <w:p w14:paraId="31FDB3C8" w14:textId="77777777" w:rsidR="00C424E5" w:rsidRDefault="00C424E5">
            <w:pPr>
              <w:cnfStyle w:val="000000000000" w:firstRow="0" w:lastRow="0" w:firstColumn="0" w:lastColumn="0" w:oddVBand="0" w:evenVBand="0" w:oddHBand="0" w:evenHBand="0" w:firstRowFirstColumn="0" w:firstRowLastColumn="0" w:lastRowFirstColumn="0" w:lastRowLastColumn="0"/>
            </w:pPr>
            <w:r>
              <w:t>2 448</w:t>
            </w:r>
          </w:p>
        </w:tc>
        <w:tc>
          <w:tcPr>
            <w:tcW w:w="794" w:type="dxa"/>
          </w:tcPr>
          <w:p w14:paraId="6CE6CEB4" w14:textId="77777777" w:rsidR="00C424E5" w:rsidRDefault="00C424E5">
            <w:pPr>
              <w:cnfStyle w:val="000000000000" w:firstRow="0" w:lastRow="0" w:firstColumn="0" w:lastColumn="0" w:oddVBand="0" w:evenVBand="0" w:oddHBand="0" w:evenHBand="0" w:firstRowFirstColumn="0" w:firstRowLastColumn="0" w:lastRowFirstColumn="0" w:lastRowLastColumn="0"/>
            </w:pPr>
            <w:r>
              <w:t>2 490</w:t>
            </w:r>
          </w:p>
        </w:tc>
        <w:tc>
          <w:tcPr>
            <w:tcW w:w="794" w:type="dxa"/>
          </w:tcPr>
          <w:p w14:paraId="6D94C16E" w14:textId="77777777" w:rsidR="00C424E5" w:rsidRDefault="00C424E5">
            <w:pPr>
              <w:cnfStyle w:val="000000000000" w:firstRow="0" w:lastRow="0" w:firstColumn="0" w:lastColumn="0" w:oddVBand="0" w:evenVBand="0" w:oddHBand="0" w:evenHBand="0" w:firstRowFirstColumn="0" w:firstRowLastColumn="0" w:lastRowFirstColumn="0" w:lastRowLastColumn="0"/>
            </w:pPr>
            <w:r>
              <w:t>2 533</w:t>
            </w:r>
          </w:p>
        </w:tc>
        <w:tc>
          <w:tcPr>
            <w:tcW w:w="794" w:type="dxa"/>
          </w:tcPr>
          <w:p w14:paraId="7ECD847B" w14:textId="77777777" w:rsidR="00C424E5" w:rsidRDefault="00C424E5">
            <w:pPr>
              <w:cnfStyle w:val="000000000000" w:firstRow="0" w:lastRow="0" w:firstColumn="0" w:lastColumn="0" w:oddVBand="0" w:evenVBand="0" w:oddHBand="0" w:evenHBand="0" w:firstRowFirstColumn="0" w:firstRowLastColumn="0" w:lastRowFirstColumn="0" w:lastRowLastColumn="0"/>
            </w:pPr>
            <w:r>
              <w:t>2 638</w:t>
            </w:r>
          </w:p>
        </w:tc>
        <w:tc>
          <w:tcPr>
            <w:tcW w:w="794" w:type="dxa"/>
          </w:tcPr>
          <w:p w14:paraId="2D6055B3" w14:textId="77777777" w:rsidR="00C424E5" w:rsidRDefault="00C424E5">
            <w:pPr>
              <w:cnfStyle w:val="000000000000" w:firstRow="0" w:lastRow="0" w:firstColumn="0" w:lastColumn="0" w:oddVBand="0" w:evenVBand="0" w:oddHBand="0" w:evenHBand="0" w:firstRowFirstColumn="0" w:firstRowLastColumn="0" w:lastRowFirstColumn="0" w:lastRowLastColumn="0"/>
            </w:pPr>
            <w:r>
              <w:t>2 762</w:t>
            </w:r>
          </w:p>
        </w:tc>
      </w:tr>
      <w:tr w:rsidR="00C424E5" w14:paraId="227B9796" w14:textId="77777777">
        <w:tc>
          <w:tcPr>
            <w:cnfStyle w:val="001000000000" w:firstRow="0" w:lastRow="0" w:firstColumn="1" w:lastColumn="0" w:oddVBand="0" w:evenVBand="0" w:oddHBand="0" w:evenHBand="0" w:firstRowFirstColumn="0" w:firstRowLastColumn="0" w:lastRowFirstColumn="0" w:lastRowLastColumn="0"/>
            <w:tcW w:w="3740" w:type="dxa"/>
          </w:tcPr>
          <w:p w14:paraId="057ADB39" w14:textId="77777777" w:rsidR="00C424E5" w:rsidRDefault="00C424E5">
            <w:r>
              <w:t>Infrastructure systems</w:t>
            </w:r>
          </w:p>
        </w:tc>
        <w:tc>
          <w:tcPr>
            <w:tcW w:w="794" w:type="dxa"/>
          </w:tcPr>
          <w:p w14:paraId="5538C83D" w14:textId="77777777" w:rsidR="00C424E5" w:rsidRDefault="00C424E5">
            <w:pPr>
              <w:cnfStyle w:val="000000000000" w:firstRow="0" w:lastRow="0" w:firstColumn="0" w:lastColumn="0" w:oddVBand="0" w:evenVBand="0" w:oddHBand="0" w:evenHBand="0" w:firstRowFirstColumn="0" w:firstRowLastColumn="0" w:lastRowFirstColumn="0" w:lastRowLastColumn="0"/>
            </w:pPr>
            <w:r>
              <w:t>53</w:t>
            </w:r>
          </w:p>
        </w:tc>
        <w:tc>
          <w:tcPr>
            <w:tcW w:w="794" w:type="dxa"/>
          </w:tcPr>
          <w:p w14:paraId="7E669E47" w14:textId="77777777" w:rsidR="00C424E5" w:rsidRDefault="00C424E5">
            <w:pPr>
              <w:cnfStyle w:val="000000000000" w:firstRow="0" w:lastRow="0" w:firstColumn="0" w:lastColumn="0" w:oddVBand="0" w:evenVBand="0" w:oddHBand="0" w:evenHBand="0" w:firstRowFirstColumn="0" w:firstRowLastColumn="0" w:lastRowFirstColumn="0" w:lastRowLastColumn="0"/>
            </w:pPr>
            <w:r>
              <w:t>53</w:t>
            </w:r>
          </w:p>
        </w:tc>
        <w:tc>
          <w:tcPr>
            <w:tcW w:w="794" w:type="dxa"/>
          </w:tcPr>
          <w:p w14:paraId="41D30CFE" w14:textId="77777777" w:rsidR="00C424E5" w:rsidRDefault="00C424E5">
            <w:pPr>
              <w:cnfStyle w:val="000000000000" w:firstRow="0" w:lastRow="0" w:firstColumn="0" w:lastColumn="0" w:oddVBand="0" w:evenVBand="0" w:oddHBand="0" w:evenHBand="0" w:firstRowFirstColumn="0" w:firstRowLastColumn="0" w:lastRowFirstColumn="0" w:lastRowLastColumn="0"/>
            </w:pPr>
            <w:r>
              <w:t>54</w:t>
            </w:r>
          </w:p>
        </w:tc>
        <w:tc>
          <w:tcPr>
            <w:tcW w:w="794" w:type="dxa"/>
          </w:tcPr>
          <w:p w14:paraId="58A64836" w14:textId="77777777" w:rsidR="00C424E5" w:rsidRDefault="00C424E5">
            <w:pPr>
              <w:cnfStyle w:val="000000000000" w:firstRow="0" w:lastRow="0" w:firstColumn="0" w:lastColumn="0" w:oddVBand="0" w:evenVBand="0" w:oddHBand="0" w:evenHBand="0" w:firstRowFirstColumn="0" w:firstRowLastColumn="0" w:lastRowFirstColumn="0" w:lastRowLastColumn="0"/>
            </w:pPr>
            <w:r>
              <w:t>60</w:t>
            </w:r>
          </w:p>
        </w:tc>
        <w:tc>
          <w:tcPr>
            <w:tcW w:w="794" w:type="dxa"/>
          </w:tcPr>
          <w:p w14:paraId="7E2D1495" w14:textId="77777777" w:rsidR="00C424E5" w:rsidRDefault="00C424E5">
            <w:pPr>
              <w:cnfStyle w:val="000000000000" w:firstRow="0" w:lastRow="0" w:firstColumn="0" w:lastColumn="0" w:oddVBand="0" w:evenVBand="0" w:oddHBand="0" w:evenHBand="0" w:firstRowFirstColumn="0" w:firstRowLastColumn="0" w:lastRowFirstColumn="0" w:lastRowLastColumn="0"/>
            </w:pPr>
            <w:r>
              <w:t>56</w:t>
            </w:r>
          </w:p>
        </w:tc>
      </w:tr>
      <w:tr w:rsidR="00C424E5" w14:paraId="2610C62D" w14:textId="77777777">
        <w:tc>
          <w:tcPr>
            <w:cnfStyle w:val="001000000000" w:firstRow="0" w:lastRow="0" w:firstColumn="1" w:lastColumn="0" w:oddVBand="0" w:evenVBand="0" w:oddHBand="0" w:evenHBand="0" w:firstRowFirstColumn="0" w:firstRowLastColumn="0" w:lastRowFirstColumn="0" w:lastRowLastColumn="0"/>
            <w:tcW w:w="3740" w:type="dxa"/>
          </w:tcPr>
          <w:p w14:paraId="7A7307EA" w14:textId="77777777" w:rsidR="00C424E5" w:rsidRDefault="00C424E5">
            <w:r>
              <w:t>Plant, equipment and vehicles</w:t>
            </w:r>
            <w:r>
              <w:rPr>
                <w:vertAlign w:val="superscript"/>
              </w:rPr>
              <w:t xml:space="preserve"> (a)</w:t>
            </w:r>
          </w:p>
        </w:tc>
        <w:tc>
          <w:tcPr>
            <w:tcW w:w="794" w:type="dxa"/>
          </w:tcPr>
          <w:p w14:paraId="2A03A594" w14:textId="77777777" w:rsidR="00C424E5" w:rsidRDefault="00C424E5">
            <w:pPr>
              <w:cnfStyle w:val="000000000000" w:firstRow="0" w:lastRow="0" w:firstColumn="0" w:lastColumn="0" w:oddVBand="0" w:evenVBand="0" w:oddHBand="0" w:evenHBand="0" w:firstRowFirstColumn="0" w:firstRowLastColumn="0" w:lastRowFirstColumn="0" w:lastRowLastColumn="0"/>
            </w:pPr>
            <w:r>
              <w:t>890</w:t>
            </w:r>
          </w:p>
        </w:tc>
        <w:tc>
          <w:tcPr>
            <w:tcW w:w="794" w:type="dxa"/>
          </w:tcPr>
          <w:p w14:paraId="68F3E51F" w14:textId="77777777" w:rsidR="00C424E5" w:rsidRDefault="00C424E5">
            <w:pPr>
              <w:cnfStyle w:val="000000000000" w:firstRow="0" w:lastRow="0" w:firstColumn="0" w:lastColumn="0" w:oddVBand="0" w:evenVBand="0" w:oddHBand="0" w:evenHBand="0" w:firstRowFirstColumn="0" w:firstRowLastColumn="0" w:lastRowFirstColumn="0" w:lastRowLastColumn="0"/>
            </w:pPr>
            <w:r>
              <w:t>888</w:t>
            </w:r>
          </w:p>
        </w:tc>
        <w:tc>
          <w:tcPr>
            <w:tcW w:w="794" w:type="dxa"/>
          </w:tcPr>
          <w:p w14:paraId="6FA9C59A" w14:textId="77777777" w:rsidR="00C424E5" w:rsidRDefault="00C424E5">
            <w:pPr>
              <w:cnfStyle w:val="000000000000" w:firstRow="0" w:lastRow="0" w:firstColumn="0" w:lastColumn="0" w:oddVBand="0" w:evenVBand="0" w:oddHBand="0" w:evenHBand="0" w:firstRowFirstColumn="0" w:firstRowLastColumn="0" w:lastRowFirstColumn="0" w:lastRowLastColumn="0"/>
            </w:pPr>
            <w:r>
              <w:t>863</w:t>
            </w:r>
          </w:p>
        </w:tc>
        <w:tc>
          <w:tcPr>
            <w:tcW w:w="794" w:type="dxa"/>
          </w:tcPr>
          <w:p w14:paraId="5F0EA200" w14:textId="77777777" w:rsidR="00C424E5" w:rsidRDefault="00C424E5">
            <w:pPr>
              <w:cnfStyle w:val="000000000000" w:firstRow="0" w:lastRow="0" w:firstColumn="0" w:lastColumn="0" w:oddVBand="0" w:evenVBand="0" w:oddHBand="0" w:evenHBand="0" w:firstRowFirstColumn="0" w:firstRowLastColumn="0" w:lastRowFirstColumn="0" w:lastRowLastColumn="0"/>
            </w:pPr>
            <w:r>
              <w:t>867</w:t>
            </w:r>
          </w:p>
        </w:tc>
        <w:tc>
          <w:tcPr>
            <w:tcW w:w="794" w:type="dxa"/>
          </w:tcPr>
          <w:p w14:paraId="4F69B9FC" w14:textId="77777777" w:rsidR="00C424E5" w:rsidRDefault="00C424E5">
            <w:pPr>
              <w:cnfStyle w:val="000000000000" w:firstRow="0" w:lastRow="0" w:firstColumn="0" w:lastColumn="0" w:oddVBand="0" w:evenVBand="0" w:oddHBand="0" w:evenHBand="0" w:firstRowFirstColumn="0" w:firstRowLastColumn="0" w:lastRowFirstColumn="0" w:lastRowLastColumn="0"/>
            </w:pPr>
            <w:r>
              <w:t>863</w:t>
            </w:r>
          </w:p>
        </w:tc>
      </w:tr>
      <w:tr w:rsidR="00C424E5" w14:paraId="790490CC" w14:textId="77777777">
        <w:tc>
          <w:tcPr>
            <w:cnfStyle w:val="001000000000" w:firstRow="0" w:lastRow="0" w:firstColumn="1" w:lastColumn="0" w:oddVBand="0" w:evenVBand="0" w:oddHBand="0" w:evenHBand="0" w:firstRowFirstColumn="0" w:firstRowLastColumn="0" w:lastRowFirstColumn="0" w:lastRowLastColumn="0"/>
            <w:tcW w:w="3740" w:type="dxa"/>
          </w:tcPr>
          <w:p w14:paraId="6C8F66B7" w14:textId="77777777" w:rsidR="00C424E5" w:rsidRDefault="00C424E5">
            <w:r>
              <w:t>Roads and road networks</w:t>
            </w:r>
            <w:r>
              <w:rPr>
                <w:vertAlign w:val="superscript"/>
              </w:rPr>
              <w:t xml:space="preserve"> (a)</w:t>
            </w:r>
          </w:p>
        </w:tc>
        <w:tc>
          <w:tcPr>
            <w:tcW w:w="794" w:type="dxa"/>
          </w:tcPr>
          <w:p w14:paraId="5464676D" w14:textId="77777777" w:rsidR="00C424E5" w:rsidRDefault="00C424E5">
            <w:pPr>
              <w:cnfStyle w:val="000000000000" w:firstRow="0" w:lastRow="0" w:firstColumn="0" w:lastColumn="0" w:oddVBand="0" w:evenVBand="0" w:oddHBand="0" w:evenHBand="0" w:firstRowFirstColumn="0" w:firstRowLastColumn="0" w:lastRowFirstColumn="0" w:lastRowLastColumn="0"/>
            </w:pPr>
            <w:r>
              <w:t>967</w:t>
            </w:r>
          </w:p>
        </w:tc>
        <w:tc>
          <w:tcPr>
            <w:tcW w:w="794" w:type="dxa"/>
          </w:tcPr>
          <w:p w14:paraId="2AE09EA2" w14:textId="77777777" w:rsidR="00C424E5" w:rsidRDefault="00C424E5">
            <w:pPr>
              <w:cnfStyle w:val="000000000000" w:firstRow="0" w:lastRow="0" w:firstColumn="0" w:lastColumn="0" w:oddVBand="0" w:evenVBand="0" w:oddHBand="0" w:evenHBand="0" w:firstRowFirstColumn="0" w:firstRowLastColumn="0" w:lastRowFirstColumn="0" w:lastRowLastColumn="0"/>
            </w:pPr>
            <w:r>
              <w:t>967</w:t>
            </w:r>
          </w:p>
        </w:tc>
        <w:tc>
          <w:tcPr>
            <w:tcW w:w="794" w:type="dxa"/>
          </w:tcPr>
          <w:p w14:paraId="0632851F" w14:textId="77777777" w:rsidR="00C424E5" w:rsidRDefault="00C424E5">
            <w:pPr>
              <w:cnfStyle w:val="000000000000" w:firstRow="0" w:lastRow="0" w:firstColumn="0" w:lastColumn="0" w:oddVBand="0" w:evenVBand="0" w:oddHBand="0" w:evenHBand="0" w:firstRowFirstColumn="0" w:firstRowLastColumn="0" w:lastRowFirstColumn="0" w:lastRowLastColumn="0"/>
            </w:pPr>
            <w:r>
              <w:t>949</w:t>
            </w:r>
          </w:p>
        </w:tc>
        <w:tc>
          <w:tcPr>
            <w:tcW w:w="794" w:type="dxa"/>
          </w:tcPr>
          <w:p w14:paraId="5B29A8B0" w14:textId="77777777" w:rsidR="00C424E5" w:rsidRDefault="00C424E5">
            <w:pPr>
              <w:cnfStyle w:val="000000000000" w:firstRow="0" w:lastRow="0" w:firstColumn="0" w:lastColumn="0" w:oddVBand="0" w:evenVBand="0" w:oddHBand="0" w:evenHBand="0" w:firstRowFirstColumn="0" w:firstRowLastColumn="0" w:lastRowFirstColumn="0" w:lastRowLastColumn="0"/>
            </w:pPr>
            <w:r>
              <w:t>941</w:t>
            </w:r>
          </w:p>
        </w:tc>
        <w:tc>
          <w:tcPr>
            <w:tcW w:w="794" w:type="dxa"/>
          </w:tcPr>
          <w:p w14:paraId="68394B24" w14:textId="77777777" w:rsidR="00C424E5" w:rsidRDefault="00C424E5">
            <w:pPr>
              <w:cnfStyle w:val="000000000000" w:firstRow="0" w:lastRow="0" w:firstColumn="0" w:lastColumn="0" w:oddVBand="0" w:evenVBand="0" w:oddHBand="0" w:evenHBand="0" w:firstRowFirstColumn="0" w:firstRowLastColumn="0" w:lastRowFirstColumn="0" w:lastRowLastColumn="0"/>
            </w:pPr>
            <w:r>
              <w:t>1 087</w:t>
            </w:r>
          </w:p>
        </w:tc>
      </w:tr>
      <w:tr w:rsidR="00C424E5" w14:paraId="36E4C51E" w14:textId="77777777">
        <w:tc>
          <w:tcPr>
            <w:cnfStyle w:val="001000000000" w:firstRow="0" w:lastRow="0" w:firstColumn="1" w:lastColumn="0" w:oddVBand="0" w:evenVBand="0" w:oddHBand="0" w:evenHBand="0" w:firstRowFirstColumn="0" w:firstRowLastColumn="0" w:lastRowFirstColumn="0" w:lastRowLastColumn="0"/>
            <w:tcW w:w="3740" w:type="dxa"/>
          </w:tcPr>
          <w:p w14:paraId="3F33D174" w14:textId="77777777" w:rsidR="00C424E5" w:rsidRDefault="00C424E5">
            <w:r>
              <w:t>Cultural assets</w:t>
            </w:r>
          </w:p>
        </w:tc>
        <w:tc>
          <w:tcPr>
            <w:tcW w:w="794" w:type="dxa"/>
          </w:tcPr>
          <w:p w14:paraId="41F725FC" w14:textId="77777777" w:rsidR="00C424E5" w:rsidRDefault="00C424E5">
            <w:pPr>
              <w:cnfStyle w:val="000000000000" w:firstRow="0" w:lastRow="0" w:firstColumn="0" w:lastColumn="0" w:oddVBand="0" w:evenVBand="0" w:oddHBand="0" w:evenHBand="0" w:firstRowFirstColumn="0" w:firstRowLastColumn="0" w:lastRowFirstColumn="0" w:lastRowLastColumn="0"/>
            </w:pPr>
            <w:r>
              <w:t>16</w:t>
            </w:r>
          </w:p>
        </w:tc>
        <w:tc>
          <w:tcPr>
            <w:tcW w:w="794" w:type="dxa"/>
          </w:tcPr>
          <w:p w14:paraId="4178FC07" w14:textId="77777777" w:rsidR="00C424E5" w:rsidRDefault="00C424E5">
            <w:pPr>
              <w:cnfStyle w:val="000000000000" w:firstRow="0" w:lastRow="0" w:firstColumn="0" w:lastColumn="0" w:oddVBand="0" w:evenVBand="0" w:oddHBand="0" w:evenHBand="0" w:firstRowFirstColumn="0" w:firstRowLastColumn="0" w:lastRowFirstColumn="0" w:lastRowLastColumn="0"/>
            </w:pPr>
            <w:r>
              <w:t>16</w:t>
            </w:r>
          </w:p>
        </w:tc>
        <w:tc>
          <w:tcPr>
            <w:tcW w:w="794" w:type="dxa"/>
          </w:tcPr>
          <w:p w14:paraId="59697D52" w14:textId="77777777" w:rsidR="00C424E5" w:rsidRDefault="00C424E5">
            <w:pPr>
              <w:cnfStyle w:val="000000000000" w:firstRow="0" w:lastRow="0" w:firstColumn="0" w:lastColumn="0" w:oddVBand="0" w:evenVBand="0" w:oddHBand="0" w:evenHBand="0" w:firstRowFirstColumn="0" w:firstRowLastColumn="0" w:lastRowFirstColumn="0" w:lastRowLastColumn="0"/>
            </w:pPr>
            <w:r>
              <w:t>16</w:t>
            </w:r>
          </w:p>
        </w:tc>
        <w:tc>
          <w:tcPr>
            <w:tcW w:w="794" w:type="dxa"/>
          </w:tcPr>
          <w:p w14:paraId="3EF99864" w14:textId="77777777" w:rsidR="00C424E5" w:rsidRDefault="00C424E5">
            <w:pPr>
              <w:cnfStyle w:val="000000000000" w:firstRow="0" w:lastRow="0" w:firstColumn="0" w:lastColumn="0" w:oddVBand="0" w:evenVBand="0" w:oddHBand="0" w:evenHBand="0" w:firstRowFirstColumn="0" w:firstRowLastColumn="0" w:lastRowFirstColumn="0" w:lastRowLastColumn="0"/>
            </w:pPr>
            <w:r>
              <w:t>16</w:t>
            </w:r>
          </w:p>
        </w:tc>
        <w:tc>
          <w:tcPr>
            <w:tcW w:w="794" w:type="dxa"/>
          </w:tcPr>
          <w:p w14:paraId="085819DC" w14:textId="77777777" w:rsidR="00C424E5" w:rsidRDefault="00C424E5">
            <w:pPr>
              <w:cnfStyle w:val="000000000000" w:firstRow="0" w:lastRow="0" w:firstColumn="0" w:lastColumn="0" w:oddVBand="0" w:evenVBand="0" w:oddHBand="0" w:evenHBand="0" w:firstRowFirstColumn="0" w:firstRowLastColumn="0" w:lastRowFirstColumn="0" w:lastRowLastColumn="0"/>
            </w:pPr>
            <w:r>
              <w:t>16</w:t>
            </w:r>
          </w:p>
        </w:tc>
      </w:tr>
      <w:tr w:rsidR="00C424E5" w14:paraId="73238D5B"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016AF295" w14:textId="77777777" w:rsidR="00C424E5" w:rsidRDefault="00C424E5">
            <w:r>
              <w:t>Intangible produced assets</w:t>
            </w:r>
            <w:r>
              <w:rPr>
                <w:vertAlign w:val="superscript"/>
              </w:rPr>
              <w:t xml:space="preserve"> (b)</w:t>
            </w:r>
          </w:p>
        </w:tc>
        <w:tc>
          <w:tcPr>
            <w:tcW w:w="794" w:type="dxa"/>
            <w:tcBorders>
              <w:bottom w:val="single" w:sz="6" w:space="0" w:color="auto"/>
            </w:tcBorders>
          </w:tcPr>
          <w:p w14:paraId="7EE8FA11" w14:textId="77777777" w:rsidR="00C424E5" w:rsidRDefault="00C424E5">
            <w:pPr>
              <w:cnfStyle w:val="000000000000" w:firstRow="0" w:lastRow="0" w:firstColumn="0" w:lastColumn="0" w:oddVBand="0" w:evenVBand="0" w:oddHBand="0" w:evenHBand="0" w:firstRowFirstColumn="0" w:firstRowLastColumn="0" w:lastRowFirstColumn="0" w:lastRowLastColumn="0"/>
            </w:pPr>
            <w:r>
              <w:t>277</w:t>
            </w:r>
          </w:p>
        </w:tc>
        <w:tc>
          <w:tcPr>
            <w:tcW w:w="794" w:type="dxa"/>
            <w:tcBorders>
              <w:bottom w:val="single" w:sz="6" w:space="0" w:color="auto"/>
            </w:tcBorders>
          </w:tcPr>
          <w:p w14:paraId="4ACE6A5E" w14:textId="77777777" w:rsidR="00C424E5" w:rsidRDefault="00C424E5">
            <w:pPr>
              <w:cnfStyle w:val="000000000000" w:firstRow="0" w:lastRow="0" w:firstColumn="0" w:lastColumn="0" w:oddVBand="0" w:evenVBand="0" w:oddHBand="0" w:evenHBand="0" w:firstRowFirstColumn="0" w:firstRowLastColumn="0" w:lastRowFirstColumn="0" w:lastRowLastColumn="0"/>
            </w:pPr>
            <w:r>
              <w:t>298</w:t>
            </w:r>
          </w:p>
        </w:tc>
        <w:tc>
          <w:tcPr>
            <w:tcW w:w="794" w:type="dxa"/>
            <w:tcBorders>
              <w:bottom w:val="single" w:sz="6" w:space="0" w:color="auto"/>
            </w:tcBorders>
          </w:tcPr>
          <w:p w14:paraId="6BD377D4" w14:textId="77777777" w:rsidR="00C424E5" w:rsidRDefault="00C424E5">
            <w:pPr>
              <w:cnfStyle w:val="000000000000" w:firstRow="0" w:lastRow="0" w:firstColumn="0" w:lastColumn="0" w:oddVBand="0" w:evenVBand="0" w:oddHBand="0" w:evenHBand="0" w:firstRowFirstColumn="0" w:firstRowLastColumn="0" w:lastRowFirstColumn="0" w:lastRowLastColumn="0"/>
            </w:pPr>
            <w:r>
              <w:t>297</w:t>
            </w:r>
          </w:p>
        </w:tc>
        <w:tc>
          <w:tcPr>
            <w:tcW w:w="794" w:type="dxa"/>
            <w:tcBorders>
              <w:bottom w:val="single" w:sz="6" w:space="0" w:color="auto"/>
            </w:tcBorders>
          </w:tcPr>
          <w:p w14:paraId="2AA8FE7F" w14:textId="77777777" w:rsidR="00C424E5" w:rsidRDefault="00C424E5">
            <w:pPr>
              <w:cnfStyle w:val="000000000000" w:firstRow="0" w:lastRow="0" w:firstColumn="0" w:lastColumn="0" w:oddVBand="0" w:evenVBand="0" w:oddHBand="0" w:evenHBand="0" w:firstRowFirstColumn="0" w:firstRowLastColumn="0" w:lastRowFirstColumn="0" w:lastRowLastColumn="0"/>
            </w:pPr>
            <w:r>
              <w:t>304</w:t>
            </w:r>
          </w:p>
        </w:tc>
        <w:tc>
          <w:tcPr>
            <w:tcW w:w="794" w:type="dxa"/>
            <w:tcBorders>
              <w:bottom w:val="single" w:sz="6" w:space="0" w:color="auto"/>
            </w:tcBorders>
          </w:tcPr>
          <w:p w14:paraId="303818FE" w14:textId="77777777" w:rsidR="00C424E5" w:rsidRDefault="00C424E5">
            <w:pPr>
              <w:cnfStyle w:val="000000000000" w:firstRow="0" w:lastRow="0" w:firstColumn="0" w:lastColumn="0" w:oddVBand="0" w:evenVBand="0" w:oddHBand="0" w:evenHBand="0" w:firstRowFirstColumn="0" w:firstRowLastColumn="0" w:lastRowFirstColumn="0" w:lastRowLastColumn="0"/>
            </w:pPr>
            <w:r>
              <w:t>306</w:t>
            </w:r>
          </w:p>
        </w:tc>
      </w:tr>
      <w:tr w:rsidR="00C424E5" w14:paraId="0ED393FF"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35F2C808" w14:textId="77777777" w:rsidR="00C424E5" w:rsidRDefault="00C424E5">
            <w:r>
              <w:rPr>
                <w:b/>
              </w:rPr>
              <w:t>Total depreciation</w:t>
            </w:r>
          </w:p>
        </w:tc>
        <w:tc>
          <w:tcPr>
            <w:tcW w:w="794" w:type="dxa"/>
            <w:tcBorders>
              <w:top w:val="single" w:sz="6" w:space="0" w:color="auto"/>
              <w:bottom w:val="single" w:sz="12" w:space="0" w:color="auto"/>
            </w:tcBorders>
          </w:tcPr>
          <w:p w14:paraId="3DF0AB01"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4 650</w:t>
            </w:r>
          </w:p>
        </w:tc>
        <w:tc>
          <w:tcPr>
            <w:tcW w:w="794" w:type="dxa"/>
            <w:tcBorders>
              <w:top w:val="single" w:sz="6" w:space="0" w:color="auto"/>
              <w:bottom w:val="single" w:sz="12" w:space="0" w:color="auto"/>
            </w:tcBorders>
          </w:tcPr>
          <w:p w14:paraId="54DD25DF"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4 712</w:t>
            </w:r>
          </w:p>
        </w:tc>
        <w:tc>
          <w:tcPr>
            <w:tcW w:w="794" w:type="dxa"/>
            <w:tcBorders>
              <w:top w:val="single" w:sz="6" w:space="0" w:color="auto"/>
              <w:bottom w:val="single" w:sz="12" w:space="0" w:color="auto"/>
            </w:tcBorders>
          </w:tcPr>
          <w:p w14:paraId="4302B40D"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4 712</w:t>
            </w:r>
          </w:p>
        </w:tc>
        <w:tc>
          <w:tcPr>
            <w:tcW w:w="794" w:type="dxa"/>
            <w:tcBorders>
              <w:top w:val="single" w:sz="6" w:space="0" w:color="auto"/>
              <w:bottom w:val="single" w:sz="12" w:space="0" w:color="auto"/>
            </w:tcBorders>
          </w:tcPr>
          <w:p w14:paraId="59C240F8"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4 826</w:t>
            </w:r>
          </w:p>
        </w:tc>
        <w:tc>
          <w:tcPr>
            <w:tcW w:w="794" w:type="dxa"/>
            <w:tcBorders>
              <w:top w:val="single" w:sz="6" w:space="0" w:color="auto"/>
              <w:bottom w:val="single" w:sz="12" w:space="0" w:color="auto"/>
            </w:tcBorders>
          </w:tcPr>
          <w:p w14:paraId="0C4359AA" w14:textId="51E82D65" w:rsidR="00C424E5" w:rsidRDefault="00C424E5">
            <w:pPr>
              <w:cnfStyle w:val="000000000000" w:firstRow="0" w:lastRow="0" w:firstColumn="0" w:lastColumn="0" w:oddVBand="0" w:evenVBand="0" w:oddHBand="0" w:evenHBand="0" w:firstRowFirstColumn="0" w:firstRowLastColumn="0" w:lastRowFirstColumn="0" w:lastRowLastColumn="0"/>
            </w:pPr>
            <w:r>
              <w:rPr>
                <w:b/>
              </w:rPr>
              <w:t>5 090</w:t>
            </w:r>
          </w:p>
        </w:tc>
      </w:tr>
    </w:tbl>
    <w:p w14:paraId="65E14AD1" w14:textId="77777777" w:rsidR="00C424E5" w:rsidRPr="003A1BED" w:rsidRDefault="00C424E5" w:rsidP="006206EF">
      <w:pPr>
        <w:pStyle w:val="Note"/>
        <w:ind w:left="0" w:firstLine="0"/>
      </w:pPr>
      <w:r w:rsidRPr="003A1BED">
        <w:t>Notes:</w:t>
      </w:r>
    </w:p>
    <w:p w14:paraId="0F002213" w14:textId="77777777" w:rsidR="00C424E5" w:rsidRPr="003A1BED" w:rsidRDefault="00C424E5" w:rsidP="006206EF">
      <w:pPr>
        <w:pStyle w:val="Note"/>
      </w:pPr>
      <w:r w:rsidRPr="003A1BED">
        <w:t>(a)</w:t>
      </w:r>
      <w:r w:rsidRPr="003A1BED">
        <w:tab/>
        <w:t>Includes estimated depreciation on amounts not yet allocated to projects in 202</w:t>
      </w:r>
      <w:r>
        <w:t>2</w:t>
      </w:r>
      <w:r w:rsidRPr="003A1BED">
        <w:t>-2</w:t>
      </w:r>
      <w:r>
        <w:t>3</w:t>
      </w:r>
      <w:r w:rsidRPr="003A1BED">
        <w:t xml:space="preserve"> to 202</w:t>
      </w:r>
      <w:r>
        <w:t>5</w:t>
      </w:r>
      <w:r w:rsidRPr="003A1BED">
        <w:t>-2</w:t>
      </w:r>
      <w:r>
        <w:t>6</w:t>
      </w:r>
      <w:r w:rsidRPr="003A1BED">
        <w:t>.</w:t>
      </w:r>
    </w:p>
    <w:p w14:paraId="1327E6D5" w14:textId="77777777" w:rsidR="00C424E5" w:rsidRPr="003A1BED" w:rsidRDefault="00C424E5" w:rsidP="006206EF">
      <w:pPr>
        <w:pStyle w:val="Note"/>
      </w:pPr>
      <w:r w:rsidRPr="003A1BED">
        <w:t>(b)</w:t>
      </w:r>
      <w:r w:rsidRPr="003A1BED">
        <w:tab/>
        <w:t>Amortisation of intangible non-produced assets is included under other gains/(losses) from other economic flows.</w:t>
      </w:r>
    </w:p>
    <w:p w14:paraId="7CCF2821" w14:textId="77777777" w:rsidR="00C424E5" w:rsidRDefault="00C424E5" w:rsidP="006206EF"/>
    <w:p w14:paraId="32438761" w14:textId="77777777" w:rsidR="00C424E5" w:rsidRPr="003A1BED" w:rsidRDefault="00C424E5" w:rsidP="006206EF"/>
    <w:p w14:paraId="63AD64C9" w14:textId="77777777" w:rsidR="00C424E5" w:rsidRPr="003A1BED" w:rsidRDefault="00C424E5" w:rsidP="006206EF">
      <w:pPr>
        <w:keepNext/>
      </w:pPr>
      <w:r w:rsidRPr="003A1BED">
        <w:lastRenderedPageBreak/>
        <w:t>The following two tables are subsets of total depreciation expense.</w:t>
      </w:r>
    </w:p>
    <w:p w14:paraId="0E0056FA" w14:textId="77777777" w:rsidR="00C424E5" w:rsidRDefault="00C424E5" w:rsidP="006206EF">
      <w:pPr>
        <w:pStyle w:val="TableHeading"/>
      </w:pPr>
      <w:r w:rsidRPr="003A1BED">
        <w:t>Depreciation of right-of-use (leased) assets</w:t>
      </w:r>
      <w:r w:rsidRPr="003A1BED">
        <w:tab/>
        <w:t>($ million)</w:t>
      </w:r>
    </w:p>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F70B1C" w14:paraId="56F29012" w14:textId="77777777" w:rsidTr="00A836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3E157423" w14:textId="1488F3E6" w:rsidR="00F70B1C" w:rsidRDefault="00F70B1C"/>
        </w:tc>
        <w:tc>
          <w:tcPr>
            <w:tcW w:w="794" w:type="dxa"/>
          </w:tcPr>
          <w:p w14:paraId="581528D9" w14:textId="5550854F" w:rsidR="00F70B1C" w:rsidRDefault="00F70B1C" w:rsidP="008E2750">
            <w:pPr>
              <w:cnfStyle w:val="100000000000" w:firstRow="1" w:lastRow="0" w:firstColumn="0" w:lastColumn="0" w:oddVBand="0" w:evenVBand="0" w:oddHBand="0" w:evenHBand="0" w:firstRowFirstColumn="0" w:firstRowLastColumn="0" w:lastRowFirstColumn="0" w:lastRowLastColumn="0"/>
            </w:pPr>
            <w:r>
              <w:t>2022</w:t>
            </w:r>
            <w:r>
              <w:noBreakHyphen/>
              <w:t>23</w:t>
            </w:r>
            <w:r>
              <w:rPr>
                <w:i w:val="0"/>
              </w:rPr>
              <w:br/>
            </w:r>
            <w:r>
              <w:t>budget</w:t>
            </w:r>
          </w:p>
        </w:tc>
        <w:tc>
          <w:tcPr>
            <w:tcW w:w="794" w:type="dxa"/>
          </w:tcPr>
          <w:p w14:paraId="3ECCE745" w14:textId="47C80F9D" w:rsidR="00F70B1C" w:rsidRDefault="00F70B1C" w:rsidP="0010744E">
            <w:pPr>
              <w:cnfStyle w:val="100000000000" w:firstRow="1" w:lastRow="0" w:firstColumn="0" w:lastColumn="0" w:oddVBand="0" w:evenVBand="0" w:oddHBand="0" w:evenHBand="0" w:firstRowFirstColumn="0" w:firstRowLastColumn="0" w:lastRowFirstColumn="0" w:lastRowLastColumn="0"/>
            </w:pPr>
            <w:r>
              <w:t>2022</w:t>
            </w:r>
            <w:r>
              <w:noBreakHyphen/>
              <w:t>23</w:t>
            </w:r>
            <w:r>
              <w:rPr>
                <w:i w:val="0"/>
              </w:rPr>
              <w:br/>
            </w:r>
            <w:r>
              <w:t>revised</w:t>
            </w:r>
          </w:p>
        </w:tc>
        <w:tc>
          <w:tcPr>
            <w:tcW w:w="794" w:type="dxa"/>
          </w:tcPr>
          <w:p w14:paraId="55D1251F" w14:textId="1DFA07FB" w:rsidR="00F70B1C" w:rsidRDefault="00F70B1C" w:rsidP="000157A2">
            <w:pPr>
              <w:cnfStyle w:val="100000000000" w:firstRow="1" w:lastRow="0" w:firstColumn="0" w:lastColumn="0" w:oddVBand="0" w:evenVBand="0" w:oddHBand="0" w:evenHBand="0" w:firstRowFirstColumn="0" w:firstRowLastColumn="0" w:lastRowFirstColumn="0" w:lastRowLastColumn="0"/>
            </w:pPr>
            <w:r>
              <w:t>2023</w:t>
            </w:r>
            <w:r>
              <w:noBreakHyphen/>
              <w:t>24</w:t>
            </w:r>
            <w:r>
              <w:rPr>
                <w:i w:val="0"/>
              </w:rPr>
              <w:br/>
            </w:r>
            <w:r>
              <w:t>estimate</w:t>
            </w:r>
          </w:p>
        </w:tc>
        <w:tc>
          <w:tcPr>
            <w:tcW w:w="794" w:type="dxa"/>
          </w:tcPr>
          <w:p w14:paraId="5389F50C" w14:textId="4F546238" w:rsidR="00F70B1C" w:rsidRDefault="00F70B1C" w:rsidP="00F068D9">
            <w:pPr>
              <w:cnfStyle w:val="100000000000" w:firstRow="1" w:lastRow="0" w:firstColumn="0" w:lastColumn="0" w:oddVBand="0" w:evenVBand="0" w:oddHBand="0" w:evenHBand="0" w:firstRowFirstColumn="0" w:firstRowLastColumn="0" w:lastRowFirstColumn="0" w:lastRowLastColumn="0"/>
            </w:pPr>
            <w:r>
              <w:t>2024</w:t>
            </w:r>
            <w:r>
              <w:noBreakHyphen/>
              <w:t>25</w:t>
            </w:r>
            <w:r>
              <w:rPr>
                <w:i w:val="0"/>
              </w:rPr>
              <w:br/>
            </w:r>
            <w:r>
              <w:t>estimate</w:t>
            </w:r>
          </w:p>
        </w:tc>
        <w:tc>
          <w:tcPr>
            <w:tcW w:w="794" w:type="dxa"/>
          </w:tcPr>
          <w:p w14:paraId="6E8A9E94" w14:textId="4D8BC9E2" w:rsidR="00F70B1C" w:rsidRDefault="00F70B1C" w:rsidP="00673E9D">
            <w:pPr>
              <w:cnfStyle w:val="100000000000" w:firstRow="1" w:lastRow="0" w:firstColumn="0" w:lastColumn="0" w:oddVBand="0" w:evenVBand="0" w:oddHBand="0" w:evenHBand="0" w:firstRowFirstColumn="0" w:firstRowLastColumn="0" w:lastRowFirstColumn="0" w:lastRowLastColumn="0"/>
            </w:pPr>
            <w:r>
              <w:t>2025</w:t>
            </w:r>
            <w:r>
              <w:noBreakHyphen/>
              <w:t>26</w:t>
            </w:r>
            <w:r>
              <w:rPr>
                <w:i w:val="0"/>
              </w:rPr>
              <w:br/>
            </w:r>
            <w:r>
              <w:t>estimate</w:t>
            </w:r>
          </w:p>
        </w:tc>
      </w:tr>
      <w:tr w:rsidR="00C424E5" w14:paraId="163AF887" w14:textId="77777777">
        <w:tc>
          <w:tcPr>
            <w:cnfStyle w:val="001000000000" w:firstRow="0" w:lastRow="0" w:firstColumn="1" w:lastColumn="0" w:oddVBand="0" w:evenVBand="0" w:oddHBand="0" w:evenHBand="0" w:firstRowFirstColumn="0" w:firstRowLastColumn="0" w:lastRowFirstColumn="0" w:lastRowLastColumn="0"/>
            <w:tcW w:w="3740" w:type="dxa"/>
          </w:tcPr>
          <w:p w14:paraId="1ADC12D5" w14:textId="77777777" w:rsidR="00C424E5" w:rsidRDefault="00C424E5">
            <w:r>
              <w:t>Buildings</w:t>
            </w:r>
          </w:p>
        </w:tc>
        <w:tc>
          <w:tcPr>
            <w:tcW w:w="794" w:type="dxa"/>
          </w:tcPr>
          <w:p w14:paraId="07CB31DA" w14:textId="77777777" w:rsidR="00C424E5" w:rsidRDefault="00C424E5">
            <w:pPr>
              <w:cnfStyle w:val="000000000000" w:firstRow="0" w:lastRow="0" w:firstColumn="0" w:lastColumn="0" w:oddVBand="0" w:evenVBand="0" w:oddHBand="0" w:evenHBand="0" w:firstRowFirstColumn="0" w:firstRowLastColumn="0" w:lastRowFirstColumn="0" w:lastRowLastColumn="0"/>
            </w:pPr>
            <w:r>
              <w:t>768</w:t>
            </w:r>
          </w:p>
        </w:tc>
        <w:tc>
          <w:tcPr>
            <w:tcW w:w="794" w:type="dxa"/>
          </w:tcPr>
          <w:p w14:paraId="19441BB7" w14:textId="77777777" w:rsidR="00C424E5" w:rsidRDefault="00C424E5">
            <w:pPr>
              <w:cnfStyle w:val="000000000000" w:firstRow="0" w:lastRow="0" w:firstColumn="0" w:lastColumn="0" w:oddVBand="0" w:evenVBand="0" w:oddHBand="0" w:evenHBand="0" w:firstRowFirstColumn="0" w:firstRowLastColumn="0" w:lastRowFirstColumn="0" w:lastRowLastColumn="0"/>
            </w:pPr>
            <w:r>
              <w:t>764</w:t>
            </w:r>
          </w:p>
        </w:tc>
        <w:tc>
          <w:tcPr>
            <w:tcW w:w="794" w:type="dxa"/>
          </w:tcPr>
          <w:p w14:paraId="64E7F2B3" w14:textId="77777777" w:rsidR="00C424E5" w:rsidRDefault="00C424E5">
            <w:pPr>
              <w:cnfStyle w:val="000000000000" w:firstRow="0" w:lastRow="0" w:firstColumn="0" w:lastColumn="0" w:oddVBand="0" w:evenVBand="0" w:oddHBand="0" w:evenHBand="0" w:firstRowFirstColumn="0" w:firstRowLastColumn="0" w:lastRowFirstColumn="0" w:lastRowLastColumn="0"/>
            </w:pPr>
            <w:r>
              <w:t>742</w:t>
            </w:r>
          </w:p>
        </w:tc>
        <w:tc>
          <w:tcPr>
            <w:tcW w:w="794" w:type="dxa"/>
          </w:tcPr>
          <w:p w14:paraId="3156B836" w14:textId="77777777" w:rsidR="00C424E5" w:rsidRDefault="00C424E5">
            <w:pPr>
              <w:cnfStyle w:val="000000000000" w:firstRow="0" w:lastRow="0" w:firstColumn="0" w:lastColumn="0" w:oddVBand="0" w:evenVBand="0" w:oddHBand="0" w:evenHBand="0" w:firstRowFirstColumn="0" w:firstRowLastColumn="0" w:lastRowFirstColumn="0" w:lastRowLastColumn="0"/>
            </w:pPr>
            <w:r>
              <w:t>783</w:t>
            </w:r>
          </w:p>
        </w:tc>
        <w:tc>
          <w:tcPr>
            <w:tcW w:w="794" w:type="dxa"/>
          </w:tcPr>
          <w:p w14:paraId="66E5BAC5" w14:textId="77777777" w:rsidR="00C424E5" w:rsidRDefault="00C424E5">
            <w:pPr>
              <w:cnfStyle w:val="000000000000" w:firstRow="0" w:lastRow="0" w:firstColumn="0" w:lastColumn="0" w:oddVBand="0" w:evenVBand="0" w:oddHBand="0" w:evenHBand="0" w:firstRowFirstColumn="0" w:firstRowLastColumn="0" w:lastRowFirstColumn="0" w:lastRowLastColumn="0"/>
            </w:pPr>
            <w:r>
              <w:t>761</w:t>
            </w:r>
          </w:p>
        </w:tc>
      </w:tr>
      <w:tr w:rsidR="00C424E5" w14:paraId="14163EA3" w14:textId="77777777">
        <w:tc>
          <w:tcPr>
            <w:cnfStyle w:val="001000000000" w:firstRow="0" w:lastRow="0" w:firstColumn="1" w:lastColumn="0" w:oddVBand="0" w:evenVBand="0" w:oddHBand="0" w:evenHBand="0" w:firstRowFirstColumn="0" w:firstRowLastColumn="0" w:lastRowFirstColumn="0" w:lastRowLastColumn="0"/>
            <w:tcW w:w="3740" w:type="dxa"/>
          </w:tcPr>
          <w:p w14:paraId="6F5D082A" w14:textId="77777777" w:rsidR="00C424E5" w:rsidRDefault="00C424E5">
            <w:r>
              <w:t>Plant, equipment and vehicles</w:t>
            </w:r>
          </w:p>
        </w:tc>
        <w:tc>
          <w:tcPr>
            <w:tcW w:w="794" w:type="dxa"/>
          </w:tcPr>
          <w:p w14:paraId="5F0F2B24" w14:textId="77777777" w:rsidR="00C424E5" w:rsidRDefault="00C424E5">
            <w:pPr>
              <w:cnfStyle w:val="000000000000" w:firstRow="0" w:lastRow="0" w:firstColumn="0" w:lastColumn="0" w:oddVBand="0" w:evenVBand="0" w:oddHBand="0" w:evenHBand="0" w:firstRowFirstColumn="0" w:firstRowLastColumn="0" w:lastRowFirstColumn="0" w:lastRowLastColumn="0"/>
            </w:pPr>
            <w:r>
              <w:t>125</w:t>
            </w:r>
          </w:p>
        </w:tc>
        <w:tc>
          <w:tcPr>
            <w:tcW w:w="794" w:type="dxa"/>
          </w:tcPr>
          <w:p w14:paraId="63F6F5E4" w14:textId="77777777" w:rsidR="00C424E5" w:rsidRDefault="00C424E5">
            <w:pPr>
              <w:cnfStyle w:val="000000000000" w:firstRow="0" w:lastRow="0" w:firstColumn="0" w:lastColumn="0" w:oddVBand="0" w:evenVBand="0" w:oddHBand="0" w:evenHBand="0" w:firstRowFirstColumn="0" w:firstRowLastColumn="0" w:lastRowFirstColumn="0" w:lastRowLastColumn="0"/>
            </w:pPr>
            <w:r>
              <w:t>127</w:t>
            </w:r>
          </w:p>
        </w:tc>
        <w:tc>
          <w:tcPr>
            <w:tcW w:w="794" w:type="dxa"/>
          </w:tcPr>
          <w:p w14:paraId="144428A9" w14:textId="77777777" w:rsidR="00C424E5" w:rsidRDefault="00C424E5">
            <w:pPr>
              <w:cnfStyle w:val="000000000000" w:firstRow="0" w:lastRow="0" w:firstColumn="0" w:lastColumn="0" w:oddVBand="0" w:evenVBand="0" w:oddHBand="0" w:evenHBand="0" w:firstRowFirstColumn="0" w:firstRowLastColumn="0" w:lastRowFirstColumn="0" w:lastRowLastColumn="0"/>
            </w:pPr>
            <w:r>
              <w:t>125</w:t>
            </w:r>
          </w:p>
        </w:tc>
        <w:tc>
          <w:tcPr>
            <w:tcW w:w="794" w:type="dxa"/>
          </w:tcPr>
          <w:p w14:paraId="15D8A667" w14:textId="77777777" w:rsidR="00C424E5" w:rsidRDefault="00C424E5">
            <w:pPr>
              <w:cnfStyle w:val="000000000000" w:firstRow="0" w:lastRow="0" w:firstColumn="0" w:lastColumn="0" w:oddVBand="0" w:evenVBand="0" w:oddHBand="0" w:evenHBand="0" w:firstRowFirstColumn="0" w:firstRowLastColumn="0" w:lastRowFirstColumn="0" w:lastRowLastColumn="0"/>
            </w:pPr>
            <w:r>
              <w:t>123</w:t>
            </w:r>
          </w:p>
        </w:tc>
        <w:tc>
          <w:tcPr>
            <w:tcW w:w="794" w:type="dxa"/>
          </w:tcPr>
          <w:p w14:paraId="33746A14" w14:textId="77777777" w:rsidR="00C424E5" w:rsidRDefault="00C424E5">
            <w:pPr>
              <w:cnfStyle w:val="000000000000" w:firstRow="0" w:lastRow="0" w:firstColumn="0" w:lastColumn="0" w:oddVBand="0" w:evenVBand="0" w:oddHBand="0" w:evenHBand="0" w:firstRowFirstColumn="0" w:firstRowLastColumn="0" w:lastRowFirstColumn="0" w:lastRowLastColumn="0"/>
            </w:pPr>
            <w:r>
              <w:t>124</w:t>
            </w:r>
          </w:p>
        </w:tc>
      </w:tr>
      <w:tr w:rsidR="00C424E5" w14:paraId="5B1E4CD7"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346D9DA0" w14:textId="77777777" w:rsidR="00C424E5" w:rsidRDefault="00C424E5">
            <w:r>
              <w:rPr>
                <w:b/>
              </w:rPr>
              <w:t>Total depreciation of right</w:t>
            </w:r>
            <w:r>
              <w:rPr>
                <w:b/>
              </w:rPr>
              <w:noBreakHyphen/>
              <w:t>of</w:t>
            </w:r>
            <w:r>
              <w:rPr>
                <w:b/>
              </w:rPr>
              <w:noBreakHyphen/>
              <w:t>use assets</w:t>
            </w:r>
          </w:p>
        </w:tc>
        <w:tc>
          <w:tcPr>
            <w:tcW w:w="794" w:type="dxa"/>
            <w:tcBorders>
              <w:top w:val="single" w:sz="6" w:space="0" w:color="auto"/>
              <w:bottom w:val="single" w:sz="12" w:space="0" w:color="auto"/>
            </w:tcBorders>
          </w:tcPr>
          <w:p w14:paraId="6C44D59E"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893</w:t>
            </w:r>
          </w:p>
        </w:tc>
        <w:tc>
          <w:tcPr>
            <w:tcW w:w="794" w:type="dxa"/>
            <w:tcBorders>
              <w:top w:val="single" w:sz="6" w:space="0" w:color="auto"/>
              <w:bottom w:val="single" w:sz="12" w:space="0" w:color="auto"/>
            </w:tcBorders>
          </w:tcPr>
          <w:p w14:paraId="27C40E14"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891</w:t>
            </w:r>
          </w:p>
        </w:tc>
        <w:tc>
          <w:tcPr>
            <w:tcW w:w="794" w:type="dxa"/>
            <w:tcBorders>
              <w:top w:val="single" w:sz="6" w:space="0" w:color="auto"/>
              <w:bottom w:val="single" w:sz="12" w:space="0" w:color="auto"/>
            </w:tcBorders>
          </w:tcPr>
          <w:p w14:paraId="275CDC86"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867</w:t>
            </w:r>
          </w:p>
        </w:tc>
        <w:tc>
          <w:tcPr>
            <w:tcW w:w="794" w:type="dxa"/>
            <w:tcBorders>
              <w:top w:val="single" w:sz="6" w:space="0" w:color="auto"/>
              <w:bottom w:val="single" w:sz="12" w:space="0" w:color="auto"/>
            </w:tcBorders>
          </w:tcPr>
          <w:p w14:paraId="3084D08E"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907</w:t>
            </w:r>
          </w:p>
        </w:tc>
        <w:tc>
          <w:tcPr>
            <w:tcW w:w="794" w:type="dxa"/>
            <w:tcBorders>
              <w:top w:val="single" w:sz="6" w:space="0" w:color="auto"/>
              <w:bottom w:val="single" w:sz="12" w:space="0" w:color="auto"/>
            </w:tcBorders>
          </w:tcPr>
          <w:p w14:paraId="7241A330" w14:textId="68BC229E" w:rsidR="00C424E5" w:rsidRDefault="00C424E5">
            <w:pPr>
              <w:cnfStyle w:val="000000000000" w:firstRow="0" w:lastRow="0" w:firstColumn="0" w:lastColumn="0" w:oddVBand="0" w:evenVBand="0" w:oddHBand="0" w:evenHBand="0" w:firstRowFirstColumn="0" w:firstRowLastColumn="0" w:lastRowFirstColumn="0" w:lastRowLastColumn="0"/>
            </w:pPr>
            <w:r>
              <w:rPr>
                <w:b/>
              </w:rPr>
              <w:t>884</w:t>
            </w:r>
          </w:p>
        </w:tc>
      </w:tr>
    </w:tbl>
    <w:p w14:paraId="3476BD3B" w14:textId="77777777" w:rsidR="00C424E5" w:rsidRDefault="00C424E5" w:rsidP="00A330B7"/>
    <w:p w14:paraId="4A465434" w14:textId="77777777" w:rsidR="00C424E5" w:rsidRDefault="00C424E5" w:rsidP="006206EF">
      <w:pPr>
        <w:pStyle w:val="TableHeading"/>
      </w:pPr>
      <w:r w:rsidRPr="00D804E7">
        <w:t>Depreciation of service concession assets</w:t>
      </w:r>
      <w:r w:rsidRPr="00D804E7">
        <w:tab/>
        <w:t>($ million)</w:t>
      </w:r>
    </w:p>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F70B1C" w14:paraId="43ED8852" w14:textId="77777777" w:rsidTr="00A836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07192B95" w14:textId="03976D8C" w:rsidR="00F70B1C" w:rsidRDefault="00F70B1C"/>
        </w:tc>
        <w:tc>
          <w:tcPr>
            <w:tcW w:w="794" w:type="dxa"/>
          </w:tcPr>
          <w:p w14:paraId="6BA99AB0" w14:textId="774B3D4A" w:rsidR="00F70B1C" w:rsidRDefault="00F70B1C" w:rsidP="007348DD">
            <w:pPr>
              <w:cnfStyle w:val="100000000000" w:firstRow="1" w:lastRow="0" w:firstColumn="0" w:lastColumn="0" w:oddVBand="0" w:evenVBand="0" w:oddHBand="0" w:evenHBand="0" w:firstRowFirstColumn="0" w:firstRowLastColumn="0" w:lastRowFirstColumn="0" w:lastRowLastColumn="0"/>
            </w:pPr>
            <w:r>
              <w:t>2022</w:t>
            </w:r>
            <w:r>
              <w:noBreakHyphen/>
              <w:t>23</w:t>
            </w:r>
            <w:r>
              <w:rPr>
                <w:i w:val="0"/>
              </w:rPr>
              <w:br/>
            </w:r>
            <w:r>
              <w:t>budget</w:t>
            </w:r>
          </w:p>
        </w:tc>
        <w:tc>
          <w:tcPr>
            <w:tcW w:w="794" w:type="dxa"/>
          </w:tcPr>
          <w:p w14:paraId="64A04E8B" w14:textId="3DA73123" w:rsidR="00F70B1C" w:rsidRDefault="00F70B1C" w:rsidP="0043026C">
            <w:pPr>
              <w:cnfStyle w:val="100000000000" w:firstRow="1" w:lastRow="0" w:firstColumn="0" w:lastColumn="0" w:oddVBand="0" w:evenVBand="0" w:oddHBand="0" w:evenHBand="0" w:firstRowFirstColumn="0" w:firstRowLastColumn="0" w:lastRowFirstColumn="0" w:lastRowLastColumn="0"/>
            </w:pPr>
            <w:r>
              <w:t>2022</w:t>
            </w:r>
            <w:r>
              <w:noBreakHyphen/>
              <w:t>23</w:t>
            </w:r>
            <w:r>
              <w:rPr>
                <w:i w:val="0"/>
              </w:rPr>
              <w:br/>
            </w:r>
            <w:r>
              <w:t>revised</w:t>
            </w:r>
          </w:p>
        </w:tc>
        <w:tc>
          <w:tcPr>
            <w:tcW w:w="794" w:type="dxa"/>
          </w:tcPr>
          <w:p w14:paraId="74F20708" w14:textId="08581782" w:rsidR="00F70B1C" w:rsidRDefault="00F70B1C" w:rsidP="0012718F">
            <w:pPr>
              <w:cnfStyle w:val="100000000000" w:firstRow="1" w:lastRow="0" w:firstColumn="0" w:lastColumn="0" w:oddVBand="0" w:evenVBand="0" w:oddHBand="0" w:evenHBand="0" w:firstRowFirstColumn="0" w:firstRowLastColumn="0" w:lastRowFirstColumn="0" w:lastRowLastColumn="0"/>
            </w:pPr>
            <w:r>
              <w:t>2023</w:t>
            </w:r>
            <w:r>
              <w:noBreakHyphen/>
              <w:t>24</w:t>
            </w:r>
            <w:r>
              <w:rPr>
                <w:i w:val="0"/>
              </w:rPr>
              <w:br/>
            </w:r>
            <w:r>
              <w:t>estimate</w:t>
            </w:r>
          </w:p>
        </w:tc>
        <w:tc>
          <w:tcPr>
            <w:tcW w:w="794" w:type="dxa"/>
          </w:tcPr>
          <w:p w14:paraId="0404A443" w14:textId="7E3014C5" w:rsidR="00F70B1C" w:rsidRDefault="00F70B1C" w:rsidP="00D34578">
            <w:pPr>
              <w:cnfStyle w:val="100000000000" w:firstRow="1" w:lastRow="0" w:firstColumn="0" w:lastColumn="0" w:oddVBand="0" w:evenVBand="0" w:oddHBand="0" w:evenHBand="0" w:firstRowFirstColumn="0" w:firstRowLastColumn="0" w:lastRowFirstColumn="0" w:lastRowLastColumn="0"/>
            </w:pPr>
            <w:r>
              <w:t>2024</w:t>
            </w:r>
            <w:r>
              <w:noBreakHyphen/>
              <w:t>25</w:t>
            </w:r>
            <w:r>
              <w:rPr>
                <w:i w:val="0"/>
              </w:rPr>
              <w:br/>
            </w:r>
            <w:r>
              <w:t>estimate</w:t>
            </w:r>
          </w:p>
        </w:tc>
        <w:tc>
          <w:tcPr>
            <w:tcW w:w="794" w:type="dxa"/>
          </w:tcPr>
          <w:p w14:paraId="411E569C" w14:textId="49B8A6E6" w:rsidR="00F70B1C" w:rsidRDefault="00F70B1C" w:rsidP="00595299">
            <w:pPr>
              <w:cnfStyle w:val="100000000000" w:firstRow="1" w:lastRow="0" w:firstColumn="0" w:lastColumn="0" w:oddVBand="0" w:evenVBand="0" w:oddHBand="0" w:evenHBand="0" w:firstRowFirstColumn="0" w:firstRowLastColumn="0" w:lastRowFirstColumn="0" w:lastRowLastColumn="0"/>
            </w:pPr>
            <w:r>
              <w:t>2025</w:t>
            </w:r>
            <w:r>
              <w:noBreakHyphen/>
              <w:t>26</w:t>
            </w:r>
            <w:r>
              <w:rPr>
                <w:i w:val="0"/>
              </w:rPr>
              <w:br/>
            </w:r>
            <w:r>
              <w:t>estimate</w:t>
            </w:r>
          </w:p>
        </w:tc>
      </w:tr>
      <w:tr w:rsidR="00C424E5" w14:paraId="7607C6AE" w14:textId="77777777">
        <w:tc>
          <w:tcPr>
            <w:cnfStyle w:val="001000000000" w:firstRow="0" w:lastRow="0" w:firstColumn="1" w:lastColumn="0" w:oddVBand="0" w:evenVBand="0" w:oddHBand="0" w:evenHBand="0" w:firstRowFirstColumn="0" w:firstRowLastColumn="0" w:lastRowFirstColumn="0" w:lastRowLastColumn="0"/>
            <w:tcW w:w="3740" w:type="dxa"/>
          </w:tcPr>
          <w:p w14:paraId="5B2E7E27" w14:textId="77777777" w:rsidR="00C424E5" w:rsidRDefault="00C424E5">
            <w:r>
              <w:t>Buildings</w:t>
            </w:r>
          </w:p>
        </w:tc>
        <w:tc>
          <w:tcPr>
            <w:tcW w:w="794" w:type="dxa"/>
          </w:tcPr>
          <w:p w14:paraId="21AA7CF4" w14:textId="77777777" w:rsidR="00C424E5" w:rsidRDefault="00C424E5">
            <w:pPr>
              <w:cnfStyle w:val="000000000000" w:firstRow="0" w:lastRow="0" w:firstColumn="0" w:lastColumn="0" w:oddVBand="0" w:evenVBand="0" w:oddHBand="0" w:evenHBand="0" w:firstRowFirstColumn="0" w:firstRowLastColumn="0" w:lastRowFirstColumn="0" w:lastRowLastColumn="0"/>
            </w:pPr>
            <w:r>
              <w:t>47</w:t>
            </w:r>
          </w:p>
        </w:tc>
        <w:tc>
          <w:tcPr>
            <w:tcW w:w="794" w:type="dxa"/>
          </w:tcPr>
          <w:p w14:paraId="24886DDD" w14:textId="77777777" w:rsidR="00C424E5" w:rsidRDefault="00C424E5">
            <w:pPr>
              <w:cnfStyle w:val="000000000000" w:firstRow="0" w:lastRow="0" w:firstColumn="0" w:lastColumn="0" w:oddVBand="0" w:evenVBand="0" w:oddHBand="0" w:evenHBand="0" w:firstRowFirstColumn="0" w:firstRowLastColumn="0" w:lastRowFirstColumn="0" w:lastRowLastColumn="0"/>
            </w:pPr>
            <w:r>
              <w:t>47</w:t>
            </w:r>
          </w:p>
        </w:tc>
        <w:tc>
          <w:tcPr>
            <w:tcW w:w="794" w:type="dxa"/>
          </w:tcPr>
          <w:p w14:paraId="20EB8D3B" w14:textId="77777777" w:rsidR="00C424E5" w:rsidRDefault="00C424E5">
            <w:pPr>
              <w:cnfStyle w:val="000000000000" w:firstRow="0" w:lastRow="0" w:firstColumn="0" w:lastColumn="0" w:oddVBand="0" w:evenVBand="0" w:oddHBand="0" w:evenHBand="0" w:firstRowFirstColumn="0" w:firstRowLastColumn="0" w:lastRowFirstColumn="0" w:lastRowLastColumn="0"/>
            </w:pPr>
            <w:r>
              <w:t>47</w:t>
            </w:r>
          </w:p>
        </w:tc>
        <w:tc>
          <w:tcPr>
            <w:tcW w:w="794" w:type="dxa"/>
          </w:tcPr>
          <w:p w14:paraId="0795D107" w14:textId="77777777" w:rsidR="00C424E5" w:rsidRDefault="00C424E5">
            <w:pPr>
              <w:cnfStyle w:val="000000000000" w:firstRow="0" w:lastRow="0" w:firstColumn="0" w:lastColumn="0" w:oddVBand="0" w:evenVBand="0" w:oddHBand="0" w:evenHBand="0" w:firstRowFirstColumn="0" w:firstRowLastColumn="0" w:lastRowFirstColumn="0" w:lastRowLastColumn="0"/>
            </w:pPr>
            <w:r>
              <w:t>47</w:t>
            </w:r>
          </w:p>
        </w:tc>
        <w:tc>
          <w:tcPr>
            <w:tcW w:w="794" w:type="dxa"/>
          </w:tcPr>
          <w:p w14:paraId="19809CB0" w14:textId="77777777" w:rsidR="00C424E5" w:rsidRDefault="00C424E5">
            <w:pPr>
              <w:cnfStyle w:val="000000000000" w:firstRow="0" w:lastRow="0" w:firstColumn="0" w:lastColumn="0" w:oddVBand="0" w:evenVBand="0" w:oddHBand="0" w:evenHBand="0" w:firstRowFirstColumn="0" w:firstRowLastColumn="0" w:lastRowFirstColumn="0" w:lastRowLastColumn="0"/>
            </w:pPr>
            <w:r>
              <w:t>47</w:t>
            </w:r>
          </w:p>
        </w:tc>
      </w:tr>
      <w:tr w:rsidR="00C424E5" w14:paraId="54FB5F8C" w14:textId="77777777">
        <w:tc>
          <w:tcPr>
            <w:cnfStyle w:val="001000000000" w:firstRow="0" w:lastRow="0" w:firstColumn="1" w:lastColumn="0" w:oddVBand="0" w:evenVBand="0" w:oddHBand="0" w:evenHBand="0" w:firstRowFirstColumn="0" w:firstRowLastColumn="0" w:lastRowFirstColumn="0" w:lastRowLastColumn="0"/>
            <w:tcW w:w="3740" w:type="dxa"/>
          </w:tcPr>
          <w:p w14:paraId="235DEAA3" w14:textId="77777777" w:rsidR="00C424E5" w:rsidRDefault="00C424E5">
            <w:r>
              <w:t>Plant, equipment and vehicles</w:t>
            </w:r>
          </w:p>
        </w:tc>
        <w:tc>
          <w:tcPr>
            <w:tcW w:w="794" w:type="dxa"/>
          </w:tcPr>
          <w:p w14:paraId="64FF3891" w14:textId="77777777" w:rsidR="00C424E5" w:rsidRDefault="00C424E5">
            <w:pPr>
              <w:cnfStyle w:val="000000000000" w:firstRow="0" w:lastRow="0" w:firstColumn="0" w:lastColumn="0" w:oddVBand="0" w:evenVBand="0" w:oddHBand="0" w:evenHBand="0" w:firstRowFirstColumn="0" w:firstRowLastColumn="0" w:lastRowFirstColumn="0" w:lastRowLastColumn="0"/>
            </w:pPr>
            <w:r>
              <w:t>28</w:t>
            </w:r>
          </w:p>
        </w:tc>
        <w:tc>
          <w:tcPr>
            <w:tcW w:w="794" w:type="dxa"/>
          </w:tcPr>
          <w:p w14:paraId="2E2A0C36" w14:textId="77777777" w:rsidR="00C424E5" w:rsidRDefault="00C424E5">
            <w:pPr>
              <w:cnfStyle w:val="000000000000" w:firstRow="0" w:lastRow="0" w:firstColumn="0" w:lastColumn="0" w:oddVBand="0" w:evenVBand="0" w:oddHBand="0" w:evenHBand="0" w:firstRowFirstColumn="0" w:firstRowLastColumn="0" w:lastRowFirstColumn="0" w:lastRowLastColumn="0"/>
            </w:pPr>
            <w:r>
              <w:t>28</w:t>
            </w:r>
          </w:p>
        </w:tc>
        <w:tc>
          <w:tcPr>
            <w:tcW w:w="794" w:type="dxa"/>
          </w:tcPr>
          <w:p w14:paraId="1E233EEC" w14:textId="77777777" w:rsidR="00C424E5" w:rsidRDefault="00C424E5">
            <w:pPr>
              <w:cnfStyle w:val="000000000000" w:firstRow="0" w:lastRow="0" w:firstColumn="0" w:lastColumn="0" w:oddVBand="0" w:evenVBand="0" w:oddHBand="0" w:evenHBand="0" w:firstRowFirstColumn="0" w:firstRowLastColumn="0" w:lastRowFirstColumn="0" w:lastRowLastColumn="0"/>
            </w:pPr>
            <w:r>
              <w:t>28</w:t>
            </w:r>
          </w:p>
        </w:tc>
        <w:tc>
          <w:tcPr>
            <w:tcW w:w="794" w:type="dxa"/>
          </w:tcPr>
          <w:p w14:paraId="4931AC44" w14:textId="77777777" w:rsidR="00C424E5" w:rsidRDefault="00C424E5">
            <w:pPr>
              <w:cnfStyle w:val="000000000000" w:firstRow="0" w:lastRow="0" w:firstColumn="0" w:lastColumn="0" w:oddVBand="0" w:evenVBand="0" w:oddHBand="0" w:evenHBand="0" w:firstRowFirstColumn="0" w:firstRowLastColumn="0" w:lastRowFirstColumn="0" w:lastRowLastColumn="0"/>
            </w:pPr>
            <w:r>
              <w:t>28</w:t>
            </w:r>
          </w:p>
        </w:tc>
        <w:tc>
          <w:tcPr>
            <w:tcW w:w="794" w:type="dxa"/>
          </w:tcPr>
          <w:p w14:paraId="11AA7FF4" w14:textId="77777777" w:rsidR="00C424E5" w:rsidRDefault="00C424E5">
            <w:pPr>
              <w:cnfStyle w:val="000000000000" w:firstRow="0" w:lastRow="0" w:firstColumn="0" w:lastColumn="0" w:oddVBand="0" w:evenVBand="0" w:oddHBand="0" w:evenHBand="0" w:firstRowFirstColumn="0" w:firstRowLastColumn="0" w:lastRowFirstColumn="0" w:lastRowLastColumn="0"/>
            </w:pPr>
            <w:r>
              <w:t>28</w:t>
            </w:r>
          </w:p>
        </w:tc>
      </w:tr>
      <w:tr w:rsidR="00C424E5" w14:paraId="295A92CE" w14:textId="77777777">
        <w:tc>
          <w:tcPr>
            <w:cnfStyle w:val="001000000000" w:firstRow="0" w:lastRow="0" w:firstColumn="1" w:lastColumn="0" w:oddVBand="0" w:evenVBand="0" w:oddHBand="0" w:evenHBand="0" w:firstRowFirstColumn="0" w:firstRowLastColumn="0" w:lastRowFirstColumn="0" w:lastRowLastColumn="0"/>
            <w:tcW w:w="3740" w:type="dxa"/>
          </w:tcPr>
          <w:p w14:paraId="4A8D68A2" w14:textId="77777777" w:rsidR="00C424E5" w:rsidRDefault="00C424E5">
            <w:r>
              <w:t>Roads and road infrastructure</w:t>
            </w:r>
          </w:p>
        </w:tc>
        <w:tc>
          <w:tcPr>
            <w:tcW w:w="794" w:type="dxa"/>
          </w:tcPr>
          <w:p w14:paraId="2DF3E279" w14:textId="77777777" w:rsidR="00C424E5" w:rsidRDefault="00C424E5">
            <w:pPr>
              <w:cnfStyle w:val="000000000000" w:firstRow="0" w:lastRow="0" w:firstColumn="0" w:lastColumn="0" w:oddVBand="0" w:evenVBand="0" w:oddHBand="0" w:evenHBand="0" w:firstRowFirstColumn="0" w:firstRowLastColumn="0" w:lastRowFirstColumn="0" w:lastRowLastColumn="0"/>
            </w:pPr>
            <w:r>
              <w:t>199</w:t>
            </w:r>
          </w:p>
        </w:tc>
        <w:tc>
          <w:tcPr>
            <w:tcW w:w="794" w:type="dxa"/>
          </w:tcPr>
          <w:p w14:paraId="00440AB6" w14:textId="77777777" w:rsidR="00C424E5" w:rsidRDefault="00C424E5">
            <w:pPr>
              <w:cnfStyle w:val="000000000000" w:firstRow="0" w:lastRow="0" w:firstColumn="0" w:lastColumn="0" w:oddVBand="0" w:evenVBand="0" w:oddHBand="0" w:evenHBand="0" w:firstRowFirstColumn="0" w:firstRowLastColumn="0" w:lastRowFirstColumn="0" w:lastRowLastColumn="0"/>
            </w:pPr>
            <w:r>
              <w:t>199</w:t>
            </w:r>
          </w:p>
        </w:tc>
        <w:tc>
          <w:tcPr>
            <w:tcW w:w="794" w:type="dxa"/>
          </w:tcPr>
          <w:p w14:paraId="4D5B97EC" w14:textId="77777777" w:rsidR="00C424E5" w:rsidRDefault="00C424E5">
            <w:pPr>
              <w:cnfStyle w:val="000000000000" w:firstRow="0" w:lastRow="0" w:firstColumn="0" w:lastColumn="0" w:oddVBand="0" w:evenVBand="0" w:oddHBand="0" w:evenHBand="0" w:firstRowFirstColumn="0" w:firstRowLastColumn="0" w:lastRowFirstColumn="0" w:lastRowLastColumn="0"/>
            </w:pPr>
            <w:r>
              <w:t>178</w:t>
            </w:r>
          </w:p>
        </w:tc>
        <w:tc>
          <w:tcPr>
            <w:tcW w:w="794" w:type="dxa"/>
          </w:tcPr>
          <w:p w14:paraId="4DE00E3A" w14:textId="77777777" w:rsidR="00C424E5" w:rsidRDefault="00C424E5">
            <w:pPr>
              <w:cnfStyle w:val="000000000000" w:firstRow="0" w:lastRow="0" w:firstColumn="0" w:lastColumn="0" w:oddVBand="0" w:evenVBand="0" w:oddHBand="0" w:evenHBand="0" w:firstRowFirstColumn="0" w:firstRowLastColumn="0" w:lastRowFirstColumn="0" w:lastRowLastColumn="0"/>
            </w:pPr>
            <w:r>
              <w:t>177</w:t>
            </w:r>
          </w:p>
        </w:tc>
        <w:tc>
          <w:tcPr>
            <w:tcW w:w="794" w:type="dxa"/>
          </w:tcPr>
          <w:p w14:paraId="278EB8F7" w14:textId="77777777" w:rsidR="00C424E5" w:rsidRDefault="00C424E5">
            <w:pPr>
              <w:cnfStyle w:val="000000000000" w:firstRow="0" w:lastRow="0" w:firstColumn="0" w:lastColumn="0" w:oddVBand="0" w:evenVBand="0" w:oddHBand="0" w:evenHBand="0" w:firstRowFirstColumn="0" w:firstRowLastColumn="0" w:lastRowFirstColumn="0" w:lastRowLastColumn="0"/>
            </w:pPr>
            <w:r>
              <w:t>303</w:t>
            </w:r>
          </w:p>
        </w:tc>
      </w:tr>
      <w:tr w:rsidR="00C424E5" w14:paraId="5AFFB410"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12BEAFB9" w14:textId="77777777" w:rsidR="00C424E5" w:rsidRDefault="00C424E5">
            <w:r>
              <w:t>Intangible produced assets</w:t>
            </w:r>
          </w:p>
        </w:tc>
        <w:tc>
          <w:tcPr>
            <w:tcW w:w="794" w:type="dxa"/>
            <w:tcBorders>
              <w:bottom w:val="single" w:sz="6" w:space="0" w:color="auto"/>
            </w:tcBorders>
          </w:tcPr>
          <w:p w14:paraId="3867F93D" w14:textId="77777777" w:rsidR="00C424E5" w:rsidRDefault="00C424E5">
            <w:pPr>
              <w:cnfStyle w:val="000000000000" w:firstRow="0" w:lastRow="0" w:firstColumn="0" w:lastColumn="0" w:oddVBand="0" w:evenVBand="0" w:oddHBand="0" w:evenHBand="0" w:firstRowFirstColumn="0" w:firstRowLastColumn="0" w:lastRowFirstColumn="0" w:lastRowLastColumn="0"/>
            </w:pPr>
            <w:r>
              <w:t>1</w:t>
            </w:r>
          </w:p>
        </w:tc>
        <w:tc>
          <w:tcPr>
            <w:tcW w:w="794" w:type="dxa"/>
            <w:tcBorders>
              <w:bottom w:val="single" w:sz="6" w:space="0" w:color="auto"/>
            </w:tcBorders>
          </w:tcPr>
          <w:p w14:paraId="07D1795F" w14:textId="77777777" w:rsidR="00C424E5" w:rsidRDefault="00C424E5">
            <w:pPr>
              <w:cnfStyle w:val="000000000000" w:firstRow="0" w:lastRow="0" w:firstColumn="0" w:lastColumn="0" w:oddVBand="0" w:evenVBand="0" w:oddHBand="0" w:evenHBand="0" w:firstRowFirstColumn="0" w:firstRowLastColumn="0" w:lastRowFirstColumn="0" w:lastRowLastColumn="0"/>
            </w:pPr>
            <w:r>
              <w:t>1</w:t>
            </w:r>
          </w:p>
        </w:tc>
        <w:tc>
          <w:tcPr>
            <w:tcW w:w="794" w:type="dxa"/>
            <w:tcBorders>
              <w:bottom w:val="single" w:sz="6" w:space="0" w:color="auto"/>
            </w:tcBorders>
          </w:tcPr>
          <w:p w14:paraId="0A29EDAF" w14:textId="77777777" w:rsidR="00C424E5" w:rsidRDefault="00C424E5">
            <w:pPr>
              <w:cnfStyle w:val="000000000000" w:firstRow="0" w:lastRow="0" w:firstColumn="0" w:lastColumn="0" w:oddVBand="0" w:evenVBand="0" w:oddHBand="0" w:evenHBand="0" w:firstRowFirstColumn="0" w:firstRowLastColumn="0" w:lastRowFirstColumn="0" w:lastRowLastColumn="0"/>
            </w:pPr>
            <w:r>
              <w:t>1</w:t>
            </w:r>
          </w:p>
        </w:tc>
        <w:tc>
          <w:tcPr>
            <w:tcW w:w="794" w:type="dxa"/>
            <w:tcBorders>
              <w:bottom w:val="single" w:sz="6" w:space="0" w:color="auto"/>
            </w:tcBorders>
          </w:tcPr>
          <w:p w14:paraId="05900096" w14:textId="77777777" w:rsidR="00C424E5" w:rsidRDefault="00C424E5">
            <w:pPr>
              <w:cnfStyle w:val="000000000000" w:firstRow="0" w:lastRow="0" w:firstColumn="0" w:lastColumn="0" w:oddVBand="0" w:evenVBand="0" w:oddHBand="0" w:evenHBand="0" w:firstRowFirstColumn="0" w:firstRowLastColumn="0" w:lastRowFirstColumn="0" w:lastRowLastColumn="0"/>
            </w:pPr>
            <w:r>
              <w:t>1</w:t>
            </w:r>
          </w:p>
        </w:tc>
        <w:tc>
          <w:tcPr>
            <w:tcW w:w="794" w:type="dxa"/>
            <w:tcBorders>
              <w:bottom w:val="single" w:sz="6" w:space="0" w:color="auto"/>
            </w:tcBorders>
          </w:tcPr>
          <w:p w14:paraId="00731BD7" w14:textId="77777777" w:rsidR="00C424E5" w:rsidRDefault="00C424E5">
            <w:pPr>
              <w:cnfStyle w:val="000000000000" w:firstRow="0" w:lastRow="0" w:firstColumn="0" w:lastColumn="0" w:oddVBand="0" w:evenVBand="0" w:oddHBand="0" w:evenHBand="0" w:firstRowFirstColumn="0" w:firstRowLastColumn="0" w:lastRowFirstColumn="0" w:lastRowLastColumn="0"/>
            </w:pPr>
            <w:r>
              <w:t>1</w:t>
            </w:r>
          </w:p>
        </w:tc>
      </w:tr>
      <w:tr w:rsidR="00C424E5" w14:paraId="25C8AF15"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1EABA30E" w14:textId="77777777" w:rsidR="00C424E5" w:rsidRDefault="00C424E5">
            <w:r>
              <w:rPr>
                <w:b/>
              </w:rPr>
              <w:t>Total depreciation of service concession assets</w:t>
            </w:r>
          </w:p>
        </w:tc>
        <w:tc>
          <w:tcPr>
            <w:tcW w:w="794" w:type="dxa"/>
            <w:tcBorders>
              <w:top w:val="single" w:sz="6" w:space="0" w:color="auto"/>
              <w:bottom w:val="single" w:sz="12" w:space="0" w:color="auto"/>
            </w:tcBorders>
          </w:tcPr>
          <w:p w14:paraId="399B1BD7"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276</w:t>
            </w:r>
          </w:p>
        </w:tc>
        <w:tc>
          <w:tcPr>
            <w:tcW w:w="794" w:type="dxa"/>
            <w:tcBorders>
              <w:top w:val="single" w:sz="6" w:space="0" w:color="auto"/>
              <w:bottom w:val="single" w:sz="12" w:space="0" w:color="auto"/>
            </w:tcBorders>
          </w:tcPr>
          <w:p w14:paraId="0E87D316"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276</w:t>
            </w:r>
          </w:p>
        </w:tc>
        <w:tc>
          <w:tcPr>
            <w:tcW w:w="794" w:type="dxa"/>
            <w:tcBorders>
              <w:top w:val="single" w:sz="6" w:space="0" w:color="auto"/>
              <w:bottom w:val="single" w:sz="12" w:space="0" w:color="auto"/>
            </w:tcBorders>
          </w:tcPr>
          <w:p w14:paraId="0BB9AD84"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255</w:t>
            </w:r>
          </w:p>
        </w:tc>
        <w:tc>
          <w:tcPr>
            <w:tcW w:w="794" w:type="dxa"/>
            <w:tcBorders>
              <w:top w:val="single" w:sz="6" w:space="0" w:color="auto"/>
              <w:bottom w:val="single" w:sz="12" w:space="0" w:color="auto"/>
            </w:tcBorders>
          </w:tcPr>
          <w:p w14:paraId="6D424F1B"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254</w:t>
            </w:r>
          </w:p>
        </w:tc>
        <w:tc>
          <w:tcPr>
            <w:tcW w:w="794" w:type="dxa"/>
            <w:tcBorders>
              <w:top w:val="single" w:sz="6" w:space="0" w:color="auto"/>
              <w:bottom w:val="single" w:sz="12" w:space="0" w:color="auto"/>
            </w:tcBorders>
          </w:tcPr>
          <w:p w14:paraId="23E1BAD1" w14:textId="650172A1" w:rsidR="00C424E5" w:rsidRDefault="00C424E5">
            <w:pPr>
              <w:cnfStyle w:val="000000000000" w:firstRow="0" w:lastRow="0" w:firstColumn="0" w:lastColumn="0" w:oddVBand="0" w:evenVBand="0" w:oddHBand="0" w:evenHBand="0" w:firstRowFirstColumn="0" w:firstRowLastColumn="0" w:lastRowFirstColumn="0" w:lastRowLastColumn="0"/>
            </w:pPr>
            <w:r>
              <w:rPr>
                <w:b/>
              </w:rPr>
              <w:t>380</w:t>
            </w:r>
          </w:p>
        </w:tc>
      </w:tr>
    </w:tbl>
    <w:p w14:paraId="1EF1733A" w14:textId="77777777" w:rsidR="00C424E5" w:rsidRDefault="00C424E5" w:rsidP="00A330B7"/>
    <w:p w14:paraId="2FDE2D32" w14:textId="77777777" w:rsidR="00C424E5" w:rsidRDefault="00C424E5" w:rsidP="00A330B7"/>
    <w:p w14:paraId="7978A8AF" w14:textId="77777777" w:rsidR="00C424E5" w:rsidRDefault="00C424E5" w:rsidP="00A330B7">
      <w:pPr>
        <w:pStyle w:val="Heading3"/>
        <w:spacing w:after="60"/>
        <w:rPr>
          <w:sz w:val="20"/>
          <w:szCs w:val="20"/>
        </w:rPr>
      </w:pPr>
      <w:bookmarkStart w:id="73" w:name="_Toc117172330"/>
      <w:r w:rsidRPr="00A330B7">
        <w:rPr>
          <w:sz w:val="20"/>
          <w:szCs w:val="20"/>
        </w:rPr>
        <w:t xml:space="preserve">Reconciliation of movements in land, buildings, infrastructure, </w:t>
      </w:r>
      <w:r w:rsidRPr="00A330B7">
        <w:rPr>
          <w:sz w:val="20"/>
          <w:szCs w:val="20"/>
        </w:rPr>
        <w:br/>
        <w:t xml:space="preserve">plant and equipment </w:t>
      </w:r>
      <w:r w:rsidRPr="00A330B7">
        <w:rPr>
          <w:sz w:val="20"/>
          <w:szCs w:val="20"/>
          <w:vertAlign w:val="superscript"/>
        </w:rPr>
        <w:t>(a)</w:t>
      </w:r>
      <w:r w:rsidRPr="00A330B7">
        <w:rPr>
          <w:sz w:val="20"/>
          <w:szCs w:val="20"/>
        </w:rPr>
        <w:tab/>
        <w:t>($ million)</w:t>
      </w:r>
      <w:bookmarkEnd w:id="73"/>
    </w:p>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F70B1C" w14:paraId="77498613" w14:textId="77777777" w:rsidTr="00A836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24EC3364" w14:textId="67453760" w:rsidR="00F70B1C" w:rsidRDefault="00F70B1C"/>
        </w:tc>
        <w:tc>
          <w:tcPr>
            <w:tcW w:w="794" w:type="dxa"/>
          </w:tcPr>
          <w:p w14:paraId="147C59E0" w14:textId="115EC5E8" w:rsidR="00F70B1C" w:rsidRDefault="00F70B1C" w:rsidP="00477445">
            <w:pPr>
              <w:cnfStyle w:val="100000000000" w:firstRow="1" w:lastRow="0" w:firstColumn="0" w:lastColumn="0" w:oddVBand="0" w:evenVBand="0" w:oddHBand="0" w:evenHBand="0" w:firstRowFirstColumn="0" w:firstRowLastColumn="0" w:lastRowFirstColumn="0" w:lastRowLastColumn="0"/>
            </w:pPr>
            <w:r>
              <w:t>2023</w:t>
            </w:r>
            <w:r>
              <w:rPr>
                <w:i w:val="0"/>
              </w:rPr>
              <w:br/>
            </w:r>
            <w:r>
              <w:t>budget</w:t>
            </w:r>
          </w:p>
        </w:tc>
        <w:tc>
          <w:tcPr>
            <w:tcW w:w="794" w:type="dxa"/>
          </w:tcPr>
          <w:p w14:paraId="019091FD" w14:textId="1FB78BF3" w:rsidR="00F70B1C" w:rsidRDefault="00F70B1C" w:rsidP="00B040C1">
            <w:pPr>
              <w:cnfStyle w:val="100000000000" w:firstRow="1" w:lastRow="0" w:firstColumn="0" w:lastColumn="0" w:oddVBand="0" w:evenVBand="0" w:oddHBand="0" w:evenHBand="0" w:firstRowFirstColumn="0" w:firstRowLastColumn="0" w:lastRowFirstColumn="0" w:lastRowLastColumn="0"/>
            </w:pPr>
            <w:r>
              <w:t>2023</w:t>
            </w:r>
            <w:r>
              <w:rPr>
                <w:i w:val="0"/>
              </w:rPr>
              <w:br/>
            </w:r>
            <w:r>
              <w:t>revised</w:t>
            </w:r>
          </w:p>
        </w:tc>
        <w:tc>
          <w:tcPr>
            <w:tcW w:w="794" w:type="dxa"/>
          </w:tcPr>
          <w:p w14:paraId="223D3F73" w14:textId="656ED9BF" w:rsidR="00F70B1C" w:rsidRDefault="00F70B1C" w:rsidP="00DD60A2">
            <w:pPr>
              <w:cnfStyle w:val="100000000000" w:firstRow="1" w:lastRow="0" w:firstColumn="0" w:lastColumn="0" w:oddVBand="0" w:evenVBand="0" w:oddHBand="0" w:evenHBand="0" w:firstRowFirstColumn="0" w:firstRowLastColumn="0" w:lastRowFirstColumn="0" w:lastRowLastColumn="0"/>
            </w:pPr>
            <w:r>
              <w:t>2024</w:t>
            </w:r>
            <w:r>
              <w:rPr>
                <w:i w:val="0"/>
              </w:rPr>
              <w:br/>
            </w:r>
            <w:r>
              <w:t>estimate</w:t>
            </w:r>
          </w:p>
        </w:tc>
        <w:tc>
          <w:tcPr>
            <w:tcW w:w="794" w:type="dxa"/>
          </w:tcPr>
          <w:p w14:paraId="22B7DC86" w14:textId="0630EC84" w:rsidR="00F70B1C" w:rsidRDefault="00F70B1C" w:rsidP="004B16F9">
            <w:pPr>
              <w:cnfStyle w:val="100000000000" w:firstRow="1" w:lastRow="0" w:firstColumn="0" w:lastColumn="0" w:oddVBand="0" w:evenVBand="0" w:oddHBand="0" w:evenHBand="0" w:firstRowFirstColumn="0" w:firstRowLastColumn="0" w:lastRowFirstColumn="0" w:lastRowLastColumn="0"/>
            </w:pPr>
            <w:r>
              <w:t>2025</w:t>
            </w:r>
            <w:r>
              <w:rPr>
                <w:i w:val="0"/>
              </w:rPr>
              <w:br/>
            </w:r>
            <w:r>
              <w:t>estimate</w:t>
            </w:r>
          </w:p>
        </w:tc>
        <w:tc>
          <w:tcPr>
            <w:tcW w:w="794" w:type="dxa"/>
          </w:tcPr>
          <w:p w14:paraId="0293B313" w14:textId="58413814" w:rsidR="00F70B1C" w:rsidRDefault="00F70B1C" w:rsidP="00EE18C5">
            <w:pPr>
              <w:cnfStyle w:val="100000000000" w:firstRow="1" w:lastRow="0" w:firstColumn="0" w:lastColumn="0" w:oddVBand="0" w:evenVBand="0" w:oddHBand="0" w:evenHBand="0" w:firstRowFirstColumn="0" w:firstRowLastColumn="0" w:lastRowFirstColumn="0" w:lastRowLastColumn="0"/>
            </w:pPr>
            <w:r>
              <w:t>2026</w:t>
            </w:r>
            <w:r>
              <w:rPr>
                <w:i w:val="0"/>
              </w:rPr>
              <w:br/>
            </w:r>
            <w:r>
              <w:t>estimate</w:t>
            </w:r>
          </w:p>
        </w:tc>
      </w:tr>
      <w:tr w:rsidR="00C424E5" w14:paraId="73A3336E" w14:textId="77777777">
        <w:tc>
          <w:tcPr>
            <w:cnfStyle w:val="001000000000" w:firstRow="0" w:lastRow="0" w:firstColumn="1" w:lastColumn="0" w:oddVBand="0" w:evenVBand="0" w:oddHBand="0" w:evenHBand="0" w:firstRowFirstColumn="0" w:firstRowLastColumn="0" w:lastRowFirstColumn="0" w:lastRowLastColumn="0"/>
            <w:tcW w:w="3740" w:type="dxa"/>
          </w:tcPr>
          <w:p w14:paraId="7666C6CE" w14:textId="77777777" w:rsidR="00C424E5" w:rsidRDefault="00C424E5">
            <w:r>
              <w:t xml:space="preserve">Carrying amount at the start of the year </w:t>
            </w:r>
            <w:r w:rsidRPr="007C2BD9">
              <w:rPr>
                <w:sz w:val="18"/>
                <w:vertAlign w:val="superscript"/>
              </w:rPr>
              <w:t>(b)</w:t>
            </w:r>
          </w:p>
        </w:tc>
        <w:tc>
          <w:tcPr>
            <w:tcW w:w="794" w:type="dxa"/>
          </w:tcPr>
          <w:p w14:paraId="5FE5D282" w14:textId="77777777" w:rsidR="00C424E5" w:rsidRDefault="00C424E5">
            <w:pPr>
              <w:cnfStyle w:val="000000000000" w:firstRow="0" w:lastRow="0" w:firstColumn="0" w:lastColumn="0" w:oddVBand="0" w:evenVBand="0" w:oddHBand="0" w:evenHBand="0" w:firstRowFirstColumn="0" w:firstRowLastColumn="0" w:lastRowFirstColumn="0" w:lastRowLastColumn="0"/>
            </w:pPr>
            <w:r>
              <w:t>225 770</w:t>
            </w:r>
          </w:p>
        </w:tc>
        <w:tc>
          <w:tcPr>
            <w:tcW w:w="794" w:type="dxa"/>
          </w:tcPr>
          <w:p w14:paraId="0EC9A0DE" w14:textId="77777777" w:rsidR="00C424E5" w:rsidRDefault="00C424E5">
            <w:pPr>
              <w:cnfStyle w:val="000000000000" w:firstRow="0" w:lastRow="0" w:firstColumn="0" w:lastColumn="0" w:oddVBand="0" w:evenVBand="0" w:oddHBand="0" w:evenHBand="0" w:firstRowFirstColumn="0" w:firstRowLastColumn="0" w:lastRowFirstColumn="0" w:lastRowLastColumn="0"/>
            </w:pPr>
            <w:r>
              <w:t>225 771</w:t>
            </w:r>
          </w:p>
        </w:tc>
        <w:tc>
          <w:tcPr>
            <w:tcW w:w="794" w:type="dxa"/>
          </w:tcPr>
          <w:p w14:paraId="682D1DBE" w14:textId="77777777" w:rsidR="00C424E5" w:rsidRDefault="00C424E5">
            <w:pPr>
              <w:cnfStyle w:val="000000000000" w:firstRow="0" w:lastRow="0" w:firstColumn="0" w:lastColumn="0" w:oddVBand="0" w:evenVBand="0" w:oddHBand="0" w:evenHBand="0" w:firstRowFirstColumn="0" w:firstRowLastColumn="0" w:lastRowFirstColumn="0" w:lastRowLastColumn="0"/>
            </w:pPr>
            <w:r>
              <w:t>235 982</w:t>
            </w:r>
          </w:p>
        </w:tc>
        <w:tc>
          <w:tcPr>
            <w:tcW w:w="794" w:type="dxa"/>
          </w:tcPr>
          <w:p w14:paraId="25DAEB99" w14:textId="77777777" w:rsidR="00C424E5" w:rsidRDefault="00C424E5">
            <w:pPr>
              <w:cnfStyle w:val="000000000000" w:firstRow="0" w:lastRow="0" w:firstColumn="0" w:lastColumn="0" w:oddVBand="0" w:evenVBand="0" w:oddHBand="0" w:evenHBand="0" w:firstRowFirstColumn="0" w:firstRowLastColumn="0" w:lastRowFirstColumn="0" w:lastRowLastColumn="0"/>
            </w:pPr>
            <w:r>
              <w:t>250 701</w:t>
            </w:r>
          </w:p>
        </w:tc>
        <w:tc>
          <w:tcPr>
            <w:tcW w:w="794" w:type="dxa"/>
          </w:tcPr>
          <w:p w14:paraId="5A8D23CC" w14:textId="77777777" w:rsidR="00C424E5" w:rsidRDefault="00C424E5">
            <w:pPr>
              <w:cnfStyle w:val="000000000000" w:firstRow="0" w:lastRow="0" w:firstColumn="0" w:lastColumn="0" w:oddVBand="0" w:evenVBand="0" w:oddHBand="0" w:evenHBand="0" w:firstRowFirstColumn="0" w:firstRowLastColumn="0" w:lastRowFirstColumn="0" w:lastRowLastColumn="0"/>
            </w:pPr>
            <w:r>
              <w:t>267 826</w:t>
            </w:r>
          </w:p>
        </w:tc>
      </w:tr>
      <w:tr w:rsidR="00C424E5" w14:paraId="24E02950" w14:textId="77777777">
        <w:tc>
          <w:tcPr>
            <w:cnfStyle w:val="001000000000" w:firstRow="0" w:lastRow="0" w:firstColumn="1" w:lastColumn="0" w:oddVBand="0" w:evenVBand="0" w:oddHBand="0" w:evenHBand="0" w:firstRowFirstColumn="0" w:firstRowLastColumn="0" w:lastRowFirstColumn="0" w:lastRowLastColumn="0"/>
            <w:tcW w:w="3740" w:type="dxa"/>
          </w:tcPr>
          <w:p w14:paraId="56F8F97F" w14:textId="77777777" w:rsidR="00C424E5" w:rsidRDefault="00C424E5">
            <w:r>
              <w:t>Additions of self</w:t>
            </w:r>
            <w:r>
              <w:noBreakHyphen/>
              <w:t>owned assets</w:t>
            </w:r>
            <w:r>
              <w:rPr>
                <w:vertAlign w:val="superscript"/>
              </w:rPr>
              <w:t xml:space="preserve"> (c)</w:t>
            </w:r>
          </w:p>
        </w:tc>
        <w:tc>
          <w:tcPr>
            <w:tcW w:w="794" w:type="dxa"/>
          </w:tcPr>
          <w:p w14:paraId="288864C4" w14:textId="77777777" w:rsidR="00C424E5" w:rsidRDefault="00C424E5">
            <w:pPr>
              <w:cnfStyle w:val="000000000000" w:firstRow="0" w:lastRow="0" w:firstColumn="0" w:lastColumn="0" w:oddVBand="0" w:evenVBand="0" w:oddHBand="0" w:evenHBand="0" w:firstRowFirstColumn="0" w:firstRowLastColumn="0" w:lastRowFirstColumn="0" w:lastRowLastColumn="0"/>
            </w:pPr>
            <w:r>
              <w:t>15 326</w:t>
            </w:r>
          </w:p>
        </w:tc>
        <w:tc>
          <w:tcPr>
            <w:tcW w:w="794" w:type="dxa"/>
          </w:tcPr>
          <w:p w14:paraId="138E6EB3" w14:textId="77777777" w:rsidR="00C424E5" w:rsidRDefault="00C424E5">
            <w:pPr>
              <w:cnfStyle w:val="000000000000" w:firstRow="0" w:lastRow="0" w:firstColumn="0" w:lastColumn="0" w:oddVBand="0" w:evenVBand="0" w:oddHBand="0" w:evenHBand="0" w:firstRowFirstColumn="0" w:firstRowLastColumn="0" w:lastRowFirstColumn="0" w:lastRowLastColumn="0"/>
            </w:pPr>
            <w:r>
              <w:t>14 878</w:t>
            </w:r>
          </w:p>
        </w:tc>
        <w:tc>
          <w:tcPr>
            <w:tcW w:w="794" w:type="dxa"/>
          </w:tcPr>
          <w:p w14:paraId="5A39850B" w14:textId="77777777" w:rsidR="00C424E5" w:rsidRDefault="00C424E5">
            <w:pPr>
              <w:cnfStyle w:val="000000000000" w:firstRow="0" w:lastRow="0" w:firstColumn="0" w:lastColumn="0" w:oddVBand="0" w:evenVBand="0" w:oddHBand="0" w:evenHBand="0" w:firstRowFirstColumn="0" w:firstRowLastColumn="0" w:lastRowFirstColumn="0" w:lastRowLastColumn="0"/>
            </w:pPr>
            <w:r>
              <w:t>17 353</w:t>
            </w:r>
          </w:p>
        </w:tc>
        <w:tc>
          <w:tcPr>
            <w:tcW w:w="794" w:type="dxa"/>
          </w:tcPr>
          <w:p w14:paraId="6BB1E3CA" w14:textId="77777777" w:rsidR="00C424E5" w:rsidRDefault="00C424E5">
            <w:pPr>
              <w:cnfStyle w:val="000000000000" w:firstRow="0" w:lastRow="0" w:firstColumn="0" w:lastColumn="0" w:oddVBand="0" w:evenVBand="0" w:oddHBand="0" w:evenHBand="0" w:firstRowFirstColumn="0" w:firstRowLastColumn="0" w:lastRowFirstColumn="0" w:lastRowLastColumn="0"/>
            </w:pPr>
            <w:r>
              <w:t>18 560</w:t>
            </w:r>
          </w:p>
        </w:tc>
        <w:tc>
          <w:tcPr>
            <w:tcW w:w="794" w:type="dxa"/>
          </w:tcPr>
          <w:p w14:paraId="227CB2B2" w14:textId="77777777" w:rsidR="00C424E5" w:rsidRDefault="00C424E5">
            <w:pPr>
              <w:cnfStyle w:val="000000000000" w:firstRow="0" w:lastRow="0" w:firstColumn="0" w:lastColumn="0" w:oddVBand="0" w:evenVBand="0" w:oddHBand="0" w:evenHBand="0" w:firstRowFirstColumn="0" w:firstRowLastColumn="0" w:lastRowFirstColumn="0" w:lastRowLastColumn="0"/>
            </w:pPr>
            <w:r>
              <w:t>17 945</w:t>
            </w:r>
          </w:p>
        </w:tc>
      </w:tr>
      <w:tr w:rsidR="00C424E5" w14:paraId="41318843" w14:textId="77777777">
        <w:tc>
          <w:tcPr>
            <w:cnfStyle w:val="001000000000" w:firstRow="0" w:lastRow="0" w:firstColumn="1" w:lastColumn="0" w:oddVBand="0" w:evenVBand="0" w:oddHBand="0" w:evenHBand="0" w:firstRowFirstColumn="0" w:firstRowLastColumn="0" w:lastRowFirstColumn="0" w:lastRowLastColumn="0"/>
            <w:tcW w:w="3740" w:type="dxa"/>
          </w:tcPr>
          <w:p w14:paraId="469DA2F3" w14:textId="77777777" w:rsidR="00C424E5" w:rsidRDefault="00C424E5">
            <w:r>
              <w:t>Additions of right</w:t>
            </w:r>
            <w:r>
              <w:noBreakHyphen/>
              <w:t>of</w:t>
            </w:r>
            <w:r>
              <w:noBreakHyphen/>
              <w:t>use assets</w:t>
            </w:r>
          </w:p>
        </w:tc>
        <w:tc>
          <w:tcPr>
            <w:tcW w:w="794" w:type="dxa"/>
          </w:tcPr>
          <w:p w14:paraId="288129A8" w14:textId="77777777" w:rsidR="00C424E5" w:rsidRDefault="00C424E5">
            <w:pPr>
              <w:cnfStyle w:val="000000000000" w:firstRow="0" w:lastRow="0" w:firstColumn="0" w:lastColumn="0" w:oddVBand="0" w:evenVBand="0" w:oddHBand="0" w:evenHBand="0" w:firstRowFirstColumn="0" w:firstRowLastColumn="0" w:lastRowFirstColumn="0" w:lastRowLastColumn="0"/>
            </w:pPr>
            <w:r>
              <w:t>274</w:t>
            </w:r>
          </w:p>
        </w:tc>
        <w:tc>
          <w:tcPr>
            <w:tcW w:w="794" w:type="dxa"/>
          </w:tcPr>
          <w:p w14:paraId="7E27E2A7" w14:textId="77777777" w:rsidR="00C424E5" w:rsidRDefault="00C424E5">
            <w:pPr>
              <w:cnfStyle w:val="000000000000" w:firstRow="0" w:lastRow="0" w:firstColumn="0" w:lastColumn="0" w:oddVBand="0" w:evenVBand="0" w:oddHBand="0" w:evenHBand="0" w:firstRowFirstColumn="0" w:firstRowLastColumn="0" w:lastRowFirstColumn="0" w:lastRowLastColumn="0"/>
            </w:pPr>
            <w:r>
              <w:t>324</w:t>
            </w:r>
          </w:p>
        </w:tc>
        <w:tc>
          <w:tcPr>
            <w:tcW w:w="794" w:type="dxa"/>
          </w:tcPr>
          <w:p w14:paraId="5B2F0B97" w14:textId="77777777" w:rsidR="00C424E5" w:rsidRDefault="00C424E5">
            <w:pPr>
              <w:cnfStyle w:val="000000000000" w:firstRow="0" w:lastRow="0" w:firstColumn="0" w:lastColumn="0" w:oddVBand="0" w:evenVBand="0" w:oddHBand="0" w:evenHBand="0" w:firstRowFirstColumn="0" w:firstRowLastColumn="0" w:lastRowFirstColumn="0" w:lastRowLastColumn="0"/>
            </w:pPr>
            <w:r>
              <w:t>130</w:t>
            </w:r>
          </w:p>
        </w:tc>
        <w:tc>
          <w:tcPr>
            <w:tcW w:w="794" w:type="dxa"/>
          </w:tcPr>
          <w:p w14:paraId="36DC817D" w14:textId="77777777" w:rsidR="00C424E5" w:rsidRDefault="00C424E5">
            <w:pPr>
              <w:cnfStyle w:val="000000000000" w:firstRow="0" w:lastRow="0" w:firstColumn="0" w:lastColumn="0" w:oddVBand="0" w:evenVBand="0" w:oddHBand="0" w:evenHBand="0" w:firstRowFirstColumn="0" w:firstRowLastColumn="0" w:lastRowFirstColumn="0" w:lastRowLastColumn="0"/>
            </w:pPr>
            <w:r>
              <w:t>164</w:t>
            </w:r>
          </w:p>
        </w:tc>
        <w:tc>
          <w:tcPr>
            <w:tcW w:w="794" w:type="dxa"/>
          </w:tcPr>
          <w:p w14:paraId="446065E3" w14:textId="77777777" w:rsidR="00C424E5" w:rsidRDefault="00C424E5">
            <w:pPr>
              <w:cnfStyle w:val="000000000000" w:firstRow="0" w:lastRow="0" w:firstColumn="0" w:lastColumn="0" w:oddVBand="0" w:evenVBand="0" w:oddHBand="0" w:evenHBand="0" w:firstRowFirstColumn="0" w:firstRowLastColumn="0" w:lastRowFirstColumn="0" w:lastRowLastColumn="0"/>
            </w:pPr>
            <w:r>
              <w:t>135</w:t>
            </w:r>
          </w:p>
        </w:tc>
      </w:tr>
      <w:tr w:rsidR="00C424E5" w14:paraId="13788209" w14:textId="77777777">
        <w:tc>
          <w:tcPr>
            <w:cnfStyle w:val="001000000000" w:firstRow="0" w:lastRow="0" w:firstColumn="1" w:lastColumn="0" w:oddVBand="0" w:evenVBand="0" w:oddHBand="0" w:evenHBand="0" w:firstRowFirstColumn="0" w:firstRowLastColumn="0" w:lastRowFirstColumn="0" w:lastRowLastColumn="0"/>
            <w:tcW w:w="3740" w:type="dxa"/>
          </w:tcPr>
          <w:p w14:paraId="2445412B" w14:textId="77777777" w:rsidR="00C424E5" w:rsidRDefault="00C424E5">
            <w:r>
              <w:t>Additions of service concession arrangement assets</w:t>
            </w:r>
          </w:p>
        </w:tc>
        <w:tc>
          <w:tcPr>
            <w:tcW w:w="794" w:type="dxa"/>
          </w:tcPr>
          <w:p w14:paraId="0FE1C566" w14:textId="77777777" w:rsidR="00C424E5" w:rsidRDefault="00C424E5">
            <w:pPr>
              <w:cnfStyle w:val="000000000000" w:firstRow="0" w:lastRow="0" w:firstColumn="0" w:lastColumn="0" w:oddVBand="0" w:evenVBand="0" w:oddHBand="0" w:evenHBand="0" w:firstRowFirstColumn="0" w:firstRowLastColumn="0" w:lastRowFirstColumn="0" w:lastRowLastColumn="0"/>
            </w:pPr>
            <w:r>
              <w:t>2 754</w:t>
            </w:r>
          </w:p>
        </w:tc>
        <w:tc>
          <w:tcPr>
            <w:tcW w:w="794" w:type="dxa"/>
          </w:tcPr>
          <w:p w14:paraId="635E8510" w14:textId="77777777" w:rsidR="00C424E5" w:rsidRDefault="00C424E5">
            <w:pPr>
              <w:cnfStyle w:val="000000000000" w:firstRow="0" w:lastRow="0" w:firstColumn="0" w:lastColumn="0" w:oddVBand="0" w:evenVBand="0" w:oddHBand="0" w:evenHBand="0" w:firstRowFirstColumn="0" w:firstRowLastColumn="0" w:lastRowFirstColumn="0" w:lastRowLastColumn="0"/>
            </w:pPr>
            <w:r>
              <w:t>2 481</w:t>
            </w:r>
          </w:p>
        </w:tc>
        <w:tc>
          <w:tcPr>
            <w:tcW w:w="794" w:type="dxa"/>
          </w:tcPr>
          <w:p w14:paraId="3C239AB1" w14:textId="77777777" w:rsidR="00C424E5" w:rsidRDefault="00C424E5">
            <w:pPr>
              <w:cnfStyle w:val="000000000000" w:firstRow="0" w:lastRow="0" w:firstColumn="0" w:lastColumn="0" w:oddVBand="0" w:evenVBand="0" w:oddHBand="0" w:evenHBand="0" w:firstRowFirstColumn="0" w:firstRowLastColumn="0" w:lastRowFirstColumn="0" w:lastRowLastColumn="0"/>
            </w:pPr>
            <w:r>
              <w:t>2 544</w:t>
            </w:r>
          </w:p>
        </w:tc>
        <w:tc>
          <w:tcPr>
            <w:tcW w:w="794" w:type="dxa"/>
          </w:tcPr>
          <w:p w14:paraId="3CF25703" w14:textId="77777777" w:rsidR="00C424E5" w:rsidRDefault="00C424E5">
            <w:pPr>
              <w:cnfStyle w:val="000000000000" w:firstRow="0" w:lastRow="0" w:firstColumn="0" w:lastColumn="0" w:oddVBand="0" w:evenVBand="0" w:oddHBand="0" w:evenHBand="0" w:firstRowFirstColumn="0" w:firstRowLastColumn="0" w:lastRowFirstColumn="0" w:lastRowLastColumn="0"/>
            </w:pPr>
            <w:r>
              <w:t>473</w:t>
            </w:r>
          </w:p>
        </w:tc>
        <w:tc>
          <w:tcPr>
            <w:tcW w:w="794" w:type="dxa"/>
          </w:tcPr>
          <w:p w14:paraId="3800D858" w14:textId="77777777" w:rsidR="00C424E5" w:rsidRDefault="00C424E5">
            <w:pPr>
              <w:cnfStyle w:val="000000000000" w:firstRow="0" w:lastRow="0" w:firstColumn="0" w:lastColumn="0" w:oddVBand="0" w:evenVBand="0" w:oddHBand="0" w:evenHBand="0" w:firstRowFirstColumn="0" w:firstRowLastColumn="0" w:lastRowFirstColumn="0" w:lastRowLastColumn="0"/>
            </w:pPr>
            <w:r>
              <w:t>82</w:t>
            </w:r>
          </w:p>
        </w:tc>
      </w:tr>
      <w:tr w:rsidR="00C424E5" w14:paraId="1290BB29" w14:textId="77777777">
        <w:tc>
          <w:tcPr>
            <w:cnfStyle w:val="001000000000" w:firstRow="0" w:lastRow="0" w:firstColumn="1" w:lastColumn="0" w:oddVBand="0" w:evenVBand="0" w:oddHBand="0" w:evenHBand="0" w:firstRowFirstColumn="0" w:firstRowLastColumn="0" w:lastRowFirstColumn="0" w:lastRowLastColumn="0"/>
            <w:tcW w:w="3740" w:type="dxa"/>
          </w:tcPr>
          <w:p w14:paraId="1121537C" w14:textId="77777777" w:rsidR="00C424E5" w:rsidRDefault="00C424E5">
            <w:r>
              <w:t>Disposals at written down value</w:t>
            </w:r>
          </w:p>
        </w:tc>
        <w:tc>
          <w:tcPr>
            <w:tcW w:w="794" w:type="dxa"/>
          </w:tcPr>
          <w:p w14:paraId="468C8913" w14:textId="77777777" w:rsidR="00C424E5" w:rsidRDefault="00C424E5">
            <w:pPr>
              <w:cnfStyle w:val="000000000000" w:firstRow="0" w:lastRow="0" w:firstColumn="0" w:lastColumn="0" w:oddVBand="0" w:evenVBand="0" w:oddHBand="0" w:evenHBand="0" w:firstRowFirstColumn="0" w:firstRowLastColumn="0" w:lastRowFirstColumn="0" w:lastRowLastColumn="0"/>
            </w:pPr>
            <w:r>
              <w:t>(522)</w:t>
            </w:r>
          </w:p>
        </w:tc>
        <w:tc>
          <w:tcPr>
            <w:tcW w:w="794" w:type="dxa"/>
          </w:tcPr>
          <w:p w14:paraId="18736D41" w14:textId="77777777" w:rsidR="00C424E5" w:rsidRDefault="00C424E5">
            <w:pPr>
              <w:cnfStyle w:val="000000000000" w:firstRow="0" w:lastRow="0" w:firstColumn="0" w:lastColumn="0" w:oddVBand="0" w:evenVBand="0" w:oddHBand="0" w:evenHBand="0" w:firstRowFirstColumn="0" w:firstRowLastColumn="0" w:lastRowFirstColumn="0" w:lastRowLastColumn="0"/>
            </w:pPr>
            <w:r>
              <w:t>(250)</w:t>
            </w:r>
          </w:p>
        </w:tc>
        <w:tc>
          <w:tcPr>
            <w:tcW w:w="794" w:type="dxa"/>
          </w:tcPr>
          <w:p w14:paraId="1F3317CE" w14:textId="77777777" w:rsidR="00C424E5" w:rsidRDefault="00C424E5">
            <w:pPr>
              <w:cnfStyle w:val="000000000000" w:firstRow="0" w:lastRow="0" w:firstColumn="0" w:lastColumn="0" w:oddVBand="0" w:evenVBand="0" w:oddHBand="0" w:evenHBand="0" w:firstRowFirstColumn="0" w:firstRowLastColumn="0" w:lastRowFirstColumn="0" w:lastRowLastColumn="0"/>
            </w:pPr>
            <w:r>
              <w:t>(517)</w:t>
            </w:r>
          </w:p>
        </w:tc>
        <w:tc>
          <w:tcPr>
            <w:tcW w:w="794" w:type="dxa"/>
          </w:tcPr>
          <w:p w14:paraId="0624EE5D" w14:textId="77777777" w:rsidR="00C424E5" w:rsidRDefault="00C424E5">
            <w:pPr>
              <w:cnfStyle w:val="000000000000" w:firstRow="0" w:lastRow="0" w:firstColumn="0" w:lastColumn="0" w:oddVBand="0" w:evenVBand="0" w:oddHBand="0" w:evenHBand="0" w:firstRowFirstColumn="0" w:firstRowLastColumn="0" w:lastRowFirstColumn="0" w:lastRowLastColumn="0"/>
            </w:pPr>
            <w:r>
              <w:t>(510)</w:t>
            </w:r>
          </w:p>
        </w:tc>
        <w:tc>
          <w:tcPr>
            <w:tcW w:w="794" w:type="dxa"/>
          </w:tcPr>
          <w:p w14:paraId="51D925EC" w14:textId="77777777" w:rsidR="00C424E5" w:rsidRDefault="00C424E5">
            <w:pPr>
              <w:cnfStyle w:val="000000000000" w:firstRow="0" w:lastRow="0" w:firstColumn="0" w:lastColumn="0" w:oddVBand="0" w:evenVBand="0" w:oddHBand="0" w:evenHBand="0" w:firstRowFirstColumn="0" w:firstRowLastColumn="0" w:lastRowFirstColumn="0" w:lastRowLastColumn="0"/>
            </w:pPr>
            <w:r>
              <w:t>(642)</w:t>
            </w:r>
          </w:p>
        </w:tc>
      </w:tr>
      <w:tr w:rsidR="00C424E5" w14:paraId="0F82E366" w14:textId="77777777">
        <w:tc>
          <w:tcPr>
            <w:cnfStyle w:val="001000000000" w:firstRow="0" w:lastRow="0" w:firstColumn="1" w:lastColumn="0" w:oddVBand="0" w:evenVBand="0" w:oddHBand="0" w:evenHBand="0" w:firstRowFirstColumn="0" w:firstRowLastColumn="0" w:lastRowFirstColumn="0" w:lastRowLastColumn="0"/>
            <w:tcW w:w="3740" w:type="dxa"/>
          </w:tcPr>
          <w:p w14:paraId="5568C100" w14:textId="77777777" w:rsidR="00C424E5" w:rsidRDefault="00C424E5">
            <w:r>
              <w:t>Revaluations</w:t>
            </w:r>
          </w:p>
        </w:tc>
        <w:tc>
          <w:tcPr>
            <w:tcW w:w="794" w:type="dxa"/>
          </w:tcPr>
          <w:p w14:paraId="2EC1042D" w14:textId="77777777" w:rsidR="00C424E5" w:rsidRDefault="00C424E5">
            <w:pPr>
              <w:cnfStyle w:val="000000000000" w:firstRow="0" w:lastRow="0" w:firstColumn="0" w:lastColumn="0" w:oddVBand="0" w:evenVBand="0" w:oddHBand="0" w:evenHBand="0" w:firstRowFirstColumn="0" w:firstRowLastColumn="0" w:lastRowFirstColumn="0" w:lastRowLastColumn="0"/>
            </w:pPr>
            <w:r>
              <w:t>1 927</w:t>
            </w:r>
          </w:p>
        </w:tc>
        <w:tc>
          <w:tcPr>
            <w:tcW w:w="794" w:type="dxa"/>
          </w:tcPr>
          <w:p w14:paraId="3DCA10C2" w14:textId="77777777" w:rsidR="00C424E5" w:rsidRDefault="00C424E5">
            <w:pPr>
              <w:cnfStyle w:val="000000000000" w:firstRow="0" w:lastRow="0" w:firstColumn="0" w:lastColumn="0" w:oddVBand="0" w:evenVBand="0" w:oddHBand="0" w:evenHBand="0" w:firstRowFirstColumn="0" w:firstRowLastColumn="0" w:lastRowFirstColumn="0" w:lastRowLastColumn="0"/>
            </w:pPr>
            <w:r>
              <w:t>2 055</w:t>
            </w:r>
          </w:p>
        </w:tc>
        <w:tc>
          <w:tcPr>
            <w:tcW w:w="794" w:type="dxa"/>
          </w:tcPr>
          <w:p w14:paraId="0BF1B739" w14:textId="77777777" w:rsidR="00C424E5" w:rsidRDefault="00C424E5">
            <w:pPr>
              <w:cnfStyle w:val="000000000000" w:firstRow="0" w:lastRow="0" w:firstColumn="0" w:lastColumn="0" w:oddVBand="0" w:evenVBand="0" w:oddHBand="0" w:evenHBand="0" w:firstRowFirstColumn="0" w:firstRowLastColumn="0" w:lastRowFirstColumn="0" w:lastRowLastColumn="0"/>
            </w:pPr>
            <w:r>
              <w:t>5 718</w:t>
            </w:r>
          </w:p>
        </w:tc>
        <w:tc>
          <w:tcPr>
            <w:tcW w:w="794" w:type="dxa"/>
          </w:tcPr>
          <w:p w14:paraId="530EC9E4" w14:textId="77777777" w:rsidR="00C424E5" w:rsidRDefault="00C424E5">
            <w:pPr>
              <w:cnfStyle w:val="000000000000" w:firstRow="0" w:lastRow="0" w:firstColumn="0" w:lastColumn="0" w:oddVBand="0" w:evenVBand="0" w:oddHBand="0" w:evenHBand="0" w:firstRowFirstColumn="0" w:firstRowLastColumn="0" w:lastRowFirstColumn="0" w:lastRowLastColumn="0"/>
            </w:pPr>
            <w:r>
              <w:t>10 343</w:t>
            </w:r>
          </w:p>
        </w:tc>
        <w:tc>
          <w:tcPr>
            <w:tcW w:w="794" w:type="dxa"/>
          </w:tcPr>
          <w:p w14:paraId="796414E7" w14:textId="77777777" w:rsidR="00C424E5" w:rsidRDefault="00C424E5">
            <w:pPr>
              <w:cnfStyle w:val="000000000000" w:firstRow="0" w:lastRow="0" w:firstColumn="0" w:lastColumn="0" w:oddVBand="0" w:evenVBand="0" w:oddHBand="0" w:evenHBand="0" w:firstRowFirstColumn="0" w:firstRowLastColumn="0" w:lastRowFirstColumn="0" w:lastRowLastColumn="0"/>
            </w:pPr>
            <w:r>
              <w:t>1 689</w:t>
            </w:r>
          </w:p>
        </w:tc>
      </w:tr>
      <w:tr w:rsidR="00C424E5" w14:paraId="05FEC6A5" w14:textId="77777777">
        <w:tc>
          <w:tcPr>
            <w:cnfStyle w:val="001000000000" w:firstRow="0" w:lastRow="0" w:firstColumn="1" w:lastColumn="0" w:oddVBand="0" w:evenVBand="0" w:oddHBand="0" w:evenHBand="0" w:firstRowFirstColumn="0" w:firstRowLastColumn="0" w:lastRowFirstColumn="0" w:lastRowLastColumn="0"/>
            <w:tcW w:w="3740" w:type="dxa"/>
          </w:tcPr>
          <w:p w14:paraId="2B5A6EBD" w14:textId="77777777" w:rsidR="00C424E5" w:rsidRDefault="00C424E5">
            <w:r>
              <w:t>Asset transfers</w:t>
            </w:r>
            <w:r>
              <w:rPr>
                <w:vertAlign w:val="superscript"/>
              </w:rPr>
              <w:t xml:space="preserve"> (d)</w:t>
            </w:r>
          </w:p>
        </w:tc>
        <w:tc>
          <w:tcPr>
            <w:tcW w:w="794" w:type="dxa"/>
          </w:tcPr>
          <w:p w14:paraId="4757025B" w14:textId="77777777" w:rsidR="00C424E5" w:rsidRDefault="00C424E5">
            <w:pPr>
              <w:cnfStyle w:val="000000000000" w:firstRow="0" w:lastRow="0" w:firstColumn="0" w:lastColumn="0" w:oddVBand="0" w:evenVBand="0" w:oddHBand="0" w:evenHBand="0" w:firstRowFirstColumn="0" w:firstRowLastColumn="0" w:lastRowFirstColumn="0" w:lastRowLastColumn="0"/>
            </w:pPr>
            <w:r>
              <w:t>(5 572)</w:t>
            </w:r>
          </w:p>
        </w:tc>
        <w:tc>
          <w:tcPr>
            <w:tcW w:w="794" w:type="dxa"/>
          </w:tcPr>
          <w:p w14:paraId="700231A6" w14:textId="77777777" w:rsidR="00C424E5" w:rsidRDefault="00C424E5">
            <w:pPr>
              <w:cnfStyle w:val="000000000000" w:firstRow="0" w:lastRow="0" w:firstColumn="0" w:lastColumn="0" w:oddVBand="0" w:evenVBand="0" w:oddHBand="0" w:evenHBand="0" w:firstRowFirstColumn="0" w:firstRowLastColumn="0" w:lastRowFirstColumn="0" w:lastRowLastColumn="0"/>
            </w:pPr>
            <w:r>
              <w:t>(4 862)</w:t>
            </w:r>
          </w:p>
        </w:tc>
        <w:tc>
          <w:tcPr>
            <w:tcW w:w="794" w:type="dxa"/>
          </w:tcPr>
          <w:p w14:paraId="1F37B048" w14:textId="77777777" w:rsidR="00C424E5" w:rsidRDefault="00C424E5">
            <w:pPr>
              <w:cnfStyle w:val="000000000000" w:firstRow="0" w:lastRow="0" w:firstColumn="0" w:lastColumn="0" w:oddVBand="0" w:evenVBand="0" w:oddHBand="0" w:evenHBand="0" w:firstRowFirstColumn="0" w:firstRowLastColumn="0" w:lastRowFirstColumn="0" w:lastRowLastColumn="0"/>
            </w:pPr>
            <w:r>
              <w:t>(6 094)</w:t>
            </w:r>
          </w:p>
        </w:tc>
        <w:tc>
          <w:tcPr>
            <w:tcW w:w="794" w:type="dxa"/>
          </w:tcPr>
          <w:p w14:paraId="3672811D" w14:textId="77777777" w:rsidR="00C424E5" w:rsidRDefault="00C424E5">
            <w:pPr>
              <w:cnfStyle w:val="000000000000" w:firstRow="0" w:lastRow="0" w:firstColumn="0" w:lastColumn="0" w:oddVBand="0" w:evenVBand="0" w:oddHBand="0" w:evenHBand="0" w:firstRowFirstColumn="0" w:firstRowLastColumn="0" w:lastRowFirstColumn="0" w:lastRowLastColumn="0"/>
            </w:pPr>
            <w:r>
              <w:t>(7 383)</w:t>
            </w:r>
          </w:p>
        </w:tc>
        <w:tc>
          <w:tcPr>
            <w:tcW w:w="794" w:type="dxa"/>
          </w:tcPr>
          <w:p w14:paraId="61D00FE6" w14:textId="77777777" w:rsidR="00C424E5" w:rsidRDefault="00C424E5">
            <w:pPr>
              <w:cnfStyle w:val="000000000000" w:firstRow="0" w:lastRow="0" w:firstColumn="0" w:lastColumn="0" w:oddVBand="0" w:evenVBand="0" w:oddHBand="0" w:evenHBand="0" w:firstRowFirstColumn="0" w:firstRowLastColumn="0" w:lastRowFirstColumn="0" w:lastRowLastColumn="0"/>
            </w:pPr>
            <w:r>
              <w:t>(15 379)</w:t>
            </w:r>
          </w:p>
        </w:tc>
      </w:tr>
      <w:tr w:rsidR="00C424E5" w14:paraId="100E2247"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1A17647C" w14:textId="77777777" w:rsidR="00C424E5" w:rsidRDefault="00C424E5">
            <w:r>
              <w:t>Depreciation expense</w:t>
            </w:r>
          </w:p>
        </w:tc>
        <w:tc>
          <w:tcPr>
            <w:tcW w:w="794" w:type="dxa"/>
            <w:tcBorders>
              <w:bottom w:val="single" w:sz="6" w:space="0" w:color="auto"/>
            </w:tcBorders>
          </w:tcPr>
          <w:p w14:paraId="0E76B9E6" w14:textId="77777777" w:rsidR="00C424E5" w:rsidRDefault="00C424E5">
            <w:pPr>
              <w:cnfStyle w:val="000000000000" w:firstRow="0" w:lastRow="0" w:firstColumn="0" w:lastColumn="0" w:oddVBand="0" w:evenVBand="0" w:oddHBand="0" w:evenHBand="0" w:firstRowFirstColumn="0" w:firstRowLastColumn="0" w:lastRowFirstColumn="0" w:lastRowLastColumn="0"/>
            </w:pPr>
            <w:r>
              <w:t>(4 373)</w:t>
            </w:r>
          </w:p>
        </w:tc>
        <w:tc>
          <w:tcPr>
            <w:tcW w:w="794" w:type="dxa"/>
            <w:tcBorders>
              <w:bottom w:val="single" w:sz="6" w:space="0" w:color="auto"/>
            </w:tcBorders>
          </w:tcPr>
          <w:p w14:paraId="7BC65FA7" w14:textId="77777777" w:rsidR="00C424E5" w:rsidRDefault="00C424E5">
            <w:pPr>
              <w:cnfStyle w:val="000000000000" w:firstRow="0" w:lastRow="0" w:firstColumn="0" w:lastColumn="0" w:oddVBand="0" w:evenVBand="0" w:oddHBand="0" w:evenHBand="0" w:firstRowFirstColumn="0" w:firstRowLastColumn="0" w:lastRowFirstColumn="0" w:lastRowLastColumn="0"/>
            </w:pPr>
            <w:r>
              <w:t>(4 414)</w:t>
            </w:r>
          </w:p>
        </w:tc>
        <w:tc>
          <w:tcPr>
            <w:tcW w:w="794" w:type="dxa"/>
            <w:tcBorders>
              <w:bottom w:val="single" w:sz="6" w:space="0" w:color="auto"/>
            </w:tcBorders>
          </w:tcPr>
          <w:p w14:paraId="0450853B" w14:textId="77777777" w:rsidR="00C424E5" w:rsidRDefault="00C424E5">
            <w:pPr>
              <w:cnfStyle w:val="000000000000" w:firstRow="0" w:lastRow="0" w:firstColumn="0" w:lastColumn="0" w:oddVBand="0" w:evenVBand="0" w:oddHBand="0" w:evenHBand="0" w:firstRowFirstColumn="0" w:firstRowLastColumn="0" w:lastRowFirstColumn="0" w:lastRowLastColumn="0"/>
            </w:pPr>
            <w:r>
              <w:t>(4 415)</w:t>
            </w:r>
          </w:p>
        </w:tc>
        <w:tc>
          <w:tcPr>
            <w:tcW w:w="794" w:type="dxa"/>
            <w:tcBorders>
              <w:bottom w:val="single" w:sz="6" w:space="0" w:color="auto"/>
            </w:tcBorders>
          </w:tcPr>
          <w:p w14:paraId="2013C9C7" w14:textId="77777777" w:rsidR="00C424E5" w:rsidRDefault="00C424E5">
            <w:pPr>
              <w:cnfStyle w:val="000000000000" w:firstRow="0" w:lastRow="0" w:firstColumn="0" w:lastColumn="0" w:oddVBand="0" w:evenVBand="0" w:oddHBand="0" w:evenHBand="0" w:firstRowFirstColumn="0" w:firstRowLastColumn="0" w:lastRowFirstColumn="0" w:lastRowLastColumn="0"/>
            </w:pPr>
            <w:r>
              <w:t>(4 522)</w:t>
            </w:r>
          </w:p>
        </w:tc>
        <w:tc>
          <w:tcPr>
            <w:tcW w:w="794" w:type="dxa"/>
            <w:tcBorders>
              <w:bottom w:val="single" w:sz="6" w:space="0" w:color="auto"/>
            </w:tcBorders>
          </w:tcPr>
          <w:p w14:paraId="3230AA9D" w14:textId="77777777" w:rsidR="00C424E5" w:rsidRDefault="00C424E5">
            <w:pPr>
              <w:cnfStyle w:val="000000000000" w:firstRow="0" w:lastRow="0" w:firstColumn="0" w:lastColumn="0" w:oddVBand="0" w:evenVBand="0" w:oddHBand="0" w:evenHBand="0" w:firstRowFirstColumn="0" w:firstRowLastColumn="0" w:lastRowFirstColumn="0" w:lastRowLastColumn="0"/>
            </w:pPr>
            <w:r>
              <w:t>(4 783)</w:t>
            </w:r>
          </w:p>
        </w:tc>
      </w:tr>
      <w:tr w:rsidR="00C424E5" w14:paraId="7F5ED965"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0945BE16" w14:textId="77777777" w:rsidR="00C424E5" w:rsidRDefault="00C424E5">
            <w:r>
              <w:rPr>
                <w:b/>
              </w:rPr>
              <w:t>Carrying amount at the end of the year</w:t>
            </w:r>
          </w:p>
        </w:tc>
        <w:tc>
          <w:tcPr>
            <w:tcW w:w="794" w:type="dxa"/>
            <w:tcBorders>
              <w:top w:val="single" w:sz="6" w:space="0" w:color="auto"/>
              <w:bottom w:val="single" w:sz="12" w:space="0" w:color="auto"/>
            </w:tcBorders>
          </w:tcPr>
          <w:p w14:paraId="5399FF9F"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235 585</w:t>
            </w:r>
          </w:p>
        </w:tc>
        <w:tc>
          <w:tcPr>
            <w:tcW w:w="794" w:type="dxa"/>
            <w:tcBorders>
              <w:top w:val="single" w:sz="6" w:space="0" w:color="auto"/>
              <w:bottom w:val="single" w:sz="12" w:space="0" w:color="auto"/>
            </w:tcBorders>
          </w:tcPr>
          <w:p w14:paraId="55F0685A"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235 982</w:t>
            </w:r>
          </w:p>
        </w:tc>
        <w:tc>
          <w:tcPr>
            <w:tcW w:w="794" w:type="dxa"/>
            <w:tcBorders>
              <w:top w:val="single" w:sz="6" w:space="0" w:color="auto"/>
              <w:bottom w:val="single" w:sz="12" w:space="0" w:color="auto"/>
            </w:tcBorders>
          </w:tcPr>
          <w:p w14:paraId="02E02CA0"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250 701</w:t>
            </w:r>
          </w:p>
        </w:tc>
        <w:tc>
          <w:tcPr>
            <w:tcW w:w="794" w:type="dxa"/>
            <w:tcBorders>
              <w:top w:val="single" w:sz="6" w:space="0" w:color="auto"/>
              <w:bottom w:val="single" w:sz="12" w:space="0" w:color="auto"/>
            </w:tcBorders>
          </w:tcPr>
          <w:p w14:paraId="6D1CA720"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267 826</w:t>
            </w:r>
          </w:p>
        </w:tc>
        <w:tc>
          <w:tcPr>
            <w:tcW w:w="794" w:type="dxa"/>
            <w:tcBorders>
              <w:top w:val="single" w:sz="6" w:space="0" w:color="auto"/>
              <w:bottom w:val="single" w:sz="12" w:space="0" w:color="auto"/>
            </w:tcBorders>
          </w:tcPr>
          <w:p w14:paraId="7F446EE2" w14:textId="63524C47" w:rsidR="00C424E5" w:rsidRDefault="00C424E5">
            <w:pPr>
              <w:cnfStyle w:val="000000000000" w:firstRow="0" w:lastRow="0" w:firstColumn="0" w:lastColumn="0" w:oddVBand="0" w:evenVBand="0" w:oddHBand="0" w:evenHBand="0" w:firstRowFirstColumn="0" w:firstRowLastColumn="0" w:lastRowFirstColumn="0" w:lastRowLastColumn="0"/>
            </w:pPr>
            <w:r>
              <w:rPr>
                <w:b/>
              </w:rPr>
              <w:t>266 872</w:t>
            </w:r>
          </w:p>
        </w:tc>
      </w:tr>
    </w:tbl>
    <w:p w14:paraId="74C6FD49" w14:textId="77777777" w:rsidR="00C424E5" w:rsidRPr="003A1BED" w:rsidRDefault="00C424E5" w:rsidP="006206EF">
      <w:pPr>
        <w:pStyle w:val="Note"/>
        <w:ind w:left="0" w:firstLine="0"/>
      </w:pPr>
      <w:r w:rsidRPr="003A1BED">
        <w:t>Notes:</w:t>
      </w:r>
    </w:p>
    <w:p w14:paraId="10EFD4A1" w14:textId="77777777" w:rsidR="00C424E5" w:rsidRPr="003A1BED" w:rsidRDefault="00C424E5" w:rsidP="006206EF">
      <w:pPr>
        <w:pStyle w:val="Note"/>
      </w:pPr>
      <w:r w:rsidRPr="003A1BED">
        <w:t>(a)</w:t>
      </w:r>
      <w:r w:rsidRPr="003A1BED">
        <w:tab/>
        <w:t>The reconciliation of movements comprises land and buildings, infrastructure systems, plant, equipment, vehicles, roads, roads</w:t>
      </w:r>
      <w:r>
        <w:t> </w:t>
      </w:r>
      <w:r w:rsidRPr="003A1BED">
        <w:t>infrastructure and cultural assets, right</w:t>
      </w:r>
      <w:r w:rsidRPr="003A1BED">
        <w:noBreakHyphen/>
        <w:t>of</w:t>
      </w:r>
      <w:r w:rsidRPr="003A1BED">
        <w:noBreakHyphen/>
        <w:t>use (leased) assets</w:t>
      </w:r>
      <w:r>
        <w:t xml:space="preserve"> and</w:t>
      </w:r>
      <w:r w:rsidRPr="003A1BED">
        <w:t xml:space="preserve"> service concession assets</w:t>
      </w:r>
      <w:r>
        <w:t>. It</w:t>
      </w:r>
      <w:r w:rsidRPr="003A1BED">
        <w:t xml:space="preserve"> excludes intangible assets, investment properties and other non-financial assets.</w:t>
      </w:r>
    </w:p>
    <w:p w14:paraId="5BBCE8BF" w14:textId="77777777" w:rsidR="00C424E5" w:rsidRPr="003A1BED" w:rsidRDefault="00C424E5" w:rsidP="006206EF">
      <w:pPr>
        <w:pStyle w:val="Note"/>
      </w:pPr>
      <w:r w:rsidRPr="003A1BED">
        <w:t>(b)</w:t>
      </w:r>
      <w:r w:rsidRPr="003A1BED">
        <w:tab/>
      </w:r>
      <w:r w:rsidRPr="00AE0D16">
        <w:t>The variance in the carrying amount at the start of the year for the 2023 budget and 2023 revised budget reflect</w:t>
      </w:r>
      <w:r>
        <w:t>s</w:t>
      </w:r>
      <w:r w:rsidRPr="00AE0D16">
        <w:t xml:space="preserve"> the abolishment of seven Waste and Resource Recovery Groups in the PNFC sector with their functions transferred into the Department of Environment, Land, Water and Planning (DELWP) to form a business unit within DELWP, Recycling Victoria, effective from </w:t>
      </w:r>
      <w:r>
        <w:br/>
      </w:r>
      <w:r w:rsidRPr="00AE0D16">
        <w:t>1 July 2022.</w:t>
      </w:r>
    </w:p>
    <w:p w14:paraId="7939D36E" w14:textId="77777777" w:rsidR="00C424E5" w:rsidRDefault="00C424E5" w:rsidP="006206EF">
      <w:pPr>
        <w:pStyle w:val="Note"/>
      </w:pPr>
      <w:r w:rsidRPr="003A1BED">
        <w:t>(c)</w:t>
      </w:r>
      <w:r w:rsidRPr="003A1BED">
        <w:tab/>
        <w:t xml:space="preserve">Represents additions of assets recognised under AASB 116 </w:t>
      </w:r>
      <w:r w:rsidRPr="00A4543A">
        <w:rPr>
          <w:i w:val="0"/>
          <w:iCs/>
        </w:rPr>
        <w:t>Property, Plant and Equipment</w:t>
      </w:r>
      <w:r w:rsidRPr="003A1BED">
        <w:t>.</w:t>
      </w:r>
    </w:p>
    <w:p w14:paraId="3A712051" w14:textId="77777777" w:rsidR="00C424E5" w:rsidRPr="003A1BED" w:rsidRDefault="00C424E5" w:rsidP="006206EF">
      <w:pPr>
        <w:pStyle w:val="Note"/>
      </w:pPr>
      <w:r w:rsidRPr="00AE0D16">
        <w:t>(d)</w:t>
      </w:r>
      <w:r w:rsidRPr="00AE0D16">
        <w:tab/>
      </w:r>
      <w:r w:rsidRPr="003A1BED">
        <w:t>Represents the transfer of assets to/from the public non-financial corporations sector.</w:t>
      </w:r>
    </w:p>
    <w:p w14:paraId="20F198EC" w14:textId="77777777" w:rsidR="00C424E5" w:rsidRDefault="00C424E5" w:rsidP="006206EF"/>
    <w:p w14:paraId="6F8452E0" w14:textId="77777777" w:rsidR="00C424E5" w:rsidRDefault="00C424E5" w:rsidP="006206EF">
      <w:pPr>
        <w:pStyle w:val="Heading3"/>
        <w:pageBreakBefore/>
        <w:spacing w:after="60"/>
        <w:ind w:left="850" w:hanging="850"/>
        <w:rPr>
          <w:sz w:val="20"/>
          <w:szCs w:val="20"/>
        </w:rPr>
      </w:pPr>
      <w:bookmarkStart w:id="74" w:name="_Toc117172331"/>
      <w:r w:rsidRPr="005D1255">
        <w:rPr>
          <w:sz w:val="20"/>
          <w:szCs w:val="20"/>
        </w:rPr>
        <w:lastRenderedPageBreak/>
        <w:t>Other non-financial assets</w:t>
      </w:r>
      <w:r w:rsidRPr="005D1255">
        <w:rPr>
          <w:sz w:val="20"/>
          <w:szCs w:val="20"/>
        </w:rPr>
        <w:tab/>
        <w:t>($ million)</w:t>
      </w:r>
      <w:bookmarkEnd w:id="74"/>
    </w:p>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F70B1C" w14:paraId="2EAE3ED3" w14:textId="77777777" w:rsidTr="00A836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426C3D9B" w14:textId="3C127DAA" w:rsidR="00F70B1C" w:rsidRDefault="00F70B1C"/>
        </w:tc>
        <w:tc>
          <w:tcPr>
            <w:tcW w:w="794" w:type="dxa"/>
          </w:tcPr>
          <w:p w14:paraId="4D84423E" w14:textId="04F45AB5" w:rsidR="00F70B1C" w:rsidRDefault="00F70B1C" w:rsidP="00413E3F">
            <w:pPr>
              <w:cnfStyle w:val="100000000000" w:firstRow="1" w:lastRow="0" w:firstColumn="0" w:lastColumn="0" w:oddVBand="0" w:evenVBand="0" w:oddHBand="0" w:evenHBand="0" w:firstRowFirstColumn="0" w:firstRowLastColumn="0" w:lastRowFirstColumn="0" w:lastRowLastColumn="0"/>
            </w:pPr>
            <w:r>
              <w:t>2023</w:t>
            </w:r>
            <w:r>
              <w:rPr>
                <w:i w:val="0"/>
              </w:rPr>
              <w:br/>
            </w:r>
            <w:r>
              <w:t>budget</w:t>
            </w:r>
          </w:p>
        </w:tc>
        <w:tc>
          <w:tcPr>
            <w:tcW w:w="794" w:type="dxa"/>
          </w:tcPr>
          <w:p w14:paraId="65EE23AE" w14:textId="517F81DD" w:rsidR="00F70B1C" w:rsidRDefault="00F70B1C" w:rsidP="00D076A0">
            <w:pPr>
              <w:cnfStyle w:val="100000000000" w:firstRow="1" w:lastRow="0" w:firstColumn="0" w:lastColumn="0" w:oddVBand="0" w:evenVBand="0" w:oddHBand="0" w:evenHBand="0" w:firstRowFirstColumn="0" w:firstRowLastColumn="0" w:lastRowFirstColumn="0" w:lastRowLastColumn="0"/>
            </w:pPr>
            <w:r>
              <w:t>2023</w:t>
            </w:r>
            <w:r>
              <w:rPr>
                <w:i w:val="0"/>
              </w:rPr>
              <w:br/>
            </w:r>
            <w:r>
              <w:t>revised</w:t>
            </w:r>
          </w:p>
        </w:tc>
        <w:tc>
          <w:tcPr>
            <w:tcW w:w="794" w:type="dxa"/>
          </w:tcPr>
          <w:p w14:paraId="7BDBBE46" w14:textId="2E6C2197" w:rsidR="00F70B1C" w:rsidRDefault="00F70B1C" w:rsidP="00B66EBF">
            <w:pPr>
              <w:cnfStyle w:val="100000000000" w:firstRow="1" w:lastRow="0" w:firstColumn="0" w:lastColumn="0" w:oddVBand="0" w:evenVBand="0" w:oddHBand="0" w:evenHBand="0" w:firstRowFirstColumn="0" w:firstRowLastColumn="0" w:lastRowFirstColumn="0" w:lastRowLastColumn="0"/>
            </w:pPr>
            <w:r>
              <w:t>2024</w:t>
            </w:r>
            <w:r>
              <w:rPr>
                <w:i w:val="0"/>
              </w:rPr>
              <w:br/>
            </w:r>
            <w:r>
              <w:t>estimate</w:t>
            </w:r>
          </w:p>
        </w:tc>
        <w:tc>
          <w:tcPr>
            <w:tcW w:w="794" w:type="dxa"/>
          </w:tcPr>
          <w:p w14:paraId="381F6B22" w14:textId="1C78F23E" w:rsidR="00F70B1C" w:rsidRDefault="00F70B1C" w:rsidP="00F90B8A">
            <w:pPr>
              <w:cnfStyle w:val="100000000000" w:firstRow="1" w:lastRow="0" w:firstColumn="0" w:lastColumn="0" w:oddVBand="0" w:evenVBand="0" w:oddHBand="0" w:evenHBand="0" w:firstRowFirstColumn="0" w:firstRowLastColumn="0" w:lastRowFirstColumn="0" w:lastRowLastColumn="0"/>
            </w:pPr>
            <w:r>
              <w:t>2025</w:t>
            </w:r>
            <w:r>
              <w:rPr>
                <w:i w:val="0"/>
              </w:rPr>
              <w:br/>
            </w:r>
            <w:r>
              <w:t>estimate</w:t>
            </w:r>
          </w:p>
        </w:tc>
        <w:tc>
          <w:tcPr>
            <w:tcW w:w="794" w:type="dxa"/>
          </w:tcPr>
          <w:p w14:paraId="285DB9D1" w14:textId="6AD3C8DB" w:rsidR="00F70B1C" w:rsidRDefault="00F70B1C" w:rsidP="003062D6">
            <w:pPr>
              <w:cnfStyle w:val="100000000000" w:firstRow="1" w:lastRow="0" w:firstColumn="0" w:lastColumn="0" w:oddVBand="0" w:evenVBand="0" w:oddHBand="0" w:evenHBand="0" w:firstRowFirstColumn="0" w:firstRowLastColumn="0" w:lastRowFirstColumn="0" w:lastRowLastColumn="0"/>
            </w:pPr>
            <w:r>
              <w:t>2026</w:t>
            </w:r>
            <w:r>
              <w:rPr>
                <w:i w:val="0"/>
              </w:rPr>
              <w:br/>
            </w:r>
            <w:r>
              <w:t>estimate</w:t>
            </w:r>
          </w:p>
        </w:tc>
      </w:tr>
      <w:tr w:rsidR="00C424E5" w14:paraId="4DAD443E" w14:textId="77777777">
        <w:tc>
          <w:tcPr>
            <w:cnfStyle w:val="001000000000" w:firstRow="0" w:lastRow="0" w:firstColumn="1" w:lastColumn="0" w:oddVBand="0" w:evenVBand="0" w:oddHBand="0" w:evenHBand="0" w:firstRowFirstColumn="0" w:firstRowLastColumn="0" w:lastRowFirstColumn="0" w:lastRowLastColumn="0"/>
            <w:tcW w:w="3740" w:type="dxa"/>
          </w:tcPr>
          <w:p w14:paraId="2F1C5D46" w14:textId="77777777" w:rsidR="00C424E5" w:rsidRDefault="00C424E5">
            <w:r>
              <w:t>Intangible produced assets</w:t>
            </w:r>
          </w:p>
        </w:tc>
        <w:tc>
          <w:tcPr>
            <w:tcW w:w="794" w:type="dxa"/>
          </w:tcPr>
          <w:p w14:paraId="6E33212A" w14:textId="77777777" w:rsidR="00C424E5" w:rsidRDefault="00C424E5">
            <w:pPr>
              <w:cnfStyle w:val="000000000000" w:firstRow="0" w:lastRow="0" w:firstColumn="0" w:lastColumn="0" w:oddVBand="0" w:evenVBand="0" w:oddHBand="0" w:evenHBand="0" w:firstRowFirstColumn="0" w:firstRowLastColumn="0" w:lastRowFirstColumn="0" w:lastRowLastColumn="0"/>
            </w:pPr>
            <w:r>
              <w:t>3 175</w:t>
            </w:r>
          </w:p>
        </w:tc>
        <w:tc>
          <w:tcPr>
            <w:tcW w:w="794" w:type="dxa"/>
          </w:tcPr>
          <w:p w14:paraId="3A8C4730" w14:textId="77777777" w:rsidR="00C424E5" w:rsidRDefault="00C424E5">
            <w:pPr>
              <w:cnfStyle w:val="000000000000" w:firstRow="0" w:lastRow="0" w:firstColumn="0" w:lastColumn="0" w:oddVBand="0" w:evenVBand="0" w:oddHBand="0" w:evenHBand="0" w:firstRowFirstColumn="0" w:firstRowLastColumn="0" w:lastRowFirstColumn="0" w:lastRowLastColumn="0"/>
            </w:pPr>
            <w:r>
              <w:t>3 249</w:t>
            </w:r>
          </w:p>
        </w:tc>
        <w:tc>
          <w:tcPr>
            <w:tcW w:w="794" w:type="dxa"/>
          </w:tcPr>
          <w:p w14:paraId="3293CAE3" w14:textId="77777777" w:rsidR="00C424E5" w:rsidRDefault="00C424E5">
            <w:pPr>
              <w:cnfStyle w:val="000000000000" w:firstRow="0" w:lastRow="0" w:firstColumn="0" w:lastColumn="0" w:oddVBand="0" w:evenVBand="0" w:oddHBand="0" w:evenHBand="0" w:firstRowFirstColumn="0" w:firstRowLastColumn="0" w:lastRowFirstColumn="0" w:lastRowLastColumn="0"/>
            </w:pPr>
            <w:r>
              <w:t>3 344</w:t>
            </w:r>
          </w:p>
        </w:tc>
        <w:tc>
          <w:tcPr>
            <w:tcW w:w="794" w:type="dxa"/>
          </w:tcPr>
          <w:p w14:paraId="6ADB471F" w14:textId="77777777" w:rsidR="00C424E5" w:rsidRDefault="00C424E5">
            <w:pPr>
              <w:cnfStyle w:val="000000000000" w:firstRow="0" w:lastRow="0" w:firstColumn="0" w:lastColumn="0" w:oddVBand="0" w:evenVBand="0" w:oddHBand="0" w:evenHBand="0" w:firstRowFirstColumn="0" w:firstRowLastColumn="0" w:lastRowFirstColumn="0" w:lastRowLastColumn="0"/>
            </w:pPr>
            <w:r>
              <w:t>3 413</w:t>
            </w:r>
          </w:p>
        </w:tc>
        <w:tc>
          <w:tcPr>
            <w:tcW w:w="794" w:type="dxa"/>
          </w:tcPr>
          <w:p w14:paraId="7944563C" w14:textId="77777777" w:rsidR="00C424E5" w:rsidRDefault="00C424E5">
            <w:pPr>
              <w:cnfStyle w:val="000000000000" w:firstRow="0" w:lastRow="0" w:firstColumn="0" w:lastColumn="0" w:oddVBand="0" w:evenVBand="0" w:oddHBand="0" w:evenHBand="0" w:firstRowFirstColumn="0" w:firstRowLastColumn="0" w:lastRowFirstColumn="0" w:lastRowLastColumn="0"/>
            </w:pPr>
            <w:r>
              <w:t>3 446</w:t>
            </w:r>
          </w:p>
        </w:tc>
      </w:tr>
      <w:tr w:rsidR="00C424E5" w14:paraId="4707FAE2" w14:textId="77777777">
        <w:tc>
          <w:tcPr>
            <w:cnfStyle w:val="001000000000" w:firstRow="0" w:lastRow="0" w:firstColumn="1" w:lastColumn="0" w:oddVBand="0" w:evenVBand="0" w:oddHBand="0" w:evenHBand="0" w:firstRowFirstColumn="0" w:firstRowLastColumn="0" w:lastRowFirstColumn="0" w:lastRowLastColumn="0"/>
            <w:tcW w:w="3740" w:type="dxa"/>
          </w:tcPr>
          <w:p w14:paraId="0B1FCF86" w14:textId="77777777" w:rsidR="00C424E5" w:rsidRDefault="00C424E5">
            <w:r>
              <w:t>Accumulated depreciation</w:t>
            </w:r>
          </w:p>
        </w:tc>
        <w:tc>
          <w:tcPr>
            <w:tcW w:w="794" w:type="dxa"/>
          </w:tcPr>
          <w:p w14:paraId="5E6908B7" w14:textId="77777777" w:rsidR="00C424E5" w:rsidRDefault="00C424E5">
            <w:pPr>
              <w:cnfStyle w:val="000000000000" w:firstRow="0" w:lastRow="0" w:firstColumn="0" w:lastColumn="0" w:oddVBand="0" w:evenVBand="0" w:oddHBand="0" w:evenHBand="0" w:firstRowFirstColumn="0" w:firstRowLastColumn="0" w:lastRowFirstColumn="0" w:lastRowLastColumn="0"/>
            </w:pPr>
            <w:r>
              <w:t>(1 903)</w:t>
            </w:r>
          </w:p>
        </w:tc>
        <w:tc>
          <w:tcPr>
            <w:tcW w:w="794" w:type="dxa"/>
          </w:tcPr>
          <w:p w14:paraId="7E8047CB" w14:textId="77777777" w:rsidR="00C424E5" w:rsidRDefault="00C424E5">
            <w:pPr>
              <w:cnfStyle w:val="000000000000" w:firstRow="0" w:lastRow="0" w:firstColumn="0" w:lastColumn="0" w:oddVBand="0" w:evenVBand="0" w:oddHBand="0" w:evenHBand="0" w:firstRowFirstColumn="0" w:firstRowLastColumn="0" w:lastRowFirstColumn="0" w:lastRowLastColumn="0"/>
            </w:pPr>
            <w:r>
              <w:t>(1 916)</w:t>
            </w:r>
          </w:p>
        </w:tc>
        <w:tc>
          <w:tcPr>
            <w:tcW w:w="794" w:type="dxa"/>
          </w:tcPr>
          <w:p w14:paraId="1A4F257E" w14:textId="77777777" w:rsidR="00C424E5" w:rsidRDefault="00C424E5">
            <w:pPr>
              <w:cnfStyle w:val="000000000000" w:firstRow="0" w:lastRow="0" w:firstColumn="0" w:lastColumn="0" w:oddVBand="0" w:evenVBand="0" w:oddHBand="0" w:evenHBand="0" w:firstRowFirstColumn="0" w:firstRowLastColumn="0" w:lastRowFirstColumn="0" w:lastRowLastColumn="0"/>
            </w:pPr>
            <w:r>
              <w:t>(2 193)</w:t>
            </w:r>
          </w:p>
        </w:tc>
        <w:tc>
          <w:tcPr>
            <w:tcW w:w="794" w:type="dxa"/>
          </w:tcPr>
          <w:p w14:paraId="695E183B" w14:textId="77777777" w:rsidR="00C424E5" w:rsidRDefault="00C424E5">
            <w:pPr>
              <w:cnfStyle w:val="000000000000" w:firstRow="0" w:lastRow="0" w:firstColumn="0" w:lastColumn="0" w:oddVBand="0" w:evenVBand="0" w:oddHBand="0" w:evenHBand="0" w:firstRowFirstColumn="0" w:firstRowLastColumn="0" w:lastRowFirstColumn="0" w:lastRowLastColumn="0"/>
            </w:pPr>
            <w:r>
              <w:t>(2 482)</w:t>
            </w:r>
          </w:p>
        </w:tc>
        <w:tc>
          <w:tcPr>
            <w:tcW w:w="794" w:type="dxa"/>
          </w:tcPr>
          <w:p w14:paraId="59D477E2" w14:textId="77777777" w:rsidR="00C424E5" w:rsidRDefault="00C424E5">
            <w:pPr>
              <w:cnfStyle w:val="000000000000" w:firstRow="0" w:lastRow="0" w:firstColumn="0" w:lastColumn="0" w:oddVBand="0" w:evenVBand="0" w:oddHBand="0" w:evenHBand="0" w:firstRowFirstColumn="0" w:firstRowLastColumn="0" w:lastRowFirstColumn="0" w:lastRowLastColumn="0"/>
            </w:pPr>
            <w:r>
              <w:t>(2 759)</w:t>
            </w:r>
          </w:p>
        </w:tc>
      </w:tr>
      <w:tr w:rsidR="00C424E5" w14:paraId="478D1406" w14:textId="77777777">
        <w:tc>
          <w:tcPr>
            <w:cnfStyle w:val="001000000000" w:firstRow="0" w:lastRow="0" w:firstColumn="1" w:lastColumn="0" w:oddVBand="0" w:evenVBand="0" w:oddHBand="0" w:evenHBand="0" w:firstRowFirstColumn="0" w:firstRowLastColumn="0" w:lastRowFirstColumn="0" w:lastRowLastColumn="0"/>
            <w:tcW w:w="3740" w:type="dxa"/>
          </w:tcPr>
          <w:p w14:paraId="18308B84" w14:textId="77777777" w:rsidR="00C424E5" w:rsidRDefault="00C424E5">
            <w:r>
              <w:t>Service concession assets – intangible produced</w:t>
            </w:r>
          </w:p>
        </w:tc>
        <w:tc>
          <w:tcPr>
            <w:tcW w:w="794" w:type="dxa"/>
          </w:tcPr>
          <w:p w14:paraId="19651182" w14:textId="77777777" w:rsidR="00C424E5" w:rsidRDefault="00C424E5">
            <w:pPr>
              <w:cnfStyle w:val="000000000000" w:firstRow="0" w:lastRow="0" w:firstColumn="0" w:lastColumn="0" w:oddVBand="0" w:evenVBand="0" w:oddHBand="0" w:evenHBand="0" w:firstRowFirstColumn="0" w:firstRowLastColumn="0" w:lastRowFirstColumn="0" w:lastRowLastColumn="0"/>
            </w:pPr>
            <w:r>
              <w:t>4 526</w:t>
            </w:r>
          </w:p>
        </w:tc>
        <w:tc>
          <w:tcPr>
            <w:tcW w:w="794" w:type="dxa"/>
          </w:tcPr>
          <w:p w14:paraId="555D77CD" w14:textId="77777777" w:rsidR="00C424E5" w:rsidRDefault="00C424E5">
            <w:pPr>
              <w:cnfStyle w:val="000000000000" w:firstRow="0" w:lastRow="0" w:firstColumn="0" w:lastColumn="0" w:oddVBand="0" w:evenVBand="0" w:oddHBand="0" w:evenHBand="0" w:firstRowFirstColumn="0" w:firstRowLastColumn="0" w:lastRowFirstColumn="0" w:lastRowLastColumn="0"/>
            </w:pPr>
            <w:r>
              <w:t>4 612</w:t>
            </w:r>
          </w:p>
        </w:tc>
        <w:tc>
          <w:tcPr>
            <w:tcW w:w="794" w:type="dxa"/>
          </w:tcPr>
          <w:p w14:paraId="7DC9C990" w14:textId="77777777" w:rsidR="00C424E5" w:rsidRDefault="00C424E5">
            <w:pPr>
              <w:cnfStyle w:val="000000000000" w:firstRow="0" w:lastRow="0" w:firstColumn="0" w:lastColumn="0" w:oddVBand="0" w:evenVBand="0" w:oddHBand="0" w:evenHBand="0" w:firstRowFirstColumn="0" w:firstRowLastColumn="0" w:lastRowFirstColumn="0" w:lastRowLastColumn="0"/>
            </w:pPr>
            <w:r>
              <w:t>4 612</w:t>
            </w:r>
          </w:p>
        </w:tc>
        <w:tc>
          <w:tcPr>
            <w:tcW w:w="794" w:type="dxa"/>
          </w:tcPr>
          <w:p w14:paraId="41468E33" w14:textId="77777777" w:rsidR="00C424E5" w:rsidRDefault="00C424E5">
            <w:pPr>
              <w:cnfStyle w:val="000000000000" w:firstRow="0" w:lastRow="0" w:firstColumn="0" w:lastColumn="0" w:oddVBand="0" w:evenVBand="0" w:oddHBand="0" w:evenHBand="0" w:firstRowFirstColumn="0" w:firstRowLastColumn="0" w:lastRowFirstColumn="0" w:lastRowLastColumn="0"/>
            </w:pPr>
            <w:r>
              <w:t>4 612</w:t>
            </w:r>
          </w:p>
        </w:tc>
        <w:tc>
          <w:tcPr>
            <w:tcW w:w="794" w:type="dxa"/>
          </w:tcPr>
          <w:p w14:paraId="4ACA2227" w14:textId="77777777" w:rsidR="00C424E5" w:rsidRDefault="00C424E5">
            <w:pPr>
              <w:cnfStyle w:val="000000000000" w:firstRow="0" w:lastRow="0" w:firstColumn="0" w:lastColumn="0" w:oddVBand="0" w:evenVBand="0" w:oddHBand="0" w:evenHBand="0" w:firstRowFirstColumn="0" w:firstRowLastColumn="0" w:lastRowFirstColumn="0" w:lastRowLastColumn="0"/>
            </w:pPr>
            <w:r>
              <w:t>4 612</w:t>
            </w:r>
          </w:p>
        </w:tc>
      </w:tr>
      <w:tr w:rsidR="00C424E5" w14:paraId="71C40E57" w14:textId="77777777">
        <w:tc>
          <w:tcPr>
            <w:cnfStyle w:val="001000000000" w:firstRow="0" w:lastRow="0" w:firstColumn="1" w:lastColumn="0" w:oddVBand="0" w:evenVBand="0" w:oddHBand="0" w:evenHBand="0" w:firstRowFirstColumn="0" w:firstRowLastColumn="0" w:lastRowFirstColumn="0" w:lastRowLastColumn="0"/>
            <w:tcW w:w="3740" w:type="dxa"/>
          </w:tcPr>
          <w:p w14:paraId="0A460C90" w14:textId="77777777" w:rsidR="00C424E5" w:rsidRDefault="00C424E5">
            <w:r>
              <w:t>Accumulated depreciation</w:t>
            </w:r>
          </w:p>
        </w:tc>
        <w:tc>
          <w:tcPr>
            <w:tcW w:w="794" w:type="dxa"/>
          </w:tcPr>
          <w:p w14:paraId="3C5CB6BF" w14:textId="77777777" w:rsidR="00C424E5" w:rsidRDefault="00C424E5">
            <w:pPr>
              <w:cnfStyle w:val="000000000000" w:firstRow="0" w:lastRow="0" w:firstColumn="0" w:lastColumn="0" w:oddVBand="0" w:evenVBand="0" w:oddHBand="0" w:evenHBand="0" w:firstRowFirstColumn="0" w:firstRowLastColumn="0" w:lastRowFirstColumn="0" w:lastRowLastColumn="0"/>
            </w:pPr>
            <w:r>
              <w:t>(1)</w:t>
            </w:r>
          </w:p>
        </w:tc>
        <w:tc>
          <w:tcPr>
            <w:tcW w:w="794" w:type="dxa"/>
          </w:tcPr>
          <w:p w14:paraId="4BDB8D56" w14:textId="77777777" w:rsidR="00C424E5" w:rsidRDefault="00C424E5">
            <w:pPr>
              <w:cnfStyle w:val="000000000000" w:firstRow="0" w:lastRow="0" w:firstColumn="0" w:lastColumn="0" w:oddVBand="0" w:evenVBand="0" w:oddHBand="0" w:evenHBand="0" w:firstRowFirstColumn="0" w:firstRowLastColumn="0" w:lastRowFirstColumn="0" w:lastRowLastColumn="0"/>
            </w:pPr>
            <w:r>
              <w:t>(1)</w:t>
            </w:r>
          </w:p>
        </w:tc>
        <w:tc>
          <w:tcPr>
            <w:tcW w:w="794" w:type="dxa"/>
          </w:tcPr>
          <w:p w14:paraId="40C9EED0" w14:textId="77777777" w:rsidR="00C424E5" w:rsidRDefault="00C424E5">
            <w:pPr>
              <w:cnfStyle w:val="000000000000" w:firstRow="0" w:lastRow="0" w:firstColumn="0" w:lastColumn="0" w:oddVBand="0" w:evenVBand="0" w:oddHBand="0" w:evenHBand="0" w:firstRowFirstColumn="0" w:firstRowLastColumn="0" w:lastRowFirstColumn="0" w:lastRowLastColumn="0"/>
            </w:pPr>
            <w:r>
              <w:t>(3)</w:t>
            </w:r>
          </w:p>
        </w:tc>
        <w:tc>
          <w:tcPr>
            <w:tcW w:w="794" w:type="dxa"/>
          </w:tcPr>
          <w:p w14:paraId="1DDB81D9" w14:textId="77777777" w:rsidR="00C424E5" w:rsidRDefault="00C424E5">
            <w:pPr>
              <w:cnfStyle w:val="000000000000" w:firstRow="0" w:lastRow="0" w:firstColumn="0" w:lastColumn="0" w:oddVBand="0" w:evenVBand="0" w:oddHBand="0" w:evenHBand="0" w:firstRowFirstColumn="0" w:firstRowLastColumn="0" w:lastRowFirstColumn="0" w:lastRowLastColumn="0"/>
            </w:pPr>
            <w:r>
              <w:t>(4)</w:t>
            </w:r>
          </w:p>
        </w:tc>
        <w:tc>
          <w:tcPr>
            <w:tcW w:w="794" w:type="dxa"/>
          </w:tcPr>
          <w:p w14:paraId="091124F9" w14:textId="77777777" w:rsidR="00C424E5" w:rsidRDefault="00C424E5">
            <w:pPr>
              <w:cnfStyle w:val="000000000000" w:firstRow="0" w:lastRow="0" w:firstColumn="0" w:lastColumn="0" w:oddVBand="0" w:evenVBand="0" w:oddHBand="0" w:evenHBand="0" w:firstRowFirstColumn="0" w:firstRowLastColumn="0" w:lastRowFirstColumn="0" w:lastRowLastColumn="0"/>
            </w:pPr>
            <w:r>
              <w:t>(6)</w:t>
            </w:r>
          </w:p>
        </w:tc>
      </w:tr>
      <w:tr w:rsidR="00C424E5" w14:paraId="79DEF4BD" w14:textId="77777777">
        <w:tc>
          <w:tcPr>
            <w:cnfStyle w:val="001000000000" w:firstRow="0" w:lastRow="0" w:firstColumn="1" w:lastColumn="0" w:oddVBand="0" w:evenVBand="0" w:oddHBand="0" w:evenHBand="0" w:firstRowFirstColumn="0" w:firstRowLastColumn="0" w:lastRowFirstColumn="0" w:lastRowLastColumn="0"/>
            <w:tcW w:w="3740" w:type="dxa"/>
          </w:tcPr>
          <w:p w14:paraId="09670E0E" w14:textId="77777777" w:rsidR="00C424E5" w:rsidRDefault="00C424E5">
            <w:r>
              <w:t>Intangible non</w:t>
            </w:r>
            <w:r>
              <w:noBreakHyphen/>
              <w:t>produced assets</w:t>
            </w:r>
          </w:p>
        </w:tc>
        <w:tc>
          <w:tcPr>
            <w:tcW w:w="794" w:type="dxa"/>
          </w:tcPr>
          <w:p w14:paraId="5192D8AC" w14:textId="77777777" w:rsidR="00C424E5" w:rsidRDefault="00C424E5">
            <w:pPr>
              <w:cnfStyle w:val="000000000000" w:firstRow="0" w:lastRow="0" w:firstColumn="0" w:lastColumn="0" w:oddVBand="0" w:evenVBand="0" w:oddHBand="0" w:evenHBand="0" w:firstRowFirstColumn="0" w:firstRowLastColumn="0" w:lastRowFirstColumn="0" w:lastRowLastColumn="0"/>
            </w:pPr>
            <w:r>
              <w:t>81</w:t>
            </w:r>
          </w:p>
        </w:tc>
        <w:tc>
          <w:tcPr>
            <w:tcW w:w="794" w:type="dxa"/>
          </w:tcPr>
          <w:p w14:paraId="098F110F" w14:textId="77777777" w:rsidR="00C424E5" w:rsidRDefault="00C424E5">
            <w:pPr>
              <w:cnfStyle w:val="000000000000" w:firstRow="0" w:lastRow="0" w:firstColumn="0" w:lastColumn="0" w:oddVBand="0" w:evenVBand="0" w:oddHBand="0" w:evenHBand="0" w:firstRowFirstColumn="0" w:firstRowLastColumn="0" w:lastRowFirstColumn="0" w:lastRowLastColumn="0"/>
            </w:pPr>
            <w:r>
              <w:t>80</w:t>
            </w:r>
          </w:p>
        </w:tc>
        <w:tc>
          <w:tcPr>
            <w:tcW w:w="794" w:type="dxa"/>
          </w:tcPr>
          <w:p w14:paraId="508E265E" w14:textId="77777777" w:rsidR="00C424E5" w:rsidRDefault="00C424E5">
            <w:pPr>
              <w:cnfStyle w:val="000000000000" w:firstRow="0" w:lastRow="0" w:firstColumn="0" w:lastColumn="0" w:oddVBand="0" w:evenVBand="0" w:oddHBand="0" w:evenHBand="0" w:firstRowFirstColumn="0" w:firstRowLastColumn="0" w:lastRowFirstColumn="0" w:lastRowLastColumn="0"/>
            </w:pPr>
            <w:r>
              <w:t>82</w:t>
            </w:r>
          </w:p>
        </w:tc>
        <w:tc>
          <w:tcPr>
            <w:tcW w:w="794" w:type="dxa"/>
          </w:tcPr>
          <w:p w14:paraId="7862CDA5" w14:textId="77777777" w:rsidR="00C424E5" w:rsidRDefault="00C424E5">
            <w:pPr>
              <w:cnfStyle w:val="000000000000" w:firstRow="0" w:lastRow="0" w:firstColumn="0" w:lastColumn="0" w:oddVBand="0" w:evenVBand="0" w:oddHBand="0" w:evenHBand="0" w:firstRowFirstColumn="0" w:firstRowLastColumn="0" w:lastRowFirstColumn="0" w:lastRowLastColumn="0"/>
            </w:pPr>
            <w:r>
              <w:t>83</w:t>
            </w:r>
          </w:p>
        </w:tc>
        <w:tc>
          <w:tcPr>
            <w:tcW w:w="794" w:type="dxa"/>
          </w:tcPr>
          <w:p w14:paraId="0178298F" w14:textId="77777777" w:rsidR="00C424E5" w:rsidRDefault="00C424E5">
            <w:pPr>
              <w:cnfStyle w:val="000000000000" w:firstRow="0" w:lastRow="0" w:firstColumn="0" w:lastColumn="0" w:oddVBand="0" w:evenVBand="0" w:oddHBand="0" w:evenHBand="0" w:firstRowFirstColumn="0" w:firstRowLastColumn="0" w:lastRowFirstColumn="0" w:lastRowLastColumn="0"/>
            </w:pPr>
            <w:r>
              <w:t>84</w:t>
            </w:r>
          </w:p>
        </w:tc>
      </w:tr>
      <w:tr w:rsidR="00C424E5" w14:paraId="3CB554A9"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795FF3CA" w14:textId="77777777" w:rsidR="00C424E5" w:rsidRDefault="00C424E5">
            <w:r>
              <w:t>Accumulated amortisation</w:t>
            </w:r>
          </w:p>
        </w:tc>
        <w:tc>
          <w:tcPr>
            <w:tcW w:w="794" w:type="dxa"/>
            <w:tcBorders>
              <w:bottom w:val="single" w:sz="6" w:space="0" w:color="auto"/>
            </w:tcBorders>
          </w:tcPr>
          <w:p w14:paraId="71187ECC" w14:textId="77777777" w:rsidR="00C424E5" w:rsidRDefault="00C424E5">
            <w:pPr>
              <w:cnfStyle w:val="000000000000" w:firstRow="0" w:lastRow="0" w:firstColumn="0" w:lastColumn="0" w:oddVBand="0" w:evenVBand="0" w:oddHBand="0" w:evenHBand="0" w:firstRowFirstColumn="0" w:firstRowLastColumn="0" w:lastRowFirstColumn="0" w:lastRowLastColumn="0"/>
            </w:pPr>
            <w:r>
              <w:t>(62)</w:t>
            </w:r>
          </w:p>
        </w:tc>
        <w:tc>
          <w:tcPr>
            <w:tcW w:w="794" w:type="dxa"/>
            <w:tcBorders>
              <w:bottom w:val="single" w:sz="6" w:space="0" w:color="auto"/>
            </w:tcBorders>
          </w:tcPr>
          <w:p w14:paraId="53C54009" w14:textId="77777777" w:rsidR="00C424E5" w:rsidRDefault="00C424E5">
            <w:pPr>
              <w:cnfStyle w:val="000000000000" w:firstRow="0" w:lastRow="0" w:firstColumn="0" w:lastColumn="0" w:oddVBand="0" w:evenVBand="0" w:oddHBand="0" w:evenHBand="0" w:firstRowFirstColumn="0" w:firstRowLastColumn="0" w:lastRowFirstColumn="0" w:lastRowLastColumn="0"/>
            </w:pPr>
            <w:r>
              <w:t>(60)</w:t>
            </w:r>
          </w:p>
        </w:tc>
        <w:tc>
          <w:tcPr>
            <w:tcW w:w="794" w:type="dxa"/>
            <w:tcBorders>
              <w:bottom w:val="single" w:sz="6" w:space="0" w:color="auto"/>
            </w:tcBorders>
          </w:tcPr>
          <w:p w14:paraId="513670B6" w14:textId="77777777" w:rsidR="00C424E5" w:rsidRDefault="00C424E5">
            <w:pPr>
              <w:cnfStyle w:val="000000000000" w:firstRow="0" w:lastRow="0" w:firstColumn="0" w:lastColumn="0" w:oddVBand="0" w:evenVBand="0" w:oddHBand="0" w:evenHBand="0" w:firstRowFirstColumn="0" w:firstRowLastColumn="0" w:lastRowFirstColumn="0" w:lastRowLastColumn="0"/>
            </w:pPr>
            <w:r>
              <w:t>(67)</w:t>
            </w:r>
          </w:p>
        </w:tc>
        <w:tc>
          <w:tcPr>
            <w:tcW w:w="794" w:type="dxa"/>
            <w:tcBorders>
              <w:bottom w:val="single" w:sz="6" w:space="0" w:color="auto"/>
            </w:tcBorders>
          </w:tcPr>
          <w:p w14:paraId="308ECEFC" w14:textId="77777777" w:rsidR="00C424E5" w:rsidRDefault="00C424E5">
            <w:pPr>
              <w:cnfStyle w:val="000000000000" w:firstRow="0" w:lastRow="0" w:firstColumn="0" w:lastColumn="0" w:oddVBand="0" w:evenVBand="0" w:oddHBand="0" w:evenHBand="0" w:firstRowFirstColumn="0" w:firstRowLastColumn="0" w:lastRowFirstColumn="0" w:lastRowLastColumn="0"/>
            </w:pPr>
            <w:r>
              <w:t>(71)</w:t>
            </w:r>
          </w:p>
        </w:tc>
        <w:tc>
          <w:tcPr>
            <w:tcW w:w="794" w:type="dxa"/>
            <w:tcBorders>
              <w:bottom w:val="single" w:sz="6" w:space="0" w:color="auto"/>
            </w:tcBorders>
          </w:tcPr>
          <w:p w14:paraId="71A75D5B" w14:textId="77777777" w:rsidR="00C424E5" w:rsidRDefault="00C424E5">
            <w:pPr>
              <w:cnfStyle w:val="000000000000" w:firstRow="0" w:lastRow="0" w:firstColumn="0" w:lastColumn="0" w:oddVBand="0" w:evenVBand="0" w:oddHBand="0" w:evenHBand="0" w:firstRowFirstColumn="0" w:firstRowLastColumn="0" w:lastRowFirstColumn="0" w:lastRowLastColumn="0"/>
            </w:pPr>
            <w:r>
              <w:t>(76)</w:t>
            </w:r>
          </w:p>
        </w:tc>
      </w:tr>
      <w:tr w:rsidR="00C424E5" w14:paraId="5173D4FF"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137DA0C1" w14:textId="77777777" w:rsidR="00C424E5" w:rsidRDefault="00C424E5">
            <w:r>
              <w:rPr>
                <w:b/>
              </w:rPr>
              <w:t>Total intangibles</w:t>
            </w:r>
          </w:p>
        </w:tc>
        <w:tc>
          <w:tcPr>
            <w:tcW w:w="794" w:type="dxa"/>
            <w:tcBorders>
              <w:top w:val="single" w:sz="6" w:space="0" w:color="auto"/>
            </w:tcBorders>
          </w:tcPr>
          <w:p w14:paraId="558CB8EB"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5 816</w:t>
            </w:r>
          </w:p>
        </w:tc>
        <w:tc>
          <w:tcPr>
            <w:tcW w:w="794" w:type="dxa"/>
            <w:tcBorders>
              <w:top w:val="single" w:sz="6" w:space="0" w:color="auto"/>
            </w:tcBorders>
          </w:tcPr>
          <w:p w14:paraId="129F010A"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5 964</w:t>
            </w:r>
          </w:p>
        </w:tc>
        <w:tc>
          <w:tcPr>
            <w:tcW w:w="794" w:type="dxa"/>
            <w:tcBorders>
              <w:top w:val="single" w:sz="6" w:space="0" w:color="auto"/>
            </w:tcBorders>
          </w:tcPr>
          <w:p w14:paraId="78F7A529"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5 776</w:t>
            </w:r>
          </w:p>
        </w:tc>
        <w:tc>
          <w:tcPr>
            <w:tcW w:w="794" w:type="dxa"/>
            <w:tcBorders>
              <w:top w:val="single" w:sz="6" w:space="0" w:color="auto"/>
            </w:tcBorders>
          </w:tcPr>
          <w:p w14:paraId="4F880F81"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5 551</w:t>
            </w:r>
          </w:p>
        </w:tc>
        <w:tc>
          <w:tcPr>
            <w:tcW w:w="794" w:type="dxa"/>
            <w:tcBorders>
              <w:top w:val="single" w:sz="6" w:space="0" w:color="auto"/>
            </w:tcBorders>
          </w:tcPr>
          <w:p w14:paraId="31C79A36"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5 302</w:t>
            </w:r>
          </w:p>
        </w:tc>
      </w:tr>
      <w:tr w:rsidR="00C424E5" w14:paraId="08DE66A1" w14:textId="77777777">
        <w:tc>
          <w:tcPr>
            <w:cnfStyle w:val="001000000000" w:firstRow="0" w:lastRow="0" w:firstColumn="1" w:lastColumn="0" w:oddVBand="0" w:evenVBand="0" w:oddHBand="0" w:evenHBand="0" w:firstRowFirstColumn="0" w:firstRowLastColumn="0" w:lastRowFirstColumn="0" w:lastRowLastColumn="0"/>
            <w:tcW w:w="3740" w:type="dxa"/>
          </w:tcPr>
          <w:p w14:paraId="63BF0A22" w14:textId="77777777" w:rsidR="00C424E5" w:rsidRDefault="00C424E5">
            <w:r>
              <w:t>Investment properties</w:t>
            </w:r>
          </w:p>
        </w:tc>
        <w:tc>
          <w:tcPr>
            <w:tcW w:w="794" w:type="dxa"/>
          </w:tcPr>
          <w:p w14:paraId="32F4AFD7" w14:textId="77777777" w:rsidR="00C424E5" w:rsidRDefault="00C424E5">
            <w:pPr>
              <w:cnfStyle w:val="000000000000" w:firstRow="0" w:lastRow="0" w:firstColumn="0" w:lastColumn="0" w:oddVBand="0" w:evenVBand="0" w:oddHBand="0" w:evenHBand="0" w:firstRowFirstColumn="0" w:firstRowLastColumn="0" w:lastRowFirstColumn="0" w:lastRowLastColumn="0"/>
            </w:pPr>
            <w:r>
              <w:t>302</w:t>
            </w:r>
          </w:p>
        </w:tc>
        <w:tc>
          <w:tcPr>
            <w:tcW w:w="794" w:type="dxa"/>
          </w:tcPr>
          <w:p w14:paraId="700A9DC0" w14:textId="77777777" w:rsidR="00C424E5" w:rsidRDefault="00C424E5">
            <w:pPr>
              <w:cnfStyle w:val="000000000000" w:firstRow="0" w:lastRow="0" w:firstColumn="0" w:lastColumn="0" w:oddVBand="0" w:evenVBand="0" w:oddHBand="0" w:evenHBand="0" w:firstRowFirstColumn="0" w:firstRowLastColumn="0" w:lastRowFirstColumn="0" w:lastRowLastColumn="0"/>
            </w:pPr>
            <w:r>
              <w:t>302</w:t>
            </w:r>
          </w:p>
        </w:tc>
        <w:tc>
          <w:tcPr>
            <w:tcW w:w="794" w:type="dxa"/>
          </w:tcPr>
          <w:p w14:paraId="6252B600" w14:textId="77777777" w:rsidR="00C424E5" w:rsidRDefault="00C424E5">
            <w:pPr>
              <w:cnfStyle w:val="000000000000" w:firstRow="0" w:lastRow="0" w:firstColumn="0" w:lastColumn="0" w:oddVBand="0" w:evenVBand="0" w:oddHBand="0" w:evenHBand="0" w:firstRowFirstColumn="0" w:firstRowLastColumn="0" w:lastRowFirstColumn="0" w:lastRowLastColumn="0"/>
            </w:pPr>
            <w:r>
              <w:t>302</w:t>
            </w:r>
          </w:p>
        </w:tc>
        <w:tc>
          <w:tcPr>
            <w:tcW w:w="794" w:type="dxa"/>
          </w:tcPr>
          <w:p w14:paraId="1A1D0388" w14:textId="77777777" w:rsidR="00C424E5" w:rsidRDefault="00C424E5">
            <w:pPr>
              <w:cnfStyle w:val="000000000000" w:firstRow="0" w:lastRow="0" w:firstColumn="0" w:lastColumn="0" w:oddVBand="0" w:evenVBand="0" w:oddHBand="0" w:evenHBand="0" w:firstRowFirstColumn="0" w:firstRowLastColumn="0" w:lastRowFirstColumn="0" w:lastRowLastColumn="0"/>
            </w:pPr>
            <w:r>
              <w:t>302</w:t>
            </w:r>
          </w:p>
        </w:tc>
        <w:tc>
          <w:tcPr>
            <w:tcW w:w="794" w:type="dxa"/>
          </w:tcPr>
          <w:p w14:paraId="661D309A" w14:textId="77777777" w:rsidR="00C424E5" w:rsidRDefault="00C424E5">
            <w:pPr>
              <w:cnfStyle w:val="000000000000" w:firstRow="0" w:lastRow="0" w:firstColumn="0" w:lastColumn="0" w:oddVBand="0" w:evenVBand="0" w:oddHBand="0" w:evenHBand="0" w:firstRowFirstColumn="0" w:firstRowLastColumn="0" w:lastRowFirstColumn="0" w:lastRowLastColumn="0"/>
            </w:pPr>
            <w:r>
              <w:t>302</w:t>
            </w:r>
          </w:p>
        </w:tc>
      </w:tr>
      <w:tr w:rsidR="00C424E5" w14:paraId="501F04B6" w14:textId="77777777">
        <w:tc>
          <w:tcPr>
            <w:cnfStyle w:val="001000000000" w:firstRow="0" w:lastRow="0" w:firstColumn="1" w:lastColumn="0" w:oddVBand="0" w:evenVBand="0" w:oddHBand="0" w:evenHBand="0" w:firstRowFirstColumn="0" w:firstRowLastColumn="0" w:lastRowFirstColumn="0" w:lastRowLastColumn="0"/>
            <w:tcW w:w="3740" w:type="dxa"/>
          </w:tcPr>
          <w:p w14:paraId="5713EA6E" w14:textId="77777777" w:rsidR="00C424E5" w:rsidRDefault="00C424E5">
            <w:r>
              <w:t>Biological assets</w:t>
            </w:r>
          </w:p>
        </w:tc>
        <w:tc>
          <w:tcPr>
            <w:tcW w:w="794" w:type="dxa"/>
          </w:tcPr>
          <w:p w14:paraId="321563CA" w14:textId="77777777" w:rsidR="00C424E5" w:rsidRDefault="00C424E5">
            <w:pPr>
              <w:cnfStyle w:val="000000000000" w:firstRow="0" w:lastRow="0" w:firstColumn="0" w:lastColumn="0" w:oddVBand="0" w:evenVBand="0" w:oddHBand="0" w:evenHBand="0" w:firstRowFirstColumn="0" w:firstRowLastColumn="0" w:lastRowFirstColumn="0" w:lastRowLastColumn="0"/>
            </w:pPr>
            <w:r>
              <w:t>7</w:t>
            </w:r>
          </w:p>
        </w:tc>
        <w:tc>
          <w:tcPr>
            <w:tcW w:w="794" w:type="dxa"/>
          </w:tcPr>
          <w:p w14:paraId="79A21073" w14:textId="77777777" w:rsidR="00C424E5" w:rsidRDefault="00C424E5">
            <w:pPr>
              <w:cnfStyle w:val="000000000000" w:firstRow="0" w:lastRow="0" w:firstColumn="0" w:lastColumn="0" w:oddVBand="0" w:evenVBand="0" w:oddHBand="0" w:evenHBand="0" w:firstRowFirstColumn="0" w:firstRowLastColumn="0" w:lastRowFirstColumn="0" w:lastRowLastColumn="0"/>
            </w:pPr>
            <w:r>
              <w:t>7</w:t>
            </w:r>
          </w:p>
        </w:tc>
        <w:tc>
          <w:tcPr>
            <w:tcW w:w="794" w:type="dxa"/>
          </w:tcPr>
          <w:p w14:paraId="595E0456" w14:textId="77777777" w:rsidR="00C424E5" w:rsidRDefault="00C424E5">
            <w:pPr>
              <w:cnfStyle w:val="000000000000" w:firstRow="0" w:lastRow="0" w:firstColumn="0" w:lastColumn="0" w:oddVBand="0" w:evenVBand="0" w:oddHBand="0" w:evenHBand="0" w:firstRowFirstColumn="0" w:firstRowLastColumn="0" w:lastRowFirstColumn="0" w:lastRowLastColumn="0"/>
            </w:pPr>
            <w:r>
              <w:t>8</w:t>
            </w:r>
          </w:p>
        </w:tc>
        <w:tc>
          <w:tcPr>
            <w:tcW w:w="794" w:type="dxa"/>
          </w:tcPr>
          <w:p w14:paraId="06D93B20" w14:textId="77777777" w:rsidR="00C424E5" w:rsidRDefault="00C424E5">
            <w:pPr>
              <w:cnfStyle w:val="000000000000" w:firstRow="0" w:lastRow="0" w:firstColumn="0" w:lastColumn="0" w:oddVBand="0" w:evenVBand="0" w:oddHBand="0" w:evenHBand="0" w:firstRowFirstColumn="0" w:firstRowLastColumn="0" w:lastRowFirstColumn="0" w:lastRowLastColumn="0"/>
            </w:pPr>
            <w:r>
              <w:t>10</w:t>
            </w:r>
          </w:p>
        </w:tc>
        <w:tc>
          <w:tcPr>
            <w:tcW w:w="794" w:type="dxa"/>
          </w:tcPr>
          <w:p w14:paraId="56BDF2F8" w14:textId="77777777" w:rsidR="00C424E5" w:rsidRDefault="00C424E5">
            <w:pPr>
              <w:cnfStyle w:val="000000000000" w:firstRow="0" w:lastRow="0" w:firstColumn="0" w:lastColumn="0" w:oddVBand="0" w:evenVBand="0" w:oddHBand="0" w:evenHBand="0" w:firstRowFirstColumn="0" w:firstRowLastColumn="0" w:lastRowFirstColumn="0" w:lastRowLastColumn="0"/>
            </w:pPr>
            <w:r>
              <w:t>11</w:t>
            </w:r>
          </w:p>
        </w:tc>
      </w:tr>
      <w:tr w:rsidR="00C424E5" w14:paraId="59098B60"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5104942E" w14:textId="77777777" w:rsidR="00C424E5" w:rsidRDefault="00C424E5">
            <w:r>
              <w:t>Other assets</w:t>
            </w:r>
          </w:p>
        </w:tc>
        <w:tc>
          <w:tcPr>
            <w:tcW w:w="794" w:type="dxa"/>
            <w:tcBorders>
              <w:bottom w:val="single" w:sz="6" w:space="0" w:color="auto"/>
            </w:tcBorders>
          </w:tcPr>
          <w:p w14:paraId="37B58F4A" w14:textId="77777777" w:rsidR="00C424E5" w:rsidRDefault="00C424E5">
            <w:pPr>
              <w:cnfStyle w:val="000000000000" w:firstRow="0" w:lastRow="0" w:firstColumn="0" w:lastColumn="0" w:oddVBand="0" w:evenVBand="0" w:oddHBand="0" w:evenHBand="0" w:firstRowFirstColumn="0" w:firstRowLastColumn="0" w:lastRowFirstColumn="0" w:lastRowLastColumn="0"/>
            </w:pPr>
            <w:r>
              <w:t>1 053</w:t>
            </w:r>
          </w:p>
        </w:tc>
        <w:tc>
          <w:tcPr>
            <w:tcW w:w="794" w:type="dxa"/>
            <w:tcBorders>
              <w:bottom w:val="single" w:sz="6" w:space="0" w:color="auto"/>
            </w:tcBorders>
          </w:tcPr>
          <w:p w14:paraId="4B46D6E9" w14:textId="77777777" w:rsidR="00C424E5" w:rsidRDefault="00C424E5">
            <w:pPr>
              <w:cnfStyle w:val="000000000000" w:firstRow="0" w:lastRow="0" w:firstColumn="0" w:lastColumn="0" w:oddVBand="0" w:evenVBand="0" w:oddHBand="0" w:evenHBand="0" w:firstRowFirstColumn="0" w:firstRowLastColumn="0" w:lastRowFirstColumn="0" w:lastRowLastColumn="0"/>
            </w:pPr>
            <w:r>
              <w:t>1 070</w:t>
            </w:r>
          </w:p>
        </w:tc>
        <w:tc>
          <w:tcPr>
            <w:tcW w:w="794" w:type="dxa"/>
            <w:tcBorders>
              <w:bottom w:val="single" w:sz="6" w:space="0" w:color="auto"/>
            </w:tcBorders>
          </w:tcPr>
          <w:p w14:paraId="77AF77FE" w14:textId="77777777" w:rsidR="00C424E5" w:rsidRDefault="00C424E5">
            <w:pPr>
              <w:cnfStyle w:val="000000000000" w:firstRow="0" w:lastRow="0" w:firstColumn="0" w:lastColumn="0" w:oddVBand="0" w:evenVBand="0" w:oddHBand="0" w:evenHBand="0" w:firstRowFirstColumn="0" w:firstRowLastColumn="0" w:lastRowFirstColumn="0" w:lastRowLastColumn="0"/>
            </w:pPr>
            <w:r>
              <w:t>1 053</w:t>
            </w:r>
          </w:p>
        </w:tc>
        <w:tc>
          <w:tcPr>
            <w:tcW w:w="794" w:type="dxa"/>
            <w:tcBorders>
              <w:bottom w:val="single" w:sz="6" w:space="0" w:color="auto"/>
            </w:tcBorders>
          </w:tcPr>
          <w:p w14:paraId="219B32D4" w14:textId="77777777" w:rsidR="00C424E5" w:rsidRDefault="00C424E5">
            <w:pPr>
              <w:cnfStyle w:val="000000000000" w:firstRow="0" w:lastRow="0" w:firstColumn="0" w:lastColumn="0" w:oddVBand="0" w:evenVBand="0" w:oddHBand="0" w:evenHBand="0" w:firstRowFirstColumn="0" w:firstRowLastColumn="0" w:lastRowFirstColumn="0" w:lastRowLastColumn="0"/>
            </w:pPr>
            <w:r>
              <w:t>1 053</w:t>
            </w:r>
          </w:p>
        </w:tc>
        <w:tc>
          <w:tcPr>
            <w:tcW w:w="794" w:type="dxa"/>
            <w:tcBorders>
              <w:bottom w:val="single" w:sz="6" w:space="0" w:color="auto"/>
            </w:tcBorders>
          </w:tcPr>
          <w:p w14:paraId="59F9A3B0" w14:textId="77777777" w:rsidR="00C424E5" w:rsidRDefault="00C424E5">
            <w:pPr>
              <w:cnfStyle w:val="000000000000" w:firstRow="0" w:lastRow="0" w:firstColumn="0" w:lastColumn="0" w:oddVBand="0" w:evenVBand="0" w:oddHBand="0" w:evenHBand="0" w:firstRowFirstColumn="0" w:firstRowLastColumn="0" w:lastRowFirstColumn="0" w:lastRowLastColumn="0"/>
            </w:pPr>
            <w:r>
              <w:t>1 054</w:t>
            </w:r>
          </w:p>
        </w:tc>
      </w:tr>
      <w:tr w:rsidR="00C424E5" w14:paraId="6AC3824D"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5E34C60D" w14:textId="77777777" w:rsidR="00C424E5" w:rsidRDefault="00C424E5">
            <w:r>
              <w:rPr>
                <w:b/>
              </w:rPr>
              <w:t>Total other non</w:t>
            </w:r>
            <w:r>
              <w:rPr>
                <w:b/>
              </w:rPr>
              <w:noBreakHyphen/>
              <w:t>financial assets</w:t>
            </w:r>
          </w:p>
        </w:tc>
        <w:tc>
          <w:tcPr>
            <w:tcW w:w="794" w:type="dxa"/>
            <w:tcBorders>
              <w:top w:val="single" w:sz="6" w:space="0" w:color="auto"/>
              <w:bottom w:val="single" w:sz="12" w:space="0" w:color="auto"/>
            </w:tcBorders>
          </w:tcPr>
          <w:p w14:paraId="299EDB4F"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7 178</w:t>
            </w:r>
          </w:p>
        </w:tc>
        <w:tc>
          <w:tcPr>
            <w:tcW w:w="794" w:type="dxa"/>
            <w:tcBorders>
              <w:top w:val="single" w:sz="6" w:space="0" w:color="auto"/>
              <w:bottom w:val="single" w:sz="12" w:space="0" w:color="auto"/>
            </w:tcBorders>
          </w:tcPr>
          <w:p w14:paraId="4E501F78"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7 342</w:t>
            </w:r>
          </w:p>
        </w:tc>
        <w:tc>
          <w:tcPr>
            <w:tcW w:w="794" w:type="dxa"/>
            <w:tcBorders>
              <w:top w:val="single" w:sz="6" w:space="0" w:color="auto"/>
              <w:bottom w:val="single" w:sz="12" w:space="0" w:color="auto"/>
            </w:tcBorders>
          </w:tcPr>
          <w:p w14:paraId="72D41A27"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7 140</w:t>
            </w:r>
          </w:p>
        </w:tc>
        <w:tc>
          <w:tcPr>
            <w:tcW w:w="794" w:type="dxa"/>
            <w:tcBorders>
              <w:top w:val="single" w:sz="6" w:space="0" w:color="auto"/>
              <w:bottom w:val="single" w:sz="12" w:space="0" w:color="auto"/>
            </w:tcBorders>
          </w:tcPr>
          <w:p w14:paraId="4DFC4905"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6 917</w:t>
            </w:r>
          </w:p>
        </w:tc>
        <w:tc>
          <w:tcPr>
            <w:tcW w:w="794" w:type="dxa"/>
            <w:tcBorders>
              <w:top w:val="single" w:sz="6" w:space="0" w:color="auto"/>
              <w:bottom w:val="single" w:sz="12" w:space="0" w:color="auto"/>
            </w:tcBorders>
          </w:tcPr>
          <w:p w14:paraId="628A3296" w14:textId="656A5A2E" w:rsidR="00C424E5" w:rsidRDefault="00C424E5">
            <w:pPr>
              <w:cnfStyle w:val="000000000000" w:firstRow="0" w:lastRow="0" w:firstColumn="0" w:lastColumn="0" w:oddVBand="0" w:evenVBand="0" w:oddHBand="0" w:evenHBand="0" w:firstRowFirstColumn="0" w:firstRowLastColumn="0" w:lastRowFirstColumn="0" w:lastRowLastColumn="0"/>
            </w:pPr>
            <w:r>
              <w:rPr>
                <w:b/>
              </w:rPr>
              <w:t>6 669</w:t>
            </w:r>
          </w:p>
        </w:tc>
      </w:tr>
    </w:tbl>
    <w:p w14:paraId="696AADB2" w14:textId="77777777" w:rsidR="00C424E5" w:rsidRDefault="00C424E5" w:rsidP="00901119"/>
    <w:p w14:paraId="3C966AD1" w14:textId="77777777" w:rsidR="00C424E5" w:rsidRPr="003A1BED" w:rsidRDefault="00C424E5" w:rsidP="00901119"/>
    <w:p w14:paraId="718CB601" w14:textId="77777777" w:rsidR="00C424E5" w:rsidRDefault="00C424E5" w:rsidP="00A330B7">
      <w:pPr>
        <w:pStyle w:val="Heading3"/>
        <w:spacing w:after="60"/>
        <w:rPr>
          <w:sz w:val="20"/>
          <w:szCs w:val="20"/>
        </w:rPr>
      </w:pPr>
      <w:bookmarkStart w:id="75" w:name="_Toc117172332"/>
      <w:r w:rsidRPr="00A330B7">
        <w:rPr>
          <w:sz w:val="20"/>
          <w:szCs w:val="20"/>
        </w:rPr>
        <w:t xml:space="preserve">Total assets by classification of the functions of government </w:t>
      </w:r>
      <w:r w:rsidRPr="00A330B7">
        <w:rPr>
          <w:sz w:val="20"/>
          <w:szCs w:val="20"/>
        </w:rPr>
        <w:tab/>
        <w:t>($ million)</w:t>
      </w:r>
      <w:bookmarkEnd w:id="75"/>
    </w:p>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F70B1C" w14:paraId="1AD63807" w14:textId="77777777" w:rsidTr="00A836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3E2F3BA6" w14:textId="39BC6773" w:rsidR="00F70B1C" w:rsidRDefault="00F70B1C"/>
        </w:tc>
        <w:tc>
          <w:tcPr>
            <w:tcW w:w="794" w:type="dxa"/>
          </w:tcPr>
          <w:p w14:paraId="35102FBD" w14:textId="3AE77E09" w:rsidR="00F70B1C" w:rsidRDefault="00F70B1C" w:rsidP="00405C24">
            <w:pPr>
              <w:cnfStyle w:val="100000000000" w:firstRow="1" w:lastRow="0" w:firstColumn="0" w:lastColumn="0" w:oddVBand="0" w:evenVBand="0" w:oddHBand="0" w:evenHBand="0" w:firstRowFirstColumn="0" w:firstRowLastColumn="0" w:lastRowFirstColumn="0" w:lastRowLastColumn="0"/>
            </w:pPr>
            <w:r>
              <w:t>2023</w:t>
            </w:r>
            <w:r>
              <w:rPr>
                <w:i w:val="0"/>
              </w:rPr>
              <w:br/>
            </w:r>
            <w:r>
              <w:t>budget</w:t>
            </w:r>
          </w:p>
        </w:tc>
        <w:tc>
          <w:tcPr>
            <w:tcW w:w="794" w:type="dxa"/>
          </w:tcPr>
          <w:p w14:paraId="490436BB" w14:textId="33E420BC" w:rsidR="00F70B1C" w:rsidRDefault="00F70B1C" w:rsidP="00C1576C">
            <w:pPr>
              <w:cnfStyle w:val="100000000000" w:firstRow="1" w:lastRow="0" w:firstColumn="0" w:lastColumn="0" w:oddVBand="0" w:evenVBand="0" w:oddHBand="0" w:evenHBand="0" w:firstRowFirstColumn="0" w:firstRowLastColumn="0" w:lastRowFirstColumn="0" w:lastRowLastColumn="0"/>
            </w:pPr>
            <w:r>
              <w:t>2023</w:t>
            </w:r>
            <w:r>
              <w:rPr>
                <w:i w:val="0"/>
              </w:rPr>
              <w:br/>
            </w:r>
            <w:r>
              <w:t>revised</w:t>
            </w:r>
          </w:p>
        </w:tc>
        <w:tc>
          <w:tcPr>
            <w:tcW w:w="794" w:type="dxa"/>
          </w:tcPr>
          <w:p w14:paraId="41B4924E" w14:textId="16F6DCC8" w:rsidR="00F70B1C" w:rsidRDefault="00F70B1C" w:rsidP="00992B1C">
            <w:pPr>
              <w:cnfStyle w:val="100000000000" w:firstRow="1" w:lastRow="0" w:firstColumn="0" w:lastColumn="0" w:oddVBand="0" w:evenVBand="0" w:oddHBand="0" w:evenHBand="0" w:firstRowFirstColumn="0" w:firstRowLastColumn="0" w:lastRowFirstColumn="0" w:lastRowLastColumn="0"/>
            </w:pPr>
            <w:r>
              <w:t>2024</w:t>
            </w:r>
            <w:r>
              <w:rPr>
                <w:i w:val="0"/>
              </w:rPr>
              <w:br/>
            </w:r>
            <w:r>
              <w:t>estimate</w:t>
            </w:r>
          </w:p>
        </w:tc>
        <w:tc>
          <w:tcPr>
            <w:tcW w:w="794" w:type="dxa"/>
          </w:tcPr>
          <w:p w14:paraId="475D832B" w14:textId="3CAF32A2" w:rsidR="00F70B1C" w:rsidRDefault="00F70B1C" w:rsidP="00506897">
            <w:pPr>
              <w:cnfStyle w:val="100000000000" w:firstRow="1" w:lastRow="0" w:firstColumn="0" w:lastColumn="0" w:oddVBand="0" w:evenVBand="0" w:oddHBand="0" w:evenHBand="0" w:firstRowFirstColumn="0" w:firstRowLastColumn="0" w:lastRowFirstColumn="0" w:lastRowLastColumn="0"/>
            </w:pPr>
            <w:r>
              <w:t>2025</w:t>
            </w:r>
            <w:r>
              <w:rPr>
                <w:i w:val="0"/>
              </w:rPr>
              <w:br/>
            </w:r>
            <w:r>
              <w:t>estimate</w:t>
            </w:r>
          </w:p>
        </w:tc>
        <w:tc>
          <w:tcPr>
            <w:tcW w:w="794" w:type="dxa"/>
          </w:tcPr>
          <w:p w14:paraId="697DD160" w14:textId="470A0C65" w:rsidR="00F70B1C" w:rsidRDefault="00F70B1C" w:rsidP="001926D4">
            <w:pPr>
              <w:cnfStyle w:val="100000000000" w:firstRow="1" w:lastRow="0" w:firstColumn="0" w:lastColumn="0" w:oddVBand="0" w:evenVBand="0" w:oddHBand="0" w:evenHBand="0" w:firstRowFirstColumn="0" w:firstRowLastColumn="0" w:lastRowFirstColumn="0" w:lastRowLastColumn="0"/>
            </w:pPr>
            <w:r>
              <w:t>2026</w:t>
            </w:r>
            <w:r>
              <w:rPr>
                <w:i w:val="0"/>
              </w:rPr>
              <w:br/>
            </w:r>
            <w:r>
              <w:t>estimate</w:t>
            </w:r>
          </w:p>
        </w:tc>
      </w:tr>
      <w:tr w:rsidR="00C424E5" w14:paraId="1F8725BB" w14:textId="77777777">
        <w:tc>
          <w:tcPr>
            <w:cnfStyle w:val="001000000000" w:firstRow="0" w:lastRow="0" w:firstColumn="1" w:lastColumn="0" w:oddVBand="0" w:evenVBand="0" w:oddHBand="0" w:evenHBand="0" w:firstRowFirstColumn="0" w:firstRowLastColumn="0" w:lastRowFirstColumn="0" w:lastRowLastColumn="0"/>
            <w:tcW w:w="3740" w:type="dxa"/>
          </w:tcPr>
          <w:p w14:paraId="5F7CB344" w14:textId="77777777" w:rsidR="00C424E5" w:rsidRDefault="00C424E5">
            <w:r>
              <w:t>General public services</w:t>
            </w:r>
          </w:p>
        </w:tc>
        <w:tc>
          <w:tcPr>
            <w:tcW w:w="794" w:type="dxa"/>
          </w:tcPr>
          <w:p w14:paraId="4DF62CBE" w14:textId="77777777" w:rsidR="00C424E5" w:rsidRDefault="00C424E5">
            <w:pPr>
              <w:cnfStyle w:val="000000000000" w:firstRow="0" w:lastRow="0" w:firstColumn="0" w:lastColumn="0" w:oddVBand="0" w:evenVBand="0" w:oddHBand="0" w:evenHBand="0" w:firstRowFirstColumn="0" w:firstRowLastColumn="0" w:lastRowFirstColumn="0" w:lastRowLastColumn="0"/>
            </w:pPr>
            <w:r>
              <w:t>4 261</w:t>
            </w:r>
          </w:p>
        </w:tc>
        <w:tc>
          <w:tcPr>
            <w:tcW w:w="794" w:type="dxa"/>
          </w:tcPr>
          <w:p w14:paraId="781F4438" w14:textId="77777777" w:rsidR="00C424E5" w:rsidRDefault="00C424E5">
            <w:pPr>
              <w:cnfStyle w:val="000000000000" w:firstRow="0" w:lastRow="0" w:firstColumn="0" w:lastColumn="0" w:oddVBand="0" w:evenVBand="0" w:oddHBand="0" w:evenHBand="0" w:firstRowFirstColumn="0" w:firstRowLastColumn="0" w:lastRowFirstColumn="0" w:lastRowLastColumn="0"/>
            </w:pPr>
            <w:r>
              <w:t>4 321</w:t>
            </w:r>
          </w:p>
        </w:tc>
        <w:tc>
          <w:tcPr>
            <w:tcW w:w="794" w:type="dxa"/>
          </w:tcPr>
          <w:p w14:paraId="62891852" w14:textId="77777777" w:rsidR="00C424E5" w:rsidRDefault="00C424E5">
            <w:pPr>
              <w:cnfStyle w:val="000000000000" w:firstRow="0" w:lastRow="0" w:firstColumn="0" w:lastColumn="0" w:oddVBand="0" w:evenVBand="0" w:oddHBand="0" w:evenHBand="0" w:firstRowFirstColumn="0" w:firstRowLastColumn="0" w:lastRowFirstColumn="0" w:lastRowLastColumn="0"/>
            </w:pPr>
            <w:r>
              <w:t>3 947</w:t>
            </w:r>
          </w:p>
        </w:tc>
        <w:tc>
          <w:tcPr>
            <w:tcW w:w="794" w:type="dxa"/>
          </w:tcPr>
          <w:p w14:paraId="4076E4EB" w14:textId="77777777" w:rsidR="00C424E5" w:rsidRDefault="00C424E5">
            <w:pPr>
              <w:cnfStyle w:val="000000000000" w:firstRow="0" w:lastRow="0" w:firstColumn="0" w:lastColumn="0" w:oddVBand="0" w:evenVBand="0" w:oddHBand="0" w:evenHBand="0" w:firstRowFirstColumn="0" w:firstRowLastColumn="0" w:lastRowFirstColumn="0" w:lastRowLastColumn="0"/>
            </w:pPr>
            <w:r>
              <w:t>3 645</w:t>
            </w:r>
          </w:p>
        </w:tc>
        <w:tc>
          <w:tcPr>
            <w:tcW w:w="794" w:type="dxa"/>
          </w:tcPr>
          <w:p w14:paraId="2C38F120" w14:textId="77777777" w:rsidR="00C424E5" w:rsidRDefault="00C424E5">
            <w:pPr>
              <w:cnfStyle w:val="000000000000" w:firstRow="0" w:lastRow="0" w:firstColumn="0" w:lastColumn="0" w:oddVBand="0" w:evenVBand="0" w:oddHBand="0" w:evenHBand="0" w:firstRowFirstColumn="0" w:firstRowLastColumn="0" w:lastRowFirstColumn="0" w:lastRowLastColumn="0"/>
            </w:pPr>
            <w:r>
              <w:t>3 665</w:t>
            </w:r>
          </w:p>
        </w:tc>
      </w:tr>
      <w:tr w:rsidR="00C424E5" w14:paraId="1AB1353E" w14:textId="77777777">
        <w:tc>
          <w:tcPr>
            <w:cnfStyle w:val="001000000000" w:firstRow="0" w:lastRow="0" w:firstColumn="1" w:lastColumn="0" w:oddVBand="0" w:evenVBand="0" w:oddHBand="0" w:evenHBand="0" w:firstRowFirstColumn="0" w:firstRowLastColumn="0" w:lastRowFirstColumn="0" w:lastRowLastColumn="0"/>
            <w:tcW w:w="3740" w:type="dxa"/>
          </w:tcPr>
          <w:p w14:paraId="1EBF26E4" w14:textId="77777777" w:rsidR="00C424E5" w:rsidRDefault="00C424E5">
            <w:r>
              <w:t>Public order and safety</w:t>
            </w:r>
          </w:p>
        </w:tc>
        <w:tc>
          <w:tcPr>
            <w:tcW w:w="794" w:type="dxa"/>
          </w:tcPr>
          <w:p w14:paraId="2643B5E6" w14:textId="77777777" w:rsidR="00C424E5" w:rsidRDefault="00C424E5">
            <w:pPr>
              <w:cnfStyle w:val="000000000000" w:firstRow="0" w:lastRow="0" w:firstColumn="0" w:lastColumn="0" w:oddVBand="0" w:evenVBand="0" w:oddHBand="0" w:evenHBand="0" w:firstRowFirstColumn="0" w:firstRowLastColumn="0" w:lastRowFirstColumn="0" w:lastRowLastColumn="0"/>
            </w:pPr>
            <w:r>
              <w:t>15 880</w:t>
            </w:r>
          </w:p>
        </w:tc>
        <w:tc>
          <w:tcPr>
            <w:tcW w:w="794" w:type="dxa"/>
          </w:tcPr>
          <w:p w14:paraId="0EA5ED75" w14:textId="77777777" w:rsidR="00C424E5" w:rsidRDefault="00C424E5">
            <w:pPr>
              <w:cnfStyle w:val="000000000000" w:firstRow="0" w:lastRow="0" w:firstColumn="0" w:lastColumn="0" w:oddVBand="0" w:evenVBand="0" w:oddHBand="0" w:evenHBand="0" w:firstRowFirstColumn="0" w:firstRowLastColumn="0" w:lastRowFirstColumn="0" w:lastRowLastColumn="0"/>
            </w:pPr>
            <w:r>
              <w:t>15 954</w:t>
            </w:r>
          </w:p>
        </w:tc>
        <w:tc>
          <w:tcPr>
            <w:tcW w:w="794" w:type="dxa"/>
          </w:tcPr>
          <w:p w14:paraId="0E935E20" w14:textId="77777777" w:rsidR="00C424E5" w:rsidRDefault="00C424E5">
            <w:pPr>
              <w:cnfStyle w:val="000000000000" w:firstRow="0" w:lastRow="0" w:firstColumn="0" w:lastColumn="0" w:oddVBand="0" w:evenVBand="0" w:oddHBand="0" w:evenHBand="0" w:firstRowFirstColumn="0" w:firstRowLastColumn="0" w:lastRowFirstColumn="0" w:lastRowLastColumn="0"/>
            </w:pPr>
            <w:r>
              <w:t>15 946</w:t>
            </w:r>
          </w:p>
        </w:tc>
        <w:tc>
          <w:tcPr>
            <w:tcW w:w="794" w:type="dxa"/>
          </w:tcPr>
          <w:p w14:paraId="468EA314" w14:textId="77777777" w:rsidR="00C424E5" w:rsidRDefault="00C424E5">
            <w:pPr>
              <w:cnfStyle w:val="000000000000" w:firstRow="0" w:lastRow="0" w:firstColumn="0" w:lastColumn="0" w:oddVBand="0" w:evenVBand="0" w:oddHBand="0" w:evenHBand="0" w:firstRowFirstColumn="0" w:firstRowLastColumn="0" w:lastRowFirstColumn="0" w:lastRowLastColumn="0"/>
            </w:pPr>
            <w:r>
              <w:t>16 843</w:t>
            </w:r>
          </w:p>
        </w:tc>
        <w:tc>
          <w:tcPr>
            <w:tcW w:w="794" w:type="dxa"/>
          </w:tcPr>
          <w:p w14:paraId="69130B9B" w14:textId="77777777" w:rsidR="00C424E5" w:rsidRDefault="00C424E5">
            <w:pPr>
              <w:cnfStyle w:val="000000000000" w:firstRow="0" w:lastRow="0" w:firstColumn="0" w:lastColumn="0" w:oddVBand="0" w:evenVBand="0" w:oddHBand="0" w:evenHBand="0" w:firstRowFirstColumn="0" w:firstRowLastColumn="0" w:lastRowFirstColumn="0" w:lastRowLastColumn="0"/>
            </w:pPr>
            <w:r>
              <w:t>16 673</w:t>
            </w:r>
          </w:p>
        </w:tc>
      </w:tr>
      <w:tr w:rsidR="00C424E5" w14:paraId="413EB17B" w14:textId="77777777">
        <w:tc>
          <w:tcPr>
            <w:cnfStyle w:val="001000000000" w:firstRow="0" w:lastRow="0" w:firstColumn="1" w:lastColumn="0" w:oddVBand="0" w:evenVBand="0" w:oddHBand="0" w:evenHBand="0" w:firstRowFirstColumn="0" w:firstRowLastColumn="0" w:lastRowFirstColumn="0" w:lastRowLastColumn="0"/>
            <w:tcW w:w="3740" w:type="dxa"/>
          </w:tcPr>
          <w:p w14:paraId="1B544FA3" w14:textId="77777777" w:rsidR="00C424E5" w:rsidRDefault="00C424E5">
            <w:r>
              <w:t>Economic affairs</w:t>
            </w:r>
          </w:p>
        </w:tc>
        <w:tc>
          <w:tcPr>
            <w:tcW w:w="794" w:type="dxa"/>
          </w:tcPr>
          <w:p w14:paraId="0C7FD7F7" w14:textId="77777777" w:rsidR="00C424E5" w:rsidRDefault="00C424E5">
            <w:pPr>
              <w:cnfStyle w:val="000000000000" w:firstRow="0" w:lastRow="0" w:firstColumn="0" w:lastColumn="0" w:oddVBand="0" w:evenVBand="0" w:oddHBand="0" w:evenHBand="0" w:firstRowFirstColumn="0" w:firstRowLastColumn="0" w:lastRowFirstColumn="0" w:lastRowLastColumn="0"/>
            </w:pPr>
            <w:r>
              <w:t>1 458</w:t>
            </w:r>
          </w:p>
        </w:tc>
        <w:tc>
          <w:tcPr>
            <w:tcW w:w="794" w:type="dxa"/>
          </w:tcPr>
          <w:p w14:paraId="1F8CD79A" w14:textId="77777777" w:rsidR="00C424E5" w:rsidRDefault="00C424E5">
            <w:pPr>
              <w:cnfStyle w:val="000000000000" w:firstRow="0" w:lastRow="0" w:firstColumn="0" w:lastColumn="0" w:oddVBand="0" w:evenVBand="0" w:oddHBand="0" w:evenHBand="0" w:firstRowFirstColumn="0" w:firstRowLastColumn="0" w:lastRowFirstColumn="0" w:lastRowLastColumn="0"/>
            </w:pPr>
            <w:r>
              <w:t>1 696</w:t>
            </w:r>
          </w:p>
        </w:tc>
        <w:tc>
          <w:tcPr>
            <w:tcW w:w="794" w:type="dxa"/>
          </w:tcPr>
          <w:p w14:paraId="7938039C" w14:textId="77777777" w:rsidR="00C424E5" w:rsidRDefault="00C424E5">
            <w:pPr>
              <w:cnfStyle w:val="000000000000" w:firstRow="0" w:lastRow="0" w:firstColumn="0" w:lastColumn="0" w:oddVBand="0" w:evenVBand="0" w:oddHBand="0" w:evenHBand="0" w:firstRowFirstColumn="0" w:firstRowLastColumn="0" w:lastRowFirstColumn="0" w:lastRowLastColumn="0"/>
            </w:pPr>
            <w:r>
              <w:t>1 748</w:t>
            </w:r>
          </w:p>
        </w:tc>
        <w:tc>
          <w:tcPr>
            <w:tcW w:w="794" w:type="dxa"/>
          </w:tcPr>
          <w:p w14:paraId="74EF819D" w14:textId="77777777" w:rsidR="00C424E5" w:rsidRDefault="00C424E5">
            <w:pPr>
              <w:cnfStyle w:val="000000000000" w:firstRow="0" w:lastRow="0" w:firstColumn="0" w:lastColumn="0" w:oddVBand="0" w:evenVBand="0" w:oddHBand="0" w:evenHBand="0" w:firstRowFirstColumn="0" w:firstRowLastColumn="0" w:lastRowFirstColumn="0" w:lastRowLastColumn="0"/>
            </w:pPr>
            <w:r>
              <w:t>2 946</w:t>
            </w:r>
          </w:p>
        </w:tc>
        <w:tc>
          <w:tcPr>
            <w:tcW w:w="794" w:type="dxa"/>
          </w:tcPr>
          <w:p w14:paraId="234C4D50" w14:textId="77777777" w:rsidR="00C424E5" w:rsidRDefault="00C424E5">
            <w:pPr>
              <w:cnfStyle w:val="000000000000" w:firstRow="0" w:lastRow="0" w:firstColumn="0" w:lastColumn="0" w:oddVBand="0" w:evenVBand="0" w:oddHBand="0" w:evenHBand="0" w:firstRowFirstColumn="0" w:firstRowLastColumn="0" w:lastRowFirstColumn="0" w:lastRowLastColumn="0"/>
            </w:pPr>
            <w:r>
              <w:t>3 027</w:t>
            </w:r>
          </w:p>
        </w:tc>
      </w:tr>
      <w:tr w:rsidR="00C424E5" w14:paraId="7DE34592" w14:textId="77777777">
        <w:tc>
          <w:tcPr>
            <w:cnfStyle w:val="001000000000" w:firstRow="0" w:lastRow="0" w:firstColumn="1" w:lastColumn="0" w:oddVBand="0" w:evenVBand="0" w:oddHBand="0" w:evenHBand="0" w:firstRowFirstColumn="0" w:firstRowLastColumn="0" w:lastRowFirstColumn="0" w:lastRowLastColumn="0"/>
            <w:tcW w:w="3740" w:type="dxa"/>
          </w:tcPr>
          <w:p w14:paraId="1D2B9719" w14:textId="77777777" w:rsidR="00C424E5" w:rsidRDefault="00C424E5">
            <w:r>
              <w:t>Environmental protection</w:t>
            </w:r>
          </w:p>
        </w:tc>
        <w:tc>
          <w:tcPr>
            <w:tcW w:w="794" w:type="dxa"/>
          </w:tcPr>
          <w:p w14:paraId="2C5064A3" w14:textId="77777777" w:rsidR="00C424E5" w:rsidRDefault="00C424E5">
            <w:pPr>
              <w:cnfStyle w:val="000000000000" w:firstRow="0" w:lastRow="0" w:firstColumn="0" w:lastColumn="0" w:oddVBand="0" w:evenVBand="0" w:oddHBand="0" w:evenHBand="0" w:firstRowFirstColumn="0" w:firstRowLastColumn="0" w:lastRowFirstColumn="0" w:lastRowLastColumn="0"/>
            </w:pPr>
            <w:r>
              <w:t>16 808</w:t>
            </w:r>
          </w:p>
        </w:tc>
        <w:tc>
          <w:tcPr>
            <w:tcW w:w="794" w:type="dxa"/>
          </w:tcPr>
          <w:p w14:paraId="233190CA" w14:textId="77777777" w:rsidR="00C424E5" w:rsidRDefault="00C424E5">
            <w:pPr>
              <w:cnfStyle w:val="000000000000" w:firstRow="0" w:lastRow="0" w:firstColumn="0" w:lastColumn="0" w:oddVBand="0" w:evenVBand="0" w:oddHBand="0" w:evenHBand="0" w:firstRowFirstColumn="0" w:firstRowLastColumn="0" w:lastRowFirstColumn="0" w:lastRowLastColumn="0"/>
            </w:pPr>
            <w:r>
              <w:t>16 809</w:t>
            </w:r>
          </w:p>
        </w:tc>
        <w:tc>
          <w:tcPr>
            <w:tcW w:w="794" w:type="dxa"/>
          </w:tcPr>
          <w:p w14:paraId="3F8C6B7A" w14:textId="77777777" w:rsidR="00C424E5" w:rsidRDefault="00C424E5">
            <w:pPr>
              <w:cnfStyle w:val="000000000000" w:firstRow="0" w:lastRow="0" w:firstColumn="0" w:lastColumn="0" w:oddVBand="0" w:evenVBand="0" w:oddHBand="0" w:evenHBand="0" w:firstRowFirstColumn="0" w:firstRowLastColumn="0" w:lastRowFirstColumn="0" w:lastRowLastColumn="0"/>
            </w:pPr>
            <w:r>
              <w:t>16 889</w:t>
            </w:r>
          </w:p>
        </w:tc>
        <w:tc>
          <w:tcPr>
            <w:tcW w:w="794" w:type="dxa"/>
          </w:tcPr>
          <w:p w14:paraId="0903F5D9" w14:textId="77777777" w:rsidR="00C424E5" w:rsidRDefault="00C424E5">
            <w:pPr>
              <w:cnfStyle w:val="000000000000" w:firstRow="0" w:lastRow="0" w:firstColumn="0" w:lastColumn="0" w:oddVBand="0" w:evenVBand="0" w:oddHBand="0" w:evenHBand="0" w:firstRowFirstColumn="0" w:firstRowLastColumn="0" w:lastRowFirstColumn="0" w:lastRowLastColumn="0"/>
            </w:pPr>
            <w:r>
              <w:t>16 912</w:t>
            </w:r>
          </w:p>
        </w:tc>
        <w:tc>
          <w:tcPr>
            <w:tcW w:w="794" w:type="dxa"/>
          </w:tcPr>
          <w:p w14:paraId="77FB4717" w14:textId="77777777" w:rsidR="00C424E5" w:rsidRDefault="00C424E5">
            <w:pPr>
              <w:cnfStyle w:val="000000000000" w:firstRow="0" w:lastRow="0" w:firstColumn="0" w:lastColumn="0" w:oddVBand="0" w:evenVBand="0" w:oddHBand="0" w:evenHBand="0" w:firstRowFirstColumn="0" w:firstRowLastColumn="0" w:lastRowFirstColumn="0" w:lastRowLastColumn="0"/>
            </w:pPr>
            <w:r>
              <w:t>16 903</w:t>
            </w:r>
          </w:p>
        </w:tc>
      </w:tr>
      <w:tr w:rsidR="00C424E5" w14:paraId="1DA5BD4B" w14:textId="77777777">
        <w:tc>
          <w:tcPr>
            <w:cnfStyle w:val="001000000000" w:firstRow="0" w:lastRow="0" w:firstColumn="1" w:lastColumn="0" w:oddVBand="0" w:evenVBand="0" w:oddHBand="0" w:evenHBand="0" w:firstRowFirstColumn="0" w:firstRowLastColumn="0" w:lastRowFirstColumn="0" w:lastRowLastColumn="0"/>
            <w:tcW w:w="3740" w:type="dxa"/>
          </w:tcPr>
          <w:p w14:paraId="12F0FAF0" w14:textId="77777777" w:rsidR="00C424E5" w:rsidRDefault="00C424E5">
            <w:r>
              <w:t>Housing and community amenities</w:t>
            </w:r>
          </w:p>
        </w:tc>
        <w:tc>
          <w:tcPr>
            <w:tcW w:w="794" w:type="dxa"/>
          </w:tcPr>
          <w:p w14:paraId="41D77745" w14:textId="77777777" w:rsidR="00C424E5" w:rsidRDefault="00C424E5">
            <w:pPr>
              <w:cnfStyle w:val="000000000000" w:firstRow="0" w:lastRow="0" w:firstColumn="0" w:lastColumn="0" w:oddVBand="0" w:evenVBand="0" w:oddHBand="0" w:evenHBand="0" w:firstRowFirstColumn="0" w:firstRowLastColumn="0" w:lastRowFirstColumn="0" w:lastRowLastColumn="0"/>
            </w:pPr>
            <w:r>
              <w:t>2 364</w:t>
            </w:r>
          </w:p>
        </w:tc>
        <w:tc>
          <w:tcPr>
            <w:tcW w:w="794" w:type="dxa"/>
          </w:tcPr>
          <w:p w14:paraId="020760BF" w14:textId="77777777" w:rsidR="00C424E5" w:rsidRDefault="00C424E5">
            <w:pPr>
              <w:cnfStyle w:val="000000000000" w:firstRow="0" w:lastRow="0" w:firstColumn="0" w:lastColumn="0" w:oddVBand="0" w:evenVBand="0" w:oddHBand="0" w:evenHBand="0" w:firstRowFirstColumn="0" w:firstRowLastColumn="0" w:lastRowFirstColumn="0" w:lastRowLastColumn="0"/>
            </w:pPr>
            <w:r>
              <w:t>2 341</w:t>
            </w:r>
          </w:p>
        </w:tc>
        <w:tc>
          <w:tcPr>
            <w:tcW w:w="794" w:type="dxa"/>
          </w:tcPr>
          <w:p w14:paraId="70172838" w14:textId="77777777" w:rsidR="00C424E5" w:rsidRDefault="00C424E5">
            <w:pPr>
              <w:cnfStyle w:val="000000000000" w:firstRow="0" w:lastRow="0" w:firstColumn="0" w:lastColumn="0" w:oddVBand="0" w:evenVBand="0" w:oddHBand="0" w:evenHBand="0" w:firstRowFirstColumn="0" w:firstRowLastColumn="0" w:lastRowFirstColumn="0" w:lastRowLastColumn="0"/>
            </w:pPr>
            <w:r>
              <w:t>2 579</w:t>
            </w:r>
          </w:p>
        </w:tc>
        <w:tc>
          <w:tcPr>
            <w:tcW w:w="794" w:type="dxa"/>
          </w:tcPr>
          <w:p w14:paraId="436EEC53" w14:textId="77777777" w:rsidR="00C424E5" w:rsidRDefault="00C424E5">
            <w:pPr>
              <w:cnfStyle w:val="000000000000" w:firstRow="0" w:lastRow="0" w:firstColumn="0" w:lastColumn="0" w:oddVBand="0" w:evenVBand="0" w:oddHBand="0" w:evenHBand="0" w:firstRowFirstColumn="0" w:firstRowLastColumn="0" w:lastRowFirstColumn="0" w:lastRowLastColumn="0"/>
            </w:pPr>
            <w:r>
              <w:t>3 682</w:t>
            </w:r>
          </w:p>
        </w:tc>
        <w:tc>
          <w:tcPr>
            <w:tcW w:w="794" w:type="dxa"/>
          </w:tcPr>
          <w:p w14:paraId="116D0000" w14:textId="77777777" w:rsidR="00C424E5" w:rsidRDefault="00C424E5">
            <w:pPr>
              <w:cnfStyle w:val="000000000000" w:firstRow="0" w:lastRow="0" w:firstColumn="0" w:lastColumn="0" w:oddVBand="0" w:evenVBand="0" w:oddHBand="0" w:evenHBand="0" w:firstRowFirstColumn="0" w:firstRowLastColumn="0" w:lastRowFirstColumn="0" w:lastRowLastColumn="0"/>
            </w:pPr>
            <w:r>
              <w:t>4 168</w:t>
            </w:r>
          </w:p>
        </w:tc>
      </w:tr>
      <w:tr w:rsidR="00C424E5" w14:paraId="1AF017B8" w14:textId="77777777">
        <w:tc>
          <w:tcPr>
            <w:cnfStyle w:val="001000000000" w:firstRow="0" w:lastRow="0" w:firstColumn="1" w:lastColumn="0" w:oddVBand="0" w:evenVBand="0" w:oddHBand="0" w:evenHBand="0" w:firstRowFirstColumn="0" w:firstRowLastColumn="0" w:lastRowFirstColumn="0" w:lastRowLastColumn="0"/>
            <w:tcW w:w="3740" w:type="dxa"/>
          </w:tcPr>
          <w:p w14:paraId="7A5BB00C" w14:textId="77777777" w:rsidR="00C424E5" w:rsidRDefault="00C424E5">
            <w:r>
              <w:t>Health</w:t>
            </w:r>
          </w:p>
        </w:tc>
        <w:tc>
          <w:tcPr>
            <w:tcW w:w="794" w:type="dxa"/>
          </w:tcPr>
          <w:p w14:paraId="2A7DB957" w14:textId="77777777" w:rsidR="00C424E5" w:rsidRDefault="00C424E5">
            <w:pPr>
              <w:cnfStyle w:val="000000000000" w:firstRow="0" w:lastRow="0" w:firstColumn="0" w:lastColumn="0" w:oddVBand="0" w:evenVBand="0" w:oddHBand="0" w:evenHBand="0" w:firstRowFirstColumn="0" w:firstRowLastColumn="0" w:lastRowFirstColumn="0" w:lastRowLastColumn="0"/>
            </w:pPr>
            <w:r>
              <w:t>23 361</w:t>
            </w:r>
          </w:p>
        </w:tc>
        <w:tc>
          <w:tcPr>
            <w:tcW w:w="794" w:type="dxa"/>
          </w:tcPr>
          <w:p w14:paraId="343C178C" w14:textId="77777777" w:rsidR="00C424E5" w:rsidRDefault="00C424E5">
            <w:pPr>
              <w:cnfStyle w:val="000000000000" w:firstRow="0" w:lastRow="0" w:firstColumn="0" w:lastColumn="0" w:oddVBand="0" w:evenVBand="0" w:oddHBand="0" w:evenHBand="0" w:firstRowFirstColumn="0" w:firstRowLastColumn="0" w:lastRowFirstColumn="0" w:lastRowLastColumn="0"/>
            </w:pPr>
            <w:r>
              <w:t>23 090</w:t>
            </w:r>
          </w:p>
        </w:tc>
        <w:tc>
          <w:tcPr>
            <w:tcW w:w="794" w:type="dxa"/>
          </w:tcPr>
          <w:p w14:paraId="006020A4" w14:textId="77777777" w:rsidR="00C424E5" w:rsidRDefault="00C424E5">
            <w:pPr>
              <w:cnfStyle w:val="000000000000" w:firstRow="0" w:lastRow="0" w:firstColumn="0" w:lastColumn="0" w:oddVBand="0" w:evenVBand="0" w:oddHBand="0" w:evenHBand="0" w:firstRowFirstColumn="0" w:firstRowLastColumn="0" w:lastRowFirstColumn="0" w:lastRowLastColumn="0"/>
            </w:pPr>
            <w:r>
              <w:t>25 598</w:t>
            </w:r>
          </w:p>
        </w:tc>
        <w:tc>
          <w:tcPr>
            <w:tcW w:w="794" w:type="dxa"/>
          </w:tcPr>
          <w:p w14:paraId="02D0F1B3" w14:textId="77777777" w:rsidR="00C424E5" w:rsidRDefault="00C424E5">
            <w:pPr>
              <w:cnfStyle w:val="000000000000" w:firstRow="0" w:lastRow="0" w:firstColumn="0" w:lastColumn="0" w:oddVBand="0" w:evenVBand="0" w:oddHBand="0" w:evenHBand="0" w:firstRowFirstColumn="0" w:firstRowLastColumn="0" w:lastRowFirstColumn="0" w:lastRowLastColumn="0"/>
            </w:pPr>
            <w:r>
              <w:t>25 475</w:t>
            </w:r>
          </w:p>
        </w:tc>
        <w:tc>
          <w:tcPr>
            <w:tcW w:w="794" w:type="dxa"/>
          </w:tcPr>
          <w:p w14:paraId="24D50366" w14:textId="77777777" w:rsidR="00C424E5" w:rsidRDefault="00C424E5">
            <w:pPr>
              <w:cnfStyle w:val="000000000000" w:firstRow="0" w:lastRow="0" w:firstColumn="0" w:lastColumn="0" w:oddVBand="0" w:evenVBand="0" w:oddHBand="0" w:evenHBand="0" w:firstRowFirstColumn="0" w:firstRowLastColumn="0" w:lastRowFirstColumn="0" w:lastRowLastColumn="0"/>
            </w:pPr>
            <w:r>
              <w:t>24 982</w:t>
            </w:r>
          </w:p>
        </w:tc>
      </w:tr>
      <w:tr w:rsidR="00C424E5" w14:paraId="5934C63E" w14:textId="77777777">
        <w:tc>
          <w:tcPr>
            <w:cnfStyle w:val="001000000000" w:firstRow="0" w:lastRow="0" w:firstColumn="1" w:lastColumn="0" w:oddVBand="0" w:evenVBand="0" w:oddHBand="0" w:evenHBand="0" w:firstRowFirstColumn="0" w:firstRowLastColumn="0" w:lastRowFirstColumn="0" w:lastRowLastColumn="0"/>
            <w:tcW w:w="3740" w:type="dxa"/>
          </w:tcPr>
          <w:p w14:paraId="07CA9FDD" w14:textId="77777777" w:rsidR="00C424E5" w:rsidRDefault="00C424E5">
            <w:r>
              <w:t>Recreation, culture and religion</w:t>
            </w:r>
          </w:p>
        </w:tc>
        <w:tc>
          <w:tcPr>
            <w:tcW w:w="794" w:type="dxa"/>
          </w:tcPr>
          <w:p w14:paraId="03638AFD" w14:textId="77777777" w:rsidR="00C424E5" w:rsidRDefault="00C424E5">
            <w:pPr>
              <w:cnfStyle w:val="000000000000" w:firstRow="0" w:lastRow="0" w:firstColumn="0" w:lastColumn="0" w:oddVBand="0" w:evenVBand="0" w:oddHBand="0" w:evenHBand="0" w:firstRowFirstColumn="0" w:firstRowLastColumn="0" w:lastRowFirstColumn="0" w:lastRowLastColumn="0"/>
            </w:pPr>
            <w:r>
              <w:t>8 723</w:t>
            </w:r>
          </w:p>
        </w:tc>
        <w:tc>
          <w:tcPr>
            <w:tcW w:w="794" w:type="dxa"/>
          </w:tcPr>
          <w:p w14:paraId="1CD7AF64" w14:textId="77777777" w:rsidR="00C424E5" w:rsidRDefault="00C424E5">
            <w:pPr>
              <w:cnfStyle w:val="000000000000" w:firstRow="0" w:lastRow="0" w:firstColumn="0" w:lastColumn="0" w:oddVBand="0" w:evenVBand="0" w:oddHBand="0" w:evenHBand="0" w:firstRowFirstColumn="0" w:firstRowLastColumn="0" w:lastRowFirstColumn="0" w:lastRowLastColumn="0"/>
            </w:pPr>
            <w:r>
              <w:t>8 763</w:t>
            </w:r>
          </w:p>
        </w:tc>
        <w:tc>
          <w:tcPr>
            <w:tcW w:w="794" w:type="dxa"/>
          </w:tcPr>
          <w:p w14:paraId="19705640" w14:textId="77777777" w:rsidR="00C424E5" w:rsidRDefault="00C424E5">
            <w:pPr>
              <w:cnfStyle w:val="000000000000" w:firstRow="0" w:lastRow="0" w:firstColumn="0" w:lastColumn="0" w:oddVBand="0" w:evenVBand="0" w:oddHBand="0" w:evenHBand="0" w:firstRowFirstColumn="0" w:firstRowLastColumn="0" w:lastRowFirstColumn="0" w:lastRowLastColumn="0"/>
            </w:pPr>
            <w:r>
              <w:t>8 769</w:t>
            </w:r>
          </w:p>
        </w:tc>
        <w:tc>
          <w:tcPr>
            <w:tcW w:w="794" w:type="dxa"/>
          </w:tcPr>
          <w:p w14:paraId="05A998F4" w14:textId="77777777" w:rsidR="00C424E5" w:rsidRDefault="00C424E5">
            <w:pPr>
              <w:cnfStyle w:val="000000000000" w:firstRow="0" w:lastRow="0" w:firstColumn="0" w:lastColumn="0" w:oddVBand="0" w:evenVBand="0" w:oddHBand="0" w:evenHBand="0" w:firstRowFirstColumn="0" w:firstRowLastColumn="0" w:lastRowFirstColumn="0" w:lastRowLastColumn="0"/>
            </w:pPr>
            <w:r>
              <w:t>8 885</w:t>
            </w:r>
          </w:p>
        </w:tc>
        <w:tc>
          <w:tcPr>
            <w:tcW w:w="794" w:type="dxa"/>
          </w:tcPr>
          <w:p w14:paraId="565D6D3E" w14:textId="77777777" w:rsidR="00C424E5" w:rsidRDefault="00C424E5">
            <w:pPr>
              <w:cnfStyle w:val="000000000000" w:firstRow="0" w:lastRow="0" w:firstColumn="0" w:lastColumn="0" w:oddVBand="0" w:evenVBand="0" w:oddHBand="0" w:evenHBand="0" w:firstRowFirstColumn="0" w:firstRowLastColumn="0" w:lastRowFirstColumn="0" w:lastRowLastColumn="0"/>
            </w:pPr>
            <w:r>
              <w:t>9 079</w:t>
            </w:r>
          </w:p>
        </w:tc>
      </w:tr>
      <w:tr w:rsidR="00C424E5" w14:paraId="466A9459" w14:textId="77777777">
        <w:tc>
          <w:tcPr>
            <w:cnfStyle w:val="001000000000" w:firstRow="0" w:lastRow="0" w:firstColumn="1" w:lastColumn="0" w:oddVBand="0" w:evenVBand="0" w:oddHBand="0" w:evenHBand="0" w:firstRowFirstColumn="0" w:firstRowLastColumn="0" w:lastRowFirstColumn="0" w:lastRowLastColumn="0"/>
            <w:tcW w:w="3740" w:type="dxa"/>
          </w:tcPr>
          <w:p w14:paraId="58A60B18" w14:textId="77777777" w:rsidR="00C424E5" w:rsidRDefault="00C424E5">
            <w:r>
              <w:t>Education</w:t>
            </w:r>
          </w:p>
        </w:tc>
        <w:tc>
          <w:tcPr>
            <w:tcW w:w="794" w:type="dxa"/>
          </w:tcPr>
          <w:p w14:paraId="75047800" w14:textId="77777777" w:rsidR="00C424E5" w:rsidRDefault="00C424E5">
            <w:pPr>
              <w:cnfStyle w:val="000000000000" w:firstRow="0" w:lastRow="0" w:firstColumn="0" w:lastColumn="0" w:oddVBand="0" w:evenVBand="0" w:oddHBand="0" w:evenHBand="0" w:firstRowFirstColumn="0" w:firstRowLastColumn="0" w:lastRowFirstColumn="0" w:lastRowLastColumn="0"/>
            </w:pPr>
            <w:r>
              <w:t>42 736</w:t>
            </w:r>
          </w:p>
        </w:tc>
        <w:tc>
          <w:tcPr>
            <w:tcW w:w="794" w:type="dxa"/>
          </w:tcPr>
          <w:p w14:paraId="477C8180" w14:textId="77777777" w:rsidR="00C424E5" w:rsidRDefault="00C424E5">
            <w:pPr>
              <w:cnfStyle w:val="000000000000" w:firstRow="0" w:lastRow="0" w:firstColumn="0" w:lastColumn="0" w:oddVBand="0" w:evenVBand="0" w:oddHBand="0" w:evenHBand="0" w:firstRowFirstColumn="0" w:firstRowLastColumn="0" w:lastRowFirstColumn="0" w:lastRowLastColumn="0"/>
            </w:pPr>
            <w:r>
              <w:t>43 358</w:t>
            </w:r>
          </w:p>
        </w:tc>
        <w:tc>
          <w:tcPr>
            <w:tcW w:w="794" w:type="dxa"/>
          </w:tcPr>
          <w:p w14:paraId="0E80DBC0" w14:textId="77777777" w:rsidR="00C424E5" w:rsidRDefault="00C424E5">
            <w:pPr>
              <w:cnfStyle w:val="000000000000" w:firstRow="0" w:lastRow="0" w:firstColumn="0" w:lastColumn="0" w:oddVBand="0" w:evenVBand="0" w:oddHBand="0" w:evenHBand="0" w:firstRowFirstColumn="0" w:firstRowLastColumn="0" w:lastRowFirstColumn="0" w:lastRowLastColumn="0"/>
            </w:pPr>
            <w:r>
              <w:t>44 494</w:t>
            </w:r>
          </w:p>
        </w:tc>
        <w:tc>
          <w:tcPr>
            <w:tcW w:w="794" w:type="dxa"/>
          </w:tcPr>
          <w:p w14:paraId="007B1CD6" w14:textId="77777777" w:rsidR="00C424E5" w:rsidRDefault="00C424E5">
            <w:pPr>
              <w:cnfStyle w:val="000000000000" w:firstRow="0" w:lastRow="0" w:firstColumn="0" w:lastColumn="0" w:oddVBand="0" w:evenVBand="0" w:oddHBand="0" w:evenHBand="0" w:firstRowFirstColumn="0" w:firstRowLastColumn="0" w:lastRowFirstColumn="0" w:lastRowLastColumn="0"/>
            </w:pPr>
            <w:r>
              <w:t>44 961</w:t>
            </w:r>
          </w:p>
        </w:tc>
        <w:tc>
          <w:tcPr>
            <w:tcW w:w="794" w:type="dxa"/>
          </w:tcPr>
          <w:p w14:paraId="0E0DE72E" w14:textId="77777777" w:rsidR="00C424E5" w:rsidRDefault="00C424E5">
            <w:pPr>
              <w:cnfStyle w:val="000000000000" w:firstRow="0" w:lastRow="0" w:firstColumn="0" w:lastColumn="0" w:oddVBand="0" w:evenVBand="0" w:oddHBand="0" w:evenHBand="0" w:firstRowFirstColumn="0" w:firstRowLastColumn="0" w:lastRowFirstColumn="0" w:lastRowLastColumn="0"/>
            </w:pPr>
            <w:r>
              <w:t>45 471</w:t>
            </w:r>
          </w:p>
        </w:tc>
      </w:tr>
      <w:tr w:rsidR="00C424E5" w14:paraId="51D6F725" w14:textId="77777777">
        <w:tc>
          <w:tcPr>
            <w:cnfStyle w:val="001000000000" w:firstRow="0" w:lastRow="0" w:firstColumn="1" w:lastColumn="0" w:oddVBand="0" w:evenVBand="0" w:oddHBand="0" w:evenHBand="0" w:firstRowFirstColumn="0" w:firstRowLastColumn="0" w:lastRowFirstColumn="0" w:lastRowLastColumn="0"/>
            <w:tcW w:w="3740" w:type="dxa"/>
          </w:tcPr>
          <w:p w14:paraId="01C9E800" w14:textId="77777777" w:rsidR="00C424E5" w:rsidRDefault="00C424E5">
            <w:r>
              <w:t>Social protection</w:t>
            </w:r>
          </w:p>
        </w:tc>
        <w:tc>
          <w:tcPr>
            <w:tcW w:w="794" w:type="dxa"/>
          </w:tcPr>
          <w:p w14:paraId="39D5F2B6" w14:textId="77777777" w:rsidR="00C424E5" w:rsidRDefault="00C424E5">
            <w:pPr>
              <w:cnfStyle w:val="000000000000" w:firstRow="0" w:lastRow="0" w:firstColumn="0" w:lastColumn="0" w:oddVBand="0" w:evenVBand="0" w:oddHBand="0" w:evenHBand="0" w:firstRowFirstColumn="0" w:firstRowLastColumn="0" w:lastRowFirstColumn="0" w:lastRowLastColumn="0"/>
            </w:pPr>
            <w:r>
              <w:t>3 370</w:t>
            </w:r>
          </w:p>
        </w:tc>
        <w:tc>
          <w:tcPr>
            <w:tcW w:w="794" w:type="dxa"/>
          </w:tcPr>
          <w:p w14:paraId="5FCCF820" w14:textId="77777777" w:rsidR="00C424E5" w:rsidRDefault="00C424E5">
            <w:pPr>
              <w:cnfStyle w:val="000000000000" w:firstRow="0" w:lastRow="0" w:firstColumn="0" w:lastColumn="0" w:oddVBand="0" w:evenVBand="0" w:oddHBand="0" w:evenHBand="0" w:firstRowFirstColumn="0" w:firstRowLastColumn="0" w:lastRowFirstColumn="0" w:lastRowLastColumn="0"/>
            </w:pPr>
            <w:r>
              <w:t>3 386</w:t>
            </w:r>
          </w:p>
        </w:tc>
        <w:tc>
          <w:tcPr>
            <w:tcW w:w="794" w:type="dxa"/>
          </w:tcPr>
          <w:p w14:paraId="5557C375" w14:textId="77777777" w:rsidR="00C424E5" w:rsidRDefault="00C424E5">
            <w:pPr>
              <w:cnfStyle w:val="000000000000" w:firstRow="0" w:lastRow="0" w:firstColumn="0" w:lastColumn="0" w:oddVBand="0" w:evenVBand="0" w:oddHBand="0" w:evenHBand="0" w:firstRowFirstColumn="0" w:firstRowLastColumn="0" w:lastRowFirstColumn="0" w:lastRowLastColumn="0"/>
            </w:pPr>
            <w:r>
              <w:t>3 637</w:t>
            </w:r>
          </w:p>
        </w:tc>
        <w:tc>
          <w:tcPr>
            <w:tcW w:w="794" w:type="dxa"/>
          </w:tcPr>
          <w:p w14:paraId="22F2458F" w14:textId="77777777" w:rsidR="00C424E5" w:rsidRDefault="00C424E5">
            <w:pPr>
              <w:cnfStyle w:val="000000000000" w:firstRow="0" w:lastRow="0" w:firstColumn="0" w:lastColumn="0" w:oddVBand="0" w:evenVBand="0" w:oddHBand="0" w:evenHBand="0" w:firstRowFirstColumn="0" w:firstRowLastColumn="0" w:lastRowFirstColumn="0" w:lastRowLastColumn="0"/>
            </w:pPr>
            <w:r>
              <w:t>3 878</w:t>
            </w:r>
          </w:p>
        </w:tc>
        <w:tc>
          <w:tcPr>
            <w:tcW w:w="794" w:type="dxa"/>
          </w:tcPr>
          <w:p w14:paraId="43634190" w14:textId="77777777" w:rsidR="00C424E5" w:rsidRDefault="00C424E5">
            <w:pPr>
              <w:cnfStyle w:val="000000000000" w:firstRow="0" w:lastRow="0" w:firstColumn="0" w:lastColumn="0" w:oddVBand="0" w:evenVBand="0" w:oddHBand="0" w:evenHBand="0" w:firstRowFirstColumn="0" w:firstRowLastColumn="0" w:lastRowFirstColumn="0" w:lastRowLastColumn="0"/>
            </w:pPr>
            <w:r>
              <w:t>4 119</w:t>
            </w:r>
          </w:p>
        </w:tc>
      </w:tr>
      <w:tr w:rsidR="00C424E5" w14:paraId="79781656" w14:textId="77777777">
        <w:tc>
          <w:tcPr>
            <w:cnfStyle w:val="001000000000" w:firstRow="0" w:lastRow="0" w:firstColumn="1" w:lastColumn="0" w:oddVBand="0" w:evenVBand="0" w:oddHBand="0" w:evenHBand="0" w:firstRowFirstColumn="0" w:firstRowLastColumn="0" w:lastRowFirstColumn="0" w:lastRowLastColumn="0"/>
            <w:tcW w:w="3740" w:type="dxa"/>
          </w:tcPr>
          <w:p w14:paraId="3ED42B5F" w14:textId="77777777" w:rsidR="00C424E5" w:rsidRDefault="00C424E5">
            <w:r>
              <w:t>Transport</w:t>
            </w:r>
          </w:p>
        </w:tc>
        <w:tc>
          <w:tcPr>
            <w:tcW w:w="794" w:type="dxa"/>
          </w:tcPr>
          <w:p w14:paraId="6C90A8AF" w14:textId="77777777" w:rsidR="00C424E5" w:rsidRDefault="00C424E5">
            <w:pPr>
              <w:cnfStyle w:val="000000000000" w:firstRow="0" w:lastRow="0" w:firstColumn="0" w:lastColumn="0" w:oddVBand="0" w:evenVBand="0" w:oddHBand="0" w:evenHBand="0" w:firstRowFirstColumn="0" w:firstRowLastColumn="0" w:lastRowFirstColumn="0" w:lastRowLastColumn="0"/>
            </w:pPr>
            <w:r>
              <w:t>132 860</w:t>
            </w:r>
          </w:p>
        </w:tc>
        <w:tc>
          <w:tcPr>
            <w:tcW w:w="794" w:type="dxa"/>
          </w:tcPr>
          <w:p w14:paraId="04A4453A" w14:textId="77777777" w:rsidR="00C424E5" w:rsidRDefault="00C424E5">
            <w:pPr>
              <w:cnfStyle w:val="000000000000" w:firstRow="0" w:lastRow="0" w:firstColumn="0" w:lastColumn="0" w:oddVBand="0" w:evenVBand="0" w:oddHBand="0" w:evenHBand="0" w:firstRowFirstColumn="0" w:firstRowLastColumn="0" w:lastRowFirstColumn="0" w:lastRowLastColumn="0"/>
            </w:pPr>
            <w:r>
              <w:t>132 856</w:t>
            </w:r>
          </w:p>
        </w:tc>
        <w:tc>
          <w:tcPr>
            <w:tcW w:w="794" w:type="dxa"/>
          </w:tcPr>
          <w:p w14:paraId="2D007B18" w14:textId="77777777" w:rsidR="00C424E5" w:rsidRDefault="00C424E5">
            <w:pPr>
              <w:cnfStyle w:val="000000000000" w:firstRow="0" w:lastRow="0" w:firstColumn="0" w:lastColumn="0" w:oddVBand="0" w:evenVBand="0" w:oddHBand="0" w:evenHBand="0" w:firstRowFirstColumn="0" w:firstRowLastColumn="0" w:lastRowFirstColumn="0" w:lastRowLastColumn="0"/>
            </w:pPr>
            <w:r>
              <w:t>145 759</w:t>
            </w:r>
          </w:p>
        </w:tc>
        <w:tc>
          <w:tcPr>
            <w:tcW w:w="794" w:type="dxa"/>
          </w:tcPr>
          <w:p w14:paraId="067F03F7" w14:textId="77777777" w:rsidR="00C424E5" w:rsidRDefault="00C424E5">
            <w:pPr>
              <w:cnfStyle w:val="000000000000" w:firstRow="0" w:lastRow="0" w:firstColumn="0" w:lastColumn="0" w:oddVBand="0" w:evenVBand="0" w:oddHBand="0" w:evenHBand="0" w:firstRowFirstColumn="0" w:firstRowLastColumn="0" w:lastRowFirstColumn="0" w:lastRowLastColumn="0"/>
            </w:pPr>
            <w:r>
              <w:t>156 606</w:t>
            </w:r>
          </w:p>
        </w:tc>
        <w:tc>
          <w:tcPr>
            <w:tcW w:w="794" w:type="dxa"/>
          </w:tcPr>
          <w:p w14:paraId="51C7CFB4" w14:textId="77777777" w:rsidR="00C424E5" w:rsidRDefault="00C424E5">
            <w:pPr>
              <w:cnfStyle w:val="000000000000" w:firstRow="0" w:lastRow="0" w:firstColumn="0" w:lastColumn="0" w:oddVBand="0" w:evenVBand="0" w:oddHBand="0" w:evenHBand="0" w:firstRowFirstColumn="0" w:firstRowLastColumn="0" w:lastRowFirstColumn="0" w:lastRowLastColumn="0"/>
            </w:pPr>
            <w:r>
              <w:t>152 596</w:t>
            </w:r>
          </w:p>
        </w:tc>
      </w:tr>
      <w:tr w:rsidR="00C424E5" w14:paraId="3DC5799F"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0EFDDB4E" w14:textId="77777777" w:rsidR="00C424E5" w:rsidRDefault="00C424E5">
            <w:r>
              <w:t>Not allocated by function</w:t>
            </w:r>
            <w:r>
              <w:rPr>
                <w:vertAlign w:val="superscript"/>
              </w:rPr>
              <w:t xml:space="preserve"> (a)</w:t>
            </w:r>
          </w:p>
        </w:tc>
        <w:tc>
          <w:tcPr>
            <w:tcW w:w="794" w:type="dxa"/>
            <w:tcBorders>
              <w:bottom w:val="single" w:sz="6" w:space="0" w:color="auto"/>
            </w:tcBorders>
          </w:tcPr>
          <w:p w14:paraId="3BD2EEC4" w14:textId="77777777" w:rsidR="00C424E5" w:rsidRDefault="00C424E5">
            <w:pPr>
              <w:cnfStyle w:val="000000000000" w:firstRow="0" w:lastRow="0" w:firstColumn="0" w:lastColumn="0" w:oddVBand="0" w:evenVBand="0" w:oddHBand="0" w:evenHBand="0" w:firstRowFirstColumn="0" w:firstRowLastColumn="0" w:lastRowFirstColumn="0" w:lastRowLastColumn="0"/>
            </w:pPr>
            <w:r>
              <w:t>118 336</w:t>
            </w:r>
          </w:p>
        </w:tc>
        <w:tc>
          <w:tcPr>
            <w:tcW w:w="794" w:type="dxa"/>
            <w:tcBorders>
              <w:bottom w:val="single" w:sz="6" w:space="0" w:color="auto"/>
            </w:tcBorders>
          </w:tcPr>
          <w:p w14:paraId="261EAE38" w14:textId="77777777" w:rsidR="00C424E5" w:rsidRDefault="00C424E5">
            <w:pPr>
              <w:cnfStyle w:val="000000000000" w:firstRow="0" w:lastRow="0" w:firstColumn="0" w:lastColumn="0" w:oddVBand="0" w:evenVBand="0" w:oddHBand="0" w:evenHBand="0" w:firstRowFirstColumn="0" w:firstRowLastColumn="0" w:lastRowFirstColumn="0" w:lastRowLastColumn="0"/>
            </w:pPr>
            <w:r>
              <w:t>120 982</w:t>
            </w:r>
          </w:p>
        </w:tc>
        <w:tc>
          <w:tcPr>
            <w:tcW w:w="794" w:type="dxa"/>
            <w:tcBorders>
              <w:bottom w:val="single" w:sz="6" w:space="0" w:color="auto"/>
            </w:tcBorders>
          </w:tcPr>
          <w:p w14:paraId="020E6C18" w14:textId="77777777" w:rsidR="00C424E5" w:rsidRDefault="00C424E5">
            <w:pPr>
              <w:cnfStyle w:val="000000000000" w:firstRow="0" w:lastRow="0" w:firstColumn="0" w:lastColumn="0" w:oddVBand="0" w:evenVBand="0" w:oddHBand="0" w:evenHBand="0" w:firstRowFirstColumn="0" w:firstRowLastColumn="0" w:lastRowFirstColumn="0" w:lastRowLastColumn="0"/>
            </w:pPr>
            <w:r>
              <w:t>123 584</w:t>
            </w:r>
          </w:p>
        </w:tc>
        <w:tc>
          <w:tcPr>
            <w:tcW w:w="794" w:type="dxa"/>
            <w:tcBorders>
              <w:bottom w:val="single" w:sz="6" w:space="0" w:color="auto"/>
            </w:tcBorders>
          </w:tcPr>
          <w:p w14:paraId="7E558EB6" w14:textId="77777777" w:rsidR="00C424E5" w:rsidRDefault="00C424E5">
            <w:pPr>
              <w:cnfStyle w:val="000000000000" w:firstRow="0" w:lastRow="0" w:firstColumn="0" w:lastColumn="0" w:oddVBand="0" w:evenVBand="0" w:oddHBand="0" w:evenHBand="0" w:firstRowFirstColumn="0" w:firstRowLastColumn="0" w:lastRowFirstColumn="0" w:lastRowLastColumn="0"/>
            </w:pPr>
            <w:r>
              <w:t>133 443</w:t>
            </w:r>
          </w:p>
        </w:tc>
        <w:tc>
          <w:tcPr>
            <w:tcW w:w="794" w:type="dxa"/>
            <w:tcBorders>
              <w:bottom w:val="single" w:sz="6" w:space="0" w:color="auto"/>
            </w:tcBorders>
          </w:tcPr>
          <w:p w14:paraId="3350CC97" w14:textId="77777777" w:rsidR="00C424E5" w:rsidRDefault="00C424E5">
            <w:pPr>
              <w:cnfStyle w:val="000000000000" w:firstRow="0" w:lastRow="0" w:firstColumn="0" w:lastColumn="0" w:oddVBand="0" w:evenVBand="0" w:oddHBand="0" w:evenHBand="0" w:firstRowFirstColumn="0" w:firstRowLastColumn="0" w:lastRowFirstColumn="0" w:lastRowLastColumn="0"/>
            </w:pPr>
            <w:r>
              <w:t>141 520</w:t>
            </w:r>
          </w:p>
        </w:tc>
      </w:tr>
      <w:tr w:rsidR="00C424E5" w14:paraId="6A2ACBBB"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5BD7AE83" w14:textId="77777777" w:rsidR="00C424E5" w:rsidRDefault="00C424E5">
            <w:r>
              <w:rPr>
                <w:b/>
              </w:rPr>
              <w:t>Total assets by COFOG</w:t>
            </w:r>
          </w:p>
        </w:tc>
        <w:tc>
          <w:tcPr>
            <w:tcW w:w="794" w:type="dxa"/>
            <w:tcBorders>
              <w:top w:val="single" w:sz="6" w:space="0" w:color="auto"/>
              <w:bottom w:val="single" w:sz="12" w:space="0" w:color="auto"/>
            </w:tcBorders>
          </w:tcPr>
          <w:p w14:paraId="7C4ECB0D"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370 157</w:t>
            </w:r>
          </w:p>
        </w:tc>
        <w:tc>
          <w:tcPr>
            <w:tcW w:w="794" w:type="dxa"/>
            <w:tcBorders>
              <w:top w:val="single" w:sz="6" w:space="0" w:color="auto"/>
              <w:bottom w:val="single" w:sz="12" w:space="0" w:color="auto"/>
            </w:tcBorders>
          </w:tcPr>
          <w:p w14:paraId="75D0AE66"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373 556</w:t>
            </w:r>
          </w:p>
        </w:tc>
        <w:tc>
          <w:tcPr>
            <w:tcW w:w="794" w:type="dxa"/>
            <w:tcBorders>
              <w:top w:val="single" w:sz="6" w:space="0" w:color="auto"/>
              <w:bottom w:val="single" w:sz="12" w:space="0" w:color="auto"/>
            </w:tcBorders>
          </w:tcPr>
          <w:p w14:paraId="61BF88D9"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392 949</w:t>
            </w:r>
          </w:p>
        </w:tc>
        <w:tc>
          <w:tcPr>
            <w:tcW w:w="794" w:type="dxa"/>
            <w:tcBorders>
              <w:top w:val="single" w:sz="6" w:space="0" w:color="auto"/>
              <w:bottom w:val="single" w:sz="12" w:space="0" w:color="auto"/>
            </w:tcBorders>
          </w:tcPr>
          <w:p w14:paraId="0BF1C82C"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417 274</w:t>
            </w:r>
          </w:p>
        </w:tc>
        <w:tc>
          <w:tcPr>
            <w:tcW w:w="794" w:type="dxa"/>
            <w:tcBorders>
              <w:top w:val="single" w:sz="6" w:space="0" w:color="auto"/>
              <w:bottom w:val="single" w:sz="12" w:space="0" w:color="auto"/>
            </w:tcBorders>
          </w:tcPr>
          <w:p w14:paraId="55990392" w14:textId="2C6BAC44" w:rsidR="00C424E5" w:rsidRDefault="00C424E5">
            <w:pPr>
              <w:cnfStyle w:val="000000000000" w:firstRow="0" w:lastRow="0" w:firstColumn="0" w:lastColumn="0" w:oddVBand="0" w:evenVBand="0" w:oddHBand="0" w:evenHBand="0" w:firstRowFirstColumn="0" w:firstRowLastColumn="0" w:lastRowFirstColumn="0" w:lastRowLastColumn="0"/>
            </w:pPr>
            <w:r>
              <w:rPr>
                <w:b/>
              </w:rPr>
              <w:t>422 205</w:t>
            </w:r>
          </w:p>
        </w:tc>
      </w:tr>
    </w:tbl>
    <w:p w14:paraId="06D6C105" w14:textId="77777777" w:rsidR="00C424E5" w:rsidRPr="003A1BED" w:rsidRDefault="00C424E5" w:rsidP="006206EF">
      <w:pPr>
        <w:pStyle w:val="Note"/>
        <w:ind w:left="0" w:firstLine="0"/>
      </w:pPr>
      <w:r w:rsidRPr="003A1BED">
        <w:t>Note:</w:t>
      </w:r>
    </w:p>
    <w:p w14:paraId="77B7887F" w14:textId="77777777" w:rsidR="00C424E5" w:rsidRPr="003A1BED" w:rsidRDefault="00C424E5" w:rsidP="006206EF">
      <w:pPr>
        <w:pStyle w:val="Note"/>
      </w:pPr>
      <w:r w:rsidRPr="003A1BED">
        <w:t>(a)</w:t>
      </w:r>
      <w:r w:rsidRPr="003A1BED">
        <w:tab/>
        <w:t xml:space="preserve">Represents financial assets </w:t>
      </w:r>
      <w:r>
        <w:t>that</w:t>
      </w:r>
      <w:r w:rsidRPr="003A1BED">
        <w:t xml:space="preserve"> are not able to be allocated by </w:t>
      </w:r>
      <w:r>
        <w:t>function</w:t>
      </w:r>
      <w:r w:rsidRPr="003A1BED">
        <w:t>. This mainly includes balances relating to the general government sector’s investment in other sector entities.</w:t>
      </w:r>
    </w:p>
    <w:p w14:paraId="56FC6C5E" w14:textId="77777777" w:rsidR="00C424E5" w:rsidRDefault="00C424E5" w:rsidP="006206EF"/>
    <w:bookmarkEnd w:id="71"/>
    <w:p w14:paraId="2CD63248" w14:textId="77777777" w:rsidR="00C424E5" w:rsidRDefault="00C424E5" w:rsidP="006206EF"/>
    <w:p w14:paraId="3053CFB8" w14:textId="77777777" w:rsidR="00C424E5" w:rsidRDefault="00C424E5" w:rsidP="006206EF">
      <w:pPr>
        <w:sectPr w:rsidR="00C424E5" w:rsidSect="00096395">
          <w:type w:val="continuous"/>
          <w:pgSz w:w="9979" w:h="14175" w:code="9"/>
          <w:pgMar w:top="1134" w:right="1134" w:bottom="1134" w:left="1134" w:header="624" w:footer="567" w:gutter="0"/>
          <w:cols w:space="708"/>
          <w:titlePg/>
          <w:docGrid w:linePitch="360"/>
        </w:sectPr>
      </w:pPr>
    </w:p>
    <w:p w14:paraId="1A549E56" w14:textId="77777777" w:rsidR="00C424E5" w:rsidRDefault="00C424E5" w:rsidP="006206EF">
      <w:pPr>
        <w:pStyle w:val="Heading2"/>
        <w:sectPr w:rsidR="00C424E5" w:rsidSect="00647267">
          <w:pgSz w:w="9979" w:h="14175" w:code="9"/>
          <w:pgMar w:top="1134" w:right="1134" w:bottom="1134" w:left="1134" w:header="624" w:footer="567" w:gutter="0"/>
          <w:cols w:space="708"/>
          <w:docGrid w:linePitch="360"/>
        </w:sectPr>
      </w:pPr>
      <w:r w:rsidRPr="005D1255">
        <w:lastRenderedPageBreak/>
        <w:t>FINANCING STATE OPERATIONS</w:t>
      </w:r>
    </w:p>
    <w:p w14:paraId="3B4B1093" w14:textId="77777777" w:rsidR="00C424E5" w:rsidRPr="00FD555B" w:rsidRDefault="00C424E5" w:rsidP="006206EF">
      <w:pPr>
        <w:pStyle w:val="Heading30"/>
      </w:pPr>
      <w:r w:rsidRPr="003A1BED">
        <w:t>Introduction</w:t>
      </w:r>
    </w:p>
    <w:p w14:paraId="49C7AE3E" w14:textId="77777777" w:rsidR="00C424E5" w:rsidRDefault="00C424E5" w:rsidP="006206EF">
      <w:r>
        <w:t xml:space="preserve">State </w:t>
      </w:r>
      <w:r w:rsidRPr="005D1255">
        <w:t>operations</w:t>
      </w:r>
      <w:r>
        <w:t xml:space="preserve"> are financed through a variety of means, including surplus cash flows from operating activities, asset recycling, advances and borrowings.</w:t>
      </w:r>
    </w:p>
    <w:p w14:paraId="0C746E5F" w14:textId="77777777" w:rsidR="00C424E5" w:rsidRDefault="00C424E5" w:rsidP="006206EF">
      <w:r>
        <w:t xml:space="preserve">This </w:t>
      </w:r>
      <w:r w:rsidRPr="005D1255">
        <w:t>section</w:t>
      </w:r>
      <w:r>
        <w:t xml:space="preserve"> provides information on the balances related to the financing of the general government sector’s operations.</w:t>
      </w:r>
    </w:p>
    <w:p w14:paraId="69BAF0ED" w14:textId="77777777" w:rsidR="00C424E5" w:rsidRPr="00FD555B" w:rsidRDefault="00C424E5" w:rsidP="006206EF">
      <w:pPr>
        <w:pStyle w:val="Heading30"/>
      </w:pPr>
      <w:r>
        <w:br w:type="column"/>
      </w:r>
      <w:r w:rsidRPr="003A1BED">
        <w:t>Structure</w:t>
      </w:r>
    </w:p>
    <w:p w14:paraId="43B999B3" w14:textId="0B27B893" w:rsidR="00C424E5" w:rsidRDefault="00C424E5">
      <w:pPr>
        <w:pStyle w:val="TOC9"/>
        <w:rPr>
          <w:rFonts w:eastAsiaTheme="minorEastAsia"/>
          <w:noProof/>
          <w:spacing w:val="0"/>
          <w:sz w:val="22"/>
          <w:lang w:eastAsia="en-AU"/>
        </w:rPr>
      </w:pPr>
      <w:r w:rsidRPr="005D1255">
        <w:fldChar w:fldCharType="begin"/>
      </w:r>
      <w:r w:rsidRPr="005D1255">
        <w:instrText xml:space="preserve"> TOC \h \z \t "Heading 3 (#),9" \b Section_5 \* MERGEFORMAT </w:instrText>
      </w:r>
      <w:r w:rsidRPr="005D1255">
        <w:fldChar w:fldCharType="separate"/>
      </w:r>
      <w:hyperlink w:anchor="_Toc117172462" w:history="1">
        <w:r w:rsidRPr="00F0324F">
          <w:rPr>
            <w:rStyle w:val="Hyperlink"/>
            <w:noProof/>
          </w:rPr>
          <w:t>3.5.1</w:t>
        </w:r>
        <w:r>
          <w:rPr>
            <w:rFonts w:eastAsiaTheme="minorEastAsia"/>
            <w:noProof/>
            <w:spacing w:val="0"/>
            <w:sz w:val="22"/>
            <w:lang w:eastAsia="en-AU"/>
          </w:rPr>
          <w:tab/>
        </w:r>
        <w:r w:rsidRPr="00F0324F">
          <w:rPr>
            <w:rStyle w:val="Hyperlink"/>
            <w:noProof/>
          </w:rPr>
          <w:t>Borrowings</w:t>
        </w:r>
        <w:r>
          <w:rPr>
            <w:noProof/>
            <w:webHidden/>
          </w:rPr>
          <w:tab/>
        </w:r>
        <w:r>
          <w:rPr>
            <w:noProof/>
            <w:webHidden/>
          </w:rPr>
          <w:fldChar w:fldCharType="begin"/>
        </w:r>
        <w:r>
          <w:rPr>
            <w:noProof/>
            <w:webHidden/>
          </w:rPr>
          <w:instrText xml:space="preserve"> PAGEREF _Toc117172462 \h </w:instrText>
        </w:r>
        <w:r>
          <w:rPr>
            <w:noProof/>
            <w:webHidden/>
          </w:rPr>
        </w:r>
        <w:r>
          <w:rPr>
            <w:noProof/>
            <w:webHidden/>
          </w:rPr>
          <w:fldChar w:fldCharType="separate"/>
        </w:r>
        <w:r w:rsidR="00087BE6">
          <w:rPr>
            <w:noProof/>
            <w:webHidden/>
          </w:rPr>
          <w:t>58</w:t>
        </w:r>
        <w:r>
          <w:rPr>
            <w:noProof/>
            <w:webHidden/>
          </w:rPr>
          <w:fldChar w:fldCharType="end"/>
        </w:r>
      </w:hyperlink>
    </w:p>
    <w:p w14:paraId="424A4D8E" w14:textId="794D6BFB" w:rsidR="00C424E5" w:rsidRDefault="00087BE6">
      <w:pPr>
        <w:pStyle w:val="TOC9"/>
        <w:rPr>
          <w:rFonts w:eastAsiaTheme="minorEastAsia"/>
          <w:noProof/>
          <w:spacing w:val="0"/>
          <w:sz w:val="22"/>
          <w:lang w:eastAsia="en-AU"/>
        </w:rPr>
      </w:pPr>
      <w:hyperlink w:anchor="_Toc117172463" w:history="1">
        <w:r w:rsidR="00C424E5" w:rsidRPr="00F0324F">
          <w:rPr>
            <w:rStyle w:val="Hyperlink"/>
            <w:noProof/>
          </w:rPr>
          <w:t>3.5.2</w:t>
        </w:r>
        <w:r w:rsidR="00C424E5">
          <w:rPr>
            <w:rFonts w:eastAsiaTheme="minorEastAsia"/>
            <w:noProof/>
            <w:spacing w:val="0"/>
            <w:sz w:val="22"/>
            <w:lang w:eastAsia="en-AU"/>
          </w:rPr>
          <w:tab/>
        </w:r>
        <w:r w:rsidR="00C424E5" w:rsidRPr="00F0324F">
          <w:rPr>
            <w:rStyle w:val="Hyperlink"/>
            <w:noProof/>
          </w:rPr>
          <w:t xml:space="preserve">Advances paid and investments, </w:t>
        </w:r>
        <w:r w:rsidR="00C424E5">
          <w:rPr>
            <w:rStyle w:val="Hyperlink"/>
            <w:noProof/>
          </w:rPr>
          <w:br/>
        </w:r>
        <w:r w:rsidR="00C424E5" w:rsidRPr="00F0324F">
          <w:rPr>
            <w:rStyle w:val="Hyperlink"/>
            <w:noProof/>
          </w:rPr>
          <w:t>loans and placements</w:t>
        </w:r>
        <w:r w:rsidR="00C424E5">
          <w:rPr>
            <w:noProof/>
            <w:webHidden/>
          </w:rPr>
          <w:tab/>
        </w:r>
        <w:r w:rsidR="00C424E5">
          <w:rPr>
            <w:noProof/>
            <w:webHidden/>
          </w:rPr>
          <w:fldChar w:fldCharType="begin"/>
        </w:r>
        <w:r w:rsidR="00C424E5">
          <w:rPr>
            <w:noProof/>
            <w:webHidden/>
          </w:rPr>
          <w:instrText xml:space="preserve"> PAGEREF _Toc117172463 \h </w:instrText>
        </w:r>
        <w:r w:rsidR="00C424E5">
          <w:rPr>
            <w:noProof/>
            <w:webHidden/>
          </w:rPr>
        </w:r>
        <w:r w:rsidR="00C424E5">
          <w:rPr>
            <w:noProof/>
            <w:webHidden/>
          </w:rPr>
          <w:fldChar w:fldCharType="separate"/>
        </w:r>
        <w:r>
          <w:rPr>
            <w:noProof/>
            <w:webHidden/>
          </w:rPr>
          <w:t>59</w:t>
        </w:r>
        <w:r w:rsidR="00C424E5">
          <w:rPr>
            <w:noProof/>
            <w:webHidden/>
          </w:rPr>
          <w:fldChar w:fldCharType="end"/>
        </w:r>
      </w:hyperlink>
    </w:p>
    <w:p w14:paraId="378E1F25" w14:textId="371F5B8B" w:rsidR="00C424E5" w:rsidRDefault="00087BE6">
      <w:pPr>
        <w:pStyle w:val="TOC9"/>
        <w:rPr>
          <w:rFonts w:eastAsiaTheme="minorEastAsia"/>
          <w:noProof/>
          <w:spacing w:val="0"/>
          <w:sz w:val="22"/>
          <w:lang w:eastAsia="en-AU"/>
        </w:rPr>
      </w:pPr>
      <w:hyperlink w:anchor="_Toc117172464" w:history="1">
        <w:r w:rsidR="00C424E5" w:rsidRPr="00F0324F">
          <w:rPr>
            <w:rStyle w:val="Hyperlink"/>
            <w:noProof/>
          </w:rPr>
          <w:t>3.5.3</w:t>
        </w:r>
        <w:r w:rsidR="00C424E5">
          <w:rPr>
            <w:rFonts w:eastAsiaTheme="minorEastAsia"/>
            <w:noProof/>
            <w:spacing w:val="0"/>
            <w:sz w:val="22"/>
            <w:lang w:eastAsia="en-AU"/>
          </w:rPr>
          <w:tab/>
        </w:r>
        <w:r w:rsidR="00C424E5" w:rsidRPr="00F0324F">
          <w:rPr>
            <w:rStyle w:val="Hyperlink"/>
            <w:noProof/>
          </w:rPr>
          <w:t>Interest expense</w:t>
        </w:r>
        <w:r w:rsidR="00C424E5">
          <w:rPr>
            <w:noProof/>
            <w:webHidden/>
          </w:rPr>
          <w:tab/>
        </w:r>
        <w:r w:rsidR="00C424E5">
          <w:rPr>
            <w:noProof/>
            <w:webHidden/>
          </w:rPr>
          <w:fldChar w:fldCharType="begin"/>
        </w:r>
        <w:r w:rsidR="00C424E5">
          <w:rPr>
            <w:noProof/>
            <w:webHidden/>
          </w:rPr>
          <w:instrText xml:space="preserve"> PAGEREF _Toc117172464 \h </w:instrText>
        </w:r>
        <w:r w:rsidR="00C424E5">
          <w:rPr>
            <w:noProof/>
            <w:webHidden/>
          </w:rPr>
        </w:r>
        <w:r w:rsidR="00C424E5">
          <w:rPr>
            <w:noProof/>
            <w:webHidden/>
          </w:rPr>
          <w:fldChar w:fldCharType="separate"/>
        </w:r>
        <w:r>
          <w:rPr>
            <w:noProof/>
            <w:webHidden/>
          </w:rPr>
          <w:t>59</w:t>
        </w:r>
        <w:r w:rsidR="00C424E5">
          <w:rPr>
            <w:noProof/>
            <w:webHidden/>
          </w:rPr>
          <w:fldChar w:fldCharType="end"/>
        </w:r>
      </w:hyperlink>
    </w:p>
    <w:p w14:paraId="624DB11F" w14:textId="77777777" w:rsidR="00C424E5" w:rsidRDefault="00C424E5" w:rsidP="006206EF">
      <w:pPr>
        <w:sectPr w:rsidR="00C424E5" w:rsidSect="00A5107B">
          <w:type w:val="continuous"/>
          <w:pgSz w:w="9979" w:h="14175" w:code="9"/>
          <w:pgMar w:top="1134" w:right="1134" w:bottom="1134" w:left="1134" w:header="624" w:footer="567" w:gutter="0"/>
          <w:cols w:num="2" w:space="708"/>
          <w:titlePg/>
          <w:docGrid w:linePitch="360"/>
        </w:sectPr>
      </w:pPr>
      <w:r w:rsidRPr="005D1255">
        <w:fldChar w:fldCharType="end"/>
      </w:r>
    </w:p>
    <w:p w14:paraId="5990D491" w14:textId="77777777" w:rsidR="00C424E5" w:rsidRDefault="00C424E5" w:rsidP="006206EF">
      <w:pPr>
        <w:pStyle w:val="Heading3"/>
        <w:spacing w:after="60"/>
        <w:rPr>
          <w:sz w:val="20"/>
          <w:szCs w:val="20"/>
        </w:rPr>
      </w:pPr>
      <w:bookmarkStart w:id="76" w:name="_Toc117172462"/>
      <w:bookmarkStart w:id="77" w:name="Section_5"/>
      <w:r w:rsidRPr="00A5107B">
        <w:rPr>
          <w:sz w:val="20"/>
          <w:szCs w:val="20"/>
        </w:rPr>
        <w:t>Borrowings</w:t>
      </w:r>
      <w:r w:rsidRPr="00A5107B">
        <w:rPr>
          <w:sz w:val="20"/>
          <w:szCs w:val="20"/>
        </w:rPr>
        <w:tab/>
        <w:t>($ million)</w:t>
      </w:r>
      <w:bookmarkEnd w:id="76"/>
    </w:p>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F70B1C" w14:paraId="3ABB25B8" w14:textId="77777777" w:rsidTr="00A836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2437A481" w14:textId="2EBE2663" w:rsidR="00F70B1C" w:rsidRDefault="00F70B1C"/>
        </w:tc>
        <w:tc>
          <w:tcPr>
            <w:tcW w:w="794" w:type="dxa"/>
          </w:tcPr>
          <w:p w14:paraId="05AEBCF0" w14:textId="171AF841" w:rsidR="00F70B1C" w:rsidRDefault="00F70B1C" w:rsidP="00AD1919">
            <w:pPr>
              <w:cnfStyle w:val="100000000000" w:firstRow="1" w:lastRow="0" w:firstColumn="0" w:lastColumn="0" w:oddVBand="0" w:evenVBand="0" w:oddHBand="0" w:evenHBand="0" w:firstRowFirstColumn="0" w:firstRowLastColumn="0" w:lastRowFirstColumn="0" w:lastRowLastColumn="0"/>
            </w:pPr>
            <w:r>
              <w:t>2023</w:t>
            </w:r>
            <w:r>
              <w:rPr>
                <w:i w:val="0"/>
              </w:rPr>
              <w:br/>
            </w:r>
            <w:r>
              <w:t>budget</w:t>
            </w:r>
          </w:p>
        </w:tc>
        <w:tc>
          <w:tcPr>
            <w:tcW w:w="794" w:type="dxa"/>
          </w:tcPr>
          <w:p w14:paraId="1B92EF06" w14:textId="60443ADB" w:rsidR="00F70B1C" w:rsidRDefault="00F70B1C" w:rsidP="00315DDA">
            <w:pPr>
              <w:cnfStyle w:val="100000000000" w:firstRow="1" w:lastRow="0" w:firstColumn="0" w:lastColumn="0" w:oddVBand="0" w:evenVBand="0" w:oddHBand="0" w:evenHBand="0" w:firstRowFirstColumn="0" w:firstRowLastColumn="0" w:lastRowFirstColumn="0" w:lastRowLastColumn="0"/>
            </w:pPr>
            <w:r>
              <w:t>2023</w:t>
            </w:r>
            <w:r>
              <w:rPr>
                <w:i w:val="0"/>
              </w:rPr>
              <w:br/>
            </w:r>
            <w:r>
              <w:t>revised</w:t>
            </w:r>
          </w:p>
        </w:tc>
        <w:tc>
          <w:tcPr>
            <w:tcW w:w="794" w:type="dxa"/>
          </w:tcPr>
          <w:p w14:paraId="6EE8769E" w14:textId="0024C4E8" w:rsidR="00F70B1C" w:rsidRDefault="00F70B1C" w:rsidP="00E7582F">
            <w:pPr>
              <w:cnfStyle w:val="100000000000" w:firstRow="1" w:lastRow="0" w:firstColumn="0" w:lastColumn="0" w:oddVBand="0" w:evenVBand="0" w:oddHBand="0" w:evenHBand="0" w:firstRowFirstColumn="0" w:firstRowLastColumn="0" w:lastRowFirstColumn="0" w:lastRowLastColumn="0"/>
            </w:pPr>
            <w:r>
              <w:t>2024</w:t>
            </w:r>
            <w:r>
              <w:rPr>
                <w:i w:val="0"/>
              </w:rPr>
              <w:br/>
            </w:r>
            <w:r>
              <w:t>estimate</w:t>
            </w:r>
          </w:p>
        </w:tc>
        <w:tc>
          <w:tcPr>
            <w:tcW w:w="794" w:type="dxa"/>
          </w:tcPr>
          <w:p w14:paraId="671B8980" w14:textId="02A45A2D" w:rsidR="00F70B1C" w:rsidRDefault="00F70B1C" w:rsidP="002F0C30">
            <w:pPr>
              <w:cnfStyle w:val="100000000000" w:firstRow="1" w:lastRow="0" w:firstColumn="0" w:lastColumn="0" w:oddVBand="0" w:evenVBand="0" w:oddHBand="0" w:evenHBand="0" w:firstRowFirstColumn="0" w:firstRowLastColumn="0" w:lastRowFirstColumn="0" w:lastRowLastColumn="0"/>
            </w:pPr>
            <w:r>
              <w:t>2025</w:t>
            </w:r>
            <w:r>
              <w:rPr>
                <w:i w:val="0"/>
              </w:rPr>
              <w:br/>
            </w:r>
            <w:r>
              <w:t>estimate</w:t>
            </w:r>
          </w:p>
        </w:tc>
        <w:tc>
          <w:tcPr>
            <w:tcW w:w="794" w:type="dxa"/>
          </w:tcPr>
          <w:p w14:paraId="2676E851" w14:textId="60884978" w:rsidR="00F70B1C" w:rsidRDefault="00F70B1C" w:rsidP="003E7D8D">
            <w:pPr>
              <w:cnfStyle w:val="100000000000" w:firstRow="1" w:lastRow="0" w:firstColumn="0" w:lastColumn="0" w:oddVBand="0" w:evenVBand="0" w:oddHBand="0" w:evenHBand="0" w:firstRowFirstColumn="0" w:firstRowLastColumn="0" w:lastRowFirstColumn="0" w:lastRowLastColumn="0"/>
            </w:pPr>
            <w:r>
              <w:t>2026</w:t>
            </w:r>
            <w:r>
              <w:rPr>
                <w:i w:val="0"/>
              </w:rPr>
              <w:br/>
            </w:r>
            <w:r>
              <w:t>estimate</w:t>
            </w:r>
          </w:p>
        </w:tc>
      </w:tr>
      <w:tr w:rsidR="00C424E5" w14:paraId="2B32AF9A" w14:textId="77777777">
        <w:tc>
          <w:tcPr>
            <w:cnfStyle w:val="001000000000" w:firstRow="0" w:lastRow="0" w:firstColumn="1" w:lastColumn="0" w:oddVBand="0" w:evenVBand="0" w:oddHBand="0" w:evenHBand="0" w:firstRowFirstColumn="0" w:firstRowLastColumn="0" w:lastRowFirstColumn="0" w:lastRowLastColumn="0"/>
            <w:tcW w:w="3740" w:type="dxa"/>
          </w:tcPr>
          <w:p w14:paraId="2020CB4E" w14:textId="77777777" w:rsidR="00C424E5" w:rsidRDefault="00C424E5">
            <w:r>
              <w:rPr>
                <w:b/>
              </w:rPr>
              <w:t>Current borrowings</w:t>
            </w:r>
          </w:p>
        </w:tc>
        <w:tc>
          <w:tcPr>
            <w:tcW w:w="794" w:type="dxa"/>
          </w:tcPr>
          <w:p w14:paraId="252442BC"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7B20E023"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3743A79C"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3981E01E"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467FAD93"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76E0AB68" w14:textId="77777777">
        <w:tc>
          <w:tcPr>
            <w:cnfStyle w:val="001000000000" w:firstRow="0" w:lastRow="0" w:firstColumn="1" w:lastColumn="0" w:oddVBand="0" w:evenVBand="0" w:oddHBand="0" w:evenHBand="0" w:firstRowFirstColumn="0" w:firstRowLastColumn="0" w:lastRowFirstColumn="0" w:lastRowLastColumn="0"/>
            <w:tcW w:w="3740" w:type="dxa"/>
          </w:tcPr>
          <w:p w14:paraId="5287808F" w14:textId="77777777" w:rsidR="00C424E5" w:rsidRDefault="00C424E5">
            <w:r>
              <w:t>Domestic borrowings</w:t>
            </w:r>
          </w:p>
        </w:tc>
        <w:tc>
          <w:tcPr>
            <w:tcW w:w="794" w:type="dxa"/>
          </w:tcPr>
          <w:p w14:paraId="335BD115" w14:textId="77777777" w:rsidR="00C424E5" w:rsidRDefault="00C424E5">
            <w:pPr>
              <w:cnfStyle w:val="000000000000" w:firstRow="0" w:lastRow="0" w:firstColumn="0" w:lastColumn="0" w:oddVBand="0" w:evenVBand="0" w:oddHBand="0" w:evenHBand="0" w:firstRowFirstColumn="0" w:firstRowLastColumn="0" w:lastRowFirstColumn="0" w:lastRowLastColumn="0"/>
            </w:pPr>
            <w:r>
              <w:t>13 990</w:t>
            </w:r>
          </w:p>
        </w:tc>
        <w:tc>
          <w:tcPr>
            <w:tcW w:w="794" w:type="dxa"/>
          </w:tcPr>
          <w:p w14:paraId="6470D204" w14:textId="77777777" w:rsidR="00C424E5" w:rsidRDefault="00C424E5">
            <w:pPr>
              <w:cnfStyle w:val="000000000000" w:firstRow="0" w:lastRow="0" w:firstColumn="0" w:lastColumn="0" w:oddVBand="0" w:evenVBand="0" w:oddHBand="0" w:evenHBand="0" w:firstRowFirstColumn="0" w:firstRowLastColumn="0" w:lastRowFirstColumn="0" w:lastRowLastColumn="0"/>
            </w:pPr>
            <w:r>
              <w:t>13 824</w:t>
            </w:r>
          </w:p>
        </w:tc>
        <w:tc>
          <w:tcPr>
            <w:tcW w:w="794" w:type="dxa"/>
          </w:tcPr>
          <w:p w14:paraId="5735D6EB" w14:textId="77777777" w:rsidR="00C424E5" w:rsidRDefault="00C424E5">
            <w:pPr>
              <w:cnfStyle w:val="000000000000" w:firstRow="0" w:lastRow="0" w:firstColumn="0" w:lastColumn="0" w:oddVBand="0" w:evenVBand="0" w:oddHBand="0" w:evenHBand="0" w:firstRowFirstColumn="0" w:firstRowLastColumn="0" w:lastRowFirstColumn="0" w:lastRowLastColumn="0"/>
            </w:pPr>
            <w:r>
              <w:t>13 868</w:t>
            </w:r>
          </w:p>
        </w:tc>
        <w:tc>
          <w:tcPr>
            <w:tcW w:w="794" w:type="dxa"/>
          </w:tcPr>
          <w:p w14:paraId="4782CBB0" w14:textId="77777777" w:rsidR="00C424E5" w:rsidRDefault="00C424E5">
            <w:pPr>
              <w:cnfStyle w:val="000000000000" w:firstRow="0" w:lastRow="0" w:firstColumn="0" w:lastColumn="0" w:oddVBand="0" w:evenVBand="0" w:oddHBand="0" w:evenHBand="0" w:firstRowFirstColumn="0" w:firstRowLastColumn="0" w:lastRowFirstColumn="0" w:lastRowLastColumn="0"/>
            </w:pPr>
            <w:r>
              <w:t>13 933</w:t>
            </w:r>
          </w:p>
        </w:tc>
        <w:tc>
          <w:tcPr>
            <w:tcW w:w="794" w:type="dxa"/>
          </w:tcPr>
          <w:p w14:paraId="7FCD025D" w14:textId="77777777" w:rsidR="00C424E5" w:rsidRDefault="00C424E5">
            <w:pPr>
              <w:cnfStyle w:val="000000000000" w:firstRow="0" w:lastRow="0" w:firstColumn="0" w:lastColumn="0" w:oddVBand="0" w:evenVBand="0" w:oddHBand="0" w:evenHBand="0" w:firstRowFirstColumn="0" w:firstRowLastColumn="0" w:lastRowFirstColumn="0" w:lastRowLastColumn="0"/>
            </w:pPr>
            <w:r>
              <w:t>14 020</w:t>
            </w:r>
          </w:p>
        </w:tc>
      </w:tr>
      <w:tr w:rsidR="00C424E5" w14:paraId="49AB2B10" w14:textId="77777777">
        <w:tc>
          <w:tcPr>
            <w:cnfStyle w:val="001000000000" w:firstRow="0" w:lastRow="0" w:firstColumn="1" w:lastColumn="0" w:oddVBand="0" w:evenVBand="0" w:oddHBand="0" w:evenHBand="0" w:firstRowFirstColumn="0" w:firstRowLastColumn="0" w:lastRowFirstColumn="0" w:lastRowLastColumn="0"/>
            <w:tcW w:w="3740" w:type="dxa"/>
          </w:tcPr>
          <w:p w14:paraId="241CBE47" w14:textId="77777777" w:rsidR="00C424E5" w:rsidRDefault="00C424E5">
            <w:r>
              <w:t>Lease liabilities</w:t>
            </w:r>
          </w:p>
        </w:tc>
        <w:tc>
          <w:tcPr>
            <w:tcW w:w="794" w:type="dxa"/>
          </w:tcPr>
          <w:p w14:paraId="7DBC6941" w14:textId="77777777" w:rsidR="00C424E5" w:rsidRDefault="00C424E5">
            <w:pPr>
              <w:cnfStyle w:val="000000000000" w:firstRow="0" w:lastRow="0" w:firstColumn="0" w:lastColumn="0" w:oddVBand="0" w:evenVBand="0" w:oddHBand="0" w:evenHBand="0" w:firstRowFirstColumn="0" w:firstRowLastColumn="0" w:lastRowFirstColumn="0" w:lastRowLastColumn="0"/>
            </w:pPr>
            <w:r>
              <w:t>593</w:t>
            </w:r>
          </w:p>
        </w:tc>
        <w:tc>
          <w:tcPr>
            <w:tcW w:w="794" w:type="dxa"/>
          </w:tcPr>
          <w:p w14:paraId="401EDD0C" w14:textId="77777777" w:rsidR="00C424E5" w:rsidRDefault="00C424E5">
            <w:pPr>
              <w:cnfStyle w:val="000000000000" w:firstRow="0" w:lastRow="0" w:firstColumn="0" w:lastColumn="0" w:oddVBand="0" w:evenVBand="0" w:oddHBand="0" w:evenHBand="0" w:firstRowFirstColumn="0" w:firstRowLastColumn="0" w:lastRowFirstColumn="0" w:lastRowLastColumn="0"/>
            </w:pPr>
            <w:r>
              <w:t>638</w:t>
            </w:r>
          </w:p>
        </w:tc>
        <w:tc>
          <w:tcPr>
            <w:tcW w:w="794" w:type="dxa"/>
          </w:tcPr>
          <w:p w14:paraId="7B12E7B4" w14:textId="77777777" w:rsidR="00C424E5" w:rsidRDefault="00C424E5">
            <w:pPr>
              <w:cnfStyle w:val="000000000000" w:firstRow="0" w:lastRow="0" w:firstColumn="0" w:lastColumn="0" w:oddVBand="0" w:evenVBand="0" w:oddHBand="0" w:evenHBand="0" w:firstRowFirstColumn="0" w:firstRowLastColumn="0" w:lastRowFirstColumn="0" w:lastRowLastColumn="0"/>
            </w:pPr>
            <w:r>
              <w:t>557</w:t>
            </w:r>
          </w:p>
        </w:tc>
        <w:tc>
          <w:tcPr>
            <w:tcW w:w="794" w:type="dxa"/>
          </w:tcPr>
          <w:p w14:paraId="1F4FD622" w14:textId="77777777" w:rsidR="00C424E5" w:rsidRDefault="00C424E5">
            <w:pPr>
              <w:cnfStyle w:val="000000000000" w:firstRow="0" w:lastRow="0" w:firstColumn="0" w:lastColumn="0" w:oddVBand="0" w:evenVBand="0" w:oddHBand="0" w:evenHBand="0" w:firstRowFirstColumn="0" w:firstRowLastColumn="0" w:lastRowFirstColumn="0" w:lastRowLastColumn="0"/>
            </w:pPr>
            <w:r>
              <w:t>468</w:t>
            </w:r>
          </w:p>
        </w:tc>
        <w:tc>
          <w:tcPr>
            <w:tcW w:w="794" w:type="dxa"/>
          </w:tcPr>
          <w:p w14:paraId="54D6A600" w14:textId="77777777" w:rsidR="00C424E5" w:rsidRDefault="00C424E5">
            <w:pPr>
              <w:cnfStyle w:val="000000000000" w:firstRow="0" w:lastRow="0" w:firstColumn="0" w:lastColumn="0" w:oddVBand="0" w:evenVBand="0" w:oddHBand="0" w:evenHBand="0" w:firstRowFirstColumn="0" w:firstRowLastColumn="0" w:lastRowFirstColumn="0" w:lastRowLastColumn="0"/>
            </w:pPr>
            <w:r>
              <w:t>382</w:t>
            </w:r>
          </w:p>
        </w:tc>
      </w:tr>
      <w:tr w:rsidR="00C424E5" w14:paraId="1DFA90D5" w14:textId="77777777">
        <w:tc>
          <w:tcPr>
            <w:cnfStyle w:val="001000000000" w:firstRow="0" w:lastRow="0" w:firstColumn="1" w:lastColumn="0" w:oddVBand="0" w:evenVBand="0" w:oddHBand="0" w:evenHBand="0" w:firstRowFirstColumn="0" w:firstRowLastColumn="0" w:lastRowFirstColumn="0" w:lastRowLastColumn="0"/>
            <w:tcW w:w="3740" w:type="dxa"/>
          </w:tcPr>
          <w:p w14:paraId="469FCF37" w14:textId="77777777" w:rsidR="00C424E5" w:rsidRDefault="00C424E5">
            <w:r>
              <w:t>Service concession arrangement liabilities</w:t>
            </w:r>
          </w:p>
        </w:tc>
        <w:tc>
          <w:tcPr>
            <w:tcW w:w="794" w:type="dxa"/>
          </w:tcPr>
          <w:p w14:paraId="7BDD58FA" w14:textId="77777777" w:rsidR="00C424E5" w:rsidRDefault="00C424E5">
            <w:pPr>
              <w:cnfStyle w:val="000000000000" w:firstRow="0" w:lastRow="0" w:firstColumn="0" w:lastColumn="0" w:oddVBand="0" w:evenVBand="0" w:oddHBand="0" w:evenHBand="0" w:firstRowFirstColumn="0" w:firstRowLastColumn="0" w:lastRowFirstColumn="0" w:lastRowLastColumn="0"/>
            </w:pPr>
            <w:r>
              <w:t>2 410</w:t>
            </w:r>
          </w:p>
        </w:tc>
        <w:tc>
          <w:tcPr>
            <w:tcW w:w="794" w:type="dxa"/>
          </w:tcPr>
          <w:p w14:paraId="75AB7384" w14:textId="77777777" w:rsidR="00C424E5" w:rsidRDefault="00C424E5">
            <w:pPr>
              <w:cnfStyle w:val="000000000000" w:firstRow="0" w:lastRow="0" w:firstColumn="0" w:lastColumn="0" w:oddVBand="0" w:evenVBand="0" w:oddHBand="0" w:evenHBand="0" w:firstRowFirstColumn="0" w:firstRowLastColumn="0" w:lastRowFirstColumn="0" w:lastRowLastColumn="0"/>
            </w:pPr>
            <w:r>
              <w:t>2 319</w:t>
            </w:r>
          </w:p>
        </w:tc>
        <w:tc>
          <w:tcPr>
            <w:tcW w:w="794" w:type="dxa"/>
          </w:tcPr>
          <w:p w14:paraId="4D7B832B" w14:textId="77777777" w:rsidR="00C424E5" w:rsidRDefault="00C424E5">
            <w:pPr>
              <w:cnfStyle w:val="000000000000" w:firstRow="0" w:lastRow="0" w:firstColumn="0" w:lastColumn="0" w:oddVBand="0" w:evenVBand="0" w:oddHBand="0" w:evenHBand="0" w:firstRowFirstColumn="0" w:firstRowLastColumn="0" w:lastRowFirstColumn="0" w:lastRowLastColumn="0"/>
            </w:pPr>
            <w:r>
              <w:t>461</w:t>
            </w:r>
          </w:p>
        </w:tc>
        <w:tc>
          <w:tcPr>
            <w:tcW w:w="794" w:type="dxa"/>
          </w:tcPr>
          <w:p w14:paraId="1663D7F9" w14:textId="77777777" w:rsidR="00C424E5" w:rsidRDefault="00C424E5">
            <w:pPr>
              <w:cnfStyle w:val="000000000000" w:firstRow="0" w:lastRow="0" w:firstColumn="0" w:lastColumn="0" w:oddVBand="0" w:evenVBand="0" w:oddHBand="0" w:evenHBand="0" w:firstRowFirstColumn="0" w:firstRowLastColumn="0" w:lastRowFirstColumn="0" w:lastRowLastColumn="0"/>
            </w:pPr>
            <w:r>
              <w:t>215</w:t>
            </w:r>
          </w:p>
        </w:tc>
        <w:tc>
          <w:tcPr>
            <w:tcW w:w="794" w:type="dxa"/>
          </w:tcPr>
          <w:p w14:paraId="0F612CA6" w14:textId="77777777" w:rsidR="00C424E5" w:rsidRDefault="00C424E5">
            <w:pPr>
              <w:cnfStyle w:val="000000000000" w:firstRow="0" w:lastRow="0" w:firstColumn="0" w:lastColumn="0" w:oddVBand="0" w:evenVBand="0" w:oddHBand="0" w:evenHBand="0" w:firstRowFirstColumn="0" w:firstRowLastColumn="0" w:lastRowFirstColumn="0" w:lastRowLastColumn="0"/>
            </w:pPr>
            <w:r>
              <w:t>187</w:t>
            </w:r>
          </w:p>
        </w:tc>
      </w:tr>
      <w:tr w:rsidR="00C424E5" w14:paraId="28B825BD"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3092FB85" w14:textId="77777777" w:rsidR="00C424E5" w:rsidRDefault="00C424E5">
            <w:r>
              <w:t>Derivative financial instruments</w:t>
            </w:r>
          </w:p>
        </w:tc>
        <w:tc>
          <w:tcPr>
            <w:tcW w:w="794" w:type="dxa"/>
            <w:tcBorders>
              <w:bottom w:val="single" w:sz="6" w:space="0" w:color="auto"/>
            </w:tcBorders>
          </w:tcPr>
          <w:p w14:paraId="11C7E361" w14:textId="77777777" w:rsidR="00C424E5" w:rsidRDefault="00C424E5">
            <w:pPr>
              <w:cnfStyle w:val="000000000000" w:firstRow="0" w:lastRow="0" w:firstColumn="0" w:lastColumn="0" w:oddVBand="0" w:evenVBand="0" w:oddHBand="0" w:evenHBand="0" w:firstRowFirstColumn="0" w:firstRowLastColumn="0" w:lastRowFirstColumn="0" w:lastRowLastColumn="0"/>
            </w:pPr>
            <w:r>
              <w:t>54</w:t>
            </w:r>
          </w:p>
        </w:tc>
        <w:tc>
          <w:tcPr>
            <w:tcW w:w="794" w:type="dxa"/>
            <w:tcBorders>
              <w:bottom w:val="single" w:sz="6" w:space="0" w:color="auto"/>
            </w:tcBorders>
          </w:tcPr>
          <w:p w14:paraId="3C6AAD58" w14:textId="77777777" w:rsidR="00C424E5" w:rsidRDefault="00C424E5">
            <w:pPr>
              <w:cnfStyle w:val="000000000000" w:firstRow="0" w:lastRow="0" w:firstColumn="0" w:lastColumn="0" w:oddVBand="0" w:evenVBand="0" w:oddHBand="0" w:evenHBand="0" w:firstRowFirstColumn="0" w:firstRowLastColumn="0" w:lastRowFirstColumn="0" w:lastRowLastColumn="0"/>
            </w:pPr>
            <w:r>
              <w:t>54</w:t>
            </w:r>
          </w:p>
        </w:tc>
        <w:tc>
          <w:tcPr>
            <w:tcW w:w="794" w:type="dxa"/>
            <w:tcBorders>
              <w:bottom w:val="single" w:sz="6" w:space="0" w:color="auto"/>
            </w:tcBorders>
          </w:tcPr>
          <w:p w14:paraId="6388F025" w14:textId="77777777" w:rsidR="00C424E5" w:rsidRDefault="00C424E5">
            <w:pPr>
              <w:cnfStyle w:val="000000000000" w:firstRow="0" w:lastRow="0" w:firstColumn="0" w:lastColumn="0" w:oddVBand="0" w:evenVBand="0" w:oddHBand="0" w:evenHBand="0" w:firstRowFirstColumn="0" w:firstRowLastColumn="0" w:lastRowFirstColumn="0" w:lastRowLastColumn="0"/>
            </w:pPr>
            <w:r>
              <w:t>65</w:t>
            </w:r>
          </w:p>
        </w:tc>
        <w:tc>
          <w:tcPr>
            <w:tcW w:w="794" w:type="dxa"/>
            <w:tcBorders>
              <w:bottom w:val="single" w:sz="6" w:space="0" w:color="auto"/>
            </w:tcBorders>
          </w:tcPr>
          <w:p w14:paraId="177199DB" w14:textId="77777777" w:rsidR="00C424E5" w:rsidRDefault="00C424E5">
            <w:pPr>
              <w:cnfStyle w:val="000000000000" w:firstRow="0" w:lastRow="0" w:firstColumn="0" w:lastColumn="0" w:oddVBand="0" w:evenVBand="0" w:oddHBand="0" w:evenHBand="0" w:firstRowFirstColumn="0" w:firstRowLastColumn="0" w:lastRowFirstColumn="0" w:lastRowLastColumn="0"/>
            </w:pPr>
            <w:r>
              <w:t>76</w:t>
            </w:r>
          </w:p>
        </w:tc>
        <w:tc>
          <w:tcPr>
            <w:tcW w:w="794" w:type="dxa"/>
            <w:tcBorders>
              <w:bottom w:val="single" w:sz="6" w:space="0" w:color="auto"/>
            </w:tcBorders>
          </w:tcPr>
          <w:p w14:paraId="7C2814F0" w14:textId="77777777" w:rsidR="00C424E5" w:rsidRDefault="00C424E5">
            <w:pPr>
              <w:cnfStyle w:val="000000000000" w:firstRow="0" w:lastRow="0" w:firstColumn="0" w:lastColumn="0" w:oddVBand="0" w:evenVBand="0" w:oddHBand="0" w:evenHBand="0" w:firstRowFirstColumn="0" w:firstRowLastColumn="0" w:lastRowFirstColumn="0" w:lastRowLastColumn="0"/>
            </w:pPr>
            <w:r>
              <w:t>87</w:t>
            </w:r>
          </w:p>
        </w:tc>
      </w:tr>
      <w:tr w:rsidR="00C424E5" w14:paraId="7AD8324A"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3B8C8287" w14:textId="77777777" w:rsidR="00C424E5" w:rsidRDefault="00C424E5">
            <w:r>
              <w:rPr>
                <w:b/>
              </w:rPr>
              <w:t>Total current borrowings</w:t>
            </w:r>
          </w:p>
        </w:tc>
        <w:tc>
          <w:tcPr>
            <w:tcW w:w="794" w:type="dxa"/>
            <w:tcBorders>
              <w:top w:val="single" w:sz="6" w:space="0" w:color="auto"/>
            </w:tcBorders>
          </w:tcPr>
          <w:p w14:paraId="187837BB"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17 047</w:t>
            </w:r>
          </w:p>
        </w:tc>
        <w:tc>
          <w:tcPr>
            <w:tcW w:w="794" w:type="dxa"/>
            <w:tcBorders>
              <w:top w:val="single" w:sz="6" w:space="0" w:color="auto"/>
            </w:tcBorders>
          </w:tcPr>
          <w:p w14:paraId="56FECDBC"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16 836</w:t>
            </w:r>
          </w:p>
        </w:tc>
        <w:tc>
          <w:tcPr>
            <w:tcW w:w="794" w:type="dxa"/>
            <w:tcBorders>
              <w:top w:val="single" w:sz="6" w:space="0" w:color="auto"/>
            </w:tcBorders>
          </w:tcPr>
          <w:p w14:paraId="0827861C"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14 951</w:t>
            </w:r>
          </w:p>
        </w:tc>
        <w:tc>
          <w:tcPr>
            <w:tcW w:w="794" w:type="dxa"/>
            <w:tcBorders>
              <w:top w:val="single" w:sz="6" w:space="0" w:color="auto"/>
            </w:tcBorders>
          </w:tcPr>
          <w:p w14:paraId="6F50875B"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14 692</w:t>
            </w:r>
          </w:p>
        </w:tc>
        <w:tc>
          <w:tcPr>
            <w:tcW w:w="794" w:type="dxa"/>
            <w:tcBorders>
              <w:top w:val="single" w:sz="6" w:space="0" w:color="auto"/>
            </w:tcBorders>
          </w:tcPr>
          <w:p w14:paraId="7F65AE2F"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14 676</w:t>
            </w:r>
          </w:p>
        </w:tc>
      </w:tr>
      <w:tr w:rsidR="00C424E5" w14:paraId="4B8E5BAB" w14:textId="77777777">
        <w:tc>
          <w:tcPr>
            <w:cnfStyle w:val="001000000000" w:firstRow="0" w:lastRow="0" w:firstColumn="1" w:lastColumn="0" w:oddVBand="0" w:evenVBand="0" w:oddHBand="0" w:evenHBand="0" w:firstRowFirstColumn="0" w:firstRowLastColumn="0" w:lastRowFirstColumn="0" w:lastRowLastColumn="0"/>
            <w:tcW w:w="3740" w:type="dxa"/>
          </w:tcPr>
          <w:p w14:paraId="530E2C67" w14:textId="77777777" w:rsidR="00C424E5" w:rsidRDefault="00C424E5">
            <w:r>
              <w:rPr>
                <w:b/>
              </w:rPr>
              <w:t>Non</w:t>
            </w:r>
            <w:r>
              <w:rPr>
                <w:b/>
              </w:rPr>
              <w:noBreakHyphen/>
              <w:t>current borrowings</w:t>
            </w:r>
          </w:p>
        </w:tc>
        <w:tc>
          <w:tcPr>
            <w:tcW w:w="794" w:type="dxa"/>
          </w:tcPr>
          <w:p w14:paraId="61CA5E6E"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2B959B32"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256FA2F5"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46CB6A05"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04AF1391"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0C28F35A" w14:textId="77777777">
        <w:tc>
          <w:tcPr>
            <w:cnfStyle w:val="001000000000" w:firstRow="0" w:lastRow="0" w:firstColumn="1" w:lastColumn="0" w:oddVBand="0" w:evenVBand="0" w:oddHBand="0" w:evenHBand="0" w:firstRowFirstColumn="0" w:firstRowLastColumn="0" w:lastRowFirstColumn="0" w:lastRowLastColumn="0"/>
            <w:tcW w:w="3740" w:type="dxa"/>
          </w:tcPr>
          <w:p w14:paraId="2F5F9F97" w14:textId="77777777" w:rsidR="00C424E5" w:rsidRDefault="00C424E5">
            <w:r>
              <w:t>Domestic borrowings</w:t>
            </w:r>
          </w:p>
        </w:tc>
        <w:tc>
          <w:tcPr>
            <w:tcW w:w="794" w:type="dxa"/>
          </w:tcPr>
          <w:p w14:paraId="027A2FFD" w14:textId="77777777" w:rsidR="00C424E5" w:rsidRDefault="00C424E5">
            <w:pPr>
              <w:cnfStyle w:val="000000000000" w:firstRow="0" w:lastRow="0" w:firstColumn="0" w:lastColumn="0" w:oddVBand="0" w:evenVBand="0" w:oddHBand="0" w:evenHBand="0" w:firstRowFirstColumn="0" w:firstRowLastColumn="0" w:lastRowFirstColumn="0" w:lastRowLastColumn="0"/>
            </w:pPr>
            <w:r>
              <w:t>112 113</w:t>
            </w:r>
          </w:p>
        </w:tc>
        <w:tc>
          <w:tcPr>
            <w:tcW w:w="794" w:type="dxa"/>
          </w:tcPr>
          <w:p w14:paraId="248F9F01" w14:textId="77777777" w:rsidR="00C424E5" w:rsidRDefault="00C424E5">
            <w:pPr>
              <w:cnfStyle w:val="000000000000" w:firstRow="0" w:lastRow="0" w:firstColumn="0" w:lastColumn="0" w:oddVBand="0" w:evenVBand="0" w:oddHBand="0" w:evenHBand="0" w:firstRowFirstColumn="0" w:firstRowLastColumn="0" w:lastRowFirstColumn="0" w:lastRowLastColumn="0"/>
            </w:pPr>
            <w:r>
              <w:t>114 367</w:t>
            </w:r>
          </w:p>
        </w:tc>
        <w:tc>
          <w:tcPr>
            <w:tcW w:w="794" w:type="dxa"/>
          </w:tcPr>
          <w:p w14:paraId="34D3B5A5" w14:textId="77777777" w:rsidR="00C424E5" w:rsidRDefault="00C424E5">
            <w:pPr>
              <w:cnfStyle w:val="000000000000" w:firstRow="0" w:lastRow="0" w:firstColumn="0" w:lastColumn="0" w:oddVBand="0" w:evenVBand="0" w:oddHBand="0" w:evenHBand="0" w:firstRowFirstColumn="0" w:firstRowLastColumn="0" w:lastRowFirstColumn="0" w:lastRowLastColumn="0"/>
            </w:pPr>
            <w:r>
              <w:t>137 157</w:t>
            </w:r>
          </w:p>
        </w:tc>
        <w:tc>
          <w:tcPr>
            <w:tcW w:w="794" w:type="dxa"/>
          </w:tcPr>
          <w:p w14:paraId="38EC41F9" w14:textId="77777777" w:rsidR="00C424E5" w:rsidRDefault="00C424E5">
            <w:pPr>
              <w:cnfStyle w:val="000000000000" w:firstRow="0" w:lastRow="0" w:firstColumn="0" w:lastColumn="0" w:oddVBand="0" w:evenVBand="0" w:oddHBand="0" w:evenHBand="0" w:firstRowFirstColumn="0" w:firstRowLastColumn="0" w:lastRowFirstColumn="0" w:lastRowLastColumn="0"/>
            </w:pPr>
            <w:r>
              <w:t>157 327</w:t>
            </w:r>
          </w:p>
        </w:tc>
        <w:tc>
          <w:tcPr>
            <w:tcW w:w="794" w:type="dxa"/>
          </w:tcPr>
          <w:p w14:paraId="5AABCECA" w14:textId="77777777" w:rsidR="00C424E5" w:rsidRDefault="00C424E5">
            <w:pPr>
              <w:cnfStyle w:val="000000000000" w:firstRow="0" w:lastRow="0" w:firstColumn="0" w:lastColumn="0" w:oddVBand="0" w:evenVBand="0" w:oddHBand="0" w:evenHBand="0" w:firstRowFirstColumn="0" w:firstRowLastColumn="0" w:lastRowFirstColumn="0" w:lastRowLastColumn="0"/>
            </w:pPr>
            <w:r>
              <w:t>174 477</w:t>
            </w:r>
          </w:p>
        </w:tc>
      </w:tr>
      <w:tr w:rsidR="00C424E5" w14:paraId="69430EF2" w14:textId="77777777">
        <w:tc>
          <w:tcPr>
            <w:cnfStyle w:val="001000000000" w:firstRow="0" w:lastRow="0" w:firstColumn="1" w:lastColumn="0" w:oddVBand="0" w:evenVBand="0" w:oddHBand="0" w:evenHBand="0" w:firstRowFirstColumn="0" w:firstRowLastColumn="0" w:lastRowFirstColumn="0" w:lastRowLastColumn="0"/>
            <w:tcW w:w="3740" w:type="dxa"/>
          </w:tcPr>
          <w:p w14:paraId="1A0C809D" w14:textId="77777777" w:rsidR="00C424E5" w:rsidRDefault="00C424E5">
            <w:r>
              <w:t>Lease liabilities</w:t>
            </w:r>
          </w:p>
        </w:tc>
        <w:tc>
          <w:tcPr>
            <w:tcW w:w="794" w:type="dxa"/>
          </w:tcPr>
          <w:p w14:paraId="6CAED45C" w14:textId="77777777" w:rsidR="00C424E5" w:rsidRDefault="00C424E5">
            <w:pPr>
              <w:cnfStyle w:val="000000000000" w:firstRow="0" w:lastRow="0" w:firstColumn="0" w:lastColumn="0" w:oddVBand="0" w:evenVBand="0" w:oddHBand="0" w:evenHBand="0" w:firstRowFirstColumn="0" w:firstRowLastColumn="0" w:lastRowFirstColumn="0" w:lastRowLastColumn="0"/>
            </w:pPr>
            <w:r>
              <w:t>7 222</w:t>
            </w:r>
          </w:p>
        </w:tc>
        <w:tc>
          <w:tcPr>
            <w:tcW w:w="794" w:type="dxa"/>
          </w:tcPr>
          <w:p w14:paraId="0A15B8A6" w14:textId="77777777" w:rsidR="00C424E5" w:rsidRDefault="00C424E5">
            <w:pPr>
              <w:cnfStyle w:val="000000000000" w:firstRow="0" w:lastRow="0" w:firstColumn="0" w:lastColumn="0" w:oddVBand="0" w:evenVBand="0" w:oddHBand="0" w:evenHBand="0" w:firstRowFirstColumn="0" w:firstRowLastColumn="0" w:lastRowFirstColumn="0" w:lastRowLastColumn="0"/>
            </w:pPr>
            <w:r>
              <w:t>7 249</w:t>
            </w:r>
          </w:p>
        </w:tc>
        <w:tc>
          <w:tcPr>
            <w:tcW w:w="794" w:type="dxa"/>
          </w:tcPr>
          <w:p w14:paraId="7E596914" w14:textId="77777777" w:rsidR="00C424E5" w:rsidRDefault="00C424E5">
            <w:pPr>
              <w:cnfStyle w:val="000000000000" w:firstRow="0" w:lastRow="0" w:firstColumn="0" w:lastColumn="0" w:oddVBand="0" w:evenVBand="0" w:oddHBand="0" w:evenHBand="0" w:firstRowFirstColumn="0" w:firstRowLastColumn="0" w:lastRowFirstColumn="0" w:lastRowLastColumn="0"/>
            </w:pPr>
            <w:r>
              <w:t>6 758</w:t>
            </w:r>
          </w:p>
        </w:tc>
        <w:tc>
          <w:tcPr>
            <w:tcW w:w="794" w:type="dxa"/>
          </w:tcPr>
          <w:p w14:paraId="47212DFC" w14:textId="77777777" w:rsidR="00C424E5" w:rsidRDefault="00C424E5">
            <w:pPr>
              <w:cnfStyle w:val="000000000000" w:firstRow="0" w:lastRow="0" w:firstColumn="0" w:lastColumn="0" w:oddVBand="0" w:evenVBand="0" w:oddHBand="0" w:evenHBand="0" w:firstRowFirstColumn="0" w:firstRowLastColumn="0" w:lastRowFirstColumn="0" w:lastRowLastColumn="0"/>
            </w:pPr>
            <w:r>
              <w:t>6 276</w:t>
            </w:r>
          </w:p>
        </w:tc>
        <w:tc>
          <w:tcPr>
            <w:tcW w:w="794" w:type="dxa"/>
          </w:tcPr>
          <w:p w14:paraId="5EEDF0FD" w14:textId="77777777" w:rsidR="00C424E5" w:rsidRDefault="00C424E5">
            <w:pPr>
              <w:cnfStyle w:val="000000000000" w:firstRow="0" w:lastRow="0" w:firstColumn="0" w:lastColumn="0" w:oddVBand="0" w:evenVBand="0" w:oddHBand="0" w:evenHBand="0" w:firstRowFirstColumn="0" w:firstRowLastColumn="0" w:lastRowFirstColumn="0" w:lastRowLastColumn="0"/>
            </w:pPr>
            <w:r>
              <w:t>5 770</w:t>
            </w:r>
          </w:p>
        </w:tc>
      </w:tr>
      <w:tr w:rsidR="00C424E5" w14:paraId="34E09F3E" w14:textId="77777777">
        <w:tc>
          <w:tcPr>
            <w:cnfStyle w:val="001000000000" w:firstRow="0" w:lastRow="0" w:firstColumn="1" w:lastColumn="0" w:oddVBand="0" w:evenVBand="0" w:oddHBand="0" w:evenHBand="0" w:firstRowFirstColumn="0" w:firstRowLastColumn="0" w:lastRowFirstColumn="0" w:lastRowLastColumn="0"/>
            <w:tcW w:w="3740" w:type="dxa"/>
          </w:tcPr>
          <w:p w14:paraId="4CA14F7A" w14:textId="77777777" w:rsidR="00C424E5" w:rsidRDefault="00C424E5">
            <w:r>
              <w:t>Service concession arrangement liabilities</w:t>
            </w:r>
          </w:p>
        </w:tc>
        <w:tc>
          <w:tcPr>
            <w:tcW w:w="794" w:type="dxa"/>
          </w:tcPr>
          <w:p w14:paraId="6372D4EF" w14:textId="77777777" w:rsidR="00C424E5" w:rsidRDefault="00C424E5">
            <w:pPr>
              <w:cnfStyle w:val="000000000000" w:firstRow="0" w:lastRow="0" w:firstColumn="0" w:lastColumn="0" w:oddVBand="0" w:evenVBand="0" w:oddHBand="0" w:evenHBand="0" w:firstRowFirstColumn="0" w:firstRowLastColumn="0" w:lastRowFirstColumn="0" w:lastRowLastColumn="0"/>
            </w:pPr>
            <w:r>
              <w:t>4 137</w:t>
            </w:r>
          </w:p>
        </w:tc>
        <w:tc>
          <w:tcPr>
            <w:tcW w:w="794" w:type="dxa"/>
          </w:tcPr>
          <w:p w14:paraId="475FB7F4" w14:textId="77777777" w:rsidR="00C424E5" w:rsidRDefault="00C424E5">
            <w:pPr>
              <w:cnfStyle w:val="000000000000" w:firstRow="0" w:lastRow="0" w:firstColumn="0" w:lastColumn="0" w:oddVBand="0" w:evenVBand="0" w:oddHBand="0" w:evenHBand="0" w:firstRowFirstColumn="0" w:firstRowLastColumn="0" w:lastRowFirstColumn="0" w:lastRowLastColumn="0"/>
            </w:pPr>
            <w:r>
              <w:t>4 173</w:t>
            </w:r>
          </w:p>
        </w:tc>
        <w:tc>
          <w:tcPr>
            <w:tcW w:w="794" w:type="dxa"/>
          </w:tcPr>
          <w:p w14:paraId="3E20F165" w14:textId="77777777" w:rsidR="00C424E5" w:rsidRDefault="00C424E5">
            <w:pPr>
              <w:cnfStyle w:val="000000000000" w:firstRow="0" w:lastRow="0" w:firstColumn="0" w:lastColumn="0" w:oddVBand="0" w:evenVBand="0" w:oddHBand="0" w:evenHBand="0" w:firstRowFirstColumn="0" w:firstRowLastColumn="0" w:lastRowFirstColumn="0" w:lastRowLastColumn="0"/>
            </w:pPr>
            <w:r>
              <w:t>5 018</w:t>
            </w:r>
          </w:p>
        </w:tc>
        <w:tc>
          <w:tcPr>
            <w:tcW w:w="794" w:type="dxa"/>
          </w:tcPr>
          <w:p w14:paraId="10D97CCC" w14:textId="77777777" w:rsidR="00C424E5" w:rsidRDefault="00C424E5">
            <w:pPr>
              <w:cnfStyle w:val="000000000000" w:firstRow="0" w:lastRow="0" w:firstColumn="0" w:lastColumn="0" w:oddVBand="0" w:evenVBand="0" w:oddHBand="0" w:evenHBand="0" w:firstRowFirstColumn="0" w:firstRowLastColumn="0" w:lastRowFirstColumn="0" w:lastRowLastColumn="0"/>
            </w:pPr>
            <w:r>
              <w:t>5 054</w:t>
            </w:r>
          </w:p>
        </w:tc>
        <w:tc>
          <w:tcPr>
            <w:tcW w:w="794" w:type="dxa"/>
          </w:tcPr>
          <w:p w14:paraId="02954E11" w14:textId="77777777" w:rsidR="00C424E5" w:rsidRDefault="00C424E5">
            <w:pPr>
              <w:cnfStyle w:val="000000000000" w:firstRow="0" w:lastRow="0" w:firstColumn="0" w:lastColumn="0" w:oddVBand="0" w:evenVBand="0" w:oddHBand="0" w:evenHBand="0" w:firstRowFirstColumn="0" w:firstRowLastColumn="0" w:lastRowFirstColumn="0" w:lastRowLastColumn="0"/>
            </w:pPr>
            <w:r>
              <w:t>4 943</w:t>
            </w:r>
          </w:p>
        </w:tc>
      </w:tr>
      <w:tr w:rsidR="00C424E5" w14:paraId="6B83AF8A"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2849E8CA" w14:textId="77777777" w:rsidR="00C424E5" w:rsidRDefault="00C424E5">
            <w:r>
              <w:t>Derivative financial instruments</w:t>
            </w:r>
          </w:p>
        </w:tc>
        <w:tc>
          <w:tcPr>
            <w:tcW w:w="794" w:type="dxa"/>
            <w:tcBorders>
              <w:bottom w:val="single" w:sz="6" w:space="0" w:color="auto"/>
            </w:tcBorders>
          </w:tcPr>
          <w:p w14:paraId="36746101" w14:textId="77777777" w:rsidR="00C424E5" w:rsidRDefault="00C424E5">
            <w:pPr>
              <w:cnfStyle w:val="000000000000" w:firstRow="0" w:lastRow="0" w:firstColumn="0" w:lastColumn="0" w:oddVBand="0" w:evenVBand="0" w:oddHBand="0" w:evenHBand="0" w:firstRowFirstColumn="0" w:firstRowLastColumn="0" w:lastRowFirstColumn="0" w:lastRowLastColumn="0"/>
            </w:pPr>
            <w:r>
              <w:t>289</w:t>
            </w:r>
          </w:p>
        </w:tc>
        <w:tc>
          <w:tcPr>
            <w:tcW w:w="794" w:type="dxa"/>
            <w:tcBorders>
              <w:bottom w:val="single" w:sz="6" w:space="0" w:color="auto"/>
            </w:tcBorders>
          </w:tcPr>
          <w:p w14:paraId="29BA321D" w14:textId="77777777" w:rsidR="00C424E5" w:rsidRDefault="00C424E5">
            <w:pPr>
              <w:cnfStyle w:val="000000000000" w:firstRow="0" w:lastRow="0" w:firstColumn="0" w:lastColumn="0" w:oddVBand="0" w:evenVBand="0" w:oddHBand="0" w:evenHBand="0" w:firstRowFirstColumn="0" w:firstRowLastColumn="0" w:lastRowFirstColumn="0" w:lastRowLastColumn="0"/>
            </w:pPr>
            <w:r>
              <w:t>364</w:t>
            </w:r>
          </w:p>
        </w:tc>
        <w:tc>
          <w:tcPr>
            <w:tcW w:w="794" w:type="dxa"/>
            <w:tcBorders>
              <w:bottom w:val="single" w:sz="6" w:space="0" w:color="auto"/>
            </w:tcBorders>
          </w:tcPr>
          <w:p w14:paraId="672158B3" w14:textId="77777777" w:rsidR="00C424E5" w:rsidRDefault="00C424E5">
            <w:pPr>
              <w:cnfStyle w:val="000000000000" w:firstRow="0" w:lastRow="0" w:firstColumn="0" w:lastColumn="0" w:oddVBand="0" w:evenVBand="0" w:oddHBand="0" w:evenHBand="0" w:firstRowFirstColumn="0" w:firstRowLastColumn="0" w:lastRowFirstColumn="0" w:lastRowLastColumn="0"/>
            </w:pPr>
            <w:r>
              <w:t>362</w:t>
            </w:r>
          </w:p>
        </w:tc>
        <w:tc>
          <w:tcPr>
            <w:tcW w:w="794" w:type="dxa"/>
            <w:tcBorders>
              <w:bottom w:val="single" w:sz="6" w:space="0" w:color="auto"/>
            </w:tcBorders>
          </w:tcPr>
          <w:p w14:paraId="0554C6E3" w14:textId="77777777" w:rsidR="00C424E5" w:rsidRDefault="00C424E5">
            <w:pPr>
              <w:cnfStyle w:val="000000000000" w:firstRow="0" w:lastRow="0" w:firstColumn="0" w:lastColumn="0" w:oddVBand="0" w:evenVBand="0" w:oddHBand="0" w:evenHBand="0" w:firstRowFirstColumn="0" w:firstRowLastColumn="0" w:lastRowFirstColumn="0" w:lastRowLastColumn="0"/>
            </w:pPr>
            <w:r>
              <w:t>332</w:t>
            </w:r>
          </w:p>
        </w:tc>
        <w:tc>
          <w:tcPr>
            <w:tcW w:w="794" w:type="dxa"/>
            <w:tcBorders>
              <w:bottom w:val="single" w:sz="6" w:space="0" w:color="auto"/>
            </w:tcBorders>
          </w:tcPr>
          <w:p w14:paraId="205EAF9C" w14:textId="77777777" w:rsidR="00C424E5" w:rsidRDefault="00C424E5">
            <w:pPr>
              <w:cnfStyle w:val="000000000000" w:firstRow="0" w:lastRow="0" w:firstColumn="0" w:lastColumn="0" w:oddVBand="0" w:evenVBand="0" w:oddHBand="0" w:evenHBand="0" w:firstRowFirstColumn="0" w:firstRowLastColumn="0" w:lastRowFirstColumn="0" w:lastRowLastColumn="0"/>
            </w:pPr>
            <w:r>
              <w:t>292</w:t>
            </w:r>
          </w:p>
        </w:tc>
      </w:tr>
      <w:tr w:rsidR="00C424E5" w14:paraId="5CF9CAB9"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35F21FFE" w14:textId="77777777" w:rsidR="00C424E5" w:rsidRDefault="00C424E5">
            <w:r>
              <w:rPr>
                <w:b/>
              </w:rPr>
              <w:t>Total non</w:t>
            </w:r>
            <w:r>
              <w:rPr>
                <w:b/>
              </w:rPr>
              <w:noBreakHyphen/>
              <w:t>current borrowings</w:t>
            </w:r>
          </w:p>
        </w:tc>
        <w:tc>
          <w:tcPr>
            <w:tcW w:w="794" w:type="dxa"/>
            <w:tcBorders>
              <w:top w:val="single" w:sz="6" w:space="0" w:color="auto"/>
              <w:bottom w:val="single" w:sz="6" w:space="0" w:color="auto"/>
            </w:tcBorders>
          </w:tcPr>
          <w:p w14:paraId="24C22B9E"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123 761</w:t>
            </w:r>
          </w:p>
        </w:tc>
        <w:tc>
          <w:tcPr>
            <w:tcW w:w="794" w:type="dxa"/>
            <w:tcBorders>
              <w:top w:val="single" w:sz="6" w:space="0" w:color="auto"/>
              <w:bottom w:val="single" w:sz="6" w:space="0" w:color="auto"/>
            </w:tcBorders>
          </w:tcPr>
          <w:p w14:paraId="481005CB"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126 152</w:t>
            </w:r>
          </w:p>
        </w:tc>
        <w:tc>
          <w:tcPr>
            <w:tcW w:w="794" w:type="dxa"/>
            <w:tcBorders>
              <w:top w:val="single" w:sz="6" w:space="0" w:color="auto"/>
              <w:bottom w:val="single" w:sz="6" w:space="0" w:color="auto"/>
            </w:tcBorders>
          </w:tcPr>
          <w:p w14:paraId="29BB1BD5"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149 294</w:t>
            </w:r>
          </w:p>
        </w:tc>
        <w:tc>
          <w:tcPr>
            <w:tcW w:w="794" w:type="dxa"/>
            <w:tcBorders>
              <w:top w:val="single" w:sz="6" w:space="0" w:color="auto"/>
              <w:bottom w:val="single" w:sz="6" w:space="0" w:color="auto"/>
            </w:tcBorders>
          </w:tcPr>
          <w:p w14:paraId="0A27811D"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168 989</w:t>
            </w:r>
          </w:p>
        </w:tc>
        <w:tc>
          <w:tcPr>
            <w:tcW w:w="794" w:type="dxa"/>
            <w:tcBorders>
              <w:top w:val="single" w:sz="6" w:space="0" w:color="auto"/>
              <w:bottom w:val="single" w:sz="6" w:space="0" w:color="auto"/>
            </w:tcBorders>
          </w:tcPr>
          <w:p w14:paraId="2890FAFF"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185 482</w:t>
            </w:r>
          </w:p>
        </w:tc>
      </w:tr>
      <w:tr w:rsidR="00C424E5" w14:paraId="6BEA46CA"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75E2FCFC" w14:textId="77777777" w:rsidR="00C424E5" w:rsidRDefault="00C424E5">
            <w:r>
              <w:rPr>
                <w:b/>
              </w:rPr>
              <w:t>Total borrowings</w:t>
            </w:r>
          </w:p>
        </w:tc>
        <w:tc>
          <w:tcPr>
            <w:tcW w:w="794" w:type="dxa"/>
            <w:tcBorders>
              <w:top w:val="single" w:sz="6" w:space="0" w:color="auto"/>
              <w:bottom w:val="single" w:sz="12" w:space="0" w:color="auto"/>
            </w:tcBorders>
          </w:tcPr>
          <w:p w14:paraId="20105153"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140 808</w:t>
            </w:r>
          </w:p>
        </w:tc>
        <w:tc>
          <w:tcPr>
            <w:tcW w:w="794" w:type="dxa"/>
            <w:tcBorders>
              <w:top w:val="single" w:sz="6" w:space="0" w:color="auto"/>
              <w:bottom w:val="single" w:sz="12" w:space="0" w:color="auto"/>
            </w:tcBorders>
          </w:tcPr>
          <w:p w14:paraId="2D0CA7B5"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142 988</w:t>
            </w:r>
          </w:p>
        </w:tc>
        <w:tc>
          <w:tcPr>
            <w:tcW w:w="794" w:type="dxa"/>
            <w:tcBorders>
              <w:top w:val="single" w:sz="6" w:space="0" w:color="auto"/>
              <w:bottom w:val="single" w:sz="12" w:space="0" w:color="auto"/>
            </w:tcBorders>
          </w:tcPr>
          <w:p w14:paraId="598A9A54"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164 246</w:t>
            </w:r>
          </w:p>
        </w:tc>
        <w:tc>
          <w:tcPr>
            <w:tcW w:w="794" w:type="dxa"/>
            <w:tcBorders>
              <w:top w:val="single" w:sz="6" w:space="0" w:color="auto"/>
              <w:bottom w:val="single" w:sz="12" w:space="0" w:color="auto"/>
            </w:tcBorders>
          </w:tcPr>
          <w:p w14:paraId="354F5E9C"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183 681</w:t>
            </w:r>
          </w:p>
        </w:tc>
        <w:tc>
          <w:tcPr>
            <w:tcW w:w="794" w:type="dxa"/>
            <w:tcBorders>
              <w:top w:val="single" w:sz="6" w:space="0" w:color="auto"/>
              <w:bottom w:val="single" w:sz="12" w:space="0" w:color="auto"/>
            </w:tcBorders>
          </w:tcPr>
          <w:p w14:paraId="40ED5532" w14:textId="0BD969D7" w:rsidR="00C424E5" w:rsidRDefault="00C424E5">
            <w:pPr>
              <w:cnfStyle w:val="000000000000" w:firstRow="0" w:lastRow="0" w:firstColumn="0" w:lastColumn="0" w:oddVBand="0" w:evenVBand="0" w:oddHBand="0" w:evenHBand="0" w:firstRowFirstColumn="0" w:firstRowLastColumn="0" w:lastRowFirstColumn="0" w:lastRowLastColumn="0"/>
            </w:pPr>
            <w:r>
              <w:rPr>
                <w:b/>
              </w:rPr>
              <w:t>200 158</w:t>
            </w:r>
          </w:p>
        </w:tc>
      </w:tr>
    </w:tbl>
    <w:p w14:paraId="15AA953E" w14:textId="77777777" w:rsidR="00C424E5" w:rsidRDefault="00C424E5" w:rsidP="006206EF"/>
    <w:p w14:paraId="4C2C27B1" w14:textId="77777777" w:rsidR="00C424E5" w:rsidRDefault="00C424E5" w:rsidP="006206EF"/>
    <w:p w14:paraId="54FB85AB" w14:textId="77777777" w:rsidR="00C424E5" w:rsidRPr="00B41AC3" w:rsidRDefault="00C424E5" w:rsidP="006206EF">
      <w:pPr>
        <w:pStyle w:val="Heading10"/>
      </w:pPr>
      <w:r>
        <w:br w:type="page"/>
      </w:r>
    </w:p>
    <w:p w14:paraId="5043DF31" w14:textId="77777777" w:rsidR="00C424E5" w:rsidRDefault="00C424E5" w:rsidP="006206EF">
      <w:pPr>
        <w:pStyle w:val="Heading3"/>
        <w:spacing w:after="60"/>
        <w:rPr>
          <w:sz w:val="20"/>
          <w:szCs w:val="20"/>
        </w:rPr>
      </w:pPr>
      <w:bookmarkStart w:id="78" w:name="_Toc117172463"/>
      <w:r w:rsidRPr="00A5107B">
        <w:rPr>
          <w:sz w:val="20"/>
          <w:szCs w:val="20"/>
        </w:rPr>
        <w:lastRenderedPageBreak/>
        <w:t>Advances paid and investments, loans and placements</w:t>
      </w:r>
      <w:r w:rsidRPr="00A5107B">
        <w:rPr>
          <w:sz w:val="20"/>
          <w:szCs w:val="20"/>
        </w:rPr>
        <w:tab/>
        <w:t>($ million)</w:t>
      </w:r>
      <w:bookmarkEnd w:id="78"/>
    </w:p>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F70B1C" w14:paraId="6D42BF3A" w14:textId="77777777" w:rsidTr="00A836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56D62E1F" w14:textId="7D82F10B" w:rsidR="00F70B1C" w:rsidRDefault="00F70B1C"/>
        </w:tc>
        <w:tc>
          <w:tcPr>
            <w:tcW w:w="794" w:type="dxa"/>
          </w:tcPr>
          <w:p w14:paraId="71B43480" w14:textId="411098CA" w:rsidR="00F70B1C" w:rsidRDefault="00F70B1C" w:rsidP="00635CF6">
            <w:pPr>
              <w:cnfStyle w:val="100000000000" w:firstRow="1" w:lastRow="0" w:firstColumn="0" w:lastColumn="0" w:oddVBand="0" w:evenVBand="0" w:oddHBand="0" w:evenHBand="0" w:firstRowFirstColumn="0" w:firstRowLastColumn="0" w:lastRowFirstColumn="0" w:lastRowLastColumn="0"/>
            </w:pPr>
            <w:r>
              <w:t>2023</w:t>
            </w:r>
            <w:r>
              <w:rPr>
                <w:i w:val="0"/>
              </w:rPr>
              <w:br/>
            </w:r>
            <w:r>
              <w:t>budget</w:t>
            </w:r>
          </w:p>
        </w:tc>
        <w:tc>
          <w:tcPr>
            <w:tcW w:w="794" w:type="dxa"/>
          </w:tcPr>
          <w:p w14:paraId="294EF927" w14:textId="1E14BD55" w:rsidR="00F70B1C" w:rsidRDefault="00F70B1C" w:rsidP="008E2A39">
            <w:pPr>
              <w:cnfStyle w:val="100000000000" w:firstRow="1" w:lastRow="0" w:firstColumn="0" w:lastColumn="0" w:oddVBand="0" w:evenVBand="0" w:oddHBand="0" w:evenHBand="0" w:firstRowFirstColumn="0" w:firstRowLastColumn="0" w:lastRowFirstColumn="0" w:lastRowLastColumn="0"/>
            </w:pPr>
            <w:r>
              <w:t>2023</w:t>
            </w:r>
            <w:r>
              <w:rPr>
                <w:i w:val="0"/>
              </w:rPr>
              <w:br/>
            </w:r>
            <w:r>
              <w:t>revised</w:t>
            </w:r>
          </w:p>
        </w:tc>
        <w:tc>
          <w:tcPr>
            <w:tcW w:w="794" w:type="dxa"/>
          </w:tcPr>
          <w:p w14:paraId="55B92150" w14:textId="2A620E63" w:rsidR="00F70B1C" w:rsidRDefault="00F70B1C" w:rsidP="00687A83">
            <w:pPr>
              <w:cnfStyle w:val="100000000000" w:firstRow="1" w:lastRow="0" w:firstColumn="0" w:lastColumn="0" w:oddVBand="0" w:evenVBand="0" w:oddHBand="0" w:evenHBand="0" w:firstRowFirstColumn="0" w:firstRowLastColumn="0" w:lastRowFirstColumn="0" w:lastRowLastColumn="0"/>
            </w:pPr>
            <w:r>
              <w:t>2024</w:t>
            </w:r>
            <w:r>
              <w:rPr>
                <w:i w:val="0"/>
              </w:rPr>
              <w:br/>
            </w:r>
            <w:r>
              <w:t>estimate</w:t>
            </w:r>
          </w:p>
        </w:tc>
        <w:tc>
          <w:tcPr>
            <w:tcW w:w="794" w:type="dxa"/>
          </w:tcPr>
          <w:p w14:paraId="3A3FD33A" w14:textId="2CB28B14" w:rsidR="00F70B1C" w:rsidRDefault="00F70B1C" w:rsidP="00051D6F">
            <w:pPr>
              <w:cnfStyle w:val="100000000000" w:firstRow="1" w:lastRow="0" w:firstColumn="0" w:lastColumn="0" w:oddVBand="0" w:evenVBand="0" w:oddHBand="0" w:evenHBand="0" w:firstRowFirstColumn="0" w:firstRowLastColumn="0" w:lastRowFirstColumn="0" w:lastRowLastColumn="0"/>
            </w:pPr>
            <w:r>
              <w:t>2025</w:t>
            </w:r>
            <w:r>
              <w:rPr>
                <w:i w:val="0"/>
              </w:rPr>
              <w:br/>
            </w:r>
            <w:r>
              <w:t>estimate</w:t>
            </w:r>
          </w:p>
        </w:tc>
        <w:tc>
          <w:tcPr>
            <w:tcW w:w="794" w:type="dxa"/>
          </w:tcPr>
          <w:p w14:paraId="3D9737C1" w14:textId="677AD99E" w:rsidR="00F70B1C" w:rsidRDefault="00F70B1C" w:rsidP="008343AD">
            <w:pPr>
              <w:cnfStyle w:val="100000000000" w:firstRow="1" w:lastRow="0" w:firstColumn="0" w:lastColumn="0" w:oddVBand="0" w:evenVBand="0" w:oddHBand="0" w:evenHBand="0" w:firstRowFirstColumn="0" w:firstRowLastColumn="0" w:lastRowFirstColumn="0" w:lastRowLastColumn="0"/>
            </w:pPr>
            <w:r>
              <w:t>2026</w:t>
            </w:r>
            <w:r>
              <w:rPr>
                <w:i w:val="0"/>
              </w:rPr>
              <w:br/>
            </w:r>
            <w:r>
              <w:t>estimate</w:t>
            </w:r>
          </w:p>
        </w:tc>
      </w:tr>
      <w:tr w:rsidR="00C424E5" w14:paraId="4C1FF97B" w14:textId="77777777">
        <w:tc>
          <w:tcPr>
            <w:cnfStyle w:val="001000000000" w:firstRow="0" w:lastRow="0" w:firstColumn="1" w:lastColumn="0" w:oddVBand="0" w:evenVBand="0" w:oddHBand="0" w:evenHBand="0" w:firstRowFirstColumn="0" w:firstRowLastColumn="0" w:lastRowFirstColumn="0" w:lastRowLastColumn="0"/>
            <w:tcW w:w="3740" w:type="dxa"/>
          </w:tcPr>
          <w:p w14:paraId="636418AE" w14:textId="4AD48591" w:rsidR="00C424E5" w:rsidRDefault="00C424E5">
            <w:r>
              <w:rPr>
                <w:b/>
              </w:rPr>
              <w:t xml:space="preserve">Current advances paid and investments, </w:t>
            </w:r>
            <w:r w:rsidR="00253AF8">
              <w:rPr>
                <w:b/>
              </w:rPr>
              <w:br/>
            </w:r>
            <w:r>
              <w:rPr>
                <w:b/>
              </w:rPr>
              <w:t>loans and placements</w:t>
            </w:r>
          </w:p>
        </w:tc>
        <w:tc>
          <w:tcPr>
            <w:tcW w:w="794" w:type="dxa"/>
          </w:tcPr>
          <w:p w14:paraId="1213B9D0"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19CC0894"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4371C917"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7F3C6173"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4A7380C6"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4854B85F" w14:textId="77777777">
        <w:tc>
          <w:tcPr>
            <w:cnfStyle w:val="001000000000" w:firstRow="0" w:lastRow="0" w:firstColumn="1" w:lastColumn="0" w:oddVBand="0" w:evenVBand="0" w:oddHBand="0" w:evenHBand="0" w:firstRowFirstColumn="0" w:firstRowLastColumn="0" w:lastRowFirstColumn="0" w:lastRowLastColumn="0"/>
            <w:tcW w:w="3740" w:type="dxa"/>
          </w:tcPr>
          <w:p w14:paraId="01B2BD74" w14:textId="77777777" w:rsidR="00C424E5" w:rsidRDefault="00C424E5">
            <w:r>
              <w:t>Loans and advances paid</w:t>
            </w:r>
          </w:p>
        </w:tc>
        <w:tc>
          <w:tcPr>
            <w:tcW w:w="794" w:type="dxa"/>
          </w:tcPr>
          <w:p w14:paraId="411AAF7B" w14:textId="77777777" w:rsidR="00C424E5" w:rsidRDefault="00C424E5">
            <w:pPr>
              <w:cnfStyle w:val="000000000000" w:firstRow="0" w:lastRow="0" w:firstColumn="0" w:lastColumn="0" w:oddVBand="0" w:evenVBand="0" w:oddHBand="0" w:evenHBand="0" w:firstRowFirstColumn="0" w:firstRowLastColumn="0" w:lastRowFirstColumn="0" w:lastRowLastColumn="0"/>
            </w:pPr>
            <w:r>
              <w:t>853</w:t>
            </w:r>
          </w:p>
        </w:tc>
        <w:tc>
          <w:tcPr>
            <w:tcW w:w="794" w:type="dxa"/>
          </w:tcPr>
          <w:p w14:paraId="37CADF33" w14:textId="77777777" w:rsidR="00C424E5" w:rsidRDefault="00C424E5">
            <w:pPr>
              <w:cnfStyle w:val="000000000000" w:firstRow="0" w:lastRow="0" w:firstColumn="0" w:lastColumn="0" w:oddVBand="0" w:evenVBand="0" w:oddHBand="0" w:evenHBand="0" w:firstRowFirstColumn="0" w:firstRowLastColumn="0" w:lastRowFirstColumn="0" w:lastRowLastColumn="0"/>
            </w:pPr>
            <w:r>
              <w:t>861</w:t>
            </w:r>
          </w:p>
        </w:tc>
        <w:tc>
          <w:tcPr>
            <w:tcW w:w="794" w:type="dxa"/>
          </w:tcPr>
          <w:p w14:paraId="7CE16604" w14:textId="77777777" w:rsidR="00C424E5" w:rsidRDefault="00C424E5">
            <w:pPr>
              <w:cnfStyle w:val="000000000000" w:firstRow="0" w:lastRow="0" w:firstColumn="0" w:lastColumn="0" w:oddVBand="0" w:evenVBand="0" w:oddHBand="0" w:evenHBand="0" w:firstRowFirstColumn="0" w:firstRowLastColumn="0" w:lastRowFirstColumn="0" w:lastRowLastColumn="0"/>
            </w:pPr>
            <w:r>
              <w:t>581</w:t>
            </w:r>
          </w:p>
        </w:tc>
        <w:tc>
          <w:tcPr>
            <w:tcW w:w="794" w:type="dxa"/>
          </w:tcPr>
          <w:p w14:paraId="6E139406" w14:textId="77777777" w:rsidR="00C424E5" w:rsidRDefault="00C424E5">
            <w:pPr>
              <w:cnfStyle w:val="000000000000" w:firstRow="0" w:lastRow="0" w:firstColumn="0" w:lastColumn="0" w:oddVBand="0" w:evenVBand="0" w:oddHBand="0" w:evenHBand="0" w:firstRowFirstColumn="0" w:firstRowLastColumn="0" w:lastRowFirstColumn="0" w:lastRowLastColumn="0"/>
            </w:pPr>
            <w:r>
              <w:t>459</w:t>
            </w:r>
          </w:p>
        </w:tc>
        <w:tc>
          <w:tcPr>
            <w:tcW w:w="794" w:type="dxa"/>
          </w:tcPr>
          <w:p w14:paraId="00228BAA" w14:textId="77777777" w:rsidR="00C424E5" w:rsidRDefault="00C424E5">
            <w:pPr>
              <w:cnfStyle w:val="000000000000" w:firstRow="0" w:lastRow="0" w:firstColumn="0" w:lastColumn="0" w:oddVBand="0" w:evenVBand="0" w:oddHBand="0" w:evenHBand="0" w:firstRowFirstColumn="0" w:firstRowLastColumn="0" w:lastRowFirstColumn="0" w:lastRowLastColumn="0"/>
            </w:pPr>
            <w:r>
              <w:t>439</w:t>
            </w:r>
          </w:p>
        </w:tc>
      </w:tr>
      <w:tr w:rsidR="00C424E5" w14:paraId="774A2525" w14:textId="77777777">
        <w:tc>
          <w:tcPr>
            <w:cnfStyle w:val="001000000000" w:firstRow="0" w:lastRow="0" w:firstColumn="1" w:lastColumn="0" w:oddVBand="0" w:evenVBand="0" w:oddHBand="0" w:evenHBand="0" w:firstRowFirstColumn="0" w:firstRowLastColumn="0" w:lastRowFirstColumn="0" w:lastRowLastColumn="0"/>
            <w:tcW w:w="3740" w:type="dxa"/>
          </w:tcPr>
          <w:p w14:paraId="7531F684" w14:textId="77777777" w:rsidR="00C424E5" w:rsidRDefault="00C424E5">
            <w:r>
              <w:t>Equities and managed investment schemes</w:t>
            </w:r>
          </w:p>
        </w:tc>
        <w:tc>
          <w:tcPr>
            <w:tcW w:w="794" w:type="dxa"/>
          </w:tcPr>
          <w:p w14:paraId="18CB24A9" w14:textId="77777777" w:rsidR="00C424E5" w:rsidRDefault="00C424E5">
            <w:pPr>
              <w:cnfStyle w:val="000000000000" w:firstRow="0" w:lastRow="0" w:firstColumn="0" w:lastColumn="0" w:oddVBand="0" w:evenVBand="0" w:oddHBand="0" w:evenHBand="0" w:firstRowFirstColumn="0" w:firstRowLastColumn="0" w:lastRowFirstColumn="0" w:lastRowLastColumn="0"/>
            </w:pPr>
            <w:r>
              <w:t>744</w:t>
            </w:r>
          </w:p>
        </w:tc>
        <w:tc>
          <w:tcPr>
            <w:tcW w:w="794" w:type="dxa"/>
          </w:tcPr>
          <w:p w14:paraId="444A20DD" w14:textId="77777777" w:rsidR="00C424E5" w:rsidRDefault="00C424E5">
            <w:pPr>
              <w:cnfStyle w:val="000000000000" w:firstRow="0" w:lastRow="0" w:firstColumn="0" w:lastColumn="0" w:oddVBand="0" w:evenVBand="0" w:oddHBand="0" w:evenHBand="0" w:firstRowFirstColumn="0" w:firstRowLastColumn="0" w:lastRowFirstColumn="0" w:lastRowLastColumn="0"/>
            </w:pPr>
            <w:r>
              <w:t>744</w:t>
            </w:r>
          </w:p>
        </w:tc>
        <w:tc>
          <w:tcPr>
            <w:tcW w:w="794" w:type="dxa"/>
          </w:tcPr>
          <w:p w14:paraId="6ADBA456" w14:textId="77777777" w:rsidR="00C424E5" w:rsidRDefault="00C424E5">
            <w:pPr>
              <w:cnfStyle w:val="000000000000" w:firstRow="0" w:lastRow="0" w:firstColumn="0" w:lastColumn="0" w:oddVBand="0" w:evenVBand="0" w:oddHBand="0" w:evenHBand="0" w:firstRowFirstColumn="0" w:firstRowLastColumn="0" w:lastRowFirstColumn="0" w:lastRowLastColumn="0"/>
            </w:pPr>
            <w:r>
              <w:t>782</w:t>
            </w:r>
          </w:p>
        </w:tc>
        <w:tc>
          <w:tcPr>
            <w:tcW w:w="794" w:type="dxa"/>
          </w:tcPr>
          <w:p w14:paraId="073C6038" w14:textId="77777777" w:rsidR="00C424E5" w:rsidRDefault="00C424E5">
            <w:pPr>
              <w:cnfStyle w:val="000000000000" w:firstRow="0" w:lastRow="0" w:firstColumn="0" w:lastColumn="0" w:oddVBand="0" w:evenVBand="0" w:oddHBand="0" w:evenHBand="0" w:firstRowFirstColumn="0" w:firstRowLastColumn="0" w:lastRowFirstColumn="0" w:lastRowLastColumn="0"/>
            </w:pPr>
            <w:r>
              <w:t>798</w:t>
            </w:r>
          </w:p>
        </w:tc>
        <w:tc>
          <w:tcPr>
            <w:tcW w:w="794" w:type="dxa"/>
          </w:tcPr>
          <w:p w14:paraId="32440A41" w14:textId="77777777" w:rsidR="00C424E5" w:rsidRDefault="00C424E5">
            <w:pPr>
              <w:cnfStyle w:val="000000000000" w:firstRow="0" w:lastRow="0" w:firstColumn="0" w:lastColumn="0" w:oddVBand="0" w:evenVBand="0" w:oddHBand="0" w:evenHBand="0" w:firstRowFirstColumn="0" w:firstRowLastColumn="0" w:lastRowFirstColumn="0" w:lastRowLastColumn="0"/>
            </w:pPr>
            <w:r>
              <w:t>814</w:t>
            </w:r>
          </w:p>
        </w:tc>
      </w:tr>
      <w:tr w:rsidR="00C424E5" w14:paraId="0EBD8FD2" w14:textId="77777777">
        <w:tc>
          <w:tcPr>
            <w:cnfStyle w:val="001000000000" w:firstRow="0" w:lastRow="0" w:firstColumn="1" w:lastColumn="0" w:oddVBand="0" w:evenVBand="0" w:oddHBand="0" w:evenHBand="0" w:firstRowFirstColumn="0" w:firstRowLastColumn="0" w:lastRowFirstColumn="0" w:lastRowLastColumn="0"/>
            <w:tcW w:w="3740" w:type="dxa"/>
          </w:tcPr>
          <w:p w14:paraId="727FEBDB" w14:textId="77777777" w:rsidR="00C424E5" w:rsidRDefault="00C424E5">
            <w:r>
              <w:t>Australian dollar term deposits</w:t>
            </w:r>
          </w:p>
        </w:tc>
        <w:tc>
          <w:tcPr>
            <w:tcW w:w="794" w:type="dxa"/>
          </w:tcPr>
          <w:p w14:paraId="308834A9" w14:textId="77777777" w:rsidR="00C424E5" w:rsidRDefault="00C424E5">
            <w:pPr>
              <w:cnfStyle w:val="000000000000" w:firstRow="0" w:lastRow="0" w:firstColumn="0" w:lastColumn="0" w:oddVBand="0" w:evenVBand="0" w:oddHBand="0" w:evenHBand="0" w:firstRowFirstColumn="0" w:firstRowLastColumn="0" w:lastRowFirstColumn="0" w:lastRowLastColumn="0"/>
            </w:pPr>
            <w:r>
              <w:t>114</w:t>
            </w:r>
          </w:p>
        </w:tc>
        <w:tc>
          <w:tcPr>
            <w:tcW w:w="794" w:type="dxa"/>
          </w:tcPr>
          <w:p w14:paraId="7458F3DC" w14:textId="77777777" w:rsidR="00C424E5" w:rsidRDefault="00C424E5">
            <w:pPr>
              <w:cnfStyle w:val="000000000000" w:firstRow="0" w:lastRow="0" w:firstColumn="0" w:lastColumn="0" w:oddVBand="0" w:evenVBand="0" w:oddHBand="0" w:evenHBand="0" w:firstRowFirstColumn="0" w:firstRowLastColumn="0" w:lastRowFirstColumn="0" w:lastRowLastColumn="0"/>
            </w:pPr>
            <w:r>
              <w:t>114</w:t>
            </w:r>
          </w:p>
        </w:tc>
        <w:tc>
          <w:tcPr>
            <w:tcW w:w="794" w:type="dxa"/>
          </w:tcPr>
          <w:p w14:paraId="13902F2B" w14:textId="77777777" w:rsidR="00C424E5" w:rsidRDefault="00C424E5">
            <w:pPr>
              <w:cnfStyle w:val="000000000000" w:firstRow="0" w:lastRow="0" w:firstColumn="0" w:lastColumn="0" w:oddVBand="0" w:evenVBand="0" w:oddHBand="0" w:evenHBand="0" w:firstRowFirstColumn="0" w:firstRowLastColumn="0" w:lastRowFirstColumn="0" w:lastRowLastColumn="0"/>
            </w:pPr>
            <w:r>
              <w:t>129</w:t>
            </w:r>
          </w:p>
        </w:tc>
        <w:tc>
          <w:tcPr>
            <w:tcW w:w="794" w:type="dxa"/>
          </w:tcPr>
          <w:p w14:paraId="1D6E3BFF" w14:textId="77777777" w:rsidR="00C424E5" w:rsidRDefault="00C424E5">
            <w:pPr>
              <w:cnfStyle w:val="000000000000" w:firstRow="0" w:lastRow="0" w:firstColumn="0" w:lastColumn="0" w:oddVBand="0" w:evenVBand="0" w:oddHBand="0" w:evenHBand="0" w:firstRowFirstColumn="0" w:firstRowLastColumn="0" w:lastRowFirstColumn="0" w:lastRowLastColumn="0"/>
            </w:pPr>
            <w:r>
              <w:t>148</w:t>
            </w:r>
          </w:p>
        </w:tc>
        <w:tc>
          <w:tcPr>
            <w:tcW w:w="794" w:type="dxa"/>
          </w:tcPr>
          <w:p w14:paraId="29006208" w14:textId="77777777" w:rsidR="00C424E5" w:rsidRDefault="00C424E5">
            <w:pPr>
              <w:cnfStyle w:val="000000000000" w:firstRow="0" w:lastRow="0" w:firstColumn="0" w:lastColumn="0" w:oddVBand="0" w:evenVBand="0" w:oddHBand="0" w:evenHBand="0" w:firstRowFirstColumn="0" w:firstRowLastColumn="0" w:lastRowFirstColumn="0" w:lastRowLastColumn="0"/>
            </w:pPr>
            <w:r>
              <w:t>151</w:t>
            </w:r>
          </w:p>
        </w:tc>
      </w:tr>
      <w:tr w:rsidR="00C424E5" w14:paraId="53B7199A" w14:textId="77777777">
        <w:tc>
          <w:tcPr>
            <w:cnfStyle w:val="001000000000" w:firstRow="0" w:lastRow="0" w:firstColumn="1" w:lastColumn="0" w:oddVBand="0" w:evenVBand="0" w:oddHBand="0" w:evenHBand="0" w:firstRowFirstColumn="0" w:firstRowLastColumn="0" w:lastRowFirstColumn="0" w:lastRowLastColumn="0"/>
            <w:tcW w:w="3740" w:type="dxa"/>
          </w:tcPr>
          <w:p w14:paraId="194326A3" w14:textId="77777777" w:rsidR="00C424E5" w:rsidRDefault="00C424E5">
            <w:r>
              <w:t>Debt securities</w:t>
            </w:r>
          </w:p>
        </w:tc>
        <w:tc>
          <w:tcPr>
            <w:tcW w:w="794" w:type="dxa"/>
          </w:tcPr>
          <w:p w14:paraId="402DE94C" w14:textId="77777777" w:rsidR="00C424E5" w:rsidRDefault="00C424E5">
            <w:pPr>
              <w:cnfStyle w:val="000000000000" w:firstRow="0" w:lastRow="0" w:firstColumn="0" w:lastColumn="0" w:oddVBand="0" w:evenVBand="0" w:oddHBand="0" w:evenHBand="0" w:firstRowFirstColumn="0" w:firstRowLastColumn="0" w:lastRowFirstColumn="0" w:lastRowLastColumn="0"/>
            </w:pPr>
            <w:r>
              <w:t>3</w:t>
            </w:r>
          </w:p>
        </w:tc>
        <w:tc>
          <w:tcPr>
            <w:tcW w:w="794" w:type="dxa"/>
          </w:tcPr>
          <w:p w14:paraId="3C5BD749" w14:textId="77777777" w:rsidR="00C424E5" w:rsidRDefault="00C424E5">
            <w:pPr>
              <w:cnfStyle w:val="000000000000" w:firstRow="0" w:lastRow="0" w:firstColumn="0" w:lastColumn="0" w:oddVBand="0" w:evenVBand="0" w:oddHBand="0" w:evenHBand="0" w:firstRowFirstColumn="0" w:firstRowLastColumn="0" w:lastRowFirstColumn="0" w:lastRowLastColumn="0"/>
            </w:pPr>
            <w:r>
              <w:t>3</w:t>
            </w:r>
          </w:p>
        </w:tc>
        <w:tc>
          <w:tcPr>
            <w:tcW w:w="794" w:type="dxa"/>
          </w:tcPr>
          <w:p w14:paraId="2A5EDAB8" w14:textId="77777777" w:rsidR="00C424E5" w:rsidRDefault="00C424E5">
            <w:pPr>
              <w:cnfStyle w:val="000000000000" w:firstRow="0" w:lastRow="0" w:firstColumn="0" w:lastColumn="0" w:oddVBand="0" w:evenVBand="0" w:oddHBand="0" w:evenHBand="0" w:firstRowFirstColumn="0" w:firstRowLastColumn="0" w:lastRowFirstColumn="0" w:lastRowLastColumn="0"/>
            </w:pPr>
            <w:r>
              <w:t>3</w:t>
            </w:r>
          </w:p>
        </w:tc>
        <w:tc>
          <w:tcPr>
            <w:tcW w:w="794" w:type="dxa"/>
          </w:tcPr>
          <w:p w14:paraId="13F99E76" w14:textId="77777777" w:rsidR="00C424E5" w:rsidRDefault="00C424E5">
            <w:pPr>
              <w:cnfStyle w:val="000000000000" w:firstRow="0" w:lastRow="0" w:firstColumn="0" w:lastColumn="0" w:oddVBand="0" w:evenVBand="0" w:oddHBand="0" w:evenHBand="0" w:firstRowFirstColumn="0" w:firstRowLastColumn="0" w:lastRowFirstColumn="0" w:lastRowLastColumn="0"/>
            </w:pPr>
            <w:r>
              <w:t>3</w:t>
            </w:r>
          </w:p>
        </w:tc>
        <w:tc>
          <w:tcPr>
            <w:tcW w:w="794" w:type="dxa"/>
          </w:tcPr>
          <w:p w14:paraId="6A40D1A2" w14:textId="77777777" w:rsidR="00C424E5" w:rsidRDefault="00C424E5">
            <w:pPr>
              <w:cnfStyle w:val="000000000000" w:firstRow="0" w:lastRow="0" w:firstColumn="0" w:lastColumn="0" w:oddVBand="0" w:evenVBand="0" w:oddHBand="0" w:evenHBand="0" w:firstRowFirstColumn="0" w:firstRowLastColumn="0" w:lastRowFirstColumn="0" w:lastRowLastColumn="0"/>
            </w:pPr>
            <w:r>
              <w:t>3</w:t>
            </w:r>
          </w:p>
        </w:tc>
      </w:tr>
      <w:tr w:rsidR="00C424E5" w14:paraId="056A52B4"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325E1C69" w14:textId="77777777" w:rsidR="00C424E5" w:rsidRDefault="00C424E5">
            <w:r>
              <w:t>Derivative financial instruments</w:t>
            </w:r>
          </w:p>
        </w:tc>
        <w:tc>
          <w:tcPr>
            <w:tcW w:w="794" w:type="dxa"/>
            <w:tcBorders>
              <w:bottom w:val="single" w:sz="6" w:space="0" w:color="auto"/>
            </w:tcBorders>
          </w:tcPr>
          <w:p w14:paraId="5F74BE76" w14:textId="77777777" w:rsidR="00C424E5" w:rsidRDefault="00C424E5">
            <w:pPr>
              <w:cnfStyle w:val="000000000000" w:firstRow="0" w:lastRow="0" w:firstColumn="0" w:lastColumn="0" w:oddVBand="0" w:evenVBand="0" w:oddHBand="0" w:evenHBand="0" w:firstRowFirstColumn="0" w:firstRowLastColumn="0" w:lastRowFirstColumn="0" w:lastRowLastColumn="0"/>
            </w:pPr>
            <w:r>
              <w:t>376</w:t>
            </w:r>
          </w:p>
        </w:tc>
        <w:tc>
          <w:tcPr>
            <w:tcW w:w="794" w:type="dxa"/>
            <w:tcBorders>
              <w:bottom w:val="single" w:sz="6" w:space="0" w:color="auto"/>
            </w:tcBorders>
          </w:tcPr>
          <w:p w14:paraId="1CBB984D" w14:textId="77777777" w:rsidR="00C424E5" w:rsidRDefault="00C424E5">
            <w:pPr>
              <w:cnfStyle w:val="000000000000" w:firstRow="0" w:lastRow="0" w:firstColumn="0" w:lastColumn="0" w:oddVBand="0" w:evenVBand="0" w:oddHBand="0" w:evenHBand="0" w:firstRowFirstColumn="0" w:firstRowLastColumn="0" w:lastRowFirstColumn="0" w:lastRowLastColumn="0"/>
            </w:pPr>
            <w:r>
              <w:t>373</w:t>
            </w:r>
          </w:p>
        </w:tc>
        <w:tc>
          <w:tcPr>
            <w:tcW w:w="794" w:type="dxa"/>
            <w:tcBorders>
              <w:bottom w:val="single" w:sz="6" w:space="0" w:color="auto"/>
            </w:tcBorders>
          </w:tcPr>
          <w:p w14:paraId="63CE76DF" w14:textId="77777777" w:rsidR="00C424E5" w:rsidRDefault="00C424E5">
            <w:pPr>
              <w:cnfStyle w:val="000000000000" w:firstRow="0" w:lastRow="0" w:firstColumn="0" w:lastColumn="0" w:oddVBand="0" w:evenVBand="0" w:oddHBand="0" w:evenHBand="0" w:firstRowFirstColumn="0" w:firstRowLastColumn="0" w:lastRowFirstColumn="0" w:lastRowLastColumn="0"/>
            </w:pPr>
            <w:r>
              <w:t>311</w:t>
            </w:r>
          </w:p>
        </w:tc>
        <w:tc>
          <w:tcPr>
            <w:tcW w:w="794" w:type="dxa"/>
            <w:tcBorders>
              <w:bottom w:val="single" w:sz="6" w:space="0" w:color="auto"/>
            </w:tcBorders>
          </w:tcPr>
          <w:p w14:paraId="02B32BFF" w14:textId="77777777" w:rsidR="00C424E5" w:rsidRDefault="00C424E5">
            <w:pPr>
              <w:cnfStyle w:val="000000000000" w:firstRow="0" w:lastRow="0" w:firstColumn="0" w:lastColumn="0" w:oddVBand="0" w:evenVBand="0" w:oddHBand="0" w:evenHBand="0" w:firstRowFirstColumn="0" w:firstRowLastColumn="0" w:lastRowFirstColumn="0" w:lastRowLastColumn="0"/>
            </w:pPr>
            <w:r>
              <w:t>208</w:t>
            </w:r>
          </w:p>
        </w:tc>
        <w:tc>
          <w:tcPr>
            <w:tcW w:w="794" w:type="dxa"/>
            <w:tcBorders>
              <w:bottom w:val="single" w:sz="6" w:space="0" w:color="auto"/>
            </w:tcBorders>
          </w:tcPr>
          <w:p w14:paraId="2EAB8717" w14:textId="77777777" w:rsidR="00C424E5" w:rsidRDefault="00C424E5">
            <w:pPr>
              <w:cnfStyle w:val="000000000000" w:firstRow="0" w:lastRow="0" w:firstColumn="0" w:lastColumn="0" w:oddVBand="0" w:evenVBand="0" w:oddHBand="0" w:evenHBand="0" w:firstRowFirstColumn="0" w:firstRowLastColumn="0" w:lastRowFirstColumn="0" w:lastRowLastColumn="0"/>
            </w:pPr>
            <w:r>
              <w:t>163</w:t>
            </w:r>
          </w:p>
        </w:tc>
      </w:tr>
      <w:tr w:rsidR="00C424E5" w14:paraId="39CA8A69"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5AF38999" w14:textId="77777777" w:rsidR="00C424E5" w:rsidRDefault="00C424E5">
            <w:r>
              <w:rPr>
                <w:b/>
              </w:rPr>
              <w:t>Total current advances paid and investments, loans and placements</w:t>
            </w:r>
          </w:p>
        </w:tc>
        <w:tc>
          <w:tcPr>
            <w:tcW w:w="794" w:type="dxa"/>
            <w:tcBorders>
              <w:top w:val="single" w:sz="6" w:space="0" w:color="auto"/>
            </w:tcBorders>
          </w:tcPr>
          <w:p w14:paraId="4BF293FD"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2 090</w:t>
            </w:r>
          </w:p>
        </w:tc>
        <w:tc>
          <w:tcPr>
            <w:tcW w:w="794" w:type="dxa"/>
            <w:tcBorders>
              <w:top w:val="single" w:sz="6" w:space="0" w:color="auto"/>
            </w:tcBorders>
          </w:tcPr>
          <w:p w14:paraId="34242FD8"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2 095</w:t>
            </w:r>
          </w:p>
        </w:tc>
        <w:tc>
          <w:tcPr>
            <w:tcW w:w="794" w:type="dxa"/>
            <w:tcBorders>
              <w:top w:val="single" w:sz="6" w:space="0" w:color="auto"/>
            </w:tcBorders>
          </w:tcPr>
          <w:p w14:paraId="6B4C50A0"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1 806</w:t>
            </w:r>
          </w:p>
        </w:tc>
        <w:tc>
          <w:tcPr>
            <w:tcW w:w="794" w:type="dxa"/>
            <w:tcBorders>
              <w:top w:val="single" w:sz="6" w:space="0" w:color="auto"/>
            </w:tcBorders>
          </w:tcPr>
          <w:p w14:paraId="69BDFE30"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1 616</w:t>
            </w:r>
          </w:p>
        </w:tc>
        <w:tc>
          <w:tcPr>
            <w:tcW w:w="794" w:type="dxa"/>
            <w:tcBorders>
              <w:top w:val="single" w:sz="6" w:space="0" w:color="auto"/>
            </w:tcBorders>
          </w:tcPr>
          <w:p w14:paraId="38CD5F37"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1 570</w:t>
            </w:r>
          </w:p>
        </w:tc>
      </w:tr>
      <w:tr w:rsidR="00C424E5" w14:paraId="71ECC078" w14:textId="77777777">
        <w:tc>
          <w:tcPr>
            <w:cnfStyle w:val="001000000000" w:firstRow="0" w:lastRow="0" w:firstColumn="1" w:lastColumn="0" w:oddVBand="0" w:evenVBand="0" w:oddHBand="0" w:evenHBand="0" w:firstRowFirstColumn="0" w:firstRowLastColumn="0" w:lastRowFirstColumn="0" w:lastRowLastColumn="0"/>
            <w:tcW w:w="3740" w:type="dxa"/>
          </w:tcPr>
          <w:p w14:paraId="2A2CB849" w14:textId="537F8343" w:rsidR="00C424E5" w:rsidRDefault="00C424E5">
            <w:r>
              <w:rPr>
                <w:b/>
              </w:rPr>
              <w:t>Non</w:t>
            </w:r>
            <w:r>
              <w:rPr>
                <w:b/>
              </w:rPr>
              <w:noBreakHyphen/>
              <w:t xml:space="preserve">current advances paid and investments, </w:t>
            </w:r>
            <w:r w:rsidR="00253AF8">
              <w:rPr>
                <w:b/>
              </w:rPr>
              <w:br/>
            </w:r>
            <w:r>
              <w:rPr>
                <w:b/>
              </w:rPr>
              <w:t>loans and placements</w:t>
            </w:r>
          </w:p>
        </w:tc>
        <w:tc>
          <w:tcPr>
            <w:tcW w:w="794" w:type="dxa"/>
          </w:tcPr>
          <w:p w14:paraId="10A68FB4"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60E3B54B"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1AAEF456"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44E044E8"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6AC064ED"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0724E12E" w14:textId="77777777">
        <w:tc>
          <w:tcPr>
            <w:cnfStyle w:val="001000000000" w:firstRow="0" w:lastRow="0" w:firstColumn="1" w:lastColumn="0" w:oddVBand="0" w:evenVBand="0" w:oddHBand="0" w:evenHBand="0" w:firstRowFirstColumn="0" w:firstRowLastColumn="0" w:lastRowFirstColumn="0" w:lastRowLastColumn="0"/>
            <w:tcW w:w="3740" w:type="dxa"/>
          </w:tcPr>
          <w:p w14:paraId="22A0BCC6" w14:textId="77777777" w:rsidR="00C424E5" w:rsidRDefault="00C424E5">
            <w:r>
              <w:t>Loans and advances paid</w:t>
            </w:r>
          </w:p>
        </w:tc>
        <w:tc>
          <w:tcPr>
            <w:tcW w:w="794" w:type="dxa"/>
          </w:tcPr>
          <w:p w14:paraId="0B76B11A" w14:textId="77777777" w:rsidR="00C424E5" w:rsidRDefault="00C424E5">
            <w:pPr>
              <w:cnfStyle w:val="000000000000" w:firstRow="0" w:lastRow="0" w:firstColumn="0" w:lastColumn="0" w:oddVBand="0" w:evenVBand="0" w:oddHBand="0" w:evenHBand="0" w:firstRowFirstColumn="0" w:firstRowLastColumn="0" w:lastRowFirstColumn="0" w:lastRowLastColumn="0"/>
            </w:pPr>
            <w:r>
              <w:t>4 214</w:t>
            </w:r>
          </w:p>
        </w:tc>
        <w:tc>
          <w:tcPr>
            <w:tcW w:w="794" w:type="dxa"/>
          </w:tcPr>
          <w:p w14:paraId="6374FC9F" w14:textId="77777777" w:rsidR="00C424E5" w:rsidRDefault="00C424E5">
            <w:pPr>
              <w:cnfStyle w:val="000000000000" w:firstRow="0" w:lastRow="0" w:firstColumn="0" w:lastColumn="0" w:oddVBand="0" w:evenVBand="0" w:oddHBand="0" w:evenHBand="0" w:firstRowFirstColumn="0" w:firstRowLastColumn="0" w:lastRowFirstColumn="0" w:lastRowLastColumn="0"/>
            </w:pPr>
            <w:r>
              <w:t>4 249</w:t>
            </w:r>
          </w:p>
        </w:tc>
        <w:tc>
          <w:tcPr>
            <w:tcW w:w="794" w:type="dxa"/>
          </w:tcPr>
          <w:p w14:paraId="1A0C5939" w14:textId="77777777" w:rsidR="00C424E5" w:rsidRDefault="00C424E5">
            <w:pPr>
              <w:cnfStyle w:val="000000000000" w:firstRow="0" w:lastRow="0" w:firstColumn="0" w:lastColumn="0" w:oddVBand="0" w:evenVBand="0" w:oddHBand="0" w:evenHBand="0" w:firstRowFirstColumn="0" w:firstRowLastColumn="0" w:lastRowFirstColumn="0" w:lastRowLastColumn="0"/>
            </w:pPr>
            <w:r>
              <w:t>5 845</w:t>
            </w:r>
          </w:p>
        </w:tc>
        <w:tc>
          <w:tcPr>
            <w:tcW w:w="794" w:type="dxa"/>
          </w:tcPr>
          <w:p w14:paraId="66C7A40A" w14:textId="77777777" w:rsidR="00C424E5" w:rsidRDefault="00C424E5">
            <w:pPr>
              <w:cnfStyle w:val="000000000000" w:firstRow="0" w:lastRow="0" w:firstColumn="0" w:lastColumn="0" w:oddVBand="0" w:evenVBand="0" w:oddHBand="0" w:evenHBand="0" w:firstRowFirstColumn="0" w:firstRowLastColumn="0" w:lastRowFirstColumn="0" w:lastRowLastColumn="0"/>
            </w:pPr>
            <w:r>
              <w:t>5 869</w:t>
            </w:r>
          </w:p>
        </w:tc>
        <w:tc>
          <w:tcPr>
            <w:tcW w:w="794" w:type="dxa"/>
          </w:tcPr>
          <w:p w14:paraId="13ED06A7" w14:textId="77777777" w:rsidR="00C424E5" w:rsidRDefault="00C424E5">
            <w:pPr>
              <w:cnfStyle w:val="000000000000" w:firstRow="0" w:lastRow="0" w:firstColumn="0" w:lastColumn="0" w:oddVBand="0" w:evenVBand="0" w:oddHBand="0" w:evenHBand="0" w:firstRowFirstColumn="0" w:firstRowLastColumn="0" w:lastRowFirstColumn="0" w:lastRowLastColumn="0"/>
            </w:pPr>
            <w:r>
              <w:t>5 897</w:t>
            </w:r>
          </w:p>
        </w:tc>
      </w:tr>
      <w:tr w:rsidR="00C424E5" w14:paraId="0E6BB18B" w14:textId="77777777">
        <w:tc>
          <w:tcPr>
            <w:cnfStyle w:val="001000000000" w:firstRow="0" w:lastRow="0" w:firstColumn="1" w:lastColumn="0" w:oddVBand="0" w:evenVBand="0" w:oddHBand="0" w:evenHBand="0" w:firstRowFirstColumn="0" w:firstRowLastColumn="0" w:lastRowFirstColumn="0" w:lastRowLastColumn="0"/>
            <w:tcW w:w="3740" w:type="dxa"/>
          </w:tcPr>
          <w:p w14:paraId="2CDF5124" w14:textId="77777777" w:rsidR="00C424E5" w:rsidRDefault="00C424E5">
            <w:r>
              <w:t>Equities and managed investment schemes</w:t>
            </w:r>
          </w:p>
        </w:tc>
        <w:tc>
          <w:tcPr>
            <w:tcW w:w="794" w:type="dxa"/>
          </w:tcPr>
          <w:p w14:paraId="0E38AB19" w14:textId="77777777" w:rsidR="00C424E5" w:rsidRDefault="00C424E5">
            <w:pPr>
              <w:cnfStyle w:val="000000000000" w:firstRow="0" w:lastRow="0" w:firstColumn="0" w:lastColumn="0" w:oddVBand="0" w:evenVBand="0" w:oddHBand="0" w:evenHBand="0" w:firstRowFirstColumn="0" w:firstRowLastColumn="0" w:lastRowFirstColumn="0" w:lastRowLastColumn="0"/>
            </w:pPr>
            <w:r>
              <w:t>8 354</w:t>
            </w:r>
          </w:p>
        </w:tc>
        <w:tc>
          <w:tcPr>
            <w:tcW w:w="794" w:type="dxa"/>
          </w:tcPr>
          <w:p w14:paraId="2F088978" w14:textId="77777777" w:rsidR="00C424E5" w:rsidRDefault="00C424E5">
            <w:pPr>
              <w:cnfStyle w:val="000000000000" w:firstRow="0" w:lastRow="0" w:firstColumn="0" w:lastColumn="0" w:oddVBand="0" w:evenVBand="0" w:oddHBand="0" w:evenHBand="0" w:firstRowFirstColumn="0" w:firstRowLastColumn="0" w:lastRowFirstColumn="0" w:lastRowLastColumn="0"/>
            </w:pPr>
            <w:r>
              <w:t>11 256</w:t>
            </w:r>
          </w:p>
        </w:tc>
        <w:tc>
          <w:tcPr>
            <w:tcW w:w="794" w:type="dxa"/>
          </w:tcPr>
          <w:p w14:paraId="758E7A96" w14:textId="77777777" w:rsidR="00C424E5" w:rsidRDefault="00C424E5">
            <w:pPr>
              <w:cnfStyle w:val="000000000000" w:firstRow="0" w:lastRow="0" w:firstColumn="0" w:lastColumn="0" w:oddVBand="0" w:evenVBand="0" w:oddHBand="0" w:evenHBand="0" w:firstRowFirstColumn="0" w:firstRowLastColumn="0" w:lastRowFirstColumn="0" w:lastRowLastColumn="0"/>
            </w:pPr>
            <w:r>
              <w:t>12 560</w:t>
            </w:r>
          </w:p>
        </w:tc>
        <w:tc>
          <w:tcPr>
            <w:tcW w:w="794" w:type="dxa"/>
          </w:tcPr>
          <w:p w14:paraId="7601BCF5" w14:textId="77777777" w:rsidR="00C424E5" w:rsidRDefault="00C424E5">
            <w:pPr>
              <w:cnfStyle w:val="000000000000" w:firstRow="0" w:lastRow="0" w:firstColumn="0" w:lastColumn="0" w:oddVBand="0" w:evenVBand="0" w:oddHBand="0" w:evenHBand="0" w:firstRowFirstColumn="0" w:firstRowLastColumn="0" w:lastRowFirstColumn="0" w:lastRowLastColumn="0"/>
            </w:pPr>
            <w:r>
              <w:t>14 226</w:t>
            </w:r>
          </w:p>
        </w:tc>
        <w:tc>
          <w:tcPr>
            <w:tcW w:w="794" w:type="dxa"/>
          </w:tcPr>
          <w:p w14:paraId="3BBAF592" w14:textId="77777777" w:rsidR="00C424E5" w:rsidRDefault="00C424E5">
            <w:pPr>
              <w:cnfStyle w:val="000000000000" w:firstRow="0" w:lastRow="0" w:firstColumn="0" w:lastColumn="0" w:oddVBand="0" w:evenVBand="0" w:oddHBand="0" w:evenHBand="0" w:firstRowFirstColumn="0" w:firstRowLastColumn="0" w:lastRowFirstColumn="0" w:lastRowLastColumn="0"/>
            </w:pPr>
            <w:r>
              <w:t>16 220</w:t>
            </w:r>
          </w:p>
        </w:tc>
      </w:tr>
      <w:tr w:rsidR="00C424E5" w14:paraId="4ACDCE79" w14:textId="77777777">
        <w:tc>
          <w:tcPr>
            <w:cnfStyle w:val="001000000000" w:firstRow="0" w:lastRow="0" w:firstColumn="1" w:lastColumn="0" w:oddVBand="0" w:evenVBand="0" w:oddHBand="0" w:evenHBand="0" w:firstRowFirstColumn="0" w:firstRowLastColumn="0" w:lastRowFirstColumn="0" w:lastRowLastColumn="0"/>
            <w:tcW w:w="3740" w:type="dxa"/>
          </w:tcPr>
          <w:p w14:paraId="5486CA42" w14:textId="77777777" w:rsidR="00C424E5" w:rsidRDefault="00C424E5">
            <w:r>
              <w:t>Australian dollar term deposits</w:t>
            </w:r>
          </w:p>
        </w:tc>
        <w:tc>
          <w:tcPr>
            <w:tcW w:w="794" w:type="dxa"/>
          </w:tcPr>
          <w:p w14:paraId="520A189F" w14:textId="77777777" w:rsidR="00C424E5" w:rsidRDefault="00C424E5">
            <w:pPr>
              <w:cnfStyle w:val="000000000000" w:firstRow="0" w:lastRow="0" w:firstColumn="0" w:lastColumn="0" w:oddVBand="0" w:evenVBand="0" w:oddHBand="0" w:evenHBand="0" w:firstRowFirstColumn="0" w:firstRowLastColumn="0" w:lastRowFirstColumn="0" w:lastRowLastColumn="0"/>
            </w:pPr>
            <w:r>
              <w:t>37</w:t>
            </w:r>
          </w:p>
        </w:tc>
        <w:tc>
          <w:tcPr>
            <w:tcW w:w="794" w:type="dxa"/>
          </w:tcPr>
          <w:p w14:paraId="685F7303" w14:textId="77777777" w:rsidR="00C424E5" w:rsidRDefault="00C424E5">
            <w:pPr>
              <w:cnfStyle w:val="000000000000" w:firstRow="0" w:lastRow="0" w:firstColumn="0" w:lastColumn="0" w:oddVBand="0" w:evenVBand="0" w:oddHBand="0" w:evenHBand="0" w:firstRowFirstColumn="0" w:firstRowLastColumn="0" w:lastRowFirstColumn="0" w:lastRowLastColumn="0"/>
            </w:pPr>
            <w:r>
              <w:t>36</w:t>
            </w:r>
          </w:p>
        </w:tc>
        <w:tc>
          <w:tcPr>
            <w:tcW w:w="794" w:type="dxa"/>
          </w:tcPr>
          <w:p w14:paraId="30CC1F78" w14:textId="77777777" w:rsidR="00C424E5" w:rsidRDefault="00C424E5">
            <w:pPr>
              <w:cnfStyle w:val="000000000000" w:firstRow="0" w:lastRow="0" w:firstColumn="0" w:lastColumn="0" w:oddVBand="0" w:evenVBand="0" w:oddHBand="0" w:evenHBand="0" w:firstRowFirstColumn="0" w:firstRowLastColumn="0" w:lastRowFirstColumn="0" w:lastRowLastColumn="0"/>
            </w:pPr>
            <w:r>
              <w:t>37</w:t>
            </w:r>
          </w:p>
        </w:tc>
        <w:tc>
          <w:tcPr>
            <w:tcW w:w="794" w:type="dxa"/>
          </w:tcPr>
          <w:p w14:paraId="21E00F38" w14:textId="77777777" w:rsidR="00C424E5" w:rsidRDefault="00C424E5">
            <w:pPr>
              <w:cnfStyle w:val="000000000000" w:firstRow="0" w:lastRow="0" w:firstColumn="0" w:lastColumn="0" w:oddVBand="0" w:evenVBand="0" w:oddHBand="0" w:evenHBand="0" w:firstRowFirstColumn="0" w:firstRowLastColumn="0" w:lastRowFirstColumn="0" w:lastRowLastColumn="0"/>
            </w:pPr>
            <w:r>
              <w:t>37</w:t>
            </w:r>
          </w:p>
        </w:tc>
        <w:tc>
          <w:tcPr>
            <w:tcW w:w="794" w:type="dxa"/>
          </w:tcPr>
          <w:p w14:paraId="2BB49BE8" w14:textId="77777777" w:rsidR="00C424E5" w:rsidRDefault="00C424E5">
            <w:pPr>
              <w:cnfStyle w:val="000000000000" w:firstRow="0" w:lastRow="0" w:firstColumn="0" w:lastColumn="0" w:oddVBand="0" w:evenVBand="0" w:oddHBand="0" w:evenHBand="0" w:firstRowFirstColumn="0" w:firstRowLastColumn="0" w:lastRowFirstColumn="0" w:lastRowLastColumn="0"/>
            </w:pPr>
            <w:r>
              <w:t>37</w:t>
            </w:r>
          </w:p>
        </w:tc>
      </w:tr>
      <w:tr w:rsidR="00C424E5" w14:paraId="26C23C9B" w14:textId="77777777">
        <w:tc>
          <w:tcPr>
            <w:cnfStyle w:val="001000000000" w:firstRow="0" w:lastRow="0" w:firstColumn="1" w:lastColumn="0" w:oddVBand="0" w:evenVBand="0" w:oddHBand="0" w:evenHBand="0" w:firstRowFirstColumn="0" w:firstRowLastColumn="0" w:lastRowFirstColumn="0" w:lastRowLastColumn="0"/>
            <w:tcW w:w="3740" w:type="dxa"/>
          </w:tcPr>
          <w:p w14:paraId="5476E4D4" w14:textId="77777777" w:rsidR="00C424E5" w:rsidRDefault="00C424E5">
            <w:r>
              <w:t>Debt securities</w:t>
            </w:r>
          </w:p>
        </w:tc>
        <w:tc>
          <w:tcPr>
            <w:tcW w:w="794" w:type="dxa"/>
          </w:tcPr>
          <w:p w14:paraId="70356FEE" w14:textId="77777777" w:rsidR="00C424E5" w:rsidRDefault="00C424E5">
            <w:pPr>
              <w:cnfStyle w:val="000000000000" w:firstRow="0" w:lastRow="0" w:firstColumn="0" w:lastColumn="0" w:oddVBand="0" w:evenVBand="0" w:oddHBand="0" w:evenHBand="0" w:firstRowFirstColumn="0" w:firstRowLastColumn="0" w:lastRowFirstColumn="0" w:lastRowLastColumn="0"/>
            </w:pPr>
            <w:r>
              <w:t>22</w:t>
            </w:r>
          </w:p>
        </w:tc>
        <w:tc>
          <w:tcPr>
            <w:tcW w:w="794" w:type="dxa"/>
          </w:tcPr>
          <w:p w14:paraId="4D13F246" w14:textId="77777777" w:rsidR="00C424E5" w:rsidRDefault="00C424E5">
            <w:pPr>
              <w:cnfStyle w:val="000000000000" w:firstRow="0" w:lastRow="0" w:firstColumn="0" w:lastColumn="0" w:oddVBand="0" w:evenVBand="0" w:oddHBand="0" w:evenHBand="0" w:firstRowFirstColumn="0" w:firstRowLastColumn="0" w:lastRowFirstColumn="0" w:lastRowLastColumn="0"/>
            </w:pPr>
            <w:r>
              <w:t>22</w:t>
            </w:r>
          </w:p>
        </w:tc>
        <w:tc>
          <w:tcPr>
            <w:tcW w:w="794" w:type="dxa"/>
          </w:tcPr>
          <w:p w14:paraId="1142482A" w14:textId="77777777" w:rsidR="00C424E5" w:rsidRDefault="00C424E5">
            <w:pPr>
              <w:cnfStyle w:val="000000000000" w:firstRow="0" w:lastRow="0" w:firstColumn="0" w:lastColumn="0" w:oddVBand="0" w:evenVBand="0" w:oddHBand="0" w:evenHBand="0" w:firstRowFirstColumn="0" w:firstRowLastColumn="0" w:lastRowFirstColumn="0" w:lastRowLastColumn="0"/>
            </w:pPr>
            <w:r>
              <w:t>22</w:t>
            </w:r>
          </w:p>
        </w:tc>
        <w:tc>
          <w:tcPr>
            <w:tcW w:w="794" w:type="dxa"/>
          </w:tcPr>
          <w:p w14:paraId="36D739D7" w14:textId="77777777" w:rsidR="00C424E5" w:rsidRDefault="00C424E5">
            <w:pPr>
              <w:cnfStyle w:val="000000000000" w:firstRow="0" w:lastRow="0" w:firstColumn="0" w:lastColumn="0" w:oddVBand="0" w:evenVBand="0" w:oddHBand="0" w:evenHBand="0" w:firstRowFirstColumn="0" w:firstRowLastColumn="0" w:lastRowFirstColumn="0" w:lastRowLastColumn="0"/>
            </w:pPr>
            <w:r>
              <w:t>22</w:t>
            </w:r>
          </w:p>
        </w:tc>
        <w:tc>
          <w:tcPr>
            <w:tcW w:w="794" w:type="dxa"/>
          </w:tcPr>
          <w:p w14:paraId="79D2CAFD" w14:textId="77777777" w:rsidR="00C424E5" w:rsidRDefault="00C424E5">
            <w:pPr>
              <w:cnfStyle w:val="000000000000" w:firstRow="0" w:lastRow="0" w:firstColumn="0" w:lastColumn="0" w:oddVBand="0" w:evenVBand="0" w:oddHBand="0" w:evenHBand="0" w:firstRowFirstColumn="0" w:firstRowLastColumn="0" w:lastRowFirstColumn="0" w:lastRowLastColumn="0"/>
            </w:pPr>
            <w:r>
              <w:t>22</w:t>
            </w:r>
          </w:p>
        </w:tc>
      </w:tr>
      <w:tr w:rsidR="00C424E5" w14:paraId="7F308BD9"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049BC0FB" w14:textId="77777777" w:rsidR="00C424E5" w:rsidRDefault="00C424E5">
            <w:r>
              <w:t>Derivative financial instruments</w:t>
            </w:r>
          </w:p>
        </w:tc>
        <w:tc>
          <w:tcPr>
            <w:tcW w:w="794" w:type="dxa"/>
            <w:tcBorders>
              <w:bottom w:val="single" w:sz="6" w:space="0" w:color="auto"/>
            </w:tcBorders>
          </w:tcPr>
          <w:p w14:paraId="66471946" w14:textId="77777777" w:rsidR="00C424E5" w:rsidRDefault="00C424E5">
            <w:pPr>
              <w:cnfStyle w:val="000000000000" w:firstRow="0" w:lastRow="0" w:firstColumn="0" w:lastColumn="0" w:oddVBand="0" w:evenVBand="0" w:oddHBand="0" w:evenHBand="0" w:firstRowFirstColumn="0" w:firstRowLastColumn="0" w:lastRowFirstColumn="0" w:lastRowLastColumn="0"/>
            </w:pPr>
            <w:r>
              <w:t>1</w:t>
            </w:r>
          </w:p>
        </w:tc>
        <w:tc>
          <w:tcPr>
            <w:tcW w:w="794" w:type="dxa"/>
            <w:tcBorders>
              <w:bottom w:val="single" w:sz="6" w:space="0" w:color="auto"/>
            </w:tcBorders>
          </w:tcPr>
          <w:p w14:paraId="50A18631" w14:textId="77777777" w:rsidR="00C424E5" w:rsidRDefault="00C424E5">
            <w:pPr>
              <w:cnfStyle w:val="000000000000" w:firstRow="0" w:lastRow="0" w:firstColumn="0" w:lastColumn="0" w:oddVBand="0" w:evenVBand="0" w:oddHBand="0" w:evenHBand="0" w:firstRowFirstColumn="0" w:firstRowLastColumn="0" w:lastRowFirstColumn="0" w:lastRowLastColumn="0"/>
            </w:pPr>
            <w:r>
              <w:t>1</w:t>
            </w:r>
          </w:p>
        </w:tc>
        <w:tc>
          <w:tcPr>
            <w:tcW w:w="794" w:type="dxa"/>
            <w:tcBorders>
              <w:bottom w:val="single" w:sz="6" w:space="0" w:color="auto"/>
            </w:tcBorders>
          </w:tcPr>
          <w:p w14:paraId="5FA5F7FD" w14:textId="77777777" w:rsidR="00C424E5" w:rsidRDefault="00C424E5">
            <w:pPr>
              <w:cnfStyle w:val="000000000000" w:firstRow="0" w:lastRow="0" w:firstColumn="0" w:lastColumn="0" w:oddVBand="0" w:evenVBand="0" w:oddHBand="0" w:evenHBand="0" w:firstRowFirstColumn="0" w:firstRowLastColumn="0" w:lastRowFirstColumn="0" w:lastRowLastColumn="0"/>
            </w:pPr>
            <w:r>
              <w:t>1</w:t>
            </w:r>
          </w:p>
        </w:tc>
        <w:tc>
          <w:tcPr>
            <w:tcW w:w="794" w:type="dxa"/>
            <w:tcBorders>
              <w:bottom w:val="single" w:sz="6" w:space="0" w:color="auto"/>
            </w:tcBorders>
          </w:tcPr>
          <w:p w14:paraId="7D279E37" w14:textId="77777777" w:rsidR="00C424E5" w:rsidRDefault="00C424E5">
            <w:pPr>
              <w:cnfStyle w:val="000000000000" w:firstRow="0" w:lastRow="0" w:firstColumn="0" w:lastColumn="0" w:oddVBand="0" w:evenVBand="0" w:oddHBand="0" w:evenHBand="0" w:firstRowFirstColumn="0" w:firstRowLastColumn="0" w:lastRowFirstColumn="0" w:lastRowLastColumn="0"/>
            </w:pPr>
            <w:r>
              <w:t>1</w:t>
            </w:r>
          </w:p>
        </w:tc>
        <w:tc>
          <w:tcPr>
            <w:tcW w:w="794" w:type="dxa"/>
            <w:tcBorders>
              <w:bottom w:val="single" w:sz="6" w:space="0" w:color="auto"/>
            </w:tcBorders>
          </w:tcPr>
          <w:p w14:paraId="73EDA71A" w14:textId="77777777" w:rsidR="00C424E5" w:rsidRDefault="00C424E5">
            <w:pPr>
              <w:cnfStyle w:val="000000000000" w:firstRow="0" w:lastRow="0" w:firstColumn="0" w:lastColumn="0" w:oddVBand="0" w:evenVBand="0" w:oddHBand="0" w:evenHBand="0" w:firstRowFirstColumn="0" w:firstRowLastColumn="0" w:lastRowFirstColumn="0" w:lastRowLastColumn="0"/>
            </w:pPr>
            <w:r>
              <w:t>1</w:t>
            </w:r>
          </w:p>
        </w:tc>
      </w:tr>
      <w:tr w:rsidR="00C424E5" w14:paraId="2E1F0D02"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04720A55" w14:textId="77777777" w:rsidR="00C424E5" w:rsidRDefault="00C424E5">
            <w:r>
              <w:rPr>
                <w:b/>
              </w:rPr>
              <w:t>Total non</w:t>
            </w:r>
            <w:r>
              <w:rPr>
                <w:b/>
              </w:rPr>
              <w:noBreakHyphen/>
              <w:t>current advances paid and investments, loans and placements</w:t>
            </w:r>
          </w:p>
        </w:tc>
        <w:tc>
          <w:tcPr>
            <w:tcW w:w="794" w:type="dxa"/>
            <w:tcBorders>
              <w:top w:val="single" w:sz="6" w:space="0" w:color="auto"/>
              <w:bottom w:val="single" w:sz="6" w:space="0" w:color="auto"/>
            </w:tcBorders>
          </w:tcPr>
          <w:p w14:paraId="26031428"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12 627</w:t>
            </w:r>
          </w:p>
        </w:tc>
        <w:tc>
          <w:tcPr>
            <w:tcW w:w="794" w:type="dxa"/>
            <w:tcBorders>
              <w:top w:val="single" w:sz="6" w:space="0" w:color="auto"/>
              <w:bottom w:val="single" w:sz="6" w:space="0" w:color="auto"/>
            </w:tcBorders>
          </w:tcPr>
          <w:p w14:paraId="5F28FBA0"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15 564</w:t>
            </w:r>
          </w:p>
        </w:tc>
        <w:tc>
          <w:tcPr>
            <w:tcW w:w="794" w:type="dxa"/>
            <w:tcBorders>
              <w:top w:val="single" w:sz="6" w:space="0" w:color="auto"/>
              <w:bottom w:val="single" w:sz="6" w:space="0" w:color="auto"/>
            </w:tcBorders>
          </w:tcPr>
          <w:p w14:paraId="424A12B3"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18 464</w:t>
            </w:r>
          </w:p>
        </w:tc>
        <w:tc>
          <w:tcPr>
            <w:tcW w:w="794" w:type="dxa"/>
            <w:tcBorders>
              <w:top w:val="single" w:sz="6" w:space="0" w:color="auto"/>
              <w:bottom w:val="single" w:sz="6" w:space="0" w:color="auto"/>
            </w:tcBorders>
          </w:tcPr>
          <w:p w14:paraId="2EBC343F"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20 155</w:t>
            </w:r>
          </w:p>
        </w:tc>
        <w:tc>
          <w:tcPr>
            <w:tcW w:w="794" w:type="dxa"/>
            <w:tcBorders>
              <w:top w:val="single" w:sz="6" w:space="0" w:color="auto"/>
              <w:bottom w:val="single" w:sz="6" w:space="0" w:color="auto"/>
            </w:tcBorders>
          </w:tcPr>
          <w:p w14:paraId="052D18DA"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22 177</w:t>
            </w:r>
          </w:p>
        </w:tc>
      </w:tr>
      <w:tr w:rsidR="00C424E5" w14:paraId="4995FA6F"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7842C6D6" w14:textId="5DDB8D9C" w:rsidR="00C424E5" w:rsidRDefault="00C424E5">
            <w:r>
              <w:rPr>
                <w:b/>
              </w:rPr>
              <w:t xml:space="preserve">Total advances paid and investments, </w:t>
            </w:r>
            <w:r w:rsidR="00253AF8">
              <w:rPr>
                <w:b/>
              </w:rPr>
              <w:br/>
            </w:r>
            <w:r>
              <w:rPr>
                <w:b/>
              </w:rPr>
              <w:t>loans and placements</w:t>
            </w:r>
          </w:p>
        </w:tc>
        <w:tc>
          <w:tcPr>
            <w:tcW w:w="794" w:type="dxa"/>
            <w:tcBorders>
              <w:top w:val="single" w:sz="6" w:space="0" w:color="auto"/>
              <w:bottom w:val="single" w:sz="12" w:space="0" w:color="auto"/>
            </w:tcBorders>
          </w:tcPr>
          <w:p w14:paraId="34D2FA07"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14 717</w:t>
            </w:r>
          </w:p>
        </w:tc>
        <w:tc>
          <w:tcPr>
            <w:tcW w:w="794" w:type="dxa"/>
            <w:tcBorders>
              <w:top w:val="single" w:sz="6" w:space="0" w:color="auto"/>
              <w:bottom w:val="single" w:sz="12" w:space="0" w:color="auto"/>
            </w:tcBorders>
          </w:tcPr>
          <w:p w14:paraId="1CCEA2CE"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17 659</w:t>
            </w:r>
          </w:p>
        </w:tc>
        <w:tc>
          <w:tcPr>
            <w:tcW w:w="794" w:type="dxa"/>
            <w:tcBorders>
              <w:top w:val="single" w:sz="6" w:space="0" w:color="auto"/>
              <w:bottom w:val="single" w:sz="12" w:space="0" w:color="auto"/>
            </w:tcBorders>
          </w:tcPr>
          <w:p w14:paraId="3E487E85"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20 270</w:t>
            </w:r>
          </w:p>
        </w:tc>
        <w:tc>
          <w:tcPr>
            <w:tcW w:w="794" w:type="dxa"/>
            <w:tcBorders>
              <w:top w:val="single" w:sz="6" w:space="0" w:color="auto"/>
              <w:bottom w:val="single" w:sz="12" w:space="0" w:color="auto"/>
            </w:tcBorders>
          </w:tcPr>
          <w:p w14:paraId="7E2A8B4E"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21 771</w:t>
            </w:r>
          </w:p>
        </w:tc>
        <w:tc>
          <w:tcPr>
            <w:tcW w:w="794" w:type="dxa"/>
            <w:tcBorders>
              <w:top w:val="single" w:sz="6" w:space="0" w:color="auto"/>
              <w:bottom w:val="single" w:sz="12" w:space="0" w:color="auto"/>
            </w:tcBorders>
          </w:tcPr>
          <w:p w14:paraId="412F2B1E"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23 747</w:t>
            </w:r>
          </w:p>
        </w:tc>
      </w:tr>
      <w:tr w:rsidR="00C424E5" w14:paraId="4AAB8E08"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19B55AAE" w14:textId="77777777" w:rsidR="00C424E5" w:rsidRDefault="00C424E5">
            <w:r>
              <w:rPr>
                <w:b/>
              </w:rPr>
              <w:t>Represented by:</w:t>
            </w:r>
          </w:p>
        </w:tc>
        <w:tc>
          <w:tcPr>
            <w:tcW w:w="794" w:type="dxa"/>
            <w:tcBorders>
              <w:top w:val="single" w:sz="6" w:space="0" w:color="auto"/>
            </w:tcBorders>
          </w:tcPr>
          <w:p w14:paraId="5D647D55"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3290197"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072EE449"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2CF883B0"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54E0AF22"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72D5EE59" w14:textId="77777777">
        <w:tc>
          <w:tcPr>
            <w:cnfStyle w:val="001000000000" w:firstRow="0" w:lastRow="0" w:firstColumn="1" w:lastColumn="0" w:oddVBand="0" w:evenVBand="0" w:oddHBand="0" w:evenHBand="0" w:firstRowFirstColumn="0" w:firstRowLastColumn="0" w:lastRowFirstColumn="0" w:lastRowLastColumn="0"/>
            <w:tcW w:w="3740" w:type="dxa"/>
          </w:tcPr>
          <w:p w14:paraId="3274AB37" w14:textId="77777777" w:rsidR="00C424E5" w:rsidRDefault="00C424E5">
            <w:r>
              <w:t>Advances paid</w:t>
            </w:r>
          </w:p>
        </w:tc>
        <w:tc>
          <w:tcPr>
            <w:tcW w:w="794" w:type="dxa"/>
          </w:tcPr>
          <w:p w14:paraId="40D91C72" w14:textId="77777777" w:rsidR="00C424E5" w:rsidRDefault="00C424E5">
            <w:pPr>
              <w:cnfStyle w:val="000000000000" w:firstRow="0" w:lastRow="0" w:firstColumn="0" w:lastColumn="0" w:oddVBand="0" w:evenVBand="0" w:oddHBand="0" w:evenHBand="0" w:firstRowFirstColumn="0" w:firstRowLastColumn="0" w:lastRowFirstColumn="0" w:lastRowLastColumn="0"/>
            </w:pPr>
            <w:r>
              <w:t>5 066</w:t>
            </w:r>
          </w:p>
        </w:tc>
        <w:tc>
          <w:tcPr>
            <w:tcW w:w="794" w:type="dxa"/>
          </w:tcPr>
          <w:p w14:paraId="6425157B" w14:textId="77777777" w:rsidR="00C424E5" w:rsidRDefault="00C424E5">
            <w:pPr>
              <w:cnfStyle w:val="000000000000" w:firstRow="0" w:lastRow="0" w:firstColumn="0" w:lastColumn="0" w:oddVBand="0" w:evenVBand="0" w:oddHBand="0" w:evenHBand="0" w:firstRowFirstColumn="0" w:firstRowLastColumn="0" w:lastRowFirstColumn="0" w:lastRowLastColumn="0"/>
            </w:pPr>
            <w:r>
              <w:t>5 110</w:t>
            </w:r>
          </w:p>
        </w:tc>
        <w:tc>
          <w:tcPr>
            <w:tcW w:w="794" w:type="dxa"/>
          </w:tcPr>
          <w:p w14:paraId="7DB6083D" w14:textId="77777777" w:rsidR="00C424E5" w:rsidRDefault="00C424E5">
            <w:pPr>
              <w:cnfStyle w:val="000000000000" w:firstRow="0" w:lastRow="0" w:firstColumn="0" w:lastColumn="0" w:oddVBand="0" w:evenVBand="0" w:oddHBand="0" w:evenHBand="0" w:firstRowFirstColumn="0" w:firstRowLastColumn="0" w:lastRowFirstColumn="0" w:lastRowLastColumn="0"/>
            </w:pPr>
            <w:r>
              <w:t>6 426</w:t>
            </w:r>
          </w:p>
        </w:tc>
        <w:tc>
          <w:tcPr>
            <w:tcW w:w="794" w:type="dxa"/>
          </w:tcPr>
          <w:p w14:paraId="4B671654" w14:textId="77777777" w:rsidR="00C424E5" w:rsidRDefault="00C424E5">
            <w:pPr>
              <w:cnfStyle w:val="000000000000" w:firstRow="0" w:lastRow="0" w:firstColumn="0" w:lastColumn="0" w:oddVBand="0" w:evenVBand="0" w:oddHBand="0" w:evenHBand="0" w:firstRowFirstColumn="0" w:firstRowLastColumn="0" w:lastRowFirstColumn="0" w:lastRowLastColumn="0"/>
            </w:pPr>
            <w:r>
              <w:t>6 328</w:t>
            </w:r>
          </w:p>
        </w:tc>
        <w:tc>
          <w:tcPr>
            <w:tcW w:w="794" w:type="dxa"/>
          </w:tcPr>
          <w:p w14:paraId="4CD06C42" w14:textId="77777777" w:rsidR="00C424E5" w:rsidRDefault="00C424E5">
            <w:pPr>
              <w:cnfStyle w:val="000000000000" w:firstRow="0" w:lastRow="0" w:firstColumn="0" w:lastColumn="0" w:oddVBand="0" w:evenVBand="0" w:oddHBand="0" w:evenHBand="0" w:firstRowFirstColumn="0" w:firstRowLastColumn="0" w:lastRowFirstColumn="0" w:lastRowLastColumn="0"/>
            </w:pPr>
            <w:r>
              <w:t>6 336</w:t>
            </w:r>
          </w:p>
        </w:tc>
      </w:tr>
      <w:tr w:rsidR="00C424E5" w14:paraId="09637E44"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bottom w:val="single" w:sz="12" w:space="0" w:color="auto"/>
            </w:tcBorders>
          </w:tcPr>
          <w:p w14:paraId="1425CC63" w14:textId="77777777" w:rsidR="00C424E5" w:rsidRDefault="00C424E5">
            <w:r>
              <w:t>Investments, loans and placements</w:t>
            </w:r>
          </w:p>
        </w:tc>
        <w:tc>
          <w:tcPr>
            <w:tcW w:w="794" w:type="dxa"/>
            <w:tcBorders>
              <w:bottom w:val="single" w:sz="12" w:space="0" w:color="auto"/>
            </w:tcBorders>
          </w:tcPr>
          <w:p w14:paraId="091EB5C7" w14:textId="77777777" w:rsidR="00C424E5" w:rsidRDefault="00C424E5">
            <w:pPr>
              <w:cnfStyle w:val="000000000000" w:firstRow="0" w:lastRow="0" w:firstColumn="0" w:lastColumn="0" w:oddVBand="0" w:evenVBand="0" w:oddHBand="0" w:evenHBand="0" w:firstRowFirstColumn="0" w:firstRowLastColumn="0" w:lastRowFirstColumn="0" w:lastRowLastColumn="0"/>
            </w:pPr>
            <w:r>
              <w:t>9 651</w:t>
            </w:r>
          </w:p>
        </w:tc>
        <w:tc>
          <w:tcPr>
            <w:tcW w:w="794" w:type="dxa"/>
            <w:tcBorders>
              <w:bottom w:val="single" w:sz="12" w:space="0" w:color="auto"/>
            </w:tcBorders>
          </w:tcPr>
          <w:p w14:paraId="7A305587" w14:textId="77777777" w:rsidR="00C424E5" w:rsidRDefault="00C424E5">
            <w:pPr>
              <w:cnfStyle w:val="000000000000" w:firstRow="0" w:lastRow="0" w:firstColumn="0" w:lastColumn="0" w:oddVBand="0" w:evenVBand="0" w:oddHBand="0" w:evenHBand="0" w:firstRowFirstColumn="0" w:firstRowLastColumn="0" w:lastRowFirstColumn="0" w:lastRowLastColumn="0"/>
            </w:pPr>
            <w:r>
              <w:t>12 549</w:t>
            </w:r>
          </w:p>
        </w:tc>
        <w:tc>
          <w:tcPr>
            <w:tcW w:w="794" w:type="dxa"/>
            <w:tcBorders>
              <w:bottom w:val="single" w:sz="12" w:space="0" w:color="auto"/>
            </w:tcBorders>
          </w:tcPr>
          <w:p w14:paraId="2B4E0BC3" w14:textId="77777777" w:rsidR="00C424E5" w:rsidRDefault="00C424E5">
            <w:pPr>
              <w:cnfStyle w:val="000000000000" w:firstRow="0" w:lastRow="0" w:firstColumn="0" w:lastColumn="0" w:oddVBand="0" w:evenVBand="0" w:oddHBand="0" w:evenHBand="0" w:firstRowFirstColumn="0" w:firstRowLastColumn="0" w:lastRowFirstColumn="0" w:lastRowLastColumn="0"/>
            </w:pPr>
            <w:r>
              <w:t>13 844</w:t>
            </w:r>
          </w:p>
        </w:tc>
        <w:tc>
          <w:tcPr>
            <w:tcW w:w="794" w:type="dxa"/>
            <w:tcBorders>
              <w:bottom w:val="single" w:sz="12" w:space="0" w:color="auto"/>
            </w:tcBorders>
          </w:tcPr>
          <w:p w14:paraId="6C260B15" w14:textId="77777777" w:rsidR="00C424E5" w:rsidRDefault="00C424E5">
            <w:pPr>
              <w:cnfStyle w:val="000000000000" w:firstRow="0" w:lastRow="0" w:firstColumn="0" w:lastColumn="0" w:oddVBand="0" w:evenVBand="0" w:oddHBand="0" w:evenHBand="0" w:firstRowFirstColumn="0" w:firstRowLastColumn="0" w:lastRowFirstColumn="0" w:lastRowLastColumn="0"/>
            </w:pPr>
            <w:r>
              <w:t>15 443</w:t>
            </w:r>
          </w:p>
        </w:tc>
        <w:tc>
          <w:tcPr>
            <w:tcW w:w="794" w:type="dxa"/>
            <w:tcBorders>
              <w:bottom w:val="single" w:sz="12" w:space="0" w:color="auto"/>
            </w:tcBorders>
          </w:tcPr>
          <w:p w14:paraId="0A841D44" w14:textId="4FD3702B" w:rsidR="00C424E5" w:rsidRDefault="00C424E5">
            <w:pPr>
              <w:cnfStyle w:val="000000000000" w:firstRow="0" w:lastRow="0" w:firstColumn="0" w:lastColumn="0" w:oddVBand="0" w:evenVBand="0" w:oddHBand="0" w:evenHBand="0" w:firstRowFirstColumn="0" w:firstRowLastColumn="0" w:lastRowFirstColumn="0" w:lastRowLastColumn="0"/>
            </w:pPr>
            <w:r>
              <w:t>17 411</w:t>
            </w:r>
          </w:p>
        </w:tc>
      </w:tr>
    </w:tbl>
    <w:p w14:paraId="48EFB1E5" w14:textId="77777777" w:rsidR="00C424E5" w:rsidRDefault="00C424E5" w:rsidP="006206EF"/>
    <w:p w14:paraId="2E888B10" w14:textId="77777777" w:rsidR="00C424E5" w:rsidRPr="00B41AC3" w:rsidRDefault="00C424E5" w:rsidP="006206EF"/>
    <w:p w14:paraId="474BBBBB" w14:textId="77777777" w:rsidR="00C424E5" w:rsidRDefault="00C424E5" w:rsidP="006206EF">
      <w:pPr>
        <w:pStyle w:val="Heading3"/>
        <w:spacing w:after="60"/>
        <w:rPr>
          <w:sz w:val="20"/>
          <w:szCs w:val="20"/>
        </w:rPr>
      </w:pPr>
      <w:bookmarkStart w:id="79" w:name="_Toc117172464"/>
      <w:r w:rsidRPr="00A5107B">
        <w:rPr>
          <w:sz w:val="20"/>
          <w:szCs w:val="20"/>
        </w:rPr>
        <w:t>Interest expense</w:t>
      </w:r>
      <w:r w:rsidRPr="00A5107B">
        <w:rPr>
          <w:sz w:val="20"/>
          <w:szCs w:val="20"/>
        </w:rPr>
        <w:tab/>
        <w:t>($ million)</w:t>
      </w:r>
      <w:bookmarkEnd w:id="79"/>
    </w:p>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F70B1C" w14:paraId="39655262" w14:textId="77777777" w:rsidTr="00A836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3F6DC362" w14:textId="20209BCC" w:rsidR="00F70B1C" w:rsidRDefault="00F70B1C"/>
        </w:tc>
        <w:tc>
          <w:tcPr>
            <w:tcW w:w="794" w:type="dxa"/>
          </w:tcPr>
          <w:p w14:paraId="70ED6742" w14:textId="3FC6DE59" w:rsidR="00F70B1C" w:rsidRDefault="00F70B1C" w:rsidP="00386550">
            <w:pPr>
              <w:cnfStyle w:val="100000000000" w:firstRow="1" w:lastRow="0" w:firstColumn="0" w:lastColumn="0" w:oddVBand="0" w:evenVBand="0" w:oddHBand="0" w:evenHBand="0" w:firstRowFirstColumn="0" w:firstRowLastColumn="0" w:lastRowFirstColumn="0" w:lastRowLastColumn="0"/>
            </w:pPr>
            <w:r>
              <w:t>2022</w:t>
            </w:r>
            <w:r>
              <w:noBreakHyphen/>
              <w:t>23</w:t>
            </w:r>
            <w:r>
              <w:rPr>
                <w:i w:val="0"/>
              </w:rPr>
              <w:br/>
            </w:r>
            <w:r>
              <w:t>budget</w:t>
            </w:r>
          </w:p>
        </w:tc>
        <w:tc>
          <w:tcPr>
            <w:tcW w:w="794" w:type="dxa"/>
          </w:tcPr>
          <w:p w14:paraId="5E9F34F4" w14:textId="5DB8880B" w:rsidR="00F70B1C" w:rsidRDefault="00F70B1C" w:rsidP="005D11EB">
            <w:pPr>
              <w:cnfStyle w:val="100000000000" w:firstRow="1" w:lastRow="0" w:firstColumn="0" w:lastColumn="0" w:oddVBand="0" w:evenVBand="0" w:oddHBand="0" w:evenHBand="0" w:firstRowFirstColumn="0" w:firstRowLastColumn="0" w:lastRowFirstColumn="0" w:lastRowLastColumn="0"/>
            </w:pPr>
            <w:r>
              <w:t>2022</w:t>
            </w:r>
            <w:r>
              <w:noBreakHyphen/>
              <w:t>23</w:t>
            </w:r>
            <w:r>
              <w:rPr>
                <w:i w:val="0"/>
              </w:rPr>
              <w:br/>
            </w:r>
            <w:r>
              <w:t>revised</w:t>
            </w:r>
          </w:p>
        </w:tc>
        <w:tc>
          <w:tcPr>
            <w:tcW w:w="794" w:type="dxa"/>
          </w:tcPr>
          <w:p w14:paraId="1CBF56B9" w14:textId="625ED9D9" w:rsidR="00F70B1C" w:rsidRDefault="00F70B1C" w:rsidP="00B626EB">
            <w:pPr>
              <w:cnfStyle w:val="100000000000" w:firstRow="1" w:lastRow="0" w:firstColumn="0" w:lastColumn="0" w:oddVBand="0" w:evenVBand="0" w:oddHBand="0" w:evenHBand="0" w:firstRowFirstColumn="0" w:firstRowLastColumn="0" w:lastRowFirstColumn="0" w:lastRowLastColumn="0"/>
            </w:pPr>
            <w:r>
              <w:t>2023</w:t>
            </w:r>
            <w:r>
              <w:noBreakHyphen/>
              <w:t>24</w:t>
            </w:r>
            <w:r>
              <w:rPr>
                <w:i w:val="0"/>
              </w:rPr>
              <w:br/>
            </w:r>
            <w:r>
              <w:t>estimate</w:t>
            </w:r>
          </w:p>
        </w:tc>
        <w:tc>
          <w:tcPr>
            <w:tcW w:w="794" w:type="dxa"/>
          </w:tcPr>
          <w:p w14:paraId="736EC820" w14:textId="657BC305" w:rsidR="00F70B1C" w:rsidRDefault="00F70B1C" w:rsidP="00BE1003">
            <w:pPr>
              <w:cnfStyle w:val="100000000000" w:firstRow="1" w:lastRow="0" w:firstColumn="0" w:lastColumn="0" w:oddVBand="0" w:evenVBand="0" w:oddHBand="0" w:evenHBand="0" w:firstRowFirstColumn="0" w:firstRowLastColumn="0" w:lastRowFirstColumn="0" w:lastRowLastColumn="0"/>
            </w:pPr>
            <w:r>
              <w:t>2024</w:t>
            </w:r>
            <w:r>
              <w:noBreakHyphen/>
              <w:t>25</w:t>
            </w:r>
            <w:r>
              <w:rPr>
                <w:i w:val="0"/>
              </w:rPr>
              <w:br/>
            </w:r>
            <w:r>
              <w:t>estimate</w:t>
            </w:r>
          </w:p>
        </w:tc>
        <w:tc>
          <w:tcPr>
            <w:tcW w:w="794" w:type="dxa"/>
          </w:tcPr>
          <w:p w14:paraId="7C007A6B" w14:textId="7E292C1D" w:rsidR="00F70B1C" w:rsidRDefault="00F70B1C" w:rsidP="00590E3B">
            <w:pPr>
              <w:cnfStyle w:val="100000000000" w:firstRow="1" w:lastRow="0" w:firstColumn="0" w:lastColumn="0" w:oddVBand="0" w:evenVBand="0" w:oddHBand="0" w:evenHBand="0" w:firstRowFirstColumn="0" w:firstRowLastColumn="0" w:lastRowFirstColumn="0" w:lastRowLastColumn="0"/>
            </w:pPr>
            <w:r>
              <w:t>2025</w:t>
            </w:r>
            <w:r>
              <w:noBreakHyphen/>
              <w:t>26</w:t>
            </w:r>
            <w:r>
              <w:rPr>
                <w:i w:val="0"/>
              </w:rPr>
              <w:br/>
            </w:r>
            <w:r>
              <w:t>estimate</w:t>
            </w:r>
          </w:p>
        </w:tc>
      </w:tr>
      <w:tr w:rsidR="00C424E5" w14:paraId="0A8E24DA" w14:textId="77777777">
        <w:tc>
          <w:tcPr>
            <w:cnfStyle w:val="001000000000" w:firstRow="0" w:lastRow="0" w:firstColumn="1" w:lastColumn="0" w:oddVBand="0" w:evenVBand="0" w:oddHBand="0" w:evenHBand="0" w:firstRowFirstColumn="0" w:firstRowLastColumn="0" w:lastRowFirstColumn="0" w:lastRowLastColumn="0"/>
            <w:tcW w:w="3740" w:type="dxa"/>
          </w:tcPr>
          <w:p w14:paraId="42468F74" w14:textId="77777777" w:rsidR="00C424E5" w:rsidRDefault="00C424E5">
            <w:r>
              <w:t>Interest on interest bearing liabilities</w:t>
            </w:r>
          </w:p>
        </w:tc>
        <w:tc>
          <w:tcPr>
            <w:tcW w:w="794" w:type="dxa"/>
          </w:tcPr>
          <w:p w14:paraId="27FA2431" w14:textId="77777777" w:rsidR="00C424E5" w:rsidRDefault="00C424E5">
            <w:pPr>
              <w:cnfStyle w:val="000000000000" w:firstRow="0" w:lastRow="0" w:firstColumn="0" w:lastColumn="0" w:oddVBand="0" w:evenVBand="0" w:oddHBand="0" w:evenHBand="0" w:firstRowFirstColumn="0" w:firstRowLastColumn="0" w:lastRowFirstColumn="0" w:lastRowLastColumn="0"/>
            </w:pPr>
            <w:r>
              <w:t>3 056</w:t>
            </w:r>
          </w:p>
        </w:tc>
        <w:tc>
          <w:tcPr>
            <w:tcW w:w="794" w:type="dxa"/>
          </w:tcPr>
          <w:p w14:paraId="424B377B" w14:textId="77777777" w:rsidR="00C424E5" w:rsidRDefault="00C424E5">
            <w:pPr>
              <w:cnfStyle w:val="000000000000" w:firstRow="0" w:lastRow="0" w:firstColumn="0" w:lastColumn="0" w:oddVBand="0" w:evenVBand="0" w:oddHBand="0" w:evenHBand="0" w:firstRowFirstColumn="0" w:firstRowLastColumn="0" w:lastRowFirstColumn="0" w:lastRowLastColumn="0"/>
            </w:pPr>
            <w:r>
              <w:t>3 024</w:t>
            </w:r>
          </w:p>
        </w:tc>
        <w:tc>
          <w:tcPr>
            <w:tcW w:w="794" w:type="dxa"/>
          </w:tcPr>
          <w:p w14:paraId="5A9C2EB1" w14:textId="77777777" w:rsidR="00C424E5" w:rsidRDefault="00C424E5">
            <w:pPr>
              <w:cnfStyle w:val="000000000000" w:firstRow="0" w:lastRow="0" w:firstColumn="0" w:lastColumn="0" w:oddVBand="0" w:evenVBand="0" w:oddHBand="0" w:evenHBand="0" w:firstRowFirstColumn="0" w:firstRowLastColumn="0" w:lastRowFirstColumn="0" w:lastRowLastColumn="0"/>
            </w:pPr>
            <w:r>
              <w:t>4 353</w:t>
            </w:r>
          </w:p>
        </w:tc>
        <w:tc>
          <w:tcPr>
            <w:tcW w:w="794" w:type="dxa"/>
          </w:tcPr>
          <w:p w14:paraId="34B8214E" w14:textId="77777777" w:rsidR="00C424E5" w:rsidRDefault="00C424E5">
            <w:pPr>
              <w:cnfStyle w:val="000000000000" w:firstRow="0" w:lastRow="0" w:firstColumn="0" w:lastColumn="0" w:oddVBand="0" w:evenVBand="0" w:oddHBand="0" w:evenHBand="0" w:firstRowFirstColumn="0" w:firstRowLastColumn="0" w:lastRowFirstColumn="0" w:lastRowLastColumn="0"/>
            </w:pPr>
            <w:r>
              <w:t>5 501</w:t>
            </w:r>
          </w:p>
        </w:tc>
        <w:tc>
          <w:tcPr>
            <w:tcW w:w="794" w:type="dxa"/>
          </w:tcPr>
          <w:p w14:paraId="16E2817C" w14:textId="77777777" w:rsidR="00C424E5" w:rsidRDefault="00C424E5">
            <w:pPr>
              <w:cnfStyle w:val="000000000000" w:firstRow="0" w:lastRow="0" w:firstColumn="0" w:lastColumn="0" w:oddVBand="0" w:evenVBand="0" w:oddHBand="0" w:evenHBand="0" w:firstRowFirstColumn="0" w:firstRowLastColumn="0" w:lastRowFirstColumn="0" w:lastRowLastColumn="0"/>
            </w:pPr>
            <w:r>
              <w:t>6 584</w:t>
            </w:r>
          </w:p>
        </w:tc>
      </w:tr>
      <w:tr w:rsidR="00C424E5" w14:paraId="2AA08718" w14:textId="77777777">
        <w:tc>
          <w:tcPr>
            <w:cnfStyle w:val="001000000000" w:firstRow="0" w:lastRow="0" w:firstColumn="1" w:lastColumn="0" w:oddVBand="0" w:evenVBand="0" w:oddHBand="0" w:evenHBand="0" w:firstRowFirstColumn="0" w:firstRowLastColumn="0" w:lastRowFirstColumn="0" w:lastRowLastColumn="0"/>
            <w:tcW w:w="3740" w:type="dxa"/>
          </w:tcPr>
          <w:p w14:paraId="0A287885" w14:textId="77777777" w:rsidR="00C424E5" w:rsidRDefault="00C424E5">
            <w:r>
              <w:t>Interest on lease liabilities</w:t>
            </w:r>
          </w:p>
        </w:tc>
        <w:tc>
          <w:tcPr>
            <w:tcW w:w="794" w:type="dxa"/>
          </w:tcPr>
          <w:p w14:paraId="4DA43811" w14:textId="77777777" w:rsidR="00C424E5" w:rsidRDefault="00C424E5">
            <w:pPr>
              <w:cnfStyle w:val="000000000000" w:firstRow="0" w:lastRow="0" w:firstColumn="0" w:lastColumn="0" w:oddVBand="0" w:evenVBand="0" w:oddHBand="0" w:evenHBand="0" w:firstRowFirstColumn="0" w:firstRowLastColumn="0" w:lastRowFirstColumn="0" w:lastRowLastColumn="0"/>
            </w:pPr>
            <w:r>
              <w:t>369</w:t>
            </w:r>
          </w:p>
        </w:tc>
        <w:tc>
          <w:tcPr>
            <w:tcW w:w="794" w:type="dxa"/>
          </w:tcPr>
          <w:p w14:paraId="3007D565" w14:textId="77777777" w:rsidR="00C424E5" w:rsidRDefault="00C424E5">
            <w:pPr>
              <w:cnfStyle w:val="000000000000" w:firstRow="0" w:lastRow="0" w:firstColumn="0" w:lastColumn="0" w:oddVBand="0" w:evenVBand="0" w:oddHBand="0" w:evenHBand="0" w:firstRowFirstColumn="0" w:firstRowLastColumn="0" w:lastRowFirstColumn="0" w:lastRowLastColumn="0"/>
            </w:pPr>
            <w:r>
              <w:t>373</w:t>
            </w:r>
          </w:p>
        </w:tc>
        <w:tc>
          <w:tcPr>
            <w:tcW w:w="794" w:type="dxa"/>
          </w:tcPr>
          <w:p w14:paraId="379248C7" w14:textId="77777777" w:rsidR="00C424E5" w:rsidRDefault="00C424E5">
            <w:pPr>
              <w:cnfStyle w:val="000000000000" w:firstRow="0" w:lastRow="0" w:firstColumn="0" w:lastColumn="0" w:oddVBand="0" w:evenVBand="0" w:oddHBand="0" w:evenHBand="0" w:firstRowFirstColumn="0" w:firstRowLastColumn="0" w:lastRowFirstColumn="0" w:lastRowLastColumn="0"/>
            </w:pPr>
            <w:r>
              <w:t>356</w:t>
            </w:r>
          </w:p>
        </w:tc>
        <w:tc>
          <w:tcPr>
            <w:tcW w:w="794" w:type="dxa"/>
          </w:tcPr>
          <w:p w14:paraId="01FEBFE8" w14:textId="77777777" w:rsidR="00C424E5" w:rsidRDefault="00C424E5">
            <w:pPr>
              <w:cnfStyle w:val="000000000000" w:firstRow="0" w:lastRow="0" w:firstColumn="0" w:lastColumn="0" w:oddVBand="0" w:evenVBand="0" w:oddHBand="0" w:evenHBand="0" w:firstRowFirstColumn="0" w:firstRowLastColumn="0" w:lastRowFirstColumn="0" w:lastRowLastColumn="0"/>
            </w:pPr>
            <w:r>
              <w:t>354</w:t>
            </w:r>
          </w:p>
        </w:tc>
        <w:tc>
          <w:tcPr>
            <w:tcW w:w="794" w:type="dxa"/>
          </w:tcPr>
          <w:p w14:paraId="2514D0F1" w14:textId="77777777" w:rsidR="00C424E5" w:rsidRDefault="00C424E5">
            <w:pPr>
              <w:cnfStyle w:val="000000000000" w:firstRow="0" w:lastRow="0" w:firstColumn="0" w:lastColumn="0" w:oddVBand="0" w:evenVBand="0" w:oddHBand="0" w:evenHBand="0" w:firstRowFirstColumn="0" w:firstRowLastColumn="0" w:lastRowFirstColumn="0" w:lastRowLastColumn="0"/>
            </w:pPr>
            <w:r>
              <w:t>341</w:t>
            </w:r>
          </w:p>
        </w:tc>
      </w:tr>
      <w:tr w:rsidR="00C424E5" w14:paraId="0686E057" w14:textId="77777777">
        <w:tc>
          <w:tcPr>
            <w:cnfStyle w:val="001000000000" w:firstRow="0" w:lastRow="0" w:firstColumn="1" w:lastColumn="0" w:oddVBand="0" w:evenVBand="0" w:oddHBand="0" w:evenHBand="0" w:firstRowFirstColumn="0" w:firstRowLastColumn="0" w:lastRowFirstColumn="0" w:lastRowLastColumn="0"/>
            <w:tcW w:w="3740" w:type="dxa"/>
          </w:tcPr>
          <w:p w14:paraId="6B6B7085" w14:textId="77777777" w:rsidR="00C424E5" w:rsidRDefault="00C424E5">
            <w:r>
              <w:t>Interest on service concession liabilities</w:t>
            </w:r>
          </w:p>
        </w:tc>
        <w:tc>
          <w:tcPr>
            <w:tcW w:w="794" w:type="dxa"/>
          </w:tcPr>
          <w:p w14:paraId="13C87F20" w14:textId="77777777" w:rsidR="00C424E5" w:rsidRDefault="00C424E5">
            <w:pPr>
              <w:cnfStyle w:val="000000000000" w:firstRow="0" w:lastRow="0" w:firstColumn="0" w:lastColumn="0" w:oddVBand="0" w:evenVBand="0" w:oddHBand="0" w:evenHBand="0" w:firstRowFirstColumn="0" w:firstRowLastColumn="0" w:lastRowFirstColumn="0" w:lastRowLastColumn="0"/>
            </w:pPr>
            <w:r>
              <w:t>442</w:t>
            </w:r>
          </w:p>
        </w:tc>
        <w:tc>
          <w:tcPr>
            <w:tcW w:w="794" w:type="dxa"/>
          </w:tcPr>
          <w:p w14:paraId="0DC1BC2E" w14:textId="77777777" w:rsidR="00C424E5" w:rsidRDefault="00C424E5">
            <w:pPr>
              <w:cnfStyle w:val="000000000000" w:firstRow="0" w:lastRow="0" w:firstColumn="0" w:lastColumn="0" w:oddVBand="0" w:evenVBand="0" w:oddHBand="0" w:evenHBand="0" w:firstRowFirstColumn="0" w:firstRowLastColumn="0" w:lastRowFirstColumn="0" w:lastRowLastColumn="0"/>
            </w:pPr>
            <w:r>
              <w:t>428</w:t>
            </w:r>
          </w:p>
        </w:tc>
        <w:tc>
          <w:tcPr>
            <w:tcW w:w="794" w:type="dxa"/>
          </w:tcPr>
          <w:p w14:paraId="5C5CE41C" w14:textId="77777777" w:rsidR="00C424E5" w:rsidRDefault="00C424E5">
            <w:pPr>
              <w:cnfStyle w:val="000000000000" w:firstRow="0" w:lastRow="0" w:firstColumn="0" w:lastColumn="0" w:oddVBand="0" w:evenVBand="0" w:oddHBand="0" w:evenHBand="0" w:firstRowFirstColumn="0" w:firstRowLastColumn="0" w:lastRowFirstColumn="0" w:lastRowLastColumn="0"/>
            </w:pPr>
            <w:r>
              <w:t>381</w:t>
            </w:r>
          </w:p>
        </w:tc>
        <w:tc>
          <w:tcPr>
            <w:tcW w:w="794" w:type="dxa"/>
          </w:tcPr>
          <w:p w14:paraId="72A7F73C" w14:textId="77777777" w:rsidR="00C424E5" w:rsidRDefault="00C424E5">
            <w:pPr>
              <w:cnfStyle w:val="000000000000" w:firstRow="0" w:lastRow="0" w:firstColumn="0" w:lastColumn="0" w:oddVBand="0" w:evenVBand="0" w:oddHBand="0" w:evenHBand="0" w:firstRowFirstColumn="0" w:firstRowLastColumn="0" w:lastRowFirstColumn="0" w:lastRowLastColumn="0"/>
            </w:pPr>
            <w:r>
              <w:t>372</w:t>
            </w:r>
          </w:p>
        </w:tc>
        <w:tc>
          <w:tcPr>
            <w:tcW w:w="794" w:type="dxa"/>
          </w:tcPr>
          <w:p w14:paraId="30C4BCAC" w14:textId="77777777" w:rsidR="00C424E5" w:rsidRDefault="00C424E5">
            <w:pPr>
              <w:cnfStyle w:val="000000000000" w:firstRow="0" w:lastRow="0" w:firstColumn="0" w:lastColumn="0" w:oddVBand="0" w:evenVBand="0" w:oddHBand="0" w:evenHBand="0" w:firstRowFirstColumn="0" w:firstRowLastColumn="0" w:lastRowFirstColumn="0" w:lastRowLastColumn="0"/>
            </w:pPr>
            <w:r>
              <w:t>366</w:t>
            </w:r>
          </w:p>
        </w:tc>
      </w:tr>
      <w:tr w:rsidR="00C424E5" w14:paraId="1743F0E4"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7F591283" w14:textId="77777777" w:rsidR="00C424E5" w:rsidRDefault="00C424E5">
            <w:r>
              <w:t>Discount interest on payables</w:t>
            </w:r>
          </w:p>
        </w:tc>
        <w:tc>
          <w:tcPr>
            <w:tcW w:w="794" w:type="dxa"/>
            <w:tcBorders>
              <w:bottom w:val="single" w:sz="6" w:space="0" w:color="auto"/>
            </w:tcBorders>
          </w:tcPr>
          <w:p w14:paraId="1728328A" w14:textId="77777777" w:rsidR="00C424E5" w:rsidRDefault="00C424E5">
            <w:pPr>
              <w:cnfStyle w:val="000000000000" w:firstRow="0" w:lastRow="0" w:firstColumn="0" w:lastColumn="0" w:oddVBand="0" w:evenVBand="0" w:oddHBand="0" w:evenHBand="0" w:firstRowFirstColumn="0" w:firstRowLastColumn="0" w:lastRowFirstColumn="0" w:lastRowLastColumn="0"/>
            </w:pPr>
            <w:r>
              <w:t>32</w:t>
            </w:r>
          </w:p>
        </w:tc>
        <w:tc>
          <w:tcPr>
            <w:tcW w:w="794" w:type="dxa"/>
            <w:tcBorders>
              <w:bottom w:val="single" w:sz="6" w:space="0" w:color="auto"/>
            </w:tcBorders>
          </w:tcPr>
          <w:p w14:paraId="7C2790DA" w14:textId="77777777" w:rsidR="00C424E5" w:rsidRDefault="00C424E5">
            <w:pPr>
              <w:cnfStyle w:val="000000000000" w:firstRow="0" w:lastRow="0" w:firstColumn="0" w:lastColumn="0" w:oddVBand="0" w:evenVBand="0" w:oddHBand="0" w:evenHBand="0" w:firstRowFirstColumn="0" w:firstRowLastColumn="0" w:lastRowFirstColumn="0" w:lastRowLastColumn="0"/>
            </w:pPr>
            <w:r>
              <w:t>32</w:t>
            </w:r>
          </w:p>
        </w:tc>
        <w:tc>
          <w:tcPr>
            <w:tcW w:w="794" w:type="dxa"/>
            <w:tcBorders>
              <w:bottom w:val="single" w:sz="6" w:space="0" w:color="auto"/>
            </w:tcBorders>
          </w:tcPr>
          <w:p w14:paraId="14ECE84B" w14:textId="77777777" w:rsidR="00C424E5" w:rsidRDefault="00C424E5">
            <w:pPr>
              <w:cnfStyle w:val="000000000000" w:firstRow="0" w:lastRow="0" w:firstColumn="0" w:lastColumn="0" w:oddVBand="0" w:evenVBand="0" w:oddHBand="0" w:evenHBand="0" w:firstRowFirstColumn="0" w:firstRowLastColumn="0" w:lastRowFirstColumn="0" w:lastRowLastColumn="0"/>
            </w:pPr>
            <w:r>
              <w:t>30</w:t>
            </w:r>
          </w:p>
        </w:tc>
        <w:tc>
          <w:tcPr>
            <w:tcW w:w="794" w:type="dxa"/>
            <w:tcBorders>
              <w:bottom w:val="single" w:sz="6" w:space="0" w:color="auto"/>
            </w:tcBorders>
          </w:tcPr>
          <w:p w14:paraId="5F984AB4" w14:textId="77777777" w:rsidR="00C424E5" w:rsidRDefault="00C424E5">
            <w:pPr>
              <w:cnfStyle w:val="000000000000" w:firstRow="0" w:lastRow="0" w:firstColumn="0" w:lastColumn="0" w:oddVBand="0" w:evenVBand="0" w:oddHBand="0" w:evenHBand="0" w:firstRowFirstColumn="0" w:firstRowLastColumn="0" w:lastRowFirstColumn="0" w:lastRowLastColumn="0"/>
            </w:pPr>
            <w:r>
              <w:t>27</w:t>
            </w:r>
          </w:p>
        </w:tc>
        <w:tc>
          <w:tcPr>
            <w:tcW w:w="794" w:type="dxa"/>
            <w:tcBorders>
              <w:bottom w:val="single" w:sz="6" w:space="0" w:color="auto"/>
            </w:tcBorders>
          </w:tcPr>
          <w:p w14:paraId="7076C3D7" w14:textId="77777777" w:rsidR="00C424E5" w:rsidRDefault="00C424E5">
            <w:pPr>
              <w:cnfStyle w:val="000000000000" w:firstRow="0" w:lastRow="0" w:firstColumn="0" w:lastColumn="0" w:oddVBand="0" w:evenVBand="0" w:oddHBand="0" w:evenHBand="0" w:firstRowFirstColumn="0" w:firstRowLastColumn="0" w:lastRowFirstColumn="0" w:lastRowLastColumn="0"/>
            </w:pPr>
            <w:r>
              <w:t>26</w:t>
            </w:r>
          </w:p>
        </w:tc>
      </w:tr>
      <w:tr w:rsidR="00C424E5" w14:paraId="738CEB39"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247D0FF4" w14:textId="77777777" w:rsidR="00C424E5" w:rsidRDefault="00C424E5">
            <w:r>
              <w:rPr>
                <w:b/>
              </w:rPr>
              <w:t>Total interest expense</w:t>
            </w:r>
          </w:p>
        </w:tc>
        <w:tc>
          <w:tcPr>
            <w:tcW w:w="794" w:type="dxa"/>
            <w:tcBorders>
              <w:top w:val="single" w:sz="6" w:space="0" w:color="auto"/>
              <w:bottom w:val="single" w:sz="12" w:space="0" w:color="auto"/>
            </w:tcBorders>
          </w:tcPr>
          <w:p w14:paraId="6CD9D529"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3 899</w:t>
            </w:r>
          </w:p>
        </w:tc>
        <w:tc>
          <w:tcPr>
            <w:tcW w:w="794" w:type="dxa"/>
            <w:tcBorders>
              <w:top w:val="single" w:sz="6" w:space="0" w:color="auto"/>
              <w:bottom w:val="single" w:sz="12" w:space="0" w:color="auto"/>
            </w:tcBorders>
          </w:tcPr>
          <w:p w14:paraId="7BD377B5"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3 857</w:t>
            </w:r>
          </w:p>
        </w:tc>
        <w:tc>
          <w:tcPr>
            <w:tcW w:w="794" w:type="dxa"/>
            <w:tcBorders>
              <w:top w:val="single" w:sz="6" w:space="0" w:color="auto"/>
              <w:bottom w:val="single" w:sz="12" w:space="0" w:color="auto"/>
            </w:tcBorders>
          </w:tcPr>
          <w:p w14:paraId="7AA457A8"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5 120</w:t>
            </w:r>
          </w:p>
        </w:tc>
        <w:tc>
          <w:tcPr>
            <w:tcW w:w="794" w:type="dxa"/>
            <w:tcBorders>
              <w:top w:val="single" w:sz="6" w:space="0" w:color="auto"/>
              <w:bottom w:val="single" w:sz="12" w:space="0" w:color="auto"/>
            </w:tcBorders>
          </w:tcPr>
          <w:p w14:paraId="0DC3C072"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6 254</w:t>
            </w:r>
          </w:p>
        </w:tc>
        <w:tc>
          <w:tcPr>
            <w:tcW w:w="794" w:type="dxa"/>
            <w:tcBorders>
              <w:top w:val="single" w:sz="6" w:space="0" w:color="auto"/>
              <w:bottom w:val="single" w:sz="12" w:space="0" w:color="auto"/>
            </w:tcBorders>
          </w:tcPr>
          <w:p w14:paraId="29BA84FF" w14:textId="23662184" w:rsidR="00C424E5" w:rsidRDefault="00C424E5">
            <w:pPr>
              <w:cnfStyle w:val="000000000000" w:firstRow="0" w:lastRow="0" w:firstColumn="0" w:lastColumn="0" w:oddVBand="0" w:evenVBand="0" w:oddHBand="0" w:evenHBand="0" w:firstRowFirstColumn="0" w:firstRowLastColumn="0" w:lastRowFirstColumn="0" w:lastRowLastColumn="0"/>
            </w:pPr>
            <w:r>
              <w:rPr>
                <w:b/>
              </w:rPr>
              <w:t>7 318</w:t>
            </w:r>
          </w:p>
        </w:tc>
      </w:tr>
    </w:tbl>
    <w:p w14:paraId="0028D994" w14:textId="77777777" w:rsidR="00C424E5" w:rsidRDefault="00C424E5" w:rsidP="006206EF"/>
    <w:bookmarkEnd w:id="77"/>
    <w:p w14:paraId="3A2FBD96" w14:textId="77777777" w:rsidR="00C424E5" w:rsidRDefault="00C424E5" w:rsidP="006206EF"/>
    <w:p w14:paraId="5488ED86" w14:textId="77777777" w:rsidR="00C424E5" w:rsidRDefault="00C424E5" w:rsidP="006206EF"/>
    <w:p w14:paraId="240D013A" w14:textId="77777777" w:rsidR="00C424E5" w:rsidRDefault="00C424E5" w:rsidP="006206EF">
      <w:pPr>
        <w:sectPr w:rsidR="00C424E5" w:rsidSect="005D1255">
          <w:type w:val="continuous"/>
          <w:pgSz w:w="9979" w:h="14175" w:code="9"/>
          <w:pgMar w:top="1134" w:right="1134" w:bottom="1134" w:left="1134" w:header="624" w:footer="567" w:gutter="0"/>
          <w:cols w:space="708"/>
          <w:titlePg/>
          <w:docGrid w:linePitch="360"/>
        </w:sectPr>
      </w:pPr>
    </w:p>
    <w:p w14:paraId="21F4D5DB" w14:textId="77777777" w:rsidR="00C424E5" w:rsidRDefault="00C424E5" w:rsidP="006206EF">
      <w:pPr>
        <w:pStyle w:val="Heading2"/>
      </w:pPr>
      <w:r w:rsidRPr="00690DE5">
        <w:lastRenderedPageBreak/>
        <w:t>OTHER ASSETS AND LIABILITIES</w:t>
      </w:r>
    </w:p>
    <w:p w14:paraId="48BCE67C" w14:textId="77777777" w:rsidR="00C424E5" w:rsidRDefault="00C424E5" w:rsidP="006206EF">
      <w:pPr>
        <w:sectPr w:rsidR="00C424E5" w:rsidSect="00647267">
          <w:pgSz w:w="9979" w:h="14175" w:code="9"/>
          <w:pgMar w:top="1134" w:right="1134" w:bottom="1134" w:left="1134" w:header="624" w:footer="567" w:gutter="0"/>
          <w:cols w:space="708"/>
          <w:docGrid w:linePitch="360"/>
        </w:sectPr>
      </w:pPr>
    </w:p>
    <w:p w14:paraId="11E2F82B" w14:textId="77777777" w:rsidR="00C424E5" w:rsidRPr="00D02438" w:rsidRDefault="00C424E5" w:rsidP="006206EF">
      <w:pPr>
        <w:pStyle w:val="Heading30"/>
      </w:pPr>
      <w:r w:rsidRPr="00D02438">
        <w:t>Introduction</w:t>
      </w:r>
    </w:p>
    <w:p w14:paraId="4B574A49" w14:textId="77777777" w:rsidR="00C424E5" w:rsidRDefault="00C424E5" w:rsidP="006206EF">
      <w:r w:rsidRPr="00D02438">
        <w:t xml:space="preserve">This section sets out other assets and liabilities that arise from the general </w:t>
      </w:r>
      <w:r>
        <w:t xml:space="preserve">government sector’s </w:t>
      </w:r>
      <w:r w:rsidRPr="00D02438">
        <w:t>operations.</w:t>
      </w:r>
    </w:p>
    <w:p w14:paraId="6EC9A2FD" w14:textId="77777777" w:rsidR="00C424E5" w:rsidRPr="00D02438" w:rsidRDefault="00C424E5" w:rsidP="006206EF">
      <w:pPr>
        <w:pStyle w:val="Heading30"/>
      </w:pPr>
      <w:r>
        <w:br w:type="column"/>
      </w:r>
      <w:r w:rsidRPr="00D02438">
        <w:t>Structure</w:t>
      </w:r>
    </w:p>
    <w:p w14:paraId="487EC742" w14:textId="4A6FECF9" w:rsidR="00C424E5" w:rsidRDefault="00C424E5">
      <w:pPr>
        <w:pStyle w:val="TOC9"/>
        <w:rPr>
          <w:rFonts w:eastAsiaTheme="minorEastAsia"/>
          <w:noProof/>
          <w:spacing w:val="0"/>
          <w:sz w:val="22"/>
          <w:lang w:eastAsia="en-AU"/>
        </w:rPr>
      </w:pPr>
      <w:r w:rsidRPr="00D02438">
        <w:fldChar w:fldCharType="begin"/>
      </w:r>
      <w:r w:rsidRPr="00D02438">
        <w:instrText xml:space="preserve"> TOC</w:instrText>
      </w:r>
      <w:r>
        <w:instrText xml:space="preserve"> 9</w:instrText>
      </w:r>
      <w:r w:rsidRPr="00D02438">
        <w:instrText xml:space="preserve"> \h \z \t "Heading 3 (#),9" \b Section_6 \* MERGEFORMAT </w:instrText>
      </w:r>
      <w:r w:rsidRPr="00D02438">
        <w:fldChar w:fldCharType="separate"/>
      </w:r>
      <w:hyperlink w:anchor="_Toc117172495" w:history="1">
        <w:r w:rsidRPr="008F072D">
          <w:rPr>
            <w:rStyle w:val="Hyperlink"/>
            <w:noProof/>
          </w:rPr>
          <w:t>3.6.1</w:t>
        </w:r>
        <w:r>
          <w:rPr>
            <w:rFonts w:eastAsiaTheme="minorEastAsia"/>
            <w:noProof/>
            <w:spacing w:val="0"/>
            <w:sz w:val="22"/>
            <w:lang w:eastAsia="en-AU"/>
          </w:rPr>
          <w:tab/>
        </w:r>
        <w:r w:rsidRPr="008F072D">
          <w:rPr>
            <w:rStyle w:val="Hyperlink"/>
            <w:noProof/>
          </w:rPr>
          <w:t>Investments in other sector entities</w:t>
        </w:r>
        <w:r>
          <w:rPr>
            <w:noProof/>
            <w:webHidden/>
          </w:rPr>
          <w:tab/>
        </w:r>
        <w:r>
          <w:rPr>
            <w:noProof/>
            <w:webHidden/>
          </w:rPr>
          <w:fldChar w:fldCharType="begin"/>
        </w:r>
        <w:r>
          <w:rPr>
            <w:noProof/>
            <w:webHidden/>
          </w:rPr>
          <w:instrText xml:space="preserve"> PAGEREF _Toc117172495 \h </w:instrText>
        </w:r>
        <w:r>
          <w:rPr>
            <w:noProof/>
            <w:webHidden/>
          </w:rPr>
        </w:r>
        <w:r>
          <w:rPr>
            <w:noProof/>
            <w:webHidden/>
          </w:rPr>
          <w:fldChar w:fldCharType="separate"/>
        </w:r>
        <w:r w:rsidR="00087BE6">
          <w:rPr>
            <w:noProof/>
            <w:webHidden/>
          </w:rPr>
          <w:t>60</w:t>
        </w:r>
        <w:r>
          <w:rPr>
            <w:noProof/>
            <w:webHidden/>
          </w:rPr>
          <w:fldChar w:fldCharType="end"/>
        </w:r>
      </w:hyperlink>
    </w:p>
    <w:p w14:paraId="42AF18DA" w14:textId="152E28D8" w:rsidR="00C424E5" w:rsidRDefault="00087BE6">
      <w:pPr>
        <w:pStyle w:val="TOC9"/>
        <w:rPr>
          <w:rFonts w:eastAsiaTheme="minorEastAsia"/>
          <w:noProof/>
          <w:spacing w:val="0"/>
          <w:sz w:val="22"/>
          <w:lang w:eastAsia="en-AU"/>
        </w:rPr>
      </w:pPr>
      <w:hyperlink w:anchor="_Toc117172496" w:history="1">
        <w:r w:rsidR="00C424E5" w:rsidRPr="008F072D">
          <w:rPr>
            <w:rStyle w:val="Hyperlink"/>
            <w:noProof/>
          </w:rPr>
          <w:t>3.6.2</w:t>
        </w:r>
        <w:r w:rsidR="00C424E5">
          <w:rPr>
            <w:rFonts w:eastAsiaTheme="minorEastAsia"/>
            <w:noProof/>
            <w:spacing w:val="0"/>
            <w:sz w:val="22"/>
            <w:lang w:eastAsia="en-AU"/>
          </w:rPr>
          <w:tab/>
        </w:r>
        <w:r w:rsidR="00C424E5" w:rsidRPr="008F072D">
          <w:rPr>
            <w:rStyle w:val="Hyperlink"/>
            <w:noProof/>
          </w:rPr>
          <w:t>Payables</w:t>
        </w:r>
        <w:r w:rsidR="00C424E5">
          <w:rPr>
            <w:noProof/>
            <w:webHidden/>
          </w:rPr>
          <w:tab/>
        </w:r>
        <w:r w:rsidR="00C424E5">
          <w:rPr>
            <w:noProof/>
            <w:webHidden/>
          </w:rPr>
          <w:fldChar w:fldCharType="begin"/>
        </w:r>
        <w:r w:rsidR="00C424E5">
          <w:rPr>
            <w:noProof/>
            <w:webHidden/>
          </w:rPr>
          <w:instrText xml:space="preserve"> PAGEREF _Toc117172496 \h </w:instrText>
        </w:r>
        <w:r w:rsidR="00C424E5">
          <w:rPr>
            <w:noProof/>
            <w:webHidden/>
          </w:rPr>
        </w:r>
        <w:r w:rsidR="00C424E5">
          <w:rPr>
            <w:noProof/>
            <w:webHidden/>
          </w:rPr>
          <w:fldChar w:fldCharType="separate"/>
        </w:r>
        <w:r>
          <w:rPr>
            <w:noProof/>
            <w:webHidden/>
          </w:rPr>
          <w:t>60</w:t>
        </w:r>
        <w:r w:rsidR="00C424E5">
          <w:rPr>
            <w:noProof/>
            <w:webHidden/>
          </w:rPr>
          <w:fldChar w:fldCharType="end"/>
        </w:r>
      </w:hyperlink>
    </w:p>
    <w:p w14:paraId="52592FEC" w14:textId="3B59A25E" w:rsidR="00C424E5" w:rsidRDefault="00087BE6">
      <w:pPr>
        <w:pStyle w:val="TOC9"/>
        <w:rPr>
          <w:rFonts w:eastAsiaTheme="minorEastAsia"/>
          <w:noProof/>
          <w:spacing w:val="0"/>
          <w:sz w:val="22"/>
          <w:lang w:eastAsia="en-AU"/>
        </w:rPr>
      </w:pPr>
      <w:hyperlink w:anchor="_Toc117172497" w:history="1">
        <w:r w:rsidR="00C424E5" w:rsidRPr="008F072D">
          <w:rPr>
            <w:rStyle w:val="Hyperlink"/>
            <w:noProof/>
          </w:rPr>
          <w:t>3.6.3</w:t>
        </w:r>
        <w:r w:rsidR="00C424E5">
          <w:rPr>
            <w:rFonts w:eastAsiaTheme="minorEastAsia"/>
            <w:noProof/>
            <w:spacing w:val="0"/>
            <w:sz w:val="22"/>
            <w:lang w:eastAsia="en-AU"/>
          </w:rPr>
          <w:tab/>
        </w:r>
        <w:r w:rsidR="00C424E5" w:rsidRPr="008F072D">
          <w:rPr>
            <w:rStyle w:val="Hyperlink"/>
            <w:noProof/>
          </w:rPr>
          <w:t>Superannuation</w:t>
        </w:r>
        <w:r w:rsidR="00C424E5">
          <w:rPr>
            <w:noProof/>
            <w:webHidden/>
          </w:rPr>
          <w:tab/>
        </w:r>
        <w:r w:rsidR="00C424E5">
          <w:rPr>
            <w:noProof/>
            <w:webHidden/>
          </w:rPr>
          <w:fldChar w:fldCharType="begin"/>
        </w:r>
        <w:r w:rsidR="00C424E5">
          <w:rPr>
            <w:noProof/>
            <w:webHidden/>
          </w:rPr>
          <w:instrText xml:space="preserve"> PAGEREF _Toc117172497 \h </w:instrText>
        </w:r>
        <w:r w:rsidR="00C424E5">
          <w:rPr>
            <w:noProof/>
            <w:webHidden/>
          </w:rPr>
        </w:r>
        <w:r w:rsidR="00C424E5">
          <w:rPr>
            <w:noProof/>
            <w:webHidden/>
          </w:rPr>
          <w:fldChar w:fldCharType="separate"/>
        </w:r>
        <w:r>
          <w:rPr>
            <w:noProof/>
            <w:webHidden/>
          </w:rPr>
          <w:t>61</w:t>
        </w:r>
        <w:r w:rsidR="00C424E5">
          <w:rPr>
            <w:noProof/>
            <w:webHidden/>
          </w:rPr>
          <w:fldChar w:fldCharType="end"/>
        </w:r>
      </w:hyperlink>
    </w:p>
    <w:p w14:paraId="42904A93" w14:textId="77777777" w:rsidR="00C424E5" w:rsidRDefault="00C424E5" w:rsidP="006206EF">
      <w:r w:rsidRPr="00D02438">
        <w:fldChar w:fldCharType="end"/>
      </w:r>
    </w:p>
    <w:p w14:paraId="3489BB13" w14:textId="77777777" w:rsidR="00C424E5" w:rsidRDefault="00C424E5" w:rsidP="006206EF">
      <w:pPr>
        <w:sectPr w:rsidR="00C424E5" w:rsidSect="00FF6521">
          <w:type w:val="continuous"/>
          <w:pgSz w:w="9979" w:h="14175" w:code="9"/>
          <w:pgMar w:top="1134" w:right="1134" w:bottom="1134" w:left="1134" w:header="624" w:footer="567" w:gutter="0"/>
          <w:cols w:num="2" w:space="708"/>
          <w:titlePg/>
          <w:docGrid w:linePitch="360"/>
        </w:sectPr>
      </w:pPr>
    </w:p>
    <w:p w14:paraId="22DAA14B" w14:textId="77777777" w:rsidR="00C424E5" w:rsidRDefault="00C424E5" w:rsidP="006206EF">
      <w:pPr>
        <w:pStyle w:val="Heading3"/>
        <w:spacing w:after="60"/>
        <w:rPr>
          <w:sz w:val="20"/>
          <w:szCs w:val="20"/>
        </w:rPr>
      </w:pPr>
      <w:bookmarkStart w:id="80" w:name="_Toc117172495"/>
      <w:bookmarkStart w:id="81" w:name="Section_6"/>
      <w:r w:rsidRPr="00020772">
        <w:rPr>
          <w:sz w:val="20"/>
          <w:szCs w:val="20"/>
        </w:rPr>
        <w:t>Investments in other sector entities</w:t>
      </w:r>
      <w:r w:rsidRPr="00020772">
        <w:rPr>
          <w:sz w:val="20"/>
          <w:szCs w:val="20"/>
        </w:rPr>
        <w:tab/>
        <w:t>($ million)</w:t>
      </w:r>
      <w:bookmarkEnd w:id="80"/>
    </w:p>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F70B1C" w14:paraId="26B17058" w14:textId="77777777" w:rsidTr="00A836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386A8879" w14:textId="5A218DA2" w:rsidR="00F70B1C" w:rsidRDefault="00F70B1C"/>
        </w:tc>
        <w:tc>
          <w:tcPr>
            <w:tcW w:w="794" w:type="dxa"/>
          </w:tcPr>
          <w:p w14:paraId="6A0255B5" w14:textId="6AF318F9" w:rsidR="00F70B1C" w:rsidRDefault="00F70B1C" w:rsidP="00533AF3">
            <w:pPr>
              <w:cnfStyle w:val="100000000000" w:firstRow="1" w:lastRow="0" w:firstColumn="0" w:lastColumn="0" w:oddVBand="0" w:evenVBand="0" w:oddHBand="0" w:evenHBand="0" w:firstRowFirstColumn="0" w:firstRowLastColumn="0" w:lastRowFirstColumn="0" w:lastRowLastColumn="0"/>
            </w:pPr>
            <w:r>
              <w:t>2023</w:t>
            </w:r>
            <w:r>
              <w:rPr>
                <w:i w:val="0"/>
              </w:rPr>
              <w:br/>
            </w:r>
            <w:r>
              <w:t>budget</w:t>
            </w:r>
          </w:p>
        </w:tc>
        <w:tc>
          <w:tcPr>
            <w:tcW w:w="794" w:type="dxa"/>
          </w:tcPr>
          <w:p w14:paraId="769EF317" w14:textId="4B174D6B" w:rsidR="00F70B1C" w:rsidRDefault="00F70B1C" w:rsidP="002A562D">
            <w:pPr>
              <w:cnfStyle w:val="100000000000" w:firstRow="1" w:lastRow="0" w:firstColumn="0" w:lastColumn="0" w:oddVBand="0" w:evenVBand="0" w:oddHBand="0" w:evenHBand="0" w:firstRowFirstColumn="0" w:firstRowLastColumn="0" w:lastRowFirstColumn="0" w:lastRowLastColumn="0"/>
            </w:pPr>
            <w:r>
              <w:t>2023</w:t>
            </w:r>
            <w:r>
              <w:rPr>
                <w:i w:val="0"/>
              </w:rPr>
              <w:br/>
            </w:r>
            <w:r>
              <w:t>revised</w:t>
            </w:r>
          </w:p>
        </w:tc>
        <w:tc>
          <w:tcPr>
            <w:tcW w:w="794" w:type="dxa"/>
          </w:tcPr>
          <w:p w14:paraId="4AE0C09A" w14:textId="5AE94031" w:rsidR="00F70B1C" w:rsidRDefault="00F70B1C" w:rsidP="00BE31E3">
            <w:pPr>
              <w:cnfStyle w:val="100000000000" w:firstRow="1" w:lastRow="0" w:firstColumn="0" w:lastColumn="0" w:oddVBand="0" w:evenVBand="0" w:oddHBand="0" w:evenHBand="0" w:firstRowFirstColumn="0" w:firstRowLastColumn="0" w:lastRowFirstColumn="0" w:lastRowLastColumn="0"/>
            </w:pPr>
            <w:r>
              <w:t>2024</w:t>
            </w:r>
            <w:r>
              <w:rPr>
                <w:i w:val="0"/>
              </w:rPr>
              <w:br/>
            </w:r>
            <w:r>
              <w:t>estimate</w:t>
            </w:r>
          </w:p>
        </w:tc>
        <w:tc>
          <w:tcPr>
            <w:tcW w:w="794" w:type="dxa"/>
          </w:tcPr>
          <w:p w14:paraId="2B49A88A" w14:textId="4912B07F" w:rsidR="00F70B1C" w:rsidRDefault="00F70B1C" w:rsidP="00010F9F">
            <w:pPr>
              <w:cnfStyle w:val="100000000000" w:firstRow="1" w:lastRow="0" w:firstColumn="0" w:lastColumn="0" w:oddVBand="0" w:evenVBand="0" w:oddHBand="0" w:evenHBand="0" w:firstRowFirstColumn="0" w:firstRowLastColumn="0" w:lastRowFirstColumn="0" w:lastRowLastColumn="0"/>
            </w:pPr>
            <w:r>
              <w:t>2025</w:t>
            </w:r>
            <w:r>
              <w:rPr>
                <w:i w:val="0"/>
              </w:rPr>
              <w:br/>
            </w:r>
            <w:r>
              <w:t>estimate</w:t>
            </w:r>
          </w:p>
        </w:tc>
        <w:tc>
          <w:tcPr>
            <w:tcW w:w="794" w:type="dxa"/>
          </w:tcPr>
          <w:p w14:paraId="43D392BF" w14:textId="2C8158BA" w:rsidR="00F70B1C" w:rsidRDefault="00F70B1C" w:rsidP="00A83951">
            <w:pPr>
              <w:cnfStyle w:val="100000000000" w:firstRow="1" w:lastRow="0" w:firstColumn="0" w:lastColumn="0" w:oddVBand="0" w:evenVBand="0" w:oddHBand="0" w:evenHBand="0" w:firstRowFirstColumn="0" w:firstRowLastColumn="0" w:lastRowFirstColumn="0" w:lastRowLastColumn="0"/>
            </w:pPr>
            <w:r>
              <w:t>2026</w:t>
            </w:r>
            <w:r>
              <w:rPr>
                <w:i w:val="0"/>
              </w:rPr>
              <w:br/>
            </w:r>
            <w:r>
              <w:t>estimate</w:t>
            </w:r>
          </w:p>
        </w:tc>
      </w:tr>
      <w:tr w:rsidR="00C424E5" w14:paraId="7B47DA38" w14:textId="77777777">
        <w:tc>
          <w:tcPr>
            <w:cnfStyle w:val="001000000000" w:firstRow="0" w:lastRow="0" w:firstColumn="1" w:lastColumn="0" w:oddVBand="0" w:evenVBand="0" w:oddHBand="0" w:evenHBand="0" w:firstRowFirstColumn="0" w:firstRowLastColumn="0" w:lastRowFirstColumn="0" w:lastRowLastColumn="0"/>
            <w:tcW w:w="3740" w:type="dxa"/>
          </w:tcPr>
          <w:p w14:paraId="2CC08DB2" w14:textId="77777777" w:rsidR="00C424E5" w:rsidRDefault="00C424E5">
            <w:r>
              <w:t>Balance of investment in PNFC and PFC sectors at beginning of period</w:t>
            </w:r>
          </w:p>
        </w:tc>
        <w:tc>
          <w:tcPr>
            <w:tcW w:w="794" w:type="dxa"/>
          </w:tcPr>
          <w:p w14:paraId="7208BE3A" w14:textId="77777777" w:rsidR="00C424E5" w:rsidRDefault="00C424E5">
            <w:pPr>
              <w:cnfStyle w:val="000000000000" w:firstRow="0" w:lastRow="0" w:firstColumn="0" w:lastColumn="0" w:oddVBand="0" w:evenVBand="0" w:oddHBand="0" w:evenHBand="0" w:firstRowFirstColumn="0" w:firstRowLastColumn="0" w:lastRowFirstColumn="0" w:lastRowLastColumn="0"/>
            </w:pPr>
            <w:r>
              <w:t>89 162</w:t>
            </w:r>
          </w:p>
        </w:tc>
        <w:tc>
          <w:tcPr>
            <w:tcW w:w="794" w:type="dxa"/>
          </w:tcPr>
          <w:p w14:paraId="5476ABBC" w14:textId="77777777" w:rsidR="00C424E5" w:rsidRDefault="00C424E5">
            <w:pPr>
              <w:cnfStyle w:val="000000000000" w:firstRow="0" w:lastRow="0" w:firstColumn="0" w:lastColumn="0" w:oddVBand="0" w:evenVBand="0" w:oddHBand="0" w:evenHBand="0" w:firstRowFirstColumn="0" w:firstRowLastColumn="0" w:lastRowFirstColumn="0" w:lastRowLastColumn="0"/>
            </w:pPr>
            <w:r>
              <w:t>89 162</w:t>
            </w:r>
          </w:p>
        </w:tc>
        <w:tc>
          <w:tcPr>
            <w:tcW w:w="794" w:type="dxa"/>
          </w:tcPr>
          <w:p w14:paraId="67A71E17" w14:textId="77777777" w:rsidR="00C424E5" w:rsidRDefault="00C424E5">
            <w:pPr>
              <w:cnfStyle w:val="000000000000" w:firstRow="0" w:lastRow="0" w:firstColumn="0" w:lastColumn="0" w:oddVBand="0" w:evenVBand="0" w:oddHBand="0" w:evenHBand="0" w:firstRowFirstColumn="0" w:firstRowLastColumn="0" w:lastRowFirstColumn="0" w:lastRowLastColumn="0"/>
            </w:pPr>
            <w:r>
              <w:t>91 378</w:t>
            </w:r>
          </w:p>
        </w:tc>
        <w:tc>
          <w:tcPr>
            <w:tcW w:w="794" w:type="dxa"/>
          </w:tcPr>
          <w:p w14:paraId="113A4D8C" w14:textId="77777777" w:rsidR="00C424E5" w:rsidRDefault="00C424E5">
            <w:pPr>
              <w:cnfStyle w:val="000000000000" w:firstRow="0" w:lastRow="0" w:firstColumn="0" w:lastColumn="0" w:oddVBand="0" w:evenVBand="0" w:oddHBand="0" w:evenHBand="0" w:firstRowFirstColumn="0" w:firstRowLastColumn="0" w:lastRowFirstColumn="0" w:lastRowLastColumn="0"/>
            </w:pPr>
            <w:r>
              <w:t>93 338</w:t>
            </w:r>
          </w:p>
        </w:tc>
        <w:tc>
          <w:tcPr>
            <w:tcW w:w="794" w:type="dxa"/>
          </w:tcPr>
          <w:p w14:paraId="04BDAAA3" w14:textId="77777777" w:rsidR="00C424E5" w:rsidRDefault="00C424E5">
            <w:pPr>
              <w:cnfStyle w:val="000000000000" w:firstRow="0" w:lastRow="0" w:firstColumn="0" w:lastColumn="0" w:oddVBand="0" w:evenVBand="0" w:oddHBand="0" w:evenHBand="0" w:firstRowFirstColumn="0" w:firstRowLastColumn="0" w:lastRowFirstColumn="0" w:lastRowLastColumn="0"/>
            </w:pPr>
            <w:r>
              <w:t>98 559</w:t>
            </w:r>
          </w:p>
        </w:tc>
      </w:tr>
      <w:tr w:rsidR="00C424E5" w14:paraId="7DCB1342" w14:textId="77777777">
        <w:tc>
          <w:tcPr>
            <w:cnfStyle w:val="001000000000" w:firstRow="0" w:lastRow="0" w:firstColumn="1" w:lastColumn="0" w:oddVBand="0" w:evenVBand="0" w:oddHBand="0" w:evenHBand="0" w:firstRowFirstColumn="0" w:firstRowLastColumn="0" w:lastRowFirstColumn="0" w:lastRowLastColumn="0"/>
            <w:tcW w:w="3740" w:type="dxa"/>
          </w:tcPr>
          <w:p w14:paraId="0E8BA097" w14:textId="77777777" w:rsidR="00C424E5" w:rsidRDefault="00C424E5">
            <w:r>
              <w:t>Net contributions to other sectors by owner</w:t>
            </w:r>
          </w:p>
        </w:tc>
        <w:tc>
          <w:tcPr>
            <w:tcW w:w="794" w:type="dxa"/>
          </w:tcPr>
          <w:p w14:paraId="1D9C7947" w14:textId="77777777" w:rsidR="00C424E5" w:rsidRDefault="00C424E5">
            <w:pPr>
              <w:cnfStyle w:val="000000000000" w:firstRow="0" w:lastRow="0" w:firstColumn="0" w:lastColumn="0" w:oddVBand="0" w:evenVBand="0" w:oddHBand="0" w:evenHBand="0" w:firstRowFirstColumn="0" w:firstRowLastColumn="0" w:lastRowFirstColumn="0" w:lastRowLastColumn="0"/>
            </w:pPr>
            <w:r>
              <w:t>6 799</w:t>
            </w:r>
          </w:p>
        </w:tc>
        <w:tc>
          <w:tcPr>
            <w:tcW w:w="794" w:type="dxa"/>
          </w:tcPr>
          <w:p w14:paraId="16E56A05" w14:textId="77777777" w:rsidR="00C424E5" w:rsidRDefault="00C424E5">
            <w:pPr>
              <w:cnfStyle w:val="000000000000" w:firstRow="0" w:lastRow="0" w:firstColumn="0" w:lastColumn="0" w:oddVBand="0" w:evenVBand="0" w:oddHBand="0" w:evenHBand="0" w:firstRowFirstColumn="0" w:firstRowLastColumn="0" w:lastRowFirstColumn="0" w:lastRowLastColumn="0"/>
            </w:pPr>
            <w:r>
              <w:t>6 085</w:t>
            </w:r>
          </w:p>
        </w:tc>
        <w:tc>
          <w:tcPr>
            <w:tcW w:w="794" w:type="dxa"/>
          </w:tcPr>
          <w:p w14:paraId="7A20F165" w14:textId="77777777" w:rsidR="00C424E5" w:rsidRDefault="00C424E5">
            <w:pPr>
              <w:cnfStyle w:val="000000000000" w:firstRow="0" w:lastRow="0" w:firstColumn="0" w:lastColumn="0" w:oddVBand="0" w:evenVBand="0" w:oddHBand="0" w:evenHBand="0" w:firstRowFirstColumn="0" w:firstRowLastColumn="0" w:lastRowFirstColumn="0" w:lastRowLastColumn="0"/>
            </w:pPr>
            <w:r>
              <w:t>6 796</w:t>
            </w:r>
          </w:p>
        </w:tc>
        <w:tc>
          <w:tcPr>
            <w:tcW w:w="794" w:type="dxa"/>
          </w:tcPr>
          <w:p w14:paraId="5CD996A4" w14:textId="77777777" w:rsidR="00C424E5" w:rsidRDefault="00C424E5">
            <w:pPr>
              <w:cnfStyle w:val="000000000000" w:firstRow="0" w:lastRow="0" w:firstColumn="0" w:lastColumn="0" w:oddVBand="0" w:evenVBand="0" w:oddHBand="0" w:evenHBand="0" w:firstRowFirstColumn="0" w:firstRowLastColumn="0" w:lastRowFirstColumn="0" w:lastRowLastColumn="0"/>
            </w:pPr>
            <w:r>
              <w:t>9 812</w:t>
            </w:r>
          </w:p>
        </w:tc>
        <w:tc>
          <w:tcPr>
            <w:tcW w:w="794" w:type="dxa"/>
          </w:tcPr>
          <w:p w14:paraId="22750199" w14:textId="77777777" w:rsidR="00C424E5" w:rsidRDefault="00C424E5">
            <w:pPr>
              <w:cnfStyle w:val="000000000000" w:firstRow="0" w:lastRow="0" w:firstColumn="0" w:lastColumn="0" w:oddVBand="0" w:evenVBand="0" w:oddHBand="0" w:evenHBand="0" w:firstRowFirstColumn="0" w:firstRowLastColumn="0" w:lastRowFirstColumn="0" w:lastRowLastColumn="0"/>
            </w:pPr>
            <w:r>
              <w:t>17 502</w:t>
            </w:r>
          </w:p>
        </w:tc>
      </w:tr>
      <w:tr w:rsidR="00C424E5" w14:paraId="07DBC906"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72AED285" w14:textId="77777777" w:rsidR="00C424E5" w:rsidRDefault="00C424E5">
            <w:r>
              <w:t>Revaluation gain/(loss) for period</w:t>
            </w:r>
          </w:p>
        </w:tc>
        <w:tc>
          <w:tcPr>
            <w:tcW w:w="794" w:type="dxa"/>
            <w:tcBorders>
              <w:bottom w:val="single" w:sz="6" w:space="0" w:color="auto"/>
            </w:tcBorders>
          </w:tcPr>
          <w:p w14:paraId="37CF28C9" w14:textId="77777777" w:rsidR="00C424E5" w:rsidRDefault="00C424E5">
            <w:pPr>
              <w:cnfStyle w:val="000000000000" w:firstRow="0" w:lastRow="0" w:firstColumn="0" w:lastColumn="0" w:oddVBand="0" w:evenVBand="0" w:oddHBand="0" w:evenHBand="0" w:firstRowFirstColumn="0" w:firstRowLastColumn="0" w:lastRowFirstColumn="0" w:lastRowLastColumn="0"/>
            </w:pPr>
            <w:r>
              <w:t>(3 869)</w:t>
            </w:r>
          </w:p>
        </w:tc>
        <w:tc>
          <w:tcPr>
            <w:tcW w:w="794" w:type="dxa"/>
            <w:tcBorders>
              <w:bottom w:val="single" w:sz="6" w:space="0" w:color="auto"/>
            </w:tcBorders>
          </w:tcPr>
          <w:p w14:paraId="215C7339" w14:textId="77777777" w:rsidR="00C424E5" w:rsidRDefault="00C424E5">
            <w:pPr>
              <w:cnfStyle w:val="000000000000" w:firstRow="0" w:lastRow="0" w:firstColumn="0" w:lastColumn="0" w:oddVBand="0" w:evenVBand="0" w:oddHBand="0" w:evenHBand="0" w:firstRowFirstColumn="0" w:firstRowLastColumn="0" w:lastRowFirstColumn="0" w:lastRowLastColumn="0"/>
            </w:pPr>
            <w:r>
              <w:t>(3 869)</w:t>
            </w:r>
          </w:p>
        </w:tc>
        <w:tc>
          <w:tcPr>
            <w:tcW w:w="794" w:type="dxa"/>
            <w:tcBorders>
              <w:bottom w:val="single" w:sz="6" w:space="0" w:color="auto"/>
            </w:tcBorders>
          </w:tcPr>
          <w:p w14:paraId="72BD2121" w14:textId="77777777" w:rsidR="00C424E5" w:rsidRDefault="00C424E5">
            <w:pPr>
              <w:cnfStyle w:val="000000000000" w:firstRow="0" w:lastRow="0" w:firstColumn="0" w:lastColumn="0" w:oddVBand="0" w:evenVBand="0" w:oddHBand="0" w:evenHBand="0" w:firstRowFirstColumn="0" w:firstRowLastColumn="0" w:lastRowFirstColumn="0" w:lastRowLastColumn="0"/>
            </w:pPr>
            <w:r>
              <w:t>(4 837)</w:t>
            </w:r>
          </w:p>
        </w:tc>
        <w:tc>
          <w:tcPr>
            <w:tcW w:w="794" w:type="dxa"/>
            <w:tcBorders>
              <w:bottom w:val="single" w:sz="6" w:space="0" w:color="auto"/>
            </w:tcBorders>
          </w:tcPr>
          <w:p w14:paraId="5CACDD82" w14:textId="77777777" w:rsidR="00C424E5" w:rsidRDefault="00C424E5">
            <w:pPr>
              <w:cnfStyle w:val="000000000000" w:firstRow="0" w:lastRow="0" w:firstColumn="0" w:lastColumn="0" w:oddVBand="0" w:evenVBand="0" w:oddHBand="0" w:evenHBand="0" w:firstRowFirstColumn="0" w:firstRowLastColumn="0" w:lastRowFirstColumn="0" w:lastRowLastColumn="0"/>
            </w:pPr>
            <w:r>
              <w:t>(4 590)</w:t>
            </w:r>
          </w:p>
        </w:tc>
        <w:tc>
          <w:tcPr>
            <w:tcW w:w="794" w:type="dxa"/>
            <w:tcBorders>
              <w:bottom w:val="single" w:sz="6" w:space="0" w:color="auto"/>
            </w:tcBorders>
          </w:tcPr>
          <w:p w14:paraId="6EBA9B11" w14:textId="77777777" w:rsidR="00C424E5" w:rsidRDefault="00C424E5">
            <w:pPr>
              <w:cnfStyle w:val="000000000000" w:firstRow="0" w:lastRow="0" w:firstColumn="0" w:lastColumn="0" w:oddVBand="0" w:evenVBand="0" w:oddHBand="0" w:evenHBand="0" w:firstRowFirstColumn="0" w:firstRowLastColumn="0" w:lastRowFirstColumn="0" w:lastRowLastColumn="0"/>
            </w:pPr>
            <w:r>
              <w:t>(14 209)</w:t>
            </w:r>
          </w:p>
        </w:tc>
      </w:tr>
      <w:tr w:rsidR="00C424E5" w14:paraId="31551D83"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15BBA9BF" w14:textId="77777777" w:rsidR="00C424E5" w:rsidRDefault="00C424E5">
            <w:r>
              <w:rPr>
                <w:b/>
              </w:rPr>
              <w:t>Investment in other sector entities at end of period</w:t>
            </w:r>
          </w:p>
        </w:tc>
        <w:tc>
          <w:tcPr>
            <w:tcW w:w="794" w:type="dxa"/>
            <w:tcBorders>
              <w:top w:val="single" w:sz="6" w:space="0" w:color="auto"/>
              <w:bottom w:val="single" w:sz="12" w:space="0" w:color="auto"/>
            </w:tcBorders>
          </w:tcPr>
          <w:p w14:paraId="5B6BD190"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92 092</w:t>
            </w:r>
          </w:p>
        </w:tc>
        <w:tc>
          <w:tcPr>
            <w:tcW w:w="794" w:type="dxa"/>
            <w:tcBorders>
              <w:top w:val="single" w:sz="6" w:space="0" w:color="auto"/>
              <w:bottom w:val="single" w:sz="12" w:space="0" w:color="auto"/>
            </w:tcBorders>
          </w:tcPr>
          <w:p w14:paraId="52535E99"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91 378</w:t>
            </w:r>
          </w:p>
        </w:tc>
        <w:tc>
          <w:tcPr>
            <w:tcW w:w="794" w:type="dxa"/>
            <w:tcBorders>
              <w:top w:val="single" w:sz="6" w:space="0" w:color="auto"/>
              <w:bottom w:val="single" w:sz="12" w:space="0" w:color="auto"/>
            </w:tcBorders>
          </w:tcPr>
          <w:p w14:paraId="6360F2E4"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93 338</w:t>
            </w:r>
          </w:p>
        </w:tc>
        <w:tc>
          <w:tcPr>
            <w:tcW w:w="794" w:type="dxa"/>
            <w:tcBorders>
              <w:top w:val="single" w:sz="6" w:space="0" w:color="auto"/>
              <w:bottom w:val="single" w:sz="12" w:space="0" w:color="auto"/>
            </w:tcBorders>
          </w:tcPr>
          <w:p w14:paraId="1952F078"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98 559</w:t>
            </w:r>
          </w:p>
        </w:tc>
        <w:tc>
          <w:tcPr>
            <w:tcW w:w="794" w:type="dxa"/>
            <w:tcBorders>
              <w:top w:val="single" w:sz="6" w:space="0" w:color="auto"/>
              <w:bottom w:val="single" w:sz="12" w:space="0" w:color="auto"/>
            </w:tcBorders>
          </w:tcPr>
          <w:p w14:paraId="1DDFE4B1" w14:textId="1E05A898" w:rsidR="00C424E5" w:rsidRDefault="00C424E5">
            <w:pPr>
              <w:cnfStyle w:val="000000000000" w:firstRow="0" w:lastRow="0" w:firstColumn="0" w:lastColumn="0" w:oddVBand="0" w:evenVBand="0" w:oddHBand="0" w:evenHBand="0" w:firstRowFirstColumn="0" w:firstRowLastColumn="0" w:lastRowFirstColumn="0" w:lastRowLastColumn="0"/>
            </w:pPr>
            <w:r>
              <w:rPr>
                <w:b/>
              </w:rPr>
              <w:t>101 851</w:t>
            </w:r>
          </w:p>
        </w:tc>
      </w:tr>
    </w:tbl>
    <w:p w14:paraId="295A01CF" w14:textId="77777777" w:rsidR="00C424E5" w:rsidRDefault="00C424E5" w:rsidP="006206EF"/>
    <w:p w14:paraId="7D042628" w14:textId="77777777" w:rsidR="00C424E5" w:rsidRDefault="00C424E5" w:rsidP="006206EF"/>
    <w:p w14:paraId="2338C312" w14:textId="77777777" w:rsidR="00C424E5" w:rsidRDefault="00C424E5" w:rsidP="006206EF">
      <w:pPr>
        <w:pStyle w:val="Heading3"/>
        <w:spacing w:after="60"/>
        <w:rPr>
          <w:sz w:val="20"/>
          <w:szCs w:val="20"/>
        </w:rPr>
      </w:pPr>
      <w:bookmarkStart w:id="82" w:name="_Toc117172496"/>
      <w:r w:rsidRPr="00020772">
        <w:rPr>
          <w:sz w:val="20"/>
          <w:szCs w:val="20"/>
        </w:rPr>
        <w:t>Payables</w:t>
      </w:r>
      <w:r w:rsidRPr="00020772">
        <w:rPr>
          <w:sz w:val="20"/>
          <w:szCs w:val="20"/>
        </w:rPr>
        <w:tab/>
        <w:t>($ million)</w:t>
      </w:r>
      <w:bookmarkEnd w:id="82"/>
    </w:p>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F70B1C" w14:paraId="620A658E" w14:textId="77777777" w:rsidTr="00A836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53A04ACD" w14:textId="3897F8AB" w:rsidR="00F70B1C" w:rsidRDefault="00F70B1C"/>
        </w:tc>
        <w:tc>
          <w:tcPr>
            <w:tcW w:w="794" w:type="dxa"/>
          </w:tcPr>
          <w:p w14:paraId="47627C54" w14:textId="644BABFC" w:rsidR="00F70B1C" w:rsidRDefault="00F70B1C" w:rsidP="00C211B4">
            <w:pPr>
              <w:cnfStyle w:val="100000000000" w:firstRow="1" w:lastRow="0" w:firstColumn="0" w:lastColumn="0" w:oddVBand="0" w:evenVBand="0" w:oddHBand="0" w:evenHBand="0" w:firstRowFirstColumn="0" w:firstRowLastColumn="0" w:lastRowFirstColumn="0" w:lastRowLastColumn="0"/>
            </w:pPr>
            <w:r>
              <w:t>2023</w:t>
            </w:r>
            <w:r>
              <w:rPr>
                <w:i w:val="0"/>
              </w:rPr>
              <w:br/>
            </w:r>
            <w:r>
              <w:t>budget</w:t>
            </w:r>
          </w:p>
        </w:tc>
        <w:tc>
          <w:tcPr>
            <w:tcW w:w="794" w:type="dxa"/>
          </w:tcPr>
          <w:p w14:paraId="284884E6" w14:textId="36D2F5D2" w:rsidR="00F70B1C" w:rsidRDefault="00F70B1C" w:rsidP="00EC3725">
            <w:pPr>
              <w:cnfStyle w:val="100000000000" w:firstRow="1" w:lastRow="0" w:firstColumn="0" w:lastColumn="0" w:oddVBand="0" w:evenVBand="0" w:oddHBand="0" w:evenHBand="0" w:firstRowFirstColumn="0" w:firstRowLastColumn="0" w:lastRowFirstColumn="0" w:lastRowLastColumn="0"/>
            </w:pPr>
            <w:r>
              <w:t>2023</w:t>
            </w:r>
            <w:r>
              <w:rPr>
                <w:i w:val="0"/>
              </w:rPr>
              <w:br/>
            </w:r>
            <w:r>
              <w:t>revised</w:t>
            </w:r>
          </w:p>
        </w:tc>
        <w:tc>
          <w:tcPr>
            <w:tcW w:w="794" w:type="dxa"/>
          </w:tcPr>
          <w:p w14:paraId="011F31FE" w14:textId="21CA0275" w:rsidR="00F70B1C" w:rsidRDefault="00F70B1C" w:rsidP="0066071C">
            <w:pPr>
              <w:cnfStyle w:val="100000000000" w:firstRow="1" w:lastRow="0" w:firstColumn="0" w:lastColumn="0" w:oddVBand="0" w:evenVBand="0" w:oddHBand="0" w:evenHBand="0" w:firstRowFirstColumn="0" w:firstRowLastColumn="0" w:lastRowFirstColumn="0" w:lastRowLastColumn="0"/>
            </w:pPr>
            <w:r>
              <w:t>2024</w:t>
            </w:r>
            <w:r>
              <w:rPr>
                <w:i w:val="0"/>
              </w:rPr>
              <w:br/>
            </w:r>
            <w:r>
              <w:t>estimate</w:t>
            </w:r>
          </w:p>
        </w:tc>
        <w:tc>
          <w:tcPr>
            <w:tcW w:w="794" w:type="dxa"/>
          </w:tcPr>
          <w:p w14:paraId="24CD86DC" w14:textId="1F5AFDF0" w:rsidR="00F70B1C" w:rsidRDefault="00F70B1C" w:rsidP="00DA65D9">
            <w:pPr>
              <w:cnfStyle w:val="100000000000" w:firstRow="1" w:lastRow="0" w:firstColumn="0" w:lastColumn="0" w:oddVBand="0" w:evenVBand="0" w:oddHBand="0" w:evenHBand="0" w:firstRowFirstColumn="0" w:firstRowLastColumn="0" w:lastRowFirstColumn="0" w:lastRowLastColumn="0"/>
            </w:pPr>
            <w:r>
              <w:t>2025</w:t>
            </w:r>
            <w:r>
              <w:rPr>
                <w:i w:val="0"/>
              </w:rPr>
              <w:br/>
            </w:r>
            <w:r>
              <w:t>estimate</w:t>
            </w:r>
          </w:p>
        </w:tc>
        <w:tc>
          <w:tcPr>
            <w:tcW w:w="794" w:type="dxa"/>
          </w:tcPr>
          <w:p w14:paraId="7BBB787E" w14:textId="464C0FC5" w:rsidR="00F70B1C" w:rsidRDefault="00F70B1C" w:rsidP="004B1334">
            <w:pPr>
              <w:cnfStyle w:val="100000000000" w:firstRow="1" w:lastRow="0" w:firstColumn="0" w:lastColumn="0" w:oddVBand="0" w:evenVBand="0" w:oddHBand="0" w:evenHBand="0" w:firstRowFirstColumn="0" w:firstRowLastColumn="0" w:lastRowFirstColumn="0" w:lastRowLastColumn="0"/>
            </w:pPr>
            <w:r>
              <w:t>2026</w:t>
            </w:r>
            <w:r>
              <w:rPr>
                <w:i w:val="0"/>
              </w:rPr>
              <w:br/>
            </w:r>
            <w:r>
              <w:t>estimate</w:t>
            </w:r>
          </w:p>
        </w:tc>
      </w:tr>
      <w:tr w:rsidR="00C424E5" w14:paraId="5831496A" w14:textId="77777777">
        <w:tc>
          <w:tcPr>
            <w:cnfStyle w:val="001000000000" w:firstRow="0" w:lastRow="0" w:firstColumn="1" w:lastColumn="0" w:oddVBand="0" w:evenVBand="0" w:oddHBand="0" w:evenHBand="0" w:firstRowFirstColumn="0" w:firstRowLastColumn="0" w:lastRowFirstColumn="0" w:lastRowLastColumn="0"/>
            <w:tcW w:w="3740" w:type="dxa"/>
          </w:tcPr>
          <w:p w14:paraId="5D2B5220" w14:textId="77777777" w:rsidR="00C424E5" w:rsidRDefault="00C424E5">
            <w:r>
              <w:rPr>
                <w:b/>
              </w:rPr>
              <w:t>Contractual</w:t>
            </w:r>
          </w:p>
        </w:tc>
        <w:tc>
          <w:tcPr>
            <w:tcW w:w="794" w:type="dxa"/>
          </w:tcPr>
          <w:p w14:paraId="61FA84E4"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62C914EA"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57343909"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097CFAEB"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1AB2CB63"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79E37469" w14:textId="77777777">
        <w:tc>
          <w:tcPr>
            <w:cnfStyle w:val="001000000000" w:firstRow="0" w:lastRow="0" w:firstColumn="1" w:lastColumn="0" w:oddVBand="0" w:evenVBand="0" w:oddHBand="0" w:evenHBand="0" w:firstRowFirstColumn="0" w:firstRowLastColumn="0" w:lastRowFirstColumn="0" w:lastRowLastColumn="0"/>
            <w:tcW w:w="3740" w:type="dxa"/>
          </w:tcPr>
          <w:p w14:paraId="75DA470A" w14:textId="77777777" w:rsidR="00C424E5" w:rsidRDefault="00C424E5">
            <w:r>
              <w:t>Accounts payable</w:t>
            </w:r>
          </w:p>
        </w:tc>
        <w:tc>
          <w:tcPr>
            <w:tcW w:w="794" w:type="dxa"/>
          </w:tcPr>
          <w:p w14:paraId="51E43B2D" w14:textId="77777777" w:rsidR="00C424E5" w:rsidRDefault="00C424E5">
            <w:pPr>
              <w:cnfStyle w:val="000000000000" w:firstRow="0" w:lastRow="0" w:firstColumn="0" w:lastColumn="0" w:oddVBand="0" w:evenVBand="0" w:oddHBand="0" w:evenHBand="0" w:firstRowFirstColumn="0" w:firstRowLastColumn="0" w:lastRowFirstColumn="0" w:lastRowLastColumn="0"/>
            </w:pPr>
            <w:r>
              <w:t>836</w:t>
            </w:r>
          </w:p>
        </w:tc>
        <w:tc>
          <w:tcPr>
            <w:tcW w:w="794" w:type="dxa"/>
          </w:tcPr>
          <w:p w14:paraId="3BBF0098" w14:textId="77777777" w:rsidR="00C424E5" w:rsidRDefault="00C424E5">
            <w:pPr>
              <w:cnfStyle w:val="000000000000" w:firstRow="0" w:lastRow="0" w:firstColumn="0" w:lastColumn="0" w:oddVBand="0" w:evenVBand="0" w:oddHBand="0" w:evenHBand="0" w:firstRowFirstColumn="0" w:firstRowLastColumn="0" w:lastRowFirstColumn="0" w:lastRowLastColumn="0"/>
            </w:pPr>
            <w:r>
              <w:t>844</w:t>
            </w:r>
          </w:p>
        </w:tc>
        <w:tc>
          <w:tcPr>
            <w:tcW w:w="794" w:type="dxa"/>
          </w:tcPr>
          <w:p w14:paraId="2986997E" w14:textId="77777777" w:rsidR="00C424E5" w:rsidRDefault="00C424E5">
            <w:pPr>
              <w:cnfStyle w:val="000000000000" w:firstRow="0" w:lastRow="0" w:firstColumn="0" w:lastColumn="0" w:oddVBand="0" w:evenVBand="0" w:oddHBand="0" w:evenHBand="0" w:firstRowFirstColumn="0" w:firstRowLastColumn="0" w:lastRowFirstColumn="0" w:lastRowLastColumn="0"/>
            </w:pPr>
            <w:r>
              <w:t>866</w:t>
            </w:r>
          </w:p>
        </w:tc>
        <w:tc>
          <w:tcPr>
            <w:tcW w:w="794" w:type="dxa"/>
          </w:tcPr>
          <w:p w14:paraId="2BBB3B2F" w14:textId="77777777" w:rsidR="00C424E5" w:rsidRDefault="00C424E5">
            <w:pPr>
              <w:cnfStyle w:val="000000000000" w:firstRow="0" w:lastRow="0" w:firstColumn="0" w:lastColumn="0" w:oddVBand="0" w:evenVBand="0" w:oddHBand="0" w:evenHBand="0" w:firstRowFirstColumn="0" w:firstRowLastColumn="0" w:lastRowFirstColumn="0" w:lastRowLastColumn="0"/>
            </w:pPr>
            <w:r>
              <w:t>876</w:t>
            </w:r>
          </w:p>
        </w:tc>
        <w:tc>
          <w:tcPr>
            <w:tcW w:w="794" w:type="dxa"/>
          </w:tcPr>
          <w:p w14:paraId="48DA4DB2" w14:textId="77777777" w:rsidR="00C424E5" w:rsidRDefault="00C424E5">
            <w:pPr>
              <w:cnfStyle w:val="000000000000" w:firstRow="0" w:lastRow="0" w:firstColumn="0" w:lastColumn="0" w:oddVBand="0" w:evenVBand="0" w:oddHBand="0" w:evenHBand="0" w:firstRowFirstColumn="0" w:firstRowLastColumn="0" w:lastRowFirstColumn="0" w:lastRowLastColumn="0"/>
            </w:pPr>
            <w:r>
              <w:t>874</w:t>
            </w:r>
          </w:p>
        </w:tc>
      </w:tr>
      <w:tr w:rsidR="00C424E5" w14:paraId="232EFF2F" w14:textId="77777777">
        <w:tc>
          <w:tcPr>
            <w:cnfStyle w:val="001000000000" w:firstRow="0" w:lastRow="0" w:firstColumn="1" w:lastColumn="0" w:oddVBand="0" w:evenVBand="0" w:oddHBand="0" w:evenHBand="0" w:firstRowFirstColumn="0" w:firstRowLastColumn="0" w:lastRowFirstColumn="0" w:lastRowLastColumn="0"/>
            <w:tcW w:w="3740" w:type="dxa"/>
          </w:tcPr>
          <w:p w14:paraId="25F5DCAD" w14:textId="77777777" w:rsidR="00C424E5" w:rsidRDefault="00C424E5">
            <w:r>
              <w:t>Accrued expenses</w:t>
            </w:r>
          </w:p>
        </w:tc>
        <w:tc>
          <w:tcPr>
            <w:tcW w:w="794" w:type="dxa"/>
          </w:tcPr>
          <w:p w14:paraId="641FAE7D" w14:textId="77777777" w:rsidR="00C424E5" w:rsidRDefault="00C424E5">
            <w:pPr>
              <w:cnfStyle w:val="000000000000" w:firstRow="0" w:lastRow="0" w:firstColumn="0" w:lastColumn="0" w:oddVBand="0" w:evenVBand="0" w:oddHBand="0" w:evenHBand="0" w:firstRowFirstColumn="0" w:firstRowLastColumn="0" w:lastRowFirstColumn="0" w:lastRowLastColumn="0"/>
            </w:pPr>
            <w:r>
              <w:t>5 143</w:t>
            </w:r>
          </w:p>
        </w:tc>
        <w:tc>
          <w:tcPr>
            <w:tcW w:w="794" w:type="dxa"/>
          </w:tcPr>
          <w:p w14:paraId="2E75E2DA" w14:textId="77777777" w:rsidR="00C424E5" w:rsidRDefault="00C424E5">
            <w:pPr>
              <w:cnfStyle w:val="000000000000" w:firstRow="0" w:lastRow="0" w:firstColumn="0" w:lastColumn="0" w:oddVBand="0" w:evenVBand="0" w:oddHBand="0" w:evenHBand="0" w:firstRowFirstColumn="0" w:firstRowLastColumn="0" w:lastRowFirstColumn="0" w:lastRowLastColumn="0"/>
            </w:pPr>
            <w:r>
              <w:t>4 727</w:t>
            </w:r>
          </w:p>
        </w:tc>
        <w:tc>
          <w:tcPr>
            <w:tcW w:w="794" w:type="dxa"/>
          </w:tcPr>
          <w:p w14:paraId="7B8C9F2E" w14:textId="77777777" w:rsidR="00C424E5" w:rsidRDefault="00C424E5">
            <w:pPr>
              <w:cnfStyle w:val="000000000000" w:firstRow="0" w:lastRow="0" w:firstColumn="0" w:lastColumn="0" w:oddVBand="0" w:evenVBand="0" w:oddHBand="0" w:evenHBand="0" w:firstRowFirstColumn="0" w:firstRowLastColumn="0" w:lastRowFirstColumn="0" w:lastRowLastColumn="0"/>
            </w:pPr>
            <w:r>
              <w:t>4 704</w:t>
            </w:r>
          </w:p>
        </w:tc>
        <w:tc>
          <w:tcPr>
            <w:tcW w:w="794" w:type="dxa"/>
          </w:tcPr>
          <w:p w14:paraId="5CC3ADAE" w14:textId="77777777" w:rsidR="00C424E5" w:rsidRDefault="00C424E5">
            <w:pPr>
              <w:cnfStyle w:val="000000000000" w:firstRow="0" w:lastRow="0" w:firstColumn="0" w:lastColumn="0" w:oddVBand="0" w:evenVBand="0" w:oddHBand="0" w:evenHBand="0" w:firstRowFirstColumn="0" w:firstRowLastColumn="0" w:lastRowFirstColumn="0" w:lastRowLastColumn="0"/>
            </w:pPr>
            <w:r>
              <w:t>4 416</w:t>
            </w:r>
          </w:p>
        </w:tc>
        <w:tc>
          <w:tcPr>
            <w:tcW w:w="794" w:type="dxa"/>
          </w:tcPr>
          <w:p w14:paraId="59EAE3B8" w14:textId="77777777" w:rsidR="00C424E5" w:rsidRDefault="00C424E5">
            <w:pPr>
              <w:cnfStyle w:val="000000000000" w:firstRow="0" w:lastRow="0" w:firstColumn="0" w:lastColumn="0" w:oddVBand="0" w:evenVBand="0" w:oddHBand="0" w:evenHBand="0" w:firstRowFirstColumn="0" w:firstRowLastColumn="0" w:lastRowFirstColumn="0" w:lastRowLastColumn="0"/>
            </w:pPr>
            <w:r>
              <w:t>4 417</w:t>
            </w:r>
          </w:p>
        </w:tc>
      </w:tr>
      <w:tr w:rsidR="00C424E5" w14:paraId="3256D27C" w14:textId="77777777">
        <w:tc>
          <w:tcPr>
            <w:cnfStyle w:val="001000000000" w:firstRow="0" w:lastRow="0" w:firstColumn="1" w:lastColumn="0" w:oddVBand="0" w:evenVBand="0" w:oddHBand="0" w:evenHBand="0" w:firstRowFirstColumn="0" w:firstRowLastColumn="0" w:lastRowFirstColumn="0" w:lastRowLastColumn="0"/>
            <w:tcW w:w="3740" w:type="dxa"/>
          </w:tcPr>
          <w:p w14:paraId="5D0072C8" w14:textId="77777777" w:rsidR="00C424E5" w:rsidRDefault="00C424E5">
            <w:r>
              <w:t>Grant of a right to the operator liability</w:t>
            </w:r>
          </w:p>
        </w:tc>
        <w:tc>
          <w:tcPr>
            <w:tcW w:w="794" w:type="dxa"/>
          </w:tcPr>
          <w:p w14:paraId="75405226" w14:textId="77777777" w:rsidR="00C424E5" w:rsidRDefault="00C424E5">
            <w:pPr>
              <w:cnfStyle w:val="000000000000" w:firstRow="0" w:lastRow="0" w:firstColumn="0" w:lastColumn="0" w:oddVBand="0" w:evenVBand="0" w:oddHBand="0" w:evenHBand="0" w:firstRowFirstColumn="0" w:firstRowLastColumn="0" w:lastRowFirstColumn="0" w:lastRowLastColumn="0"/>
            </w:pPr>
            <w:r>
              <w:t>15 628</w:t>
            </w:r>
          </w:p>
        </w:tc>
        <w:tc>
          <w:tcPr>
            <w:tcW w:w="794" w:type="dxa"/>
          </w:tcPr>
          <w:p w14:paraId="3F9C606F" w14:textId="77777777" w:rsidR="00C424E5" w:rsidRDefault="00C424E5">
            <w:pPr>
              <w:cnfStyle w:val="000000000000" w:firstRow="0" w:lastRow="0" w:firstColumn="0" w:lastColumn="0" w:oddVBand="0" w:evenVBand="0" w:oddHBand="0" w:evenHBand="0" w:firstRowFirstColumn="0" w:firstRowLastColumn="0" w:lastRowFirstColumn="0" w:lastRowLastColumn="0"/>
            </w:pPr>
            <w:r>
              <w:t>19 705</w:t>
            </w:r>
          </w:p>
        </w:tc>
        <w:tc>
          <w:tcPr>
            <w:tcW w:w="794" w:type="dxa"/>
          </w:tcPr>
          <w:p w14:paraId="6D2C5A10" w14:textId="77777777" w:rsidR="00C424E5" w:rsidRDefault="00C424E5">
            <w:pPr>
              <w:cnfStyle w:val="000000000000" w:firstRow="0" w:lastRow="0" w:firstColumn="0" w:lastColumn="0" w:oddVBand="0" w:evenVBand="0" w:oddHBand="0" w:evenHBand="0" w:firstRowFirstColumn="0" w:firstRowLastColumn="0" w:lastRowFirstColumn="0" w:lastRowLastColumn="0"/>
            </w:pPr>
            <w:r>
              <w:t>20 056</w:t>
            </w:r>
          </w:p>
        </w:tc>
        <w:tc>
          <w:tcPr>
            <w:tcW w:w="794" w:type="dxa"/>
          </w:tcPr>
          <w:p w14:paraId="59880C8D" w14:textId="77777777" w:rsidR="00C424E5" w:rsidRDefault="00C424E5">
            <w:pPr>
              <w:cnfStyle w:val="000000000000" w:firstRow="0" w:lastRow="0" w:firstColumn="0" w:lastColumn="0" w:oddVBand="0" w:evenVBand="0" w:oddHBand="0" w:evenHBand="0" w:firstRowFirstColumn="0" w:firstRowLastColumn="0" w:lastRowFirstColumn="0" w:lastRowLastColumn="0"/>
            </w:pPr>
            <w:r>
              <w:t>19 924</w:t>
            </w:r>
          </w:p>
        </w:tc>
        <w:tc>
          <w:tcPr>
            <w:tcW w:w="794" w:type="dxa"/>
          </w:tcPr>
          <w:p w14:paraId="53565710" w14:textId="77777777" w:rsidR="00C424E5" w:rsidRDefault="00C424E5">
            <w:pPr>
              <w:cnfStyle w:val="000000000000" w:firstRow="0" w:lastRow="0" w:firstColumn="0" w:lastColumn="0" w:oddVBand="0" w:evenVBand="0" w:oddHBand="0" w:evenHBand="0" w:firstRowFirstColumn="0" w:firstRowLastColumn="0" w:lastRowFirstColumn="0" w:lastRowLastColumn="0"/>
            </w:pPr>
            <w:r>
              <w:t>19 402</w:t>
            </w:r>
          </w:p>
        </w:tc>
      </w:tr>
      <w:tr w:rsidR="00C424E5" w14:paraId="68A955C3" w14:textId="77777777">
        <w:tc>
          <w:tcPr>
            <w:cnfStyle w:val="001000000000" w:firstRow="0" w:lastRow="0" w:firstColumn="1" w:lastColumn="0" w:oddVBand="0" w:evenVBand="0" w:oddHBand="0" w:evenHBand="0" w:firstRowFirstColumn="0" w:firstRowLastColumn="0" w:lastRowFirstColumn="0" w:lastRowLastColumn="0"/>
            <w:tcW w:w="3740" w:type="dxa"/>
          </w:tcPr>
          <w:p w14:paraId="47D5B870" w14:textId="77777777" w:rsidR="00C424E5" w:rsidRDefault="00C424E5">
            <w:r>
              <w:t>Unearned income</w:t>
            </w:r>
          </w:p>
        </w:tc>
        <w:tc>
          <w:tcPr>
            <w:tcW w:w="794" w:type="dxa"/>
          </w:tcPr>
          <w:p w14:paraId="6D116EE9" w14:textId="77777777" w:rsidR="00C424E5" w:rsidRDefault="00C424E5">
            <w:pPr>
              <w:cnfStyle w:val="000000000000" w:firstRow="0" w:lastRow="0" w:firstColumn="0" w:lastColumn="0" w:oddVBand="0" w:evenVBand="0" w:oddHBand="0" w:evenHBand="0" w:firstRowFirstColumn="0" w:firstRowLastColumn="0" w:lastRowFirstColumn="0" w:lastRowLastColumn="0"/>
            </w:pPr>
            <w:r>
              <w:t>629</w:t>
            </w:r>
          </w:p>
        </w:tc>
        <w:tc>
          <w:tcPr>
            <w:tcW w:w="794" w:type="dxa"/>
          </w:tcPr>
          <w:p w14:paraId="50D8D2C2" w14:textId="77777777" w:rsidR="00C424E5" w:rsidRDefault="00C424E5">
            <w:pPr>
              <w:cnfStyle w:val="000000000000" w:firstRow="0" w:lastRow="0" w:firstColumn="0" w:lastColumn="0" w:oddVBand="0" w:evenVBand="0" w:oddHBand="0" w:evenHBand="0" w:firstRowFirstColumn="0" w:firstRowLastColumn="0" w:lastRowFirstColumn="0" w:lastRowLastColumn="0"/>
            </w:pPr>
            <w:r>
              <w:t>649</w:t>
            </w:r>
          </w:p>
        </w:tc>
        <w:tc>
          <w:tcPr>
            <w:tcW w:w="794" w:type="dxa"/>
          </w:tcPr>
          <w:p w14:paraId="291A4EE5" w14:textId="77777777" w:rsidR="00C424E5" w:rsidRDefault="00C424E5">
            <w:pPr>
              <w:cnfStyle w:val="000000000000" w:firstRow="0" w:lastRow="0" w:firstColumn="0" w:lastColumn="0" w:oddVBand="0" w:evenVBand="0" w:oddHBand="0" w:evenHBand="0" w:firstRowFirstColumn="0" w:firstRowLastColumn="0" w:lastRowFirstColumn="0" w:lastRowLastColumn="0"/>
            </w:pPr>
            <w:r>
              <w:t>596</w:t>
            </w:r>
          </w:p>
        </w:tc>
        <w:tc>
          <w:tcPr>
            <w:tcW w:w="794" w:type="dxa"/>
          </w:tcPr>
          <w:p w14:paraId="715168AD" w14:textId="77777777" w:rsidR="00C424E5" w:rsidRDefault="00C424E5">
            <w:pPr>
              <w:cnfStyle w:val="000000000000" w:firstRow="0" w:lastRow="0" w:firstColumn="0" w:lastColumn="0" w:oddVBand="0" w:evenVBand="0" w:oddHBand="0" w:evenHBand="0" w:firstRowFirstColumn="0" w:firstRowLastColumn="0" w:lastRowFirstColumn="0" w:lastRowLastColumn="0"/>
            </w:pPr>
            <w:r>
              <w:t>545</w:t>
            </w:r>
          </w:p>
        </w:tc>
        <w:tc>
          <w:tcPr>
            <w:tcW w:w="794" w:type="dxa"/>
          </w:tcPr>
          <w:p w14:paraId="5B29AB9C" w14:textId="77777777" w:rsidR="00C424E5" w:rsidRDefault="00C424E5">
            <w:pPr>
              <w:cnfStyle w:val="000000000000" w:firstRow="0" w:lastRow="0" w:firstColumn="0" w:lastColumn="0" w:oddVBand="0" w:evenVBand="0" w:oddHBand="0" w:evenHBand="0" w:firstRowFirstColumn="0" w:firstRowLastColumn="0" w:lastRowFirstColumn="0" w:lastRowLastColumn="0"/>
            </w:pPr>
            <w:r>
              <w:t>495</w:t>
            </w:r>
          </w:p>
        </w:tc>
      </w:tr>
      <w:tr w:rsidR="00C424E5" w14:paraId="342A95E3" w14:textId="77777777">
        <w:tc>
          <w:tcPr>
            <w:cnfStyle w:val="001000000000" w:firstRow="0" w:lastRow="0" w:firstColumn="1" w:lastColumn="0" w:oddVBand="0" w:evenVBand="0" w:oddHBand="0" w:evenHBand="0" w:firstRowFirstColumn="0" w:firstRowLastColumn="0" w:lastRowFirstColumn="0" w:lastRowLastColumn="0"/>
            <w:tcW w:w="3740" w:type="dxa"/>
          </w:tcPr>
          <w:p w14:paraId="434C0EBA" w14:textId="77777777" w:rsidR="00C424E5" w:rsidRDefault="00C424E5">
            <w:r>
              <w:rPr>
                <w:b/>
              </w:rPr>
              <w:t>Statutory</w:t>
            </w:r>
          </w:p>
        </w:tc>
        <w:tc>
          <w:tcPr>
            <w:tcW w:w="794" w:type="dxa"/>
          </w:tcPr>
          <w:p w14:paraId="57DDDD32"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757BA904"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24100733"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15F0F60A"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581B8E2F"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7F07C1F8" w14:textId="77777777">
        <w:tc>
          <w:tcPr>
            <w:cnfStyle w:val="001000000000" w:firstRow="0" w:lastRow="0" w:firstColumn="1" w:lastColumn="0" w:oddVBand="0" w:evenVBand="0" w:oddHBand="0" w:evenHBand="0" w:firstRowFirstColumn="0" w:firstRowLastColumn="0" w:lastRowFirstColumn="0" w:lastRowLastColumn="0"/>
            <w:tcW w:w="3740" w:type="dxa"/>
          </w:tcPr>
          <w:p w14:paraId="60C5061F" w14:textId="77777777" w:rsidR="00C424E5" w:rsidRDefault="00C424E5">
            <w:r>
              <w:t>Accrued taxes payable</w:t>
            </w:r>
          </w:p>
        </w:tc>
        <w:tc>
          <w:tcPr>
            <w:tcW w:w="794" w:type="dxa"/>
          </w:tcPr>
          <w:p w14:paraId="0188B93E" w14:textId="77777777" w:rsidR="00C424E5" w:rsidRDefault="00C424E5">
            <w:pPr>
              <w:cnfStyle w:val="000000000000" w:firstRow="0" w:lastRow="0" w:firstColumn="0" w:lastColumn="0" w:oddVBand="0" w:evenVBand="0" w:oddHBand="0" w:evenHBand="0" w:firstRowFirstColumn="0" w:firstRowLastColumn="0" w:lastRowFirstColumn="0" w:lastRowLastColumn="0"/>
            </w:pPr>
            <w:r>
              <w:t>69</w:t>
            </w:r>
          </w:p>
        </w:tc>
        <w:tc>
          <w:tcPr>
            <w:tcW w:w="794" w:type="dxa"/>
          </w:tcPr>
          <w:p w14:paraId="75373B2A" w14:textId="77777777" w:rsidR="00C424E5" w:rsidRDefault="00C424E5">
            <w:pPr>
              <w:cnfStyle w:val="000000000000" w:firstRow="0" w:lastRow="0" w:firstColumn="0" w:lastColumn="0" w:oddVBand="0" w:evenVBand="0" w:oddHBand="0" w:evenHBand="0" w:firstRowFirstColumn="0" w:firstRowLastColumn="0" w:lastRowFirstColumn="0" w:lastRowLastColumn="0"/>
            </w:pPr>
            <w:r>
              <w:t>71</w:t>
            </w:r>
          </w:p>
        </w:tc>
        <w:tc>
          <w:tcPr>
            <w:tcW w:w="794" w:type="dxa"/>
          </w:tcPr>
          <w:p w14:paraId="62E5AA93" w14:textId="77777777" w:rsidR="00C424E5" w:rsidRDefault="00C424E5">
            <w:pPr>
              <w:cnfStyle w:val="000000000000" w:firstRow="0" w:lastRow="0" w:firstColumn="0" w:lastColumn="0" w:oddVBand="0" w:evenVBand="0" w:oddHBand="0" w:evenHBand="0" w:firstRowFirstColumn="0" w:firstRowLastColumn="0" w:lastRowFirstColumn="0" w:lastRowLastColumn="0"/>
            </w:pPr>
            <w:r>
              <w:t>70</w:t>
            </w:r>
          </w:p>
        </w:tc>
        <w:tc>
          <w:tcPr>
            <w:tcW w:w="794" w:type="dxa"/>
          </w:tcPr>
          <w:p w14:paraId="1FCDB993" w14:textId="77777777" w:rsidR="00C424E5" w:rsidRDefault="00C424E5">
            <w:pPr>
              <w:cnfStyle w:val="000000000000" w:firstRow="0" w:lastRow="0" w:firstColumn="0" w:lastColumn="0" w:oddVBand="0" w:evenVBand="0" w:oddHBand="0" w:evenHBand="0" w:firstRowFirstColumn="0" w:firstRowLastColumn="0" w:lastRowFirstColumn="0" w:lastRowLastColumn="0"/>
            </w:pPr>
            <w:r>
              <w:t>71</w:t>
            </w:r>
          </w:p>
        </w:tc>
        <w:tc>
          <w:tcPr>
            <w:tcW w:w="794" w:type="dxa"/>
          </w:tcPr>
          <w:p w14:paraId="3254ECA8" w14:textId="77777777" w:rsidR="00C424E5" w:rsidRDefault="00C424E5">
            <w:pPr>
              <w:cnfStyle w:val="000000000000" w:firstRow="0" w:lastRow="0" w:firstColumn="0" w:lastColumn="0" w:oddVBand="0" w:evenVBand="0" w:oddHBand="0" w:evenHBand="0" w:firstRowFirstColumn="0" w:firstRowLastColumn="0" w:lastRowFirstColumn="0" w:lastRowLastColumn="0"/>
            </w:pPr>
            <w:r>
              <w:t>71</w:t>
            </w:r>
          </w:p>
        </w:tc>
      </w:tr>
      <w:tr w:rsidR="00C424E5" w14:paraId="5D46656F" w14:textId="77777777">
        <w:tc>
          <w:tcPr>
            <w:cnfStyle w:val="001000000000" w:firstRow="0" w:lastRow="0" w:firstColumn="1" w:lastColumn="0" w:oddVBand="0" w:evenVBand="0" w:oddHBand="0" w:evenHBand="0" w:firstRowFirstColumn="0" w:firstRowLastColumn="0" w:lastRowFirstColumn="0" w:lastRowLastColumn="0"/>
            <w:tcW w:w="3740" w:type="dxa"/>
          </w:tcPr>
          <w:p w14:paraId="67A9383C" w14:textId="77777777" w:rsidR="00C424E5" w:rsidRDefault="00C424E5">
            <w:r>
              <w:t>Unearned income</w:t>
            </w:r>
          </w:p>
        </w:tc>
        <w:tc>
          <w:tcPr>
            <w:tcW w:w="794" w:type="dxa"/>
          </w:tcPr>
          <w:p w14:paraId="61DF3A6D" w14:textId="77777777" w:rsidR="00C424E5" w:rsidRDefault="00C424E5">
            <w:pPr>
              <w:cnfStyle w:val="000000000000" w:firstRow="0" w:lastRow="0" w:firstColumn="0" w:lastColumn="0" w:oddVBand="0" w:evenVBand="0" w:oddHBand="0" w:evenHBand="0" w:firstRowFirstColumn="0" w:firstRowLastColumn="0" w:lastRowFirstColumn="0" w:lastRowLastColumn="0"/>
            </w:pPr>
            <w:r>
              <w:t>423</w:t>
            </w:r>
          </w:p>
        </w:tc>
        <w:tc>
          <w:tcPr>
            <w:tcW w:w="794" w:type="dxa"/>
          </w:tcPr>
          <w:p w14:paraId="4BD13F43" w14:textId="77777777" w:rsidR="00C424E5" w:rsidRDefault="00C424E5">
            <w:pPr>
              <w:cnfStyle w:val="000000000000" w:firstRow="0" w:lastRow="0" w:firstColumn="0" w:lastColumn="0" w:oddVBand="0" w:evenVBand="0" w:oddHBand="0" w:evenHBand="0" w:firstRowFirstColumn="0" w:firstRowLastColumn="0" w:lastRowFirstColumn="0" w:lastRowLastColumn="0"/>
            </w:pPr>
            <w:r>
              <w:t>421</w:t>
            </w:r>
          </w:p>
        </w:tc>
        <w:tc>
          <w:tcPr>
            <w:tcW w:w="794" w:type="dxa"/>
          </w:tcPr>
          <w:p w14:paraId="3574DB1C" w14:textId="77777777" w:rsidR="00C424E5" w:rsidRDefault="00C424E5">
            <w:pPr>
              <w:cnfStyle w:val="000000000000" w:firstRow="0" w:lastRow="0" w:firstColumn="0" w:lastColumn="0" w:oddVBand="0" w:evenVBand="0" w:oddHBand="0" w:evenHBand="0" w:firstRowFirstColumn="0" w:firstRowLastColumn="0" w:lastRowFirstColumn="0" w:lastRowLastColumn="0"/>
            </w:pPr>
            <w:r>
              <w:t>350</w:t>
            </w:r>
          </w:p>
        </w:tc>
        <w:tc>
          <w:tcPr>
            <w:tcW w:w="794" w:type="dxa"/>
          </w:tcPr>
          <w:p w14:paraId="5F069EFB" w14:textId="77777777" w:rsidR="00C424E5" w:rsidRDefault="00C424E5">
            <w:pPr>
              <w:cnfStyle w:val="000000000000" w:firstRow="0" w:lastRow="0" w:firstColumn="0" w:lastColumn="0" w:oddVBand="0" w:evenVBand="0" w:oddHBand="0" w:evenHBand="0" w:firstRowFirstColumn="0" w:firstRowLastColumn="0" w:lastRowFirstColumn="0" w:lastRowLastColumn="0"/>
            </w:pPr>
            <w:r>
              <w:t>278</w:t>
            </w:r>
          </w:p>
        </w:tc>
        <w:tc>
          <w:tcPr>
            <w:tcW w:w="794" w:type="dxa"/>
          </w:tcPr>
          <w:p w14:paraId="1C0DECE9" w14:textId="77777777" w:rsidR="00C424E5" w:rsidRDefault="00C424E5">
            <w:pPr>
              <w:cnfStyle w:val="000000000000" w:firstRow="0" w:lastRow="0" w:firstColumn="0" w:lastColumn="0" w:oddVBand="0" w:evenVBand="0" w:oddHBand="0" w:evenHBand="0" w:firstRowFirstColumn="0" w:firstRowLastColumn="0" w:lastRowFirstColumn="0" w:lastRowLastColumn="0"/>
            </w:pPr>
            <w:r>
              <w:t>206</w:t>
            </w:r>
          </w:p>
        </w:tc>
      </w:tr>
      <w:tr w:rsidR="00C424E5" w14:paraId="03442257" w14:textId="77777777">
        <w:tc>
          <w:tcPr>
            <w:cnfStyle w:val="001000000000" w:firstRow="0" w:lastRow="0" w:firstColumn="1" w:lastColumn="0" w:oddVBand="0" w:evenVBand="0" w:oddHBand="0" w:evenHBand="0" w:firstRowFirstColumn="0" w:firstRowLastColumn="0" w:lastRowFirstColumn="0" w:lastRowLastColumn="0"/>
            <w:tcW w:w="3740" w:type="dxa"/>
          </w:tcPr>
          <w:p w14:paraId="70AE3567" w14:textId="77777777" w:rsidR="00C424E5" w:rsidRDefault="00C424E5">
            <w:r>
              <w:rPr>
                <w:b/>
              </w:rPr>
              <w:t>Other</w:t>
            </w:r>
          </w:p>
        </w:tc>
        <w:tc>
          <w:tcPr>
            <w:tcW w:w="794" w:type="dxa"/>
          </w:tcPr>
          <w:p w14:paraId="6643A7B4"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4C8584D3"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394563BA"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360F9E94"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10435C99"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03C3F984"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67E62564" w14:textId="77777777" w:rsidR="00C424E5" w:rsidRDefault="00C424E5">
            <w:r>
              <w:t>Contract liabilities</w:t>
            </w:r>
          </w:p>
        </w:tc>
        <w:tc>
          <w:tcPr>
            <w:tcW w:w="794" w:type="dxa"/>
            <w:tcBorders>
              <w:bottom w:val="single" w:sz="6" w:space="0" w:color="auto"/>
            </w:tcBorders>
          </w:tcPr>
          <w:p w14:paraId="0335599B" w14:textId="77777777" w:rsidR="00C424E5" w:rsidRDefault="00C424E5">
            <w:pPr>
              <w:cnfStyle w:val="000000000000" w:firstRow="0" w:lastRow="0" w:firstColumn="0" w:lastColumn="0" w:oddVBand="0" w:evenVBand="0" w:oddHBand="0" w:evenHBand="0" w:firstRowFirstColumn="0" w:firstRowLastColumn="0" w:lastRowFirstColumn="0" w:lastRowLastColumn="0"/>
            </w:pPr>
            <w:r>
              <w:t>304</w:t>
            </w:r>
          </w:p>
        </w:tc>
        <w:tc>
          <w:tcPr>
            <w:tcW w:w="794" w:type="dxa"/>
            <w:tcBorders>
              <w:bottom w:val="single" w:sz="6" w:space="0" w:color="auto"/>
            </w:tcBorders>
          </w:tcPr>
          <w:p w14:paraId="30BB457C" w14:textId="77777777" w:rsidR="00C424E5" w:rsidRDefault="00C424E5">
            <w:pPr>
              <w:cnfStyle w:val="000000000000" w:firstRow="0" w:lastRow="0" w:firstColumn="0" w:lastColumn="0" w:oddVBand="0" w:evenVBand="0" w:oddHBand="0" w:evenHBand="0" w:firstRowFirstColumn="0" w:firstRowLastColumn="0" w:lastRowFirstColumn="0" w:lastRowLastColumn="0"/>
            </w:pPr>
            <w:r>
              <w:t>338</w:t>
            </w:r>
          </w:p>
        </w:tc>
        <w:tc>
          <w:tcPr>
            <w:tcW w:w="794" w:type="dxa"/>
            <w:tcBorders>
              <w:bottom w:val="single" w:sz="6" w:space="0" w:color="auto"/>
            </w:tcBorders>
          </w:tcPr>
          <w:p w14:paraId="1B65660A" w14:textId="77777777" w:rsidR="00C424E5" w:rsidRDefault="00C424E5">
            <w:pPr>
              <w:cnfStyle w:val="000000000000" w:firstRow="0" w:lastRow="0" w:firstColumn="0" w:lastColumn="0" w:oddVBand="0" w:evenVBand="0" w:oddHBand="0" w:evenHBand="0" w:firstRowFirstColumn="0" w:firstRowLastColumn="0" w:lastRowFirstColumn="0" w:lastRowLastColumn="0"/>
            </w:pPr>
            <w:r>
              <w:t>310</w:t>
            </w:r>
          </w:p>
        </w:tc>
        <w:tc>
          <w:tcPr>
            <w:tcW w:w="794" w:type="dxa"/>
            <w:tcBorders>
              <w:bottom w:val="single" w:sz="6" w:space="0" w:color="auto"/>
            </w:tcBorders>
          </w:tcPr>
          <w:p w14:paraId="1C085CC2" w14:textId="77777777" w:rsidR="00C424E5" w:rsidRDefault="00C424E5">
            <w:pPr>
              <w:cnfStyle w:val="000000000000" w:firstRow="0" w:lastRow="0" w:firstColumn="0" w:lastColumn="0" w:oddVBand="0" w:evenVBand="0" w:oddHBand="0" w:evenHBand="0" w:firstRowFirstColumn="0" w:firstRowLastColumn="0" w:lastRowFirstColumn="0" w:lastRowLastColumn="0"/>
            </w:pPr>
            <w:r>
              <w:t>297</w:t>
            </w:r>
          </w:p>
        </w:tc>
        <w:tc>
          <w:tcPr>
            <w:tcW w:w="794" w:type="dxa"/>
            <w:tcBorders>
              <w:bottom w:val="single" w:sz="6" w:space="0" w:color="auto"/>
            </w:tcBorders>
          </w:tcPr>
          <w:p w14:paraId="07DB5120" w14:textId="77777777" w:rsidR="00C424E5" w:rsidRDefault="00C424E5">
            <w:pPr>
              <w:cnfStyle w:val="000000000000" w:firstRow="0" w:lastRow="0" w:firstColumn="0" w:lastColumn="0" w:oddVBand="0" w:evenVBand="0" w:oddHBand="0" w:evenHBand="0" w:firstRowFirstColumn="0" w:firstRowLastColumn="0" w:lastRowFirstColumn="0" w:lastRowLastColumn="0"/>
            </w:pPr>
            <w:r>
              <w:t>293</w:t>
            </w:r>
          </w:p>
        </w:tc>
      </w:tr>
      <w:tr w:rsidR="00C424E5" w14:paraId="51D47AC6"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1047FBF9" w14:textId="77777777" w:rsidR="00C424E5" w:rsidRDefault="00C424E5">
            <w:r>
              <w:rPr>
                <w:b/>
              </w:rPr>
              <w:t>Total payables and contract liabilities</w:t>
            </w:r>
          </w:p>
        </w:tc>
        <w:tc>
          <w:tcPr>
            <w:tcW w:w="794" w:type="dxa"/>
            <w:tcBorders>
              <w:top w:val="single" w:sz="6" w:space="0" w:color="auto"/>
              <w:bottom w:val="single" w:sz="12" w:space="0" w:color="auto"/>
            </w:tcBorders>
          </w:tcPr>
          <w:p w14:paraId="349A29B8"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23 033</w:t>
            </w:r>
          </w:p>
        </w:tc>
        <w:tc>
          <w:tcPr>
            <w:tcW w:w="794" w:type="dxa"/>
            <w:tcBorders>
              <w:top w:val="single" w:sz="6" w:space="0" w:color="auto"/>
              <w:bottom w:val="single" w:sz="12" w:space="0" w:color="auto"/>
            </w:tcBorders>
          </w:tcPr>
          <w:p w14:paraId="193F3C68"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26 754</w:t>
            </w:r>
          </w:p>
        </w:tc>
        <w:tc>
          <w:tcPr>
            <w:tcW w:w="794" w:type="dxa"/>
            <w:tcBorders>
              <w:top w:val="single" w:sz="6" w:space="0" w:color="auto"/>
              <w:bottom w:val="single" w:sz="12" w:space="0" w:color="auto"/>
            </w:tcBorders>
          </w:tcPr>
          <w:p w14:paraId="29FD1CFA"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26 952</w:t>
            </w:r>
          </w:p>
        </w:tc>
        <w:tc>
          <w:tcPr>
            <w:tcW w:w="794" w:type="dxa"/>
            <w:tcBorders>
              <w:top w:val="single" w:sz="6" w:space="0" w:color="auto"/>
              <w:bottom w:val="single" w:sz="12" w:space="0" w:color="auto"/>
            </w:tcBorders>
          </w:tcPr>
          <w:p w14:paraId="6E4D6953"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26 407</w:t>
            </w:r>
          </w:p>
        </w:tc>
        <w:tc>
          <w:tcPr>
            <w:tcW w:w="794" w:type="dxa"/>
            <w:tcBorders>
              <w:top w:val="single" w:sz="6" w:space="0" w:color="auto"/>
              <w:bottom w:val="single" w:sz="12" w:space="0" w:color="auto"/>
            </w:tcBorders>
          </w:tcPr>
          <w:p w14:paraId="2ACE926F"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25 758</w:t>
            </w:r>
          </w:p>
        </w:tc>
      </w:tr>
      <w:tr w:rsidR="00C424E5" w14:paraId="6377788A"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5F76DE96" w14:textId="77777777" w:rsidR="00C424E5" w:rsidRDefault="00C424E5">
            <w:r>
              <w:rPr>
                <w:b/>
              </w:rPr>
              <w:t>Represented by:</w:t>
            </w:r>
          </w:p>
        </w:tc>
        <w:tc>
          <w:tcPr>
            <w:tcW w:w="794" w:type="dxa"/>
            <w:tcBorders>
              <w:top w:val="single" w:sz="6" w:space="0" w:color="auto"/>
            </w:tcBorders>
          </w:tcPr>
          <w:p w14:paraId="6E460678"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0F730B9A"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4B90DCE6"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0F77481D"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6E162ADE"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48EB2DB7" w14:textId="77777777">
        <w:tc>
          <w:tcPr>
            <w:cnfStyle w:val="001000000000" w:firstRow="0" w:lastRow="0" w:firstColumn="1" w:lastColumn="0" w:oddVBand="0" w:evenVBand="0" w:oddHBand="0" w:evenHBand="0" w:firstRowFirstColumn="0" w:firstRowLastColumn="0" w:lastRowFirstColumn="0" w:lastRowLastColumn="0"/>
            <w:tcW w:w="3740" w:type="dxa"/>
          </w:tcPr>
          <w:p w14:paraId="79582391" w14:textId="77777777" w:rsidR="00C424E5" w:rsidRDefault="00C424E5">
            <w:r>
              <w:t>Current payables and contract liabilities</w:t>
            </w:r>
          </w:p>
        </w:tc>
        <w:tc>
          <w:tcPr>
            <w:tcW w:w="794" w:type="dxa"/>
          </w:tcPr>
          <w:p w14:paraId="45595EEC" w14:textId="77777777" w:rsidR="00C424E5" w:rsidRDefault="00C424E5">
            <w:pPr>
              <w:cnfStyle w:val="000000000000" w:firstRow="0" w:lastRow="0" w:firstColumn="0" w:lastColumn="0" w:oddVBand="0" w:evenVBand="0" w:oddHBand="0" w:evenHBand="0" w:firstRowFirstColumn="0" w:firstRowLastColumn="0" w:lastRowFirstColumn="0" w:lastRowLastColumn="0"/>
            </w:pPr>
            <w:r>
              <w:t>7 246</w:t>
            </w:r>
          </w:p>
        </w:tc>
        <w:tc>
          <w:tcPr>
            <w:tcW w:w="794" w:type="dxa"/>
          </w:tcPr>
          <w:p w14:paraId="109B5748" w14:textId="77777777" w:rsidR="00C424E5" w:rsidRDefault="00C424E5">
            <w:pPr>
              <w:cnfStyle w:val="000000000000" w:firstRow="0" w:lastRow="0" w:firstColumn="0" w:lastColumn="0" w:oddVBand="0" w:evenVBand="0" w:oddHBand="0" w:evenHBand="0" w:firstRowFirstColumn="0" w:firstRowLastColumn="0" w:lastRowFirstColumn="0" w:lastRowLastColumn="0"/>
            </w:pPr>
            <w:r>
              <w:t>7 001</w:t>
            </w:r>
          </w:p>
        </w:tc>
        <w:tc>
          <w:tcPr>
            <w:tcW w:w="794" w:type="dxa"/>
          </w:tcPr>
          <w:p w14:paraId="32702CF0" w14:textId="77777777" w:rsidR="00C424E5" w:rsidRDefault="00C424E5">
            <w:pPr>
              <w:cnfStyle w:val="000000000000" w:firstRow="0" w:lastRow="0" w:firstColumn="0" w:lastColumn="0" w:oddVBand="0" w:evenVBand="0" w:oddHBand="0" w:evenHBand="0" w:firstRowFirstColumn="0" w:firstRowLastColumn="0" w:lastRowFirstColumn="0" w:lastRowLastColumn="0"/>
            </w:pPr>
            <w:r>
              <w:t>6 919</w:t>
            </w:r>
          </w:p>
        </w:tc>
        <w:tc>
          <w:tcPr>
            <w:tcW w:w="794" w:type="dxa"/>
          </w:tcPr>
          <w:p w14:paraId="1478CD7B" w14:textId="77777777" w:rsidR="00C424E5" w:rsidRDefault="00C424E5">
            <w:pPr>
              <w:cnfStyle w:val="000000000000" w:firstRow="0" w:lastRow="0" w:firstColumn="0" w:lastColumn="0" w:oddVBand="0" w:evenVBand="0" w:oddHBand="0" w:evenHBand="0" w:firstRowFirstColumn="0" w:firstRowLastColumn="0" w:lastRowFirstColumn="0" w:lastRowLastColumn="0"/>
            </w:pPr>
            <w:r>
              <w:t>6 570</w:t>
            </w:r>
          </w:p>
        </w:tc>
        <w:tc>
          <w:tcPr>
            <w:tcW w:w="794" w:type="dxa"/>
          </w:tcPr>
          <w:p w14:paraId="796F9670" w14:textId="77777777" w:rsidR="00C424E5" w:rsidRDefault="00C424E5">
            <w:pPr>
              <w:cnfStyle w:val="000000000000" w:firstRow="0" w:lastRow="0" w:firstColumn="0" w:lastColumn="0" w:oddVBand="0" w:evenVBand="0" w:oddHBand="0" w:evenHBand="0" w:firstRowFirstColumn="0" w:firstRowLastColumn="0" w:lastRowFirstColumn="0" w:lastRowLastColumn="0"/>
            </w:pPr>
            <w:r>
              <w:t>6 502</w:t>
            </w:r>
          </w:p>
        </w:tc>
      </w:tr>
      <w:tr w:rsidR="00C424E5" w14:paraId="553B131F" w14:textId="77777777">
        <w:tc>
          <w:tcPr>
            <w:cnfStyle w:val="001000000000" w:firstRow="0" w:lastRow="0" w:firstColumn="1" w:lastColumn="0" w:oddVBand="0" w:evenVBand="0" w:oddHBand="0" w:evenHBand="0" w:firstRowFirstColumn="0" w:firstRowLastColumn="0" w:lastRowFirstColumn="0" w:lastRowLastColumn="0"/>
            <w:tcW w:w="3740" w:type="dxa"/>
          </w:tcPr>
          <w:p w14:paraId="01459608" w14:textId="77777777" w:rsidR="00C424E5" w:rsidRDefault="00C424E5">
            <w:r>
              <w:t>Non</w:t>
            </w:r>
            <w:r>
              <w:noBreakHyphen/>
              <w:t>current payables and contract liabilities</w:t>
            </w:r>
          </w:p>
        </w:tc>
        <w:tc>
          <w:tcPr>
            <w:tcW w:w="794" w:type="dxa"/>
          </w:tcPr>
          <w:p w14:paraId="65996E7F" w14:textId="77777777" w:rsidR="00C424E5" w:rsidRDefault="00C424E5">
            <w:pPr>
              <w:cnfStyle w:val="000000000000" w:firstRow="0" w:lastRow="0" w:firstColumn="0" w:lastColumn="0" w:oddVBand="0" w:evenVBand="0" w:oddHBand="0" w:evenHBand="0" w:firstRowFirstColumn="0" w:firstRowLastColumn="0" w:lastRowFirstColumn="0" w:lastRowLastColumn="0"/>
            </w:pPr>
            <w:r>
              <w:t>15 787</w:t>
            </w:r>
          </w:p>
        </w:tc>
        <w:tc>
          <w:tcPr>
            <w:tcW w:w="794" w:type="dxa"/>
          </w:tcPr>
          <w:p w14:paraId="4A30E3D1" w14:textId="77777777" w:rsidR="00C424E5" w:rsidRDefault="00C424E5">
            <w:pPr>
              <w:cnfStyle w:val="000000000000" w:firstRow="0" w:lastRow="0" w:firstColumn="0" w:lastColumn="0" w:oddVBand="0" w:evenVBand="0" w:oddHBand="0" w:evenHBand="0" w:firstRowFirstColumn="0" w:firstRowLastColumn="0" w:lastRowFirstColumn="0" w:lastRowLastColumn="0"/>
            </w:pPr>
            <w:r>
              <w:t>19 753</w:t>
            </w:r>
          </w:p>
        </w:tc>
        <w:tc>
          <w:tcPr>
            <w:tcW w:w="794" w:type="dxa"/>
          </w:tcPr>
          <w:p w14:paraId="50A09A86" w14:textId="77777777" w:rsidR="00C424E5" w:rsidRDefault="00C424E5">
            <w:pPr>
              <w:cnfStyle w:val="000000000000" w:firstRow="0" w:lastRow="0" w:firstColumn="0" w:lastColumn="0" w:oddVBand="0" w:evenVBand="0" w:oddHBand="0" w:evenHBand="0" w:firstRowFirstColumn="0" w:firstRowLastColumn="0" w:lastRowFirstColumn="0" w:lastRowLastColumn="0"/>
            </w:pPr>
            <w:r>
              <w:t>20 033</w:t>
            </w:r>
          </w:p>
        </w:tc>
        <w:tc>
          <w:tcPr>
            <w:tcW w:w="794" w:type="dxa"/>
          </w:tcPr>
          <w:p w14:paraId="3C54D91A" w14:textId="77777777" w:rsidR="00C424E5" w:rsidRDefault="00C424E5">
            <w:pPr>
              <w:cnfStyle w:val="000000000000" w:firstRow="0" w:lastRow="0" w:firstColumn="0" w:lastColumn="0" w:oddVBand="0" w:evenVBand="0" w:oddHBand="0" w:evenHBand="0" w:firstRowFirstColumn="0" w:firstRowLastColumn="0" w:lastRowFirstColumn="0" w:lastRowLastColumn="0"/>
            </w:pPr>
            <w:r>
              <w:t>19 837</w:t>
            </w:r>
          </w:p>
        </w:tc>
        <w:tc>
          <w:tcPr>
            <w:tcW w:w="794" w:type="dxa"/>
          </w:tcPr>
          <w:p w14:paraId="1E198CCB" w14:textId="54436574" w:rsidR="00C424E5" w:rsidRDefault="00C424E5">
            <w:pPr>
              <w:cnfStyle w:val="000000000000" w:firstRow="0" w:lastRow="0" w:firstColumn="0" w:lastColumn="0" w:oddVBand="0" w:evenVBand="0" w:oddHBand="0" w:evenHBand="0" w:firstRowFirstColumn="0" w:firstRowLastColumn="0" w:lastRowFirstColumn="0" w:lastRowLastColumn="0"/>
            </w:pPr>
            <w:r>
              <w:t>19 257</w:t>
            </w:r>
          </w:p>
        </w:tc>
      </w:tr>
    </w:tbl>
    <w:p w14:paraId="5659821F" w14:textId="77777777" w:rsidR="00C424E5" w:rsidRPr="006A44AB" w:rsidRDefault="00C424E5" w:rsidP="006A44AB"/>
    <w:p w14:paraId="42E1D4C0" w14:textId="77777777" w:rsidR="00C424E5" w:rsidRDefault="00C424E5" w:rsidP="006206EF"/>
    <w:p w14:paraId="6CAB9C65" w14:textId="77777777" w:rsidR="00C424E5" w:rsidRDefault="00C424E5" w:rsidP="006206EF">
      <w:r>
        <w:br w:type="page"/>
      </w:r>
    </w:p>
    <w:p w14:paraId="0E9BB5F2" w14:textId="77777777" w:rsidR="00C424E5" w:rsidRPr="00D02438" w:rsidRDefault="00C424E5" w:rsidP="006206EF">
      <w:pPr>
        <w:pStyle w:val="Heading3"/>
      </w:pPr>
      <w:bookmarkStart w:id="83" w:name="_Toc117172497"/>
      <w:r w:rsidRPr="00D02438">
        <w:lastRenderedPageBreak/>
        <w:t>Superannuation</w:t>
      </w:r>
      <w:bookmarkEnd w:id="83"/>
    </w:p>
    <w:p w14:paraId="069FC415" w14:textId="77777777" w:rsidR="00C424E5" w:rsidRDefault="00C424E5" w:rsidP="006206EF">
      <w:pPr>
        <w:pStyle w:val="TableHeading"/>
      </w:pPr>
      <w:r w:rsidRPr="00D02438">
        <w:t>Reconciliation of the superannuation liabilities</w:t>
      </w:r>
      <w:r w:rsidRPr="00D02438">
        <w:tab/>
        <w:t>($ million)</w:t>
      </w:r>
    </w:p>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F70B1C" w14:paraId="10C7D361" w14:textId="77777777" w:rsidTr="00A836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3A3211D3" w14:textId="584073E4" w:rsidR="00F70B1C" w:rsidRDefault="00F70B1C"/>
        </w:tc>
        <w:tc>
          <w:tcPr>
            <w:tcW w:w="794" w:type="dxa"/>
            <w:tcBorders>
              <w:top w:val="single" w:sz="6" w:space="0" w:color="auto"/>
            </w:tcBorders>
          </w:tcPr>
          <w:p w14:paraId="2DE2AE56" w14:textId="688A695B" w:rsidR="00F70B1C" w:rsidRDefault="00F70B1C" w:rsidP="000D2003">
            <w:pPr>
              <w:cnfStyle w:val="100000000000" w:firstRow="1" w:lastRow="0" w:firstColumn="0" w:lastColumn="0" w:oddVBand="0" w:evenVBand="0" w:oddHBand="0" w:evenHBand="0" w:firstRowFirstColumn="0" w:firstRowLastColumn="0" w:lastRowFirstColumn="0" w:lastRowLastColumn="0"/>
            </w:pPr>
            <w:r>
              <w:t>2023</w:t>
            </w:r>
            <w:r>
              <w:rPr>
                <w:i w:val="0"/>
              </w:rPr>
              <w:br/>
            </w:r>
            <w:r>
              <w:t>budget</w:t>
            </w:r>
          </w:p>
        </w:tc>
        <w:tc>
          <w:tcPr>
            <w:tcW w:w="794" w:type="dxa"/>
            <w:tcBorders>
              <w:top w:val="single" w:sz="6" w:space="0" w:color="auto"/>
            </w:tcBorders>
          </w:tcPr>
          <w:p w14:paraId="6C46D52F" w14:textId="01E59280" w:rsidR="00F70B1C" w:rsidRDefault="00F70B1C" w:rsidP="00AE475F">
            <w:pPr>
              <w:cnfStyle w:val="100000000000" w:firstRow="1" w:lastRow="0" w:firstColumn="0" w:lastColumn="0" w:oddVBand="0" w:evenVBand="0" w:oddHBand="0" w:evenHBand="0" w:firstRowFirstColumn="0" w:firstRowLastColumn="0" w:lastRowFirstColumn="0" w:lastRowLastColumn="0"/>
            </w:pPr>
            <w:r>
              <w:t>2023</w:t>
            </w:r>
            <w:r>
              <w:rPr>
                <w:i w:val="0"/>
              </w:rPr>
              <w:br/>
            </w:r>
            <w:r>
              <w:t>revised</w:t>
            </w:r>
          </w:p>
        </w:tc>
        <w:tc>
          <w:tcPr>
            <w:tcW w:w="794" w:type="dxa"/>
            <w:tcBorders>
              <w:top w:val="single" w:sz="6" w:space="0" w:color="auto"/>
            </w:tcBorders>
          </w:tcPr>
          <w:p w14:paraId="746D51E6" w14:textId="19536634" w:rsidR="00F70B1C" w:rsidRDefault="00F70B1C" w:rsidP="005348AF">
            <w:pPr>
              <w:cnfStyle w:val="100000000000" w:firstRow="1" w:lastRow="0" w:firstColumn="0" w:lastColumn="0" w:oddVBand="0" w:evenVBand="0" w:oddHBand="0" w:evenHBand="0" w:firstRowFirstColumn="0" w:firstRowLastColumn="0" w:lastRowFirstColumn="0" w:lastRowLastColumn="0"/>
            </w:pPr>
            <w:r>
              <w:t>2024</w:t>
            </w:r>
            <w:r>
              <w:rPr>
                <w:i w:val="0"/>
              </w:rPr>
              <w:br/>
            </w:r>
            <w:r>
              <w:t>estimate</w:t>
            </w:r>
          </w:p>
        </w:tc>
        <w:tc>
          <w:tcPr>
            <w:tcW w:w="794" w:type="dxa"/>
            <w:tcBorders>
              <w:top w:val="single" w:sz="6" w:space="0" w:color="auto"/>
            </w:tcBorders>
          </w:tcPr>
          <w:p w14:paraId="20EBDF11" w14:textId="0DFDC1D0" w:rsidR="00F70B1C" w:rsidRDefault="00F70B1C" w:rsidP="00B636CC">
            <w:pPr>
              <w:cnfStyle w:val="100000000000" w:firstRow="1" w:lastRow="0" w:firstColumn="0" w:lastColumn="0" w:oddVBand="0" w:evenVBand="0" w:oddHBand="0" w:evenHBand="0" w:firstRowFirstColumn="0" w:firstRowLastColumn="0" w:lastRowFirstColumn="0" w:lastRowLastColumn="0"/>
            </w:pPr>
            <w:r>
              <w:t>2025</w:t>
            </w:r>
            <w:r>
              <w:rPr>
                <w:i w:val="0"/>
              </w:rPr>
              <w:br/>
            </w:r>
            <w:r>
              <w:t>estimate</w:t>
            </w:r>
          </w:p>
        </w:tc>
        <w:tc>
          <w:tcPr>
            <w:tcW w:w="794" w:type="dxa"/>
            <w:tcBorders>
              <w:top w:val="single" w:sz="6" w:space="0" w:color="auto"/>
            </w:tcBorders>
          </w:tcPr>
          <w:p w14:paraId="13D9420E" w14:textId="4E4DCEC3" w:rsidR="00F70B1C" w:rsidRDefault="00F70B1C" w:rsidP="00894767">
            <w:pPr>
              <w:cnfStyle w:val="100000000000" w:firstRow="1" w:lastRow="0" w:firstColumn="0" w:lastColumn="0" w:oddVBand="0" w:evenVBand="0" w:oddHBand="0" w:evenHBand="0" w:firstRowFirstColumn="0" w:firstRowLastColumn="0" w:lastRowFirstColumn="0" w:lastRowLastColumn="0"/>
            </w:pPr>
            <w:r>
              <w:t>2026</w:t>
            </w:r>
            <w:r>
              <w:rPr>
                <w:i w:val="0"/>
              </w:rPr>
              <w:br/>
            </w:r>
            <w:r>
              <w:t>estimate</w:t>
            </w:r>
          </w:p>
        </w:tc>
      </w:tr>
      <w:tr w:rsidR="00C424E5" w14:paraId="3BAF5013"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4955A46A" w14:textId="77777777" w:rsidR="00C424E5" w:rsidRDefault="00C424E5">
            <w:r>
              <w:rPr>
                <w:b/>
              </w:rPr>
              <w:t>Emergency Services and State Super</w:t>
            </w:r>
          </w:p>
        </w:tc>
        <w:tc>
          <w:tcPr>
            <w:tcW w:w="794" w:type="dxa"/>
            <w:tcBorders>
              <w:top w:val="single" w:sz="6" w:space="0" w:color="auto"/>
            </w:tcBorders>
          </w:tcPr>
          <w:p w14:paraId="75915E48"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64DADFF3"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BCE476B"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3969B0D"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3C730FD"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4084A11D" w14:textId="77777777">
        <w:tc>
          <w:tcPr>
            <w:cnfStyle w:val="001000000000" w:firstRow="0" w:lastRow="0" w:firstColumn="1" w:lastColumn="0" w:oddVBand="0" w:evenVBand="0" w:oddHBand="0" w:evenHBand="0" w:firstRowFirstColumn="0" w:firstRowLastColumn="0" w:lastRowFirstColumn="0" w:lastRowLastColumn="0"/>
            <w:tcW w:w="3740" w:type="dxa"/>
          </w:tcPr>
          <w:p w14:paraId="4F9FAD9C" w14:textId="77777777" w:rsidR="00C424E5" w:rsidRDefault="00C424E5">
            <w:r>
              <w:t>Defined benefit obligation</w:t>
            </w:r>
          </w:p>
        </w:tc>
        <w:tc>
          <w:tcPr>
            <w:tcW w:w="794" w:type="dxa"/>
          </w:tcPr>
          <w:p w14:paraId="3BD4292A" w14:textId="77777777" w:rsidR="00C424E5" w:rsidRDefault="00C424E5">
            <w:pPr>
              <w:cnfStyle w:val="000000000000" w:firstRow="0" w:lastRow="0" w:firstColumn="0" w:lastColumn="0" w:oddVBand="0" w:evenVBand="0" w:oddHBand="0" w:evenHBand="0" w:firstRowFirstColumn="0" w:firstRowLastColumn="0" w:lastRowFirstColumn="0" w:lastRowLastColumn="0"/>
            </w:pPr>
            <w:r>
              <w:t>40 224</w:t>
            </w:r>
          </w:p>
        </w:tc>
        <w:tc>
          <w:tcPr>
            <w:tcW w:w="794" w:type="dxa"/>
          </w:tcPr>
          <w:p w14:paraId="553C14E3" w14:textId="77777777" w:rsidR="00C424E5" w:rsidRDefault="00C424E5">
            <w:pPr>
              <w:cnfStyle w:val="000000000000" w:firstRow="0" w:lastRow="0" w:firstColumn="0" w:lastColumn="0" w:oddVBand="0" w:evenVBand="0" w:oddHBand="0" w:evenHBand="0" w:firstRowFirstColumn="0" w:firstRowLastColumn="0" w:lastRowFirstColumn="0" w:lastRowLastColumn="0"/>
            </w:pPr>
            <w:r>
              <w:t>38 216</w:t>
            </w:r>
          </w:p>
        </w:tc>
        <w:tc>
          <w:tcPr>
            <w:tcW w:w="794" w:type="dxa"/>
          </w:tcPr>
          <w:p w14:paraId="7CFA2021" w14:textId="77777777" w:rsidR="00C424E5" w:rsidRDefault="00C424E5">
            <w:pPr>
              <w:cnfStyle w:val="000000000000" w:firstRow="0" w:lastRow="0" w:firstColumn="0" w:lastColumn="0" w:oddVBand="0" w:evenVBand="0" w:oddHBand="0" w:evenHBand="0" w:firstRowFirstColumn="0" w:firstRowLastColumn="0" w:lastRowFirstColumn="0" w:lastRowLastColumn="0"/>
            </w:pPr>
            <w:r>
              <w:t>37 957</w:t>
            </w:r>
          </w:p>
        </w:tc>
        <w:tc>
          <w:tcPr>
            <w:tcW w:w="794" w:type="dxa"/>
          </w:tcPr>
          <w:p w14:paraId="22AF7FC3" w14:textId="77777777" w:rsidR="00C424E5" w:rsidRDefault="00C424E5">
            <w:pPr>
              <w:cnfStyle w:val="000000000000" w:firstRow="0" w:lastRow="0" w:firstColumn="0" w:lastColumn="0" w:oddVBand="0" w:evenVBand="0" w:oddHBand="0" w:evenHBand="0" w:firstRowFirstColumn="0" w:firstRowLastColumn="0" w:lastRowFirstColumn="0" w:lastRowLastColumn="0"/>
            </w:pPr>
            <w:r>
              <w:t>37 754</w:t>
            </w:r>
          </w:p>
        </w:tc>
        <w:tc>
          <w:tcPr>
            <w:tcW w:w="794" w:type="dxa"/>
          </w:tcPr>
          <w:p w14:paraId="41C5135D" w14:textId="77777777" w:rsidR="00C424E5" w:rsidRDefault="00C424E5">
            <w:pPr>
              <w:cnfStyle w:val="000000000000" w:firstRow="0" w:lastRow="0" w:firstColumn="0" w:lastColumn="0" w:oddVBand="0" w:evenVBand="0" w:oddHBand="0" w:evenHBand="0" w:firstRowFirstColumn="0" w:firstRowLastColumn="0" w:lastRowFirstColumn="0" w:lastRowLastColumn="0"/>
            </w:pPr>
            <w:r>
              <w:t>37 631</w:t>
            </w:r>
          </w:p>
        </w:tc>
      </w:tr>
      <w:tr w:rsidR="00C424E5" w14:paraId="55A73773" w14:textId="77777777">
        <w:tc>
          <w:tcPr>
            <w:cnfStyle w:val="001000000000" w:firstRow="0" w:lastRow="0" w:firstColumn="1" w:lastColumn="0" w:oddVBand="0" w:evenVBand="0" w:oddHBand="0" w:evenHBand="0" w:firstRowFirstColumn="0" w:firstRowLastColumn="0" w:lastRowFirstColumn="0" w:lastRowLastColumn="0"/>
            <w:tcW w:w="3740" w:type="dxa"/>
          </w:tcPr>
          <w:p w14:paraId="3B25B691" w14:textId="77777777" w:rsidR="00C424E5" w:rsidRDefault="00C424E5">
            <w:r>
              <w:t xml:space="preserve">Tax liability </w:t>
            </w:r>
            <w:r>
              <w:rPr>
                <w:vertAlign w:val="superscript"/>
              </w:rPr>
              <w:t>(a)</w:t>
            </w:r>
          </w:p>
        </w:tc>
        <w:tc>
          <w:tcPr>
            <w:tcW w:w="794" w:type="dxa"/>
          </w:tcPr>
          <w:p w14:paraId="30D9BB22" w14:textId="77777777" w:rsidR="00C424E5" w:rsidRDefault="00C424E5">
            <w:pPr>
              <w:cnfStyle w:val="000000000000" w:firstRow="0" w:lastRow="0" w:firstColumn="0" w:lastColumn="0" w:oddVBand="0" w:evenVBand="0" w:oddHBand="0" w:evenHBand="0" w:firstRowFirstColumn="0" w:firstRowLastColumn="0" w:lastRowFirstColumn="0" w:lastRowLastColumn="0"/>
            </w:pPr>
            <w:r>
              <w:t>1 733</w:t>
            </w:r>
          </w:p>
        </w:tc>
        <w:tc>
          <w:tcPr>
            <w:tcW w:w="794" w:type="dxa"/>
          </w:tcPr>
          <w:p w14:paraId="2BECD4C1" w14:textId="77777777" w:rsidR="00C424E5" w:rsidRDefault="00C424E5">
            <w:pPr>
              <w:cnfStyle w:val="000000000000" w:firstRow="0" w:lastRow="0" w:firstColumn="0" w:lastColumn="0" w:oddVBand="0" w:evenVBand="0" w:oddHBand="0" w:evenHBand="0" w:firstRowFirstColumn="0" w:firstRowLastColumn="0" w:lastRowFirstColumn="0" w:lastRowLastColumn="0"/>
            </w:pPr>
            <w:r>
              <w:t>1 851</w:t>
            </w:r>
          </w:p>
        </w:tc>
        <w:tc>
          <w:tcPr>
            <w:tcW w:w="794" w:type="dxa"/>
          </w:tcPr>
          <w:p w14:paraId="37AABBF1" w14:textId="77777777" w:rsidR="00C424E5" w:rsidRDefault="00C424E5">
            <w:pPr>
              <w:cnfStyle w:val="000000000000" w:firstRow="0" w:lastRow="0" w:firstColumn="0" w:lastColumn="0" w:oddVBand="0" w:evenVBand="0" w:oddHBand="0" w:evenHBand="0" w:firstRowFirstColumn="0" w:firstRowLastColumn="0" w:lastRowFirstColumn="0" w:lastRowLastColumn="0"/>
            </w:pPr>
            <w:r>
              <w:t>1 744</w:t>
            </w:r>
          </w:p>
        </w:tc>
        <w:tc>
          <w:tcPr>
            <w:tcW w:w="794" w:type="dxa"/>
          </w:tcPr>
          <w:p w14:paraId="2BF8DF7F" w14:textId="77777777" w:rsidR="00C424E5" w:rsidRDefault="00C424E5">
            <w:pPr>
              <w:cnfStyle w:val="000000000000" w:firstRow="0" w:lastRow="0" w:firstColumn="0" w:lastColumn="0" w:oddVBand="0" w:evenVBand="0" w:oddHBand="0" w:evenHBand="0" w:firstRowFirstColumn="0" w:firstRowLastColumn="0" w:lastRowFirstColumn="0" w:lastRowLastColumn="0"/>
            </w:pPr>
            <w:r>
              <w:t>1 640</w:t>
            </w:r>
          </w:p>
        </w:tc>
        <w:tc>
          <w:tcPr>
            <w:tcW w:w="794" w:type="dxa"/>
          </w:tcPr>
          <w:p w14:paraId="05A2E7E7" w14:textId="77777777" w:rsidR="00C424E5" w:rsidRDefault="00C424E5">
            <w:pPr>
              <w:cnfStyle w:val="000000000000" w:firstRow="0" w:lastRow="0" w:firstColumn="0" w:lastColumn="0" w:oddVBand="0" w:evenVBand="0" w:oddHBand="0" w:evenHBand="0" w:firstRowFirstColumn="0" w:firstRowLastColumn="0" w:lastRowFirstColumn="0" w:lastRowLastColumn="0"/>
            </w:pPr>
            <w:r>
              <w:t>1 550</w:t>
            </w:r>
          </w:p>
        </w:tc>
      </w:tr>
      <w:tr w:rsidR="00C424E5" w14:paraId="01C0B7C5"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0B0708E7" w14:textId="77777777" w:rsidR="00C424E5" w:rsidRDefault="00C424E5">
            <w:r>
              <w:t>Plan assets</w:t>
            </w:r>
          </w:p>
        </w:tc>
        <w:tc>
          <w:tcPr>
            <w:tcW w:w="794" w:type="dxa"/>
            <w:tcBorders>
              <w:bottom w:val="single" w:sz="6" w:space="0" w:color="auto"/>
            </w:tcBorders>
          </w:tcPr>
          <w:p w14:paraId="27ED3C65" w14:textId="77777777" w:rsidR="00C424E5" w:rsidRDefault="00C424E5">
            <w:pPr>
              <w:cnfStyle w:val="000000000000" w:firstRow="0" w:lastRow="0" w:firstColumn="0" w:lastColumn="0" w:oddVBand="0" w:evenVBand="0" w:oddHBand="0" w:evenHBand="0" w:firstRowFirstColumn="0" w:firstRowLastColumn="0" w:lastRowFirstColumn="0" w:lastRowLastColumn="0"/>
            </w:pPr>
            <w:r>
              <w:t>(23 868)</w:t>
            </w:r>
          </w:p>
        </w:tc>
        <w:tc>
          <w:tcPr>
            <w:tcW w:w="794" w:type="dxa"/>
            <w:tcBorders>
              <w:bottom w:val="single" w:sz="6" w:space="0" w:color="auto"/>
            </w:tcBorders>
          </w:tcPr>
          <w:p w14:paraId="5332A430" w14:textId="77777777" w:rsidR="00C424E5" w:rsidRDefault="00C424E5">
            <w:pPr>
              <w:cnfStyle w:val="000000000000" w:firstRow="0" w:lastRow="0" w:firstColumn="0" w:lastColumn="0" w:oddVBand="0" w:evenVBand="0" w:oddHBand="0" w:evenHBand="0" w:firstRowFirstColumn="0" w:firstRowLastColumn="0" w:lastRowFirstColumn="0" w:lastRowLastColumn="0"/>
            </w:pPr>
            <w:r>
              <w:t>(23 823)</w:t>
            </w:r>
          </w:p>
        </w:tc>
        <w:tc>
          <w:tcPr>
            <w:tcW w:w="794" w:type="dxa"/>
            <w:tcBorders>
              <w:bottom w:val="single" w:sz="6" w:space="0" w:color="auto"/>
            </w:tcBorders>
          </w:tcPr>
          <w:p w14:paraId="58D1B9CD" w14:textId="77777777" w:rsidR="00C424E5" w:rsidRDefault="00C424E5">
            <w:pPr>
              <w:cnfStyle w:val="000000000000" w:firstRow="0" w:lastRow="0" w:firstColumn="0" w:lastColumn="0" w:oddVBand="0" w:evenVBand="0" w:oddHBand="0" w:evenHBand="0" w:firstRowFirstColumn="0" w:firstRowLastColumn="0" w:lastRowFirstColumn="0" w:lastRowLastColumn="0"/>
            </w:pPr>
            <w:r>
              <w:t>(23 646)</w:t>
            </w:r>
          </w:p>
        </w:tc>
        <w:tc>
          <w:tcPr>
            <w:tcW w:w="794" w:type="dxa"/>
            <w:tcBorders>
              <w:bottom w:val="single" w:sz="6" w:space="0" w:color="auto"/>
            </w:tcBorders>
          </w:tcPr>
          <w:p w14:paraId="00D1CAB0" w14:textId="77777777" w:rsidR="00C424E5" w:rsidRDefault="00C424E5">
            <w:pPr>
              <w:cnfStyle w:val="000000000000" w:firstRow="0" w:lastRow="0" w:firstColumn="0" w:lastColumn="0" w:oddVBand="0" w:evenVBand="0" w:oddHBand="0" w:evenHBand="0" w:firstRowFirstColumn="0" w:firstRowLastColumn="0" w:lastRowFirstColumn="0" w:lastRowLastColumn="0"/>
            </w:pPr>
            <w:r>
              <w:t>(23 948)</w:t>
            </w:r>
          </w:p>
        </w:tc>
        <w:tc>
          <w:tcPr>
            <w:tcW w:w="794" w:type="dxa"/>
            <w:tcBorders>
              <w:bottom w:val="single" w:sz="6" w:space="0" w:color="auto"/>
            </w:tcBorders>
          </w:tcPr>
          <w:p w14:paraId="0B5973EB" w14:textId="77777777" w:rsidR="00C424E5" w:rsidRDefault="00C424E5">
            <w:pPr>
              <w:cnfStyle w:val="000000000000" w:firstRow="0" w:lastRow="0" w:firstColumn="0" w:lastColumn="0" w:oddVBand="0" w:evenVBand="0" w:oddHBand="0" w:evenHBand="0" w:firstRowFirstColumn="0" w:firstRowLastColumn="0" w:lastRowFirstColumn="0" w:lastRowLastColumn="0"/>
            </w:pPr>
            <w:r>
              <w:t>(24 170)</w:t>
            </w:r>
          </w:p>
        </w:tc>
      </w:tr>
      <w:tr w:rsidR="00C424E5" w14:paraId="0CC67AA5"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5956C4CA" w14:textId="77777777" w:rsidR="00C424E5" w:rsidRDefault="00C424E5">
            <w:r>
              <w:rPr>
                <w:b/>
              </w:rPr>
              <w:t>Net liability/(asset)</w:t>
            </w:r>
          </w:p>
        </w:tc>
        <w:tc>
          <w:tcPr>
            <w:tcW w:w="794" w:type="dxa"/>
            <w:tcBorders>
              <w:top w:val="single" w:sz="6" w:space="0" w:color="auto"/>
              <w:bottom w:val="single" w:sz="6" w:space="0" w:color="auto"/>
            </w:tcBorders>
          </w:tcPr>
          <w:p w14:paraId="70C84EC3"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18 089</w:t>
            </w:r>
          </w:p>
        </w:tc>
        <w:tc>
          <w:tcPr>
            <w:tcW w:w="794" w:type="dxa"/>
            <w:tcBorders>
              <w:top w:val="single" w:sz="6" w:space="0" w:color="auto"/>
              <w:bottom w:val="single" w:sz="6" w:space="0" w:color="auto"/>
            </w:tcBorders>
          </w:tcPr>
          <w:p w14:paraId="4F82920A"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16 243</w:t>
            </w:r>
          </w:p>
        </w:tc>
        <w:tc>
          <w:tcPr>
            <w:tcW w:w="794" w:type="dxa"/>
            <w:tcBorders>
              <w:top w:val="single" w:sz="6" w:space="0" w:color="auto"/>
              <w:bottom w:val="single" w:sz="6" w:space="0" w:color="auto"/>
            </w:tcBorders>
          </w:tcPr>
          <w:p w14:paraId="5F296591"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16 055</w:t>
            </w:r>
          </w:p>
        </w:tc>
        <w:tc>
          <w:tcPr>
            <w:tcW w:w="794" w:type="dxa"/>
            <w:tcBorders>
              <w:top w:val="single" w:sz="6" w:space="0" w:color="auto"/>
              <w:bottom w:val="single" w:sz="6" w:space="0" w:color="auto"/>
            </w:tcBorders>
          </w:tcPr>
          <w:p w14:paraId="522A6702"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15 446</w:t>
            </w:r>
          </w:p>
        </w:tc>
        <w:tc>
          <w:tcPr>
            <w:tcW w:w="794" w:type="dxa"/>
            <w:tcBorders>
              <w:top w:val="single" w:sz="6" w:space="0" w:color="auto"/>
              <w:bottom w:val="single" w:sz="6" w:space="0" w:color="auto"/>
            </w:tcBorders>
          </w:tcPr>
          <w:p w14:paraId="3FBE90D1"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15 010</w:t>
            </w:r>
          </w:p>
        </w:tc>
      </w:tr>
      <w:tr w:rsidR="00C424E5" w14:paraId="067EAEA4"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355BC1D1" w14:textId="77777777" w:rsidR="00C424E5" w:rsidRDefault="00C424E5">
            <w:r>
              <w:rPr>
                <w:b/>
              </w:rPr>
              <w:t xml:space="preserve">Other funds </w:t>
            </w:r>
            <w:r>
              <w:rPr>
                <w:b/>
                <w:vertAlign w:val="superscript"/>
              </w:rPr>
              <w:t>(b)</w:t>
            </w:r>
          </w:p>
        </w:tc>
        <w:tc>
          <w:tcPr>
            <w:tcW w:w="794" w:type="dxa"/>
            <w:tcBorders>
              <w:top w:val="single" w:sz="6" w:space="0" w:color="auto"/>
            </w:tcBorders>
          </w:tcPr>
          <w:p w14:paraId="1C273968"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27D21363"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413E972E"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193A8DDD"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6611C11"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17267CB8" w14:textId="77777777">
        <w:tc>
          <w:tcPr>
            <w:cnfStyle w:val="001000000000" w:firstRow="0" w:lastRow="0" w:firstColumn="1" w:lastColumn="0" w:oddVBand="0" w:evenVBand="0" w:oddHBand="0" w:evenHBand="0" w:firstRowFirstColumn="0" w:firstRowLastColumn="0" w:lastRowFirstColumn="0" w:lastRowLastColumn="0"/>
            <w:tcW w:w="3740" w:type="dxa"/>
          </w:tcPr>
          <w:p w14:paraId="44FE83CC" w14:textId="77777777" w:rsidR="00C424E5" w:rsidRDefault="00C424E5">
            <w:r>
              <w:t>Defined benefit obligation</w:t>
            </w:r>
          </w:p>
        </w:tc>
        <w:tc>
          <w:tcPr>
            <w:tcW w:w="794" w:type="dxa"/>
          </w:tcPr>
          <w:p w14:paraId="7313081E" w14:textId="77777777" w:rsidR="00C424E5" w:rsidRDefault="00C424E5">
            <w:pPr>
              <w:cnfStyle w:val="000000000000" w:firstRow="0" w:lastRow="0" w:firstColumn="0" w:lastColumn="0" w:oddVBand="0" w:evenVBand="0" w:oddHBand="0" w:evenHBand="0" w:firstRowFirstColumn="0" w:firstRowLastColumn="0" w:lastRowFirstColumn="0" w:lastRowLastColumn="0"/>
            </w:pPr>
            <w:r>
              <w:t>2 071</w:t>
            </w:r>
          </w:p>
        </w:tc>
        <w:tc>
          <w:tcPr>
            <w:tcW w:w="794" w:type="dxa"/>
          </w:tcPr>
          <w:p w14:paraId="3C2B4D07" w14:textId="77777777" w:rsidR="00C424E5" w:rsidRDefault="00C424E5">
            <w:pPr>
              <w:cnfStyle w:val="000000000000" w:firstRow="0" w:lastRow="0" w:firstColumn="0" w:lastColumn="0" w:oddVBand="0" w:evenVBand="0" w:oddHBand="0" w:evenHBand="0" w:firstRowFirstColumn="0" w:firstRowLastColumn="0" w:lastRowFirstColumn="0" w:lastRowLastColumn="0"/>
            </w:pPr>
            <w:r>
              <w:t>2 088</w:t>
            </w:r>
          </w:p>
        </w:tc>
        <w:tc>
          <w:tcPr>
            <w:tcW w:w="794" w:type="dxa"/>
          </w:tcPr>
          <w:p w14:paraId="6436CF32" w14:textId="77777777" w:rsidR="00C424E5" w:rsidRDefault="00C424E5">
            <w:pPr>
              <w:cnfStyle w:val="000000000000" w:firstRow="0" w:lastRow="0" w:firstColumn="0" w:lastColumn="0" w:oddVBand="0" w:evenVBand="0" w:oddHBand="0" w:evenHBand="0" w:firstRowFirstColumn="0" w:firstRowLastColumn="0" w:lastRowFirstColumn="0" w:lastRowLastColumn="0"/>
            </w:pPr>
            <w:r>
              <w:t>2 123</w:t>
            </w:r>
          </w:p>
        </w:tc>
        <w:tc>
          <w:tcPr>
            <w:tcW w:w="794" w:type="dxa"/>
          </w:tcPr>
          <w:p w14:paraId="25B7A036" w14:textId="77777777" w:rsidR="00C424E5" w:rsidRDefault="00C424E5">
            <w:pPr>
              <w:cnfStyle w:val="000000000000" w:firstRow="0" w:lastRow="0" w:firstColumn="0" w:lastColumn="0" w:oddVBand="0" w:evenVBand="0" w:oddHBand="0" w:evenHBand="0" w:firstRowFirstColumn="0" w:firstRowLastColumn="0" w:lastRowFirstColumn="0" w:lastRowLastColumn="0"/>
            </w:pPr>
            <w:r>
              <w:t>2 151</w:t>
            </w:r>
          </w:p>
        </w:tc>
        <w:tc>
          <w:tcPr>
            <w:tcW w:w="794" w:type="dxa"/>
          </w:tcPr>
          <w:p w14:paraId="1089F270" w14:textId="77777777" w:rsidR="00C424E5" w:rsidRDefault="00C424E5">
            <w:pPr>
              <w:cnfStyle w:val="000000000000" w:firstRow="0" w:lastRow="0" w:firstColumn="0" w:lastColumn="0" w:oddVBand="0" w:evenVBand="0" w:oddHBand="0" w:evenHBand="0" w:firstRowFirstColumn="0" w:firstRowLastColumn="0" w:lastRowFirstColumn="0" w:lastRowLastColumn="0"/>
            </w:pPr>
            <w:r>
              <w:t>2 186</w:t>
            </w:r>
          </w:p>
        </w:tc>
      </w:tr>
      <w:tr w:rsidR="00C424E5" w14:paraId="2A0BD6B5"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3A8B6401" w14:textId="77777777" w:rsidR="00C424E5" w:rsidRDefault="00C424E5">
            <w:r>
              <w:t>Plan assets</w:t>
            </w:r>
          </w:p>
        </w:tc>
        <w:tc>
          <w:tcPr>
            <w:tcW w:w="794" w:type="dxa"/>
            <w:tcBorders>
              <w:bottom w:val="single" w:sz="6" w:space="0" w:color="auto"/>
            </w:tcBorders>
          </w:tcPr>
          <w:p w14:paraId="108846F1" w14:textId="77777777" w:rsidR="00C424E5" w:rsidRDefault="00C424E5">
            <w:pPr>
              <w:cnfStyle w:val="000000000000" w:firstRow="0" w:lastRow="0" w:firstColumn="0" w:lastColumn="0" w:oddVBand="0" w:evenVBand="0" w:oddHBand="0" w:evenHBand="0" w:firstRowFirstColumn="0" w:firstRowLastColumn="0" w:lastRowFirstColumn="0" w:lastRowLastColumn="0"/>
            </w:pPr>
            <w:r>
              <w:t>(917)</w:t>
            </w:r>
          </w:p>
        </w:tc>
        <w:tc>
          <w:tcPr>
            <w:tcW w:w="794" w:type="dxa"/>
            <w:tcBorders>
              <w:bottom w:val="single" w:sz="6" w:space="0" w:color="auto"/>
            </w:tcBorders>
          </w:tcPr>
          <w:p w14:paraId="57165774" w14:textId="77777777" w:rsidR="00C424E5" w:rsidRDefault="00C424E5">
            <w:pPr>
              <w:cnfStyle w:val="000000000000" w:firstRow="0" w:lastRow="0" w:firstColumn="0" w:lastColumn="0" w:oddVBand="0" w:evenVBand="0" w:oddHBand="0" w:evenHBand="0" w:firstRowFirstColumn="0" w:firstRowLastColumn="0" w:lastRowFirstColumn="0" w:lastRowLastColumn="0"/>
            </w:pPr>
            <w:r>
              <w:t>(870)</w:t>
            </w:r>
          </w:p>
        </w:tc>
        <w:tc>
          <w:tcPr>
            <w:tcW w:w="794" w:type="dxa"/>
            <w:tcBorders>
              <w:bottom w:val="single" w:sz="6" w:space="0" w:color="auto"/>
            </w:tcBorders>
          </w:tcPr>
          <w:p w14:paraId="0F25D70F" w14:textId="77777777" w:rsidR="00C424E5" w:rsidRDefault="00C424E5">
            <w:pPr>
              <w:cnfStyle w:val="000000000000" w:firstRow="0" w:lastRow="0" w:firstColumn="0" w:lastColumn="0" w:oddVBand="0" w:evenVBand="0" w:oddHBand="0" w:evenHBand="0" w:firstRowFirstColumn="0" w:firstRowLastColumn="0" w:lastRowFirstColumn="0" w:lastRowLastColumn="0"/>
            </w:pPr>
            <w:r>
              <w:t>(841)</w:t>
            </w:r>
          </w:p>
        </w:tc>
        <w:tc>
          <w:tcPr>
            <w:tcW w:w="794" w:type="dxa"/>
            <w:tcBorders>
              <w:bottom w:val="single" w:sz="6" w:space="0" w:color="auto"/>
            </w:tcBorders>
          </w:tcPr>
          <w:p w14:paraId="39B80CBA" w14:textId="77777777" w:rsidR="00C424E5" w:rsidRDefault="00C424E5">
            <w:pPr>
              <w:cnfStyle w:val="000000000000" w:firstRow="0" w:lastRow="0" w:firstColumn="0" w:lastColumn="0" w:oddVBand="0" w:evenVBand="0" w:oddHBand="0" w:evenHBand="0" w:firstRowFirstColumn="0" w:firstRowLastColumn="0" w:lastRowFirstColumn="0" w:lastRowLastColumn="0"/>
            </w:pPr>
            <w:r>
              <w:t>(808)</w:t>
            </w:r>
          </w:p>
        </w:tc>
        <w:tc>
          <w:tcPr>
            <w:tcW w:w="794" w:type="dxa"/>
            <w:tcBorders>
              <w:bottom w:val="single" w:sz="6" w:space="0" w:color="auto"/>
            </w:tcBorders>
          </w:tcPr>
          <w:p w14:paraId="64CD10D6" w14:textId="77777777" w:rsidR="00C424E5" w:rsidRDefault="00C424E5">
            <w:pPr>
              <w:cnfStyle w:val="000000000000" w:firstRow="0" w:lastRow="0" w:firstColumn="0" w:lastColumn="0" w:oddVBand="0" w:evenVBand="0" w:oddHBand="0" w:evenHBand="0" w:firstRowFirstColumn="0" w:firstRowLastColumn="0" w:lastRowFirstColumn="0" w:lastRowLastColumn="0"/>
            </w:pPr>
            <w:r>
              <w:t>(776)</w:t>
            </w:r>
          </w:p>
        </w:tc>
      </w:tr>
      <w:tr w:rsidR="00C424E5" w14:paraId="377411CB"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2338A5FD" w14:textId="77777777" w:rsidR="00C424E5" w:rsidRDefault="00C424E5">
            <w:r>
              <w:rPr>
                <w:b/>
              </w:rPr>
              <w:t>Net liability/(asset)</w:t>
            </w:r>
          </w:p>
        </w:tc>
        <w:tc>
          <w:tcPr>
            <w:tcW w:w="794" w:type="dxa"/>
            <w:tcBorders>
              <w:top w:val="single" w:sz="6" w:space="0" w:color="auto"/>
              <w:bottom w:val="single" w:sz="6" w:space="0" w:color="auto"/>
            </w:tcBorders>
          </w:tcPr>
          <w:p w14:paraId="4F449248"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1 155</w:t>
            </w:r>
          </w:p>
        </w:tc>
        <w:tc>
          <w:tcPr>
            <w:tcW w:w="794" w:type="dxa"/>
            <w:tcBorders>
              <w:top w:val="single" w:sz="6" w:space="0" w:color="auto"/>
              <w:bottom w:val="single" w:sz="6" w:space="0" w:color="auto"/>
            </w:tcBorders>
          </w:tcPr>
          <w:p w14:paraId="14ACB6EA"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1 218</w:t>
            </w:r>
          </w:p>
        </w:tc>
        <w:tc>
          <w:tcPr>
            <w:tcW w:w="794" w:type="dxa"/>
            <w:tcBorders>
              <w:top w:val="single" w:sz="6" w:space="0" w:color="auto"/>
              <w:bottom w:val="single" w:sz="6" w:space="0" w:color="auto"/>
            </w:tcBorders>
          </w:tcPr>
          <w:p w14:paraId="40F1F1EB"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1 282</w:t>
            </w:r>
          </w:p>
        </w:tc>
        <w:tc>
          <w:tcPr>
            <w:tcW w:w="794" w:type="dxa"/>
            <w:tcBorders>
              <w:top w:val="single" w:sz="6" w:space="0" w:color="auto"/>
              <w:bottom w:val="single" w:sz="6" w:space="0" w:color="auto"/>
            </w:tcBorders>
          </w:tcPr>
          <w:p w14:paraId="1CDAA614"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1 343</w:t>
            </w:r>
          </w:p>
        </w:tc>
        <w:tc>
          <w:tcPr>
            <w:tcW w:w="794" w:type="dxa"/>
            <w:tcBorders>
              <w:top w:val="single" w:sz="6" w:space="0" w:color="auto"/>
              <w:bottom w:val="single" w:sz="6" w:space="0" w:color="auto"/>
            </w:tcBorders>
          </w:tcPr>
          <w:p w14:paraId="0B2221B7"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1 410</w:t>
            </w:r>
          </w:p>
        </w:tc>
      </w:tr>
      <w:tr w:rsidR="00C424E5" w14:paraId="42C682F6"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7ADB67F1" w14:textId="77777777" w:rsidR="00C424E5" w:rsidRDefault="00C424E5">
            <w:r>
              <w:rPr>
                <w:b/>
              </w:rPr>
              <w:t>Total superannuation</w:t>
            </w:r>
          </w:p>
        </w:tc>
        <w:tc>
          <w:tcPr>
            <w:tcW w:w="794" w:type="dxa"/>
            <w:tcBorders>
              <w:top w:val="single" w:sz="6" w:space="0" w:color="auto"/>
            </w:tcBorders>
          </w:tcPr>
          <w:p w14:paraId="4E2F8887"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1095862D"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53492BBC"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91FBEC3"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11E61529"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0202E95C" w14:textId="77777777">
        <w:tc>
          <w:tcPr>
            <w:cnfStyle w:val="001000000000" w:firstRow="0" w:lastRow="0" w:firstColumn="1" w:lastColumn="0" w:oddVBand="0" w:evenVBand="0" w:oddHBand="0" w:evenHBand="0" w:firstRowFirstColumn="0" w:firstRowLastColumn="0" w:lastRowFirstColumn="0" w:lastRowLastColumn="0"/>
            <w:tcW w:w="3740" w:type="dxa"/>
          </w:tcPr>
          <w:p w14:paraId="549AF2A1" w14:textId="77777777" w:rsidR="00C424E5" w:rsidRDefault="00C424E5">
            <w:r>
              <w:t>Defined benefit obligation</w:t>
            </w:r>
          </w:p>
        </w:tc>
        <w:tc>
          <w:tcPr>
            <w:tcW w:w="794" w:type="dxa"/>
          </w:tcPr>
          <w:p w14:paraId="575AED78" w14:textId="77777777" w:rsidR="00C424E5" w:rsidRDefault="00C424E5">
            <w:pPr>
              <w:cnfStyle w:val="000000000000" w:firstRow="0" w:lastRow="0" w:firstColumn="0" w:lastColumn="0" w:oddVBand="0" w:evenVBand="0" w:oddHBand="0" w:evenHBand="0" w:firstRowFirstColumn="0" w:firstRowLastColumn="0" w:lastRowFirstColumn="0" w:lastRowLastColumn="0"/>
            </w:pPr>
            <w:r>
              <w:t>42 295</w:t>
            </w:r>
          </w:p>
        </w:tc>
        <w:tc>
          <w:tcPr>
            <w:tcW w:w="794" w:type="dxa"/>
          </w:tcPr>
          <w:p w14:paraId="5654EC69" w14:textId="77777777" w:rsidR="00C424E5" w:rsidRDefault="00C424E5">
            <w:pPr>
              <w:cnfStyle w:val="000000000000" w:firstRow="0" w:lastRow="0" w:firstColumn="0" w:lastColumn="0" w:oddVBand="0" w:evenVBand="0" w:oddHBand="0" w:evenHBand="0" w:firstRowFirstColumn="0" w:firstRowLastColumn="0" w:lastRowFirstColumn="0" w:lastRowLastColumn="0"/>
            </w:pPr>
            <w:r>
              <w:t>40 303</w:t>
            </w:r>
          </w:p>
        </w:tc>
        <w:tc>
          <w:tcPr>
            <w:tcW w:w="794" w:type="dxa"/>
          </w:tcPr>
          <w:p w14:paraId="12FE4D7E" w14:textId="77777777" w:rsidR="00C424E5" w:rsidRDefault="00C424E5">
            <w:pPr>
              <w:cnfStyle w:val="000000000000" w:firstRow="0" w:lastRow="0" w:firstColumn="0" w:lastColumn="0" w:oddVBand="0" w:evenVBand="0" w:oddHBand="0" w:evenHBand="0" w:firstRowFirstColumn="0" w:firstRowLastColumn="0" w:lastRowFirstColumn="0" w:lastRowLastColumn="0"/>
            </w:pPr>
            <w:r>
              <w:t>40 079</w:t>
            </w:r>
          </w:p>
        </w:tc>
        <w:tc>
          <w:tcPr>
            <w:tcW w:w="794" w:type="dxa"/>
          </w:tcPr>
          <w:p w14:paraId="40EF89FB" w14:textId="77777777" w:rsidR="00C424E5" w:rsidRDefault="00C424E5">
            <w:pPr>
              <w:cnfStyle w:val="000000000000" w:firstRow="0" w:lastRow="0" w:firstColumn="0" w:lastColumn="0" w:oddVBand="0" w:evenVBand="0" w:oddHBand="0" w:evenHBand="0" w:firstRowFirstColumn="0" w:firstRowLastColumn="0" w:lastRowFirstColumn="0" w:lastRowLastColumn="0"/>
            </w:pPr>
            <w:r>
              <w:t>39 905</w:t>
            </w:r>
          </w:p>
        </w:tc>
        <w:tc>
          <w:tcPr>
            <w:tcW w:w="794" w:type="dxa"/>
          </w:tcPr>
          <w:p w14:paraId="408D264B" w14:textId="77777777" w:rsidR="00C424E5" w:rsidRDefault="00C424E5">
            <w:pPr>
              <w:cnfStyle w:val="000000000000" w:firstRow="0" w:lastRow="0" w:firstColumn="0" w:lastColumn="0" w:oddVBand="0" w:evenVBand="0" w:oddHBand="0" w:evenHBand="0" w:firstRowFirstColumn="0" w:firstRowLastColumn="0" w:lastRowFirstColumn="0" w:lastRowLastColumn="0"/>
            </w:pPr>
            <w:r>
              <w:t>39 817</w:t>
            </w:r>
          </w:p>
        </w:tc>
      </w:tr>
      <w:tr w:rsidR="00C424E5" w14:paraId="233E891D" w14:textId="77777777">
        <w:tc>
          <w:tcPr>
            <w:cnfStyle w:val="001000000000" w:firstRow="0" w:lastRow="0" w:firstColumn="1" w:lastColumn="0" w:oddVBand="0" w:evenVBand="0" w:oddHBand="0" w:evenHBand="0" w:firstRowFirstColumn="0" w:firstRowLastColumn="0" w:lastRowFirstColumn="0" w:lastRowLastColumn="0"/>
            <w:tcW w:w="3740" w:type="dxa"/>
          </w:tcPr>
          <w:p w14:paraId="44BF274B" w14:textId="77777777" w:rsidR="00C424E5" w:rsidRDefault="00C424E5">
            <w:r>
              <w:t xml:space="preserve">Tax liability </w:t>
            </w:r>
            <w:r>
              <w:rPr>
                <w:vertAlign w:val="superscript"/>
              </w:rPr>
              <w:t>(a)</w:t>
            </w:r>
          </w:p>
        </w:tc>
        <w:tc>
          <w:tcPr>
            <w:tcW w:w="794" w:type="dxa"/>
          </w:tcPr>
          <w:p w14:paraId="74533CEA" w14:textId="77777777" w:rsidR="00C424E5" w:rsidRDefault="00C424E5">
            <w:pPr>
              <w:cnfStyle w:val="000000000000" w:firstRow="0" w:lastRow="0" w:firstColumn="0" w:lastColumn="0" w:oddVBand="0" w:evenVBand="0" w:oddHBand="0" w:evenHBand="0" w:firstRowFirstColumn="0" w:firstRowLastColumn="0" w:lastRowFirstColumn="0" w:lastRowLastColumn="0"/>
            </w:pPr>
            <w:r>
              <w:t>1 733</w:t>
            </w:r>
          </w:p>
        </w:tc>
        <w:tc>
          <w:tcPr>
            <w:tcW w:w="794" w:type="dxa"/>
          </w:tcPr>
          <w:p w14:paraId="3854D797" w14:textId="77777777" w:rsidR="00C424E5" w:rsidRDefault="00C424E5">
            <w:pPr>
              <w:cnfStyle w:val="000000000000" w:firstRow="0" w:lastRow="0" w:firstColumn="0" w:lastColumn="0" w:oddVBand="0" w:evenVBand="0" w:oddHBand="0" w:evenHBand="0" w:firstRowFirstColumn="0" w:firstRowLastColumn="0" w:lastRowFirstColumn="0" w:lastRowLastColumn="0"/>
            </w:pPr>
            <w:r>
              <w:t>1 851</w:t>
            </w:r>
          </w:p>
        </w:tc>
        <w:tc>
          <w:tcPr>
            <w:tcW w:w="794" w:type="dxa"/>
          </w:tcPr>
          <w:p w14:paraId="29DF9BFD" w14:textId="77777777" w:rsidR="00C424E5" w:rsidRDefault="00C424E5">
            <w:pPr>
              <w:cnfStyle w:val="000000000000" w:firstRow="0" w:lastRow="0" w:firstColumn="0" w:lastColumn="0" w:oddVBand="0" w:evenVBand="0" w:oddHBand="0" w:evenHBand="0" w:firstRowFirstColumn="0" w:firstRowLastColumn="0" w:lastRowFirstColumn="0" w:lastRowLastColumn="0"/>
            </w:pPr>
            <w:r>
              <w:t>1 744</w:t>
            </w:r>
          </w:p>
        </w:tc>
        <w:tc>
          <w:tcPr>
            <w:tcW w:w="794" w:type="dxa"/>
          </w:tcPr>
          <w:p w14:paraId="0270147A" w14:textId="77777777" w:rsidR="00C424E5" w:rsidRDefault="00C424E5">
            <w:pPr>
              <w:cnfStyle w:val="000000000000" w:firstRow="0" w:lastRow="0" w:firstColumn="0" w:lastColumn="0" w:oddVBand="0" w:evenVBand="0" w:oddHBand="0" w:evenHBand="0" w:firstRowFirstColumn="0" w:firstRowLastColumn="0" w:lastRowFirstColumn="0" w:lastRowLastColumn="0"/>
            </w:pPr>
            <w:r>
              <w:t>1 640</w:t>
            </w:r>
          </w:p>
        </w:tc>
        <w:tc>
          <w:tcPr>
            <w:tcW w:w="794" w:type="dxa"/>
          </w:tcPr>
          <w:p w14:paraId="20CE3E73" w14:textId="77777777" w:rsidR="00C424E5" w:rsidRDefault="00C424E5">
            <w:pPr>
              <w:cnfStyle w:val="000000000000" w:firstRow="0" w:lastRow="0" w:firstColumn="0" w:lastColumn="0" w:oddVBand="0" w:evenVBand="0" w:oddHBand="0" w:evenHBand="0" w:firstRowFirstColumn="0" w:firstRowLastColumn="0" w:lastRowFirstColumn="0" w:lastRowLastColumn="0"/>
            </w:pPr>
            <w:r>
              <w:t>1 550</w:t>
            </w:r>
          </w:p>
        </w:tc>
      </w:tr>
      <w:tr w:rsidR="00C424E5" w14:paraId="5ADB4ADA"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311EE505" w14:textId="77777777" w:rsidR="00C424E5" w:rsidRDefault="00C424E5">
            <w:r>
              <w:t>Plan assets</w:t>
            </w:r>
          </w:p>
        </w:tc>
        <w:tc>
          <w:tcPr>
            <w:tcW w:w="794" w:type="dxa"/>
            <w:tcBorders>
              <w:bottom w:val="single" w:sz="6" w:space="0" w:color="auto"/>
            </w:tcBorders>
          </w:tcPr>
          <w:p w14:paraId="0944AF3C" w14:textId="77777777" w:rsidR="00C424E5" w:rsidRDefault="00C424E5">
            <w:pPr>
              <w:cnfStyle w:val="000000000000" w:firstRow="0" w:lastRow="0" w:firstColumn="0" w:lastColumn="0" w:oddVBand="0" w:evenVBand="0" w:oddHBand="0" w:evenHBand="0" w:firstRowFirstColumn="0" w:firstRowLastColumn="0" w:lastRowFirstColumn="0" w:lastRowLastColumn="0"/>
            </w:pPr>
            <w:r>
              <w:t>(24 784)</w:t>
            </w:r>
          </w:p>
        </w:tc>
        <w:tc>
          <w:tcPr>
            <w:tcW w:w="794" w:type="dxa"/>
            <w:tcBorders>
              <w:bottom w:val="single" w:sz="6" w:space="0" w:color="auto"/>
            </w:tcBorders>
          </w:tcPr>
          <w:p w14:paraId="2B03500A" w14:textId="77777777" w:rsidR="00C424E5" w:rsidRDefault="00C424E5">
            <w:pPr>
              <w:cnfStyle w:val="000000000000" w:firstRow="0" w:lastRow="0" w:firstColumn="0" w:lastColumn="0" w:oddVBand="0" w:evenVBand="0" w:oddHBand="0" w:evenHBand="0" w:firstRowFirstColumn="0" w:firstRowLastColumn="0" w:lastRowFirstColumn="0" w:lastRowLastColumn="0"/>
            </w:pPr>
            <w:r>
              <w:t>(24 693)</w:t>
            </w:r>
          </w:p>
        </w:tc>
        <w:tc>
          <w:tcPr>
            <w:tcW w:w="794" w:type="dxa"/>
            <w:tcBorders>
              <w:bottom w:val="single" w:sz="6" w:space="0" w:color="auto"/>
            </w:tcBorders>
          </w:tcPr>
          <w:p w14:paraId="39224ECC" w14:textId="77777777" w:rsidR="00C424E5" w:rsidRDefault="00C424E5">
            <w:pPr>
              <w:cnfStyle w:val="000000000000" w:firstRow="0" w:lastRow="0" w:firstColumn="0" w:lastColumn="0" w:oddVBand="0" w:evenVBand="0" w:oddHBand="0" w:evenHBand="0" w:firstRowFirstColumn="0" w:firstRowLastColumn="0" w:lastRowFirstColumn="0" w:lastRowLastColumn="0"/>
            </w:pPr>
            <w:r>
              <w:t>(24 487)</w:t>
            </w:r>
          </w:p>
        </w:tc>
        <w:tc>
          <w:tcPr>
            <w:tcW w:w="794" w:type="dxa"/>
            <w:tcBorders>
              <w:bottom w:val="single" w:sz="6" w:space="0" w:color="auto"/>
            </w:tcBorders>
          </w:tcPr>
          <w:p w14:paraId="7435C6AB" w14:textId="77777777" w:rsidR="00C424E5" w:rsidRDefault="00C424E5">
            <w:pPr>
              <w:cnfStyle w:val="000000000000" w:firstRow="0" w:lastRow="0" w:firstColumn="0" w:lastColumn="0" w:oddVBand="0" w:evenVBand="0" w:oddHBand="0" w:evenHBand="0" w:firstRowFirstColumn="0" w:firstRowLastColumn="0" w:lastRowFirstColumn="0" w:lastRowLastColumn="0"/>
            </w:pPr>
            <w:r>
              <w:t>(24 755)</w:t>
            </w:r>
          </w:p>
        </w:tc>
        <w:tc>
          <w:tcPr>
            <w:tcW w:w="794" w:type="dxa"/>
            <w:tcBorders>
              <w:bottom w:val="single" w:sz="6" w:space="0" w:color="auto"/>
            </w:tcBorders>
          </w:tcPr>
          <w:p w14:paraId="4E1370CD" w14:textId="77777777" w:rsidR="00C424E5" w:rsidRDefault="00C424E5">
            <w:pPr>
              <w:cnfStyle w:val="000000000000" w:firstRow="0" w:lastRow="0" w:firstColumn="0" w:lastColumn="0" w:oddVBand="0" w:evenVBand="0" w:oddHBand="0" w:evenHBand="0" w:firstRowFirstColumn="0" w:firstRowLastColumn="0" w:lastRowFirstColumn="0" w:lastRowLastColumn="0"/>
            </w:pPr>
            <w:r>
              <w:t>(24 946)</w:t>
            </w:r>
          </w:p>
        </w:tc>
      </w:tr>
      <w:tr w:rsidR="00C424E5" w14:paraId="5C5E4F33"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29D379FE" w14:textId="77777777" w:rsidR="00C424E5" w:rsidRDefault="00C424E5">
            <w:r>
              <w:rPr>
                <w:b/>
              </w:rPr>
              <w:t>Total superannuation liability</w:t>
            </w:r>
          </w:p>
        </w:tc>
        <w:tc>
          <w:tcPr>
            <w:tcW w:w="794" w:type="dxa"/>
            <w:tcBorders>
              <w:top w:val="single" w:sz="6" w:space="0" w:color="auto"/>
              <w:bottom w:val="single" w:sz="12" w:space="0" w:color="auto"/>
            </w:tcBorders>
          </w:tcPr>
          <w:p w14:paraId="30FBD539"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19 244</w:t>
            </w:r>
          </w:p>
        </w:tc>
        <w:tc>
          <w:tcPr>
            <w:tcW w:w="794" w:type="dxa"/>
            <w:tcBorders>
              <w:top w:val="single" w:sz="6" w:space="0" w:color="auto"/>
              <w:bottom w:val="single" w:sz="12" w:space="0" w:color="auto"/>
            </w:tcBorders>
          </w:tcPr>
          <w:p w14:paraId="482FBE47"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17 461</w:t>
            </w:r>
          </w:p>
        </w:tc>
        <w:tc>
          <w:tcPr>
            <w:tcW w:w="794" w:type="dxa"/>
            <w:tcBorders>
              <w:top w:val="single" w:sz="6" w:space="0" w:color="auto"/>
              <w:bottom w:val="single" w:sz="12" w:space="0" w:color="auto"/>
            </w:tcBorders>
          </w:tcPr>
          <w:p w14:paraId="6AA38A13"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17 336</w:t>
            </w:r>
          </w:p>
        </w:tc>
        <w:tc>
          <w:tcPr>
            <w:tcW w:w="794" w:type="dxa"/>
            <w:tcBorders>
              <w:top w:val="single" w:sz="6" w:space="0" w:color="auto"/>
              <w:bottom w:val="single" w:sz="12" w:space="0" w:color="auto"/>
            </w:tcBorders>
          </w:tcPr>
          <w:p w14:paraId="1EF4E467"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16 789</w:t>
            </w:r>
          </w:p>
        </w:tc>
        <w:tc>
          <w:tcPr>
            <w:tcW w:w="794" w:type="dxa"/>
            <w:tcBorders>
              <w:top w:val="single" w:sz="6" w:space="0" w:color="auto"/>
              <w:bottom w:val="single" w:sz="12" w:space="0" w:color="auto"/>
            </w:tcBorders>
          </w:tcPr>
          <w:p w14:paraId="33EB13AB"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16 421</w:t>
            </w:r>
          </w:p>
        </w:tc>
      </w:tr>
      <w:tr w:rsidR="00C424E5" w14:paraId="7116F4CF"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0" w:space="0" w:color="auto"/>
            </w:tcBorders>
          </w:tcPr>
          <w:p w14:paraId="29114DB1" w14:textId="77777777" w:rsidR="00C424E5" w:rsidRDefault="00C424E5">
            <w:r>
              <w:rPr>
                <w:b/>
              </w:rPr>
              <w:t>Represented by:</w:t>
            </w:r>
          </w:p>
        </w:tc>
        <w:tc>
          <w:tcPr>
            <w:tcW w:w="794" w:type="dxa"/>
            <w:tcBorders>
              <w:top w:val="single" w:sz="0" w:space="0" w:color="auto"/>
            </w:tcBorders>
          </w:tcPr>
          <w:p w14:paraId="17DE43F0"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0" w:space="0" w:color="auto"/>
            </w:tcBorders>
          </w:tcPr>
          <w:p w14:paraId="44E11059"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0" w:space="0" w:color="auto"/>
            </w:tcBorders>
          </w:tcPr>
          <w:p w14:paraId="093D0F16"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0" w:space="0" w:color="auto"/>
            </w:tcBorders>
          </w:tcPr>
          <w:p w14:paraId="06786FED"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0" w:space="0" w:color="auto"/>
            </w:tcBorders>
          </w:tcPr>
          <w:p w14:paraId="556A7BA9"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13EF40D0" w14:textId="77777777">
        <w:tc>
          <w:tcPr>
            <w:cnfStyle w:val="001000000000" w:firstRow="0" w:lastRow="0" w:firstColumn="1" w:lastColumn="0" w:oddVBand="0" w:evenVBand="0" w:oddHBand="0" w:evenHBand="0" w:firstRowFirstColumn="0" w:firstRowLastColumn="0" w:lastRowFirstColumn="0" w:lastRowLastColumn="0"/>
            <w:tcW w:w="3740" w:type="dxa"/>
          </w:tcPr>
          <w:p w14:paraId="18BA910D" w14:textId="77777777" w:rsidR="00C424E5" w:rsidRDefault="00C424E5">
            <w:r>
              <w:t>Current superannuation liability</w:t>
            </w:r>
          </w:p>
        </w:tc>
        <w:tc>
          <w:tcPr>
            <w:tcW w:w="794" w:type="dxa"/>
          </w:tcPr>
          <w:p w14:paraId="485B7045" w14:textId="77777777" w:rsidR="00C424E5" w:rsidRDefault="00C424E5">
            <w:pPr>
              <w:cnfStyle w:val="000000000000" w:firstRow="0" w:lastRow="0" w:firstColumn="0" w:lastColumn="0" w:oddVBand="0" w:evenVBand="0" w:oddHBand="0" w:evenHBand="0" w:firstRowFirstColumn="0" w:firstRowLastColumn="0" w:lastRowFirstColumn="0" w:lastRowLastColumn="0"/>
            </w:pPr>
            <w:r>
              <w:t>1 079</w:t>
            </w:r>
          </w:p>
        </w:tc>
        <w:tc>
          <w:tcPr>
            <w:tcW w:w="794" w:type="dxa"/>
          </w:tcPr>
          <w:p w14:paraId="76EEEB05" w14:textId="77777777" w:rsidR="00C424E5" w:rsidRDefault="00C424E5">
            <w:pPr>
              <w:cnfStyle w:val="000000000000" w:firstRow="0" w:lastRow="0" w:firstColumn="0" w:lastColumn="0" w:oddVBand="0" w:evenVBand="0" w:oddHBand="0" w:evenHBand="0" w:firstRowFirstColumn="0" w:firstRowLastColumn="0" w:lastRowFirstColumn="0" w:lastRowLastColumn="0"/>
            </w:pPr>
            <w:r>
              <w:t>579</w:t>
            </w:r>
          </w:p>
        </w:tc>
        <w:tc>
          <w:tcPr>
            <w:tcW w:w="794" w:type="dxa"/>
          </w:tcPr>
          <w:p w14:paraId="46BB047E" w14:textId="77777777" w:rsidR="00C424E5" w:rsidRDefault="00C424E5">
            <w:pPr>
              <w:cnfStyle w:val="000000000000" w:firstRow="0" w:lastRow="0" w:firstColumn="0" w:lastColumn="0" w:oddVBand="0" w:evenVBand="0" w:oddHBand="0" w:evenHBand="0" w:firstRowFirstColumn="0" w:firstRowLastColumn="0" w:lastRowFirstColumn="0" w:lastRowLastColumn="0"/>
            </w:pPr>
            <w:r>
              <w:t>1 042</w:t>
            </w:r>
          </w:p>
        </w:tc>
        <w:tc>
          <w:tcPr>
            <w:tcW w:w="794" w:type="dxa"/>
          </w:tcPr>
          <w:p w14:paraId="0FA84259" w14:textId="77777777" w:rsidR="00C424E5" w:rsidRDefault="00C424E5">
            <w:pPr>
              <w:cnfStyle w:val="000000000000" w:firstRow="0" w:lastRow="0" w:firstColumn="0" w:lastColumn="0" w:oddVBand="0" w:evenVBand="0" w:oddHBand="0" w:evenHBand="0" w:firstRowFirstColumn="0" w:firstRowLastColumn="0" w:lastRowFirstColumn="0" w:lastRowLastColumn="0"/>
            </w:pPr>
            <w:r>
              <w:t>917</w:t>
            </w:r>
          </w:p>
        </w:tc>
        <w:tc>
          <w:tcPr>
            <w:tcW w:w="794" w:type="dxa"/>
          </w:tcPr>
          <w:p w14:paraId="45060B60" w14:textId="77777777" w:rsidR="00C424E5" w:rsidRDefault="00C424E5">
            <w:pPr>
              <w:cnfStyle w:val="000000000000" w:firstRow="0" w:lastRow="0" w:firstColumn="0" w:lastColumn="0" w:oddVBand="0" w:evenVBand="0" w:oddHBand="0" w:evenHBand="0" w:firstRowFirstColumn="0" w:firstRowLastColumn="0" w:lastRowFirstColumn="0" w:lastRowLastColumn="0"/>
            </w:pPr>
            <w:r>
              <w:t>1 150</w:t>
            </w:r>
          </w:p>
        </w:tc>
      </w:tr>
      <w:tr w:rsidR="00C424E5" w14:paraId="6AA77B30"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bottom w:val="single" w:sz="12" w:space="0" w:color="auto"/>
            </w:tcBorders>
          </w:tcPr>
          <w:p w14:paraId="5C96245B" w14:textId="77777777" w:rsidR="00C424E5" w:rsidRDefault="00C424E5">
            <w:r>
              <w:t>Non</w:t>
            </w:r>
            <w:r>
              <w:noBreakHyphen/>
              <w:t>current superannuation liability</w:t>
            </w:r>
          </w:p>
        </w:tc>
        <w:tc>
          <w:tcPr>
            <w:tcW w:w="794" w:type="dxa"/>
            <w:tcBorders>
              <w:bottom w:val="single" w:sz="12" w:space="0" w:color="auto"/>
            </w:tcBorders>
          </w:tcPr>
          <w:p w14:paraId="06FDAB20" w14:textId="77777777" w:rsidR="00C424E5" w:rsidRDefault="00C424E5">
            <w:pPr>
              <w:cnfStyle w:val="000000000000" w:firstRow="0" w:lastRow="0" w:firstColumn="0" w:lastColumn="0" w:oddVBand="0" w:evenVBand="0" w:oddHBand="0" w:evenHBand="0" w:firstRowFirstColumn="0" w:firstRowLastColumn="0" w:lastRowFirstColumn="0" w:lastRowLastColumn="0"/>
            </w:pPr>
            <w:r>
              <w:t>18 165</w:t>
            </w:r>
          </w:p>
        </w:tc>
        <w:tc>
          <w:tcPr>
            <w:tcW w:w="794" w:type="dxa"/>
            <w:tcBorders>
              <w:bottom w:val="single" w:sz="12" w:space="0" w:color="auto"/>
            </w:tcBorders>
          </w:tcPr>
          <w:p w14:paraId="4C9AABF6" w14:textId="77777777" w:rsidR="00C424E5" w:rsidRDefault="00C424E5">
            <w:pPr>
              <w:cnfStyle w:val="000000000000" w:firstRow="0" w:lastRow="0" w:firstColumn="0" w:lastColumn="0" w:oddVBand="0" w:evenVBand="0" w:oddHBand="0" w:evenHBand="0" w:firstRowFirstColumn="0" w:firstRowLastColumn="0" w:lastRowFirstColumn="0" w:lastRowLastColumn="0"/>
            </w:pPr>
            <w:r>
              <w:t>16 882</w:t>
            </w:r>
          </w:p>
        </w:tc>
        <w:tc>
          <w:tcPr>
            <w:tcW w:w="794" w:type="dxa"/>
            <w:tcBorders>
              <w:bottom w:val="single" w:sz="12" w:space="0" w:color="auto"/>
            </w:tcBorders>
          </w:tcPr>
          <w:p w14:paraId="64C3E531" w14:textId="77777777" w:rsidR="00C424E5" w:rsidRDefault="00C424E5">
            <w:pPr>
              <w:cnfStyle w:val="000000000000" w:firstRow="0" w:lastRow="0" w:firstColumn="0" w:lastColumn="0" w:oddVBand="0" w:evenVBand="0" w:oddHBand="0" w:evenHBand="0" w:firstRowFirstColumn="0" w:firstRowLastColumn="0" w:lastRowFirstColumn="0" w:lastRowLastColumn="0"/>
            </w:pPr>
            <w:r>
              <w:t>16 295</w:t>
            </w:r>
          </w:p>
        </w:tc>
        <w:tc>
          <w:tcPr>
            <w:tcW w:w="794" w:type="dxa"/>
            <w:tcBorders>
              <w:bottom w:val="single" w:sz="12" w:space="0" w:color="auto"/>
            </w:tcBorders>
          </w:tcPr>
          <w:p w14:paraId="4A3C670F" w14:textId="77777777" w:rsidR="00C424E5" w:rsidRDefault="00C424E5">
            <w:pPr>
              <w:cnfStyle w:val="000000000000" w:firstRow="0" w:lastRow="0" w:firstColumn="0" w:lastColumn="0" w:oddVBand="0" w:evenVBand="0" w:oddHBand="0" w:evenHBand="0" w:firstRowFirstColumn="0" w:firstRowLastColumn="0" w:lastRowFirstColumn="0" w:lastRowLastColumn="0"/>
            </w:pPr>
            <w:r>
              <w:t>15 873</w:t>
            </w:r>
          </w:p>
        </w:tc>
        <w:tc>
          <w:tcPr>
            <w:tcW w:w="794" w:type="dxa"/>
            <w:tcBorders>
              <w:bottom w:val="single" w:sz="12" w:space="0" w:color="auto"/>
            </w:tcBorders>
          </w:tcPr>
          <w:p w14:paraId="0A4A97A0" w14:textId="392B96AE" w:rsidR="00C424E5" w:rsidRDefault="00C424E5">
            <w:pPr>
              <w:cnfStyle w:val="000000000000" w:firstRow="0" w:lastRow="0" w:firstColumn="0" w:lastColumn="0" w:oddVBand="0" w:evenVBand="0" w:oddHBand="0" w:evenHBand="0" w:firstRowFirstColumn="0" w:firstRowLastColumn="0" w:lastRowFirstColumn="0" w:lastRowLastColumn="0"/>
            </w:pPr>
            <w:r>
              <w:t>15 271</w:t>
            </w:r>
          </w:p>
        </w:tc>
      </w:tr>
    </w:tbl>
    <w:p w14:paraId="362DC4C4" w14:textId="77777777" w:rsidR="00C424E5" w:rsidRDefault="00C424E5" w:rsidP="006206EF">
      <w:pPr>
        <w:pStyle w:val="Note"/>
        <w:ind w:left="0" w:firstLine="0"/>
      </w:pPr>
      <w:r>
        <w:t>Notes:</w:t>
      </w:r>
    </w:p>
    <w:p w14:paraId="14E2755D" w14:textId="77777777" w:rsidR="00C424E5" w:rsidRDefault="00C424E5" w:rsidP="006206EF">
      <w:pPr>
        <w:pStyle w:val="Note"/>
      </w:pPr>
      <w:r>
        <w:t>(a)</w:t>
      </w:r>
      <w:r>
        <w:tab/>
        <w:t>Tax liability is the present value of tax payments on contributions that are expected to be required to fund accrued benefits.</w:t>
      </w:r>
    </w:p>
    <w:p w14:paraId="4EBD2250" w14:textId="77777777" w:rsidR="00C424E5" w:rsidRDefault="00C424E5" w:rsidP="006206EF">
      <w:pPr>
        <w:pStyle w:val="Note"/>
      </w:pPr>
      <w:r>
        <w:t>(b)</w:t>
      </w:r>
      <w:r>
        <w:tab/>
        <w:t>Other funds include constitutionally protected schemes and the State’s share of liabilities of the defined benefit scheme of the former Health Super Fund.</w:t>
      </w:r>
    </w:p>
    <w:p w14:paraId="48DA3360" w14:textId="77777777" w:rsidR="00C424E5" w:rsidRPr="00964DF6" w:rsidRDefault="00C424E5" w:rsidP="006206EF"/>
    <w:p w14:paraId="75F1BB52" w14:textId="77777777" w:rsidR="00C424E5" w:rsidRDefault="00C424E5" w:rsidP="006206EF">
      <w:pPr>
        <w:rPr>
          <w:rFonts w:asciiTheme="majorHAnsi" w:hAnsiTheme="majorHAnsi"/>
          <w:b/>
          <w:sz w:val="20"/>
        </w:rPr>
      </w:pPr>
      <w:r>
        <w:br w:type="page"/>
      </w:r>
    </w:p>
    <w:p w14:paraId="55AC23A3" w14:textId="77777777" w:rsidR="00C424E5" w:rsidRDefault="00C424E5" w:rsidP="006206EF">
      <w:pPr>
        <w:pStyle w:val="TableHeading"/>
        <w:ind w:left="0" w:firstLine="0"/>
      </w:pPr>
      <w:r w:rsidRPr="00D02438">
        <w:lastRenderedPageBreak/>
        <w:t>Reconciliation of the present value of the defined benefit obligation</w:t>
      </w:r>
      <w:r w:rsidRPr="00D02438">
        <w:tab/>
        <w:t>($ million)</w:t>
      </w:r>
    </w:p>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F70B1C" w14:paraId="1CA989AC" w14:textId="77777777" w:rsidTr="00A836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47DFFEF4" w14:textId="2399022E" w:rsidR="00F70B1C" w:rsidRDefault="00F70B1C"/>
        </w:tc>
        <w:tc>
          <w:tcPr>
            <w:tcW w:w="794" w:type="dxa"/>
            <w:tcBorders>
              <w:top w:val="single" w:sz="6" w:space="0" w:color="auto"/>
            </w:tcBorders>
          </w:tcPr>
          <w:p w14:paraId="7744AF34" w14:textId="04AE1D94" w:rsidR="00F70B1C" w:rsidRDefault="00F70B1C" w:rsidP="00FA22C4">
            <w:pPr>
              <w:cnfStyle w:val="100000000000" w:firstRow="1" w:lastRow="0" w:firstColumn="0" w:lastColumn="0" w:oddVBand="0" w:evenVBand="0" w:oddHBand="0" w:evenHBand="0" w:firstRowFirstColumn="0" w:firstRowLastColumn="0" w:lastRowFirstColumn="0" w:lastRowLastColumn="0"/>
            </w:pPr>
            <w:r>
              <w:t>2023</w:t>
            </w:r>
            <w:r>
              <w:rPr>
                <w:i w:val="0"/>
              </w:rPr>
              <w:br/>
            </w:r>
            <w:r>
              <w:t>budget</w:t>
            </w:r>
          </w:p>
        </w:tc>
        <w:tc>
          <w:tcPr>
            <w:tcW w:w="794" w:type="dxa"/>
            <w:tcBorders>
              <w:top w:val="single" w:sz="6" w:space="0" w:color="auto"/>
            </w:tcBorders>
          </w:tcPr>
          <w:p w14:paraId="2102528E" w14:textId="7F6AFC83" w:rsidR="00F70B1C" w:rsidRDefault="00F70B1C" w:rsidP="00C500C3">
            <w:pPr>
              <w:cnfStyle w:val="100000000000" w:firstRow="1" w:lastRow="0" w:firstColumn="0" w:lastColumn="0" w:oddVBand="0" w:evenVBand="0" w:oddHBand="0" w:evenHBand="0" w:firstRowFirstColumn="0" w:firstRowLastColumn="0" w:lastRowFirstColumn="0" w:lastRowLastColumn="0"/>
            </w:pPr>
            <w:r>
              <w:t>2023</w:t>
            </w:r>
            <w:r>
              <w:rPr>
                <w:i w:val="0"/>
              </w:rPr>
              <w:br/>
            </w:r>
            <w:r>
              <w:t>revised</w:t>
            </w:r>
          </w:p>
        </w:tc>
        <w:tc>
          <w:tcPr>
            <w:tcW w:w="794" w:type="dxa"/>
            <w:tcBorders>
              <w:top w:val="single" w:sz="6" w:space="0" w:color="auto"/>
            </w:tcBorders>
          </w:tcPr>
          <w:p w14:paraId="7125E461" w14:textId="569ED199" w:rsidR="00F70B1C" w:rsidRDefault="00F70B1C" w:rsidP="00B50B5B">
            <w:pPr>
              <w:cnfStyle w:val="100000000000" w:firstRow="1" w:lastRow="0" w:firstColumn="0" w:lastColumn="0" w:oddVBand="0" w:evenVBand="0" w:oddHBand="0" w:evenHBand="0" w:firstRowFirstColumn="0" w:firstRowLastColumn="0" w:lastRowFirstColumn="0" w:lastRowLastColumn="0"/>
            </w:pPr>
            <w:r>
              <w:t>2024</w:t>
            </w:r>
            <w:r>
              <w:rPr>
                <w:i w:val="0"/>
              </w:rPr>
              <w:br/>
            </w:r>
            <w:r>
              <w:t>estimate</w:t>
            </w:r>
          </w:p>
        </w:tc>
        <w:tc>
          <w:tcPr>
            <w:tcW w:w="794" w:type="dxa"/>
            <w:tcBorders>
              <w:top w:val="single" w:sz="6" w:space="0" w:color="auto"/>
            </w:tcBorders>
          </w:tcPr>
          <w:p w14:paraId="55B7526D" w14:textId="778311F7" w:rsidR="00F70B1C" w:rsidRDefault="00F70B1C" w:rsidP="00DD5412">
            <w:pPr>
              <w:cnfStyle w:val="100000000000" w:firstRow="1" w:lastRow="0" w:firstColumn="0" w:lastColumn="0" w:oddVBand="0" w:evenVBand="0" w:oddHBand="0" w:evenHBand="0" w:firstRowFirstColumn="0" w:firstRowLastColumn="0" w:lastRowFirstColumn="0" w:lastRowLastColumn="0"/>
            </w:pPr>
            <w:r>
              <w:t>2025</w:t>
            </w:r>
            <w:r>
              <w:rPr>
                <w:i w:val="0"/>
              </w:rPr>
              <w:br/>
            </w:r>
            <w:r>
              <w:t>estimate</w:t>
            </w:r>
          </w:p>
        </w:tc>
        <w:tc>
          <w:tcPr>
            <w:tcW w:w="794" w:type="dxa"/>
            <w:tcBorders>
              <w:top w:val="single" w:sz="6" w:space="0" w:color="auto"/>
            </w:tcBorders>
          </w:tcPr>
          <w:p w14:paraId="74E1FCBB" w14:textId="30547D3B" w:rsidR="00F70B1C" w:rsidRDefault="00F70B1C" w:rsidP="00D64BD3">
            <w:pPr>
              <w:cnfStyle w:val="100000000000" w:firstRow="1" w:lastRow="0" w:firstColumn="0" w:lastColumn="0" w:oddVBand="0" w:evenVBand="0" w:oddHBand="0" w:evenHBand="0" w:firstRowFirstColumn="0" w:firstRowLastColumn="0" w:lastRowFirstColumn="0" w:lastRowLastColumn="0"/>
            </w:pPr>
            <w:r>
              <w:t>2026</w:t>
            </w:r>
            <w:r>
              <w:rPr>
                <w:i w:val="0"/>
              </w:rPr>
              <w:br/>
            </w:r>
            <w:r>
              <w:t>estimate</w:t>
            </w:r>
          </w:p>
        </w:tc>
      </w:tr>
      <w:tr w:rsidR="00C424E5" w14:paraId="71B54588"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568C8904" w14:textId="77777777" w:rsidR="00C424E5" w:rsidRDefault="00C424E5">
            <w:r>
              <w:rPr>
                <w:b/>
              </w:rPr>
              <w:t>Opening balance of defined benefit obligation</w:t>
            </w:r>
          </w:p>
        </w:tc>
        <w:tc>
          <w:tcPr>
            <w:tcW w:w="794" w:type="dxa"/>
            <w:tcBorders>
              <w:top w:val="single" w:sz="6" w:space="0" w:color="auto"/>
            </w:tcBorders>
          </w:tcPr>
          <w:p w14:paraId="687151D7"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44 148</w:t>
            </w:r>
          </w:p>
        </w:tc>
        <w:tc>
          <w:tcPr>
            <w:tcW w:w="794" w:type="dxa"/>
            <w:tcBorders>
              <w:top w:val="single" w:sz="6" w:space="0" w:color="auto"/>
            </w:tcBorders>
          </w:tcPr>
          <w:p w14:paraId="5E5D9AD1"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44 148</w:t>
            </w:r>
          </w:p>
        </w:tc>
        <w:tc>
          <w:tcPr>
            <w:tcW w:w="794" w:type="dxa"/>
            <w:tcBorders>
              <w:top w:val="single" w:sz="6" w:space="0" w:color="auto"/>
            </w:tcBorders>
          </w:tcPr>
          <w:p w14:paraId="48092B7A"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42 154</w:t>
            </w:r>
          </w:p>
        </w:tc>
        <w:tc>
          <w:tcPr>
            <w:tcW w:w="794" w:type="dxa"/>
            <w:tcBorders>
              <w:top w:val="single" w:sz="6" w:space="0" w:color="auto"/>
            </w:tcBorders>
          </w:tcPr>
          <w:p w14:paraId="22D5C236"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41 823</w:t>
            </w:r>
          </w:p>
        </w:tc>
        <w:tc>
          <w:tcPr>
            <w:tcW w:w="794" w:type="dxa"/>
            <w:tcBorders>
              <w:top w:val="single" w:sz="6" w:space="0" w:color="auto"/>
            </w:tcBorders>
          </w:tcPr>
          <w:p w14:paraId="7D8851C1"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41 545</w:t>
            </w:r>
          </w:p>
        </w:tc>
      </w:tr>
      <w:tr w:rsidR="00C424E5" w14:paraId="27CF8FA3" w14:textId="77777777">
        <w:tc>
          <w:tcPr>
            <w:cnfStyle w:val="001000000000" w:firstRow="0" w:lastRow="0" w:firstColumn="1" w:lastColumn="0" w:oddVBand="0" w:evenVBand="0" w:oddHBand="0" w:evenHBand="0" w:firstRowFirstColumn="0" w:firstRowLastColumn="0" w:lastRowFirstColumn="0" w:lastRowLastColumn="0"/>
            <w:tcW w:w="3740" w:type="dxa"/>
          </w:tcPr>
          <w:p w14:paraId="52396C50" w14:textId="77777777" w:rsidR="00C424E5" w:rsidRDefault="00C424E5">
            <w:r>
              <w:t>Current service cost</w:t>
            </w:r>
          </w:p>
        </w:tc>
        <w:tc>
          <w:tcPr>
            <w:tcW w:w="794" w:type="dxa"/>
          </w:tcPr>
          <w:p w14:paraId="7FFD2747" w14:textId="77777777" w:rsidR="00C424E5" w:rsidRDefault="00C424E5">
            <w:pPr>
              <w:cnfStyle w:val="000000000000" w:firstRow="0" w:lastRow="0" w:firstColumn="0" w:lastColumn="0" w:oddVBand="0" w:evenVBand="0" w:oddHBand="0" w:evenHBand="0" w:firstRowFirstColumn="0" w:firstRowLastColumn="0" w:lastRowFirstColumn="0" w:lastRowLastColumn="0"/>
            </w:pPr>
            <w:r>
              <w:t>1 418</w:t>
            </w:r>
          </w:p>
        </w:tc>
        <w:tc>
          <w:tcPr>
            <w:tcW w:w="794" w:type="dxa"/>
          </w:tcPr>
          <w:p w14:paraId="2DD8D66A" w14:textId="77777777" w:rsidR="00C424E5" w:rsidRDefault="00C424E5">
            <w:pPr>
              <w:cnfStyle w:val="000000000000" w:firstRow="0" w:lastRow="0" w:firstColumn="0" w:lastColumn="0" w:oddVBand="0" w:evenVBand="0" w:oddHBand="0" w:evenHBand="0" w:firstRowFirstColumn="0" w:firstRowLastColumn="0" w:lastRowFirstColumn="0" w:lastRowLastColumn="0"/>
            </w:pPr>
            <w:r>
              <w:t>988</w:t>
            </w:r>
          </w:p>
        </w:tc>
        <w:tc>
          <w:tcPr>
            <w:tcW w:w="794" w:type="dxa"/>
          </w:tcPr>
          <w:p w14:paraId="72A671A7" w14:textId="77777777" w:rsidR="00C424E5" w:rsidRDefault="00C424E5">
            <w:pPr>
              <w:cnfStyle w:val="000000000000" w:firstRow="0" w:lastRow="0" w:firstColumn="0" w:lastColumn="0" w:oddVBand="0" w:evenVBand="0" w:oddHBand="0" w:evenHBand="0" w:firstRowFirstColumn="0" w:firstRowLastColumn="0" w:lastRowFirstColumn="0" w:lastRowLastColumn="0"/>
            </w:pPr>
            <w:r>
              <w:t>1 046</w:t>
            </w:r>
          </w:p>
        </w:tc>
        <w:tc>
          <w:tcPr>
            <w:tcW w:w="794" w:type="dxa"/>
          </w:tcPr>
          <w:p w14:paraId="76630901" w14:textId="77777777" w:rsidR="00C424E5" w:rsidRDefault="00C424E5">
            <w:pPr>
              <w:cnfStyle w:val="000000000000" w:firstRow="0" w:lastRow="0" w:firstColumn="0" w:lastColumn="0" w:oddVBand="0" w:evenVBand="0" w:oddHBand="0" w:evenHBand="0" w:firstRowFirstColumn="0" w:firstRowLastColumn="0" w:lastRowFirstColumn="0" w:lastRowLastColumn="0"/>
            </w:pPr>
            <w:r>
              <w:t>1 129</w:t>
            </w:r>
          </w:p>
        </w:tc>
        <w:tc>
          <w:tcPr>
            <w:tcW w:w="794" w:type="dxa"/>
          </w:tcPr>
          <w:p w14:paraId="505D5696" w14:textId="77777777" w:rsidR="00C424E5" w:rsidRDefault="00C424E5">
            <w:pPr>
              <w:cnfStyle w:val="000000000000" w:firstRow="0" w:lastRow="0" w:firstColumn="0" w:lastColumn="0" w:oddVBand="0" w:evenVBand="0" w:oddHBand="0" w:evenHBand="0" w:firstRowFirstColumn="0" w:firstRowLastColumn="0" w:lastRowFirstColumn="0" w:lastRowLastColumn="0"/>
            </w:pPr>
            <w:r>
              <w:t>1 221</w:t>
            </w:r>
          </w:p>
        </w:tc>
      </w:tr>
      <w:tr w:rsidR="00C424E5" w14:paraId="656B1825" w14:textId="77777777">
        <w:tc>
          <w:tcPr>
            <w:cnfStyle w:val="001000000000" w:firstRow="0" w:lastRow="0" w:firstColumn="1" w:lastColumn="0" w:oddVBand="0" w:evenVBand="0" w:oddHBand="0" w:evenHBand="0" w:firstRowFirstColumn="0" w:firstRowLastColumn="0" w:lastRowFirstColumn="0" w:lastRowLastColumn="0"/>
            <w:tcW w:w="3740" w:type="dxa"/>
          </w:tcPr>
          <w:p w14:paraId="60C61D34" w14:textId="77777777" w:rsidR="00C424E5" w:rsidRDefault="00C424E5">
            <w:r>
              <w:t>Interest expense</w:t>
            </w:r>
          </w:p>
        </w:tc>
        <w:tc>
          <w:tcPr>
            <w:tcW w:w="794" w:type="dxa"/>
          </w:tcPr>
          <w:p w14:paraId="2B5B4E8D" w14:textId="77777777" w:rsidR="00C424E5" w:rsidRDefault="00C424E5">
            <w:pPr>
              <w:cnfStyle w:val="000000000000" w:firstRow="0" w:lastRow="0" w:firstColumn="0" w:lastColumn="0" w:oddVBand="0" w:evenVBand="0" w:oddHBand="0" w:evenHBand="0" w:firstRowFirstColumn="0" w:firstRowLastColumn="0" w:lastRowFirstColumn="0" w:lastRowLastColumn="0"/>
            </w:pPr>
            <w:r>
              <w:t>1 426</w:t>
            </w:r>
          </w:p>
        </w:tc>
        <w:tc>
          <w:tcPr>
            <w:tcW w:w="794" w:type="dxa"/>
          </w:tcPr>
          <w:p w14:paraId="68E137F5" w14:textId="77777777" w:rsidR="00C424E5" w:rsidRDefault="00C424E5">
            <w:pPr>
              <w:cnfStyle w:val="000000000000" w:firstRow="0" w:lastRow="0" w:firstColumn="0" w:lastColumn="0" w:oddVBand="0" w:evenVBand="0" w:oddHBand="0" w:evenHBand="0" w:firstRowFirstColumn="0" w:firstRowLastColumn="0" w:lastRowFirstColumn="0" w:lastRowLastColumn="0"/>
            </w:pPr>
            <w:r>
              <w:t>1 630</w:t>
            </w:r>
          </w:p>
        </w:tc>
        <w:tc>
          <w:tcPr>
            <w:tcW w:w="794" w:type="dxa"/>
          </w:tcPr>
          <w:p w14:paraId="232CAFD0" w14:textId="77777777" w:rsidR="00C424E5" w:rsidRDefault="00C424E5">
            <w:pPr>
              <w:cnfStyle w:val="000000000000" w:firstRow="0" w:lastRow="0" w:firstColumn="0" w:lastColumn="0" w:oddVBand="0" w:evenVBand="0" w:oddHBand="0" w:evenHBand="0" w:firstRowFirstColumn="0" w:firstRowLastColumn="0" w:lastRowFirstColumn="0" w:lastRowLastColumn="0"/>
            </w:pPr>
            <w:r>
              <w:t>1 672</w:t>
            </w:r>
          </w:p>
        </w:tc>
        <w:tc>
          <w:tcPr>
            <w:tcW w:w="794" w:type="dxa"/>
          </w:tcPr>
          <w:p w14:paraId="04617111" w14:textId="77777777" w:rsidR="00C424E5" w:rsidRDefault="00C424E5">
            <w:pPr>
              <w:cnfStyle w:val="000000000000" w:firstRow="0" w:lastRow="0" w:firstColumn="0" w:lastColumn="0" w:oddVBand="0" w:evenVBand="0" w:oddHBand="0" w:evenHBand="0" w:firstRowFirstColumn="0" w:firstRowLastColumn="0" w:lastRowFirstColumn="0" w:lastRowLastColumn="0"/>
            </w:pPr>
            <w:r>
              <w:t>1 657</w:t>
            </w:r>
          </w:p>
        </w:tc>
        <w:tc>
          <w:tcPr>
            <w:tcW w:w="794" w:type="dxa"/>
          </w:tcPr>
          <w:p w14:paraId="293B5CFD" w14:textId="77777777" w:rsidR="00C424E5" w:rsidRDefault="00C424E5">
            <w:pPr>
              <w:cnfStyle w:val="000000000000" w:firstRow="0" w:lastRow="0" w:firstColumn="0" w:lastColumn="0" w:oddVBand="0" w:evenVBand="0" w:oddHBand="0" w:evenHBand="0" w:firstRowFirstColumn="0" w:firstRowLastColumn="0" w:lastRowFirstColumn="0" w:lastRowLastColumn="0"/>
            </w:pPr>
            <w:r>
              <w:t>1 645</w:t>
            </w:r>
          </w:p>
        </w:tc>
      </w:tr>
      <w:tr w:rsidR="00C424E5" w14:paraId="032D9162" w14:textId="77777777">
        <w:tc>
          <w:tcPr>
            <w:cnfStyle w:val="001000000000" w:firstRow="0" w:lastRow="0" w:firstColumn="1" w:lastColumn="0" w:oddVBand="0" w:evenVBand="0" w:oddHBand="0" w:evenHBand="0" w:firstRowFirstColumn="0" w:firstRowLastColumn="0" w:lastRowFirstColumn="0" w:lastRowLastColumn="0"/>
            <w:tcW w:w="3740" w:type="dxa"/>
          </w:tcPr>
          <w:p w14:paraId="588A3329" w14:textId="77777777" w:rsidR="00C424E5" w:rsidRDefault="00C424E5">
            <w:r>
              <w:t>Contributions by plan participants</w:t>
            </w:r>
          </w:p>
        </w:tc>
        <w:tc>
          <w:tcPr>
            <w:tcW w:w="794" w:type="dxa"/>
          </w:tcPr>
          <w:p w14:paraId="48D97F11" w14:textId="77777777" w:rsidR="00C424E5" w:rsidRDefault="00C424E5">
            <w:pPr>
              <w:cnfStyle w:val="000000000000" w:firstRow="0" w:lastRow="0" w:firstColumn="0" w:lastColumn="0" w:oddVBand="0" w:evenVBand="0" w:oddHBand="0" w:evenHBand="0" w:firstRowFirstColumn="0" w:firstRowLastColumn="0" w:lastRowFirstColumn="0" w:lastRowLastColumn="0"/>
            </w:pPr>
            <w:r>
              <w:t>226</w:t>
            </w:r>
          </w:p>
        </w:tc>
        <w:tc>
          <w:tcPr>
            <w:tcW w:w="794" w:type="dxa"/>
          </w:tcPr>
          <w:p w14:paraId="5AEC7A7A" w14:textId="77777777" w:rsidR="00C424E5" w:rsidRDefault="00C424E5">
            <w:pPr>
              <w:cnfStyle w:val="000000000000" w:firstRow="0" w:lastRow="0" w:firstColumn="0" w:lastColumn="0" w:oddVBand="0" w:evenVBand="0" w:oddHBand="0" w:evenHBand="0" w:firstRowFirstColumn="0" w:firstRowLastColumn="0" w:lastRowFirstColumn="0" w:lastRowLastColumn="0"/>
            </w:pPr>
            <w:r>
              <w:t>224</w:t>
            </w:r>
          </w:p>
        </w:tc>
        <w:tc>
          <w:tcPr>
            <w:tcW w:w="794" w:type="dxa"/>
          </w:tcPr>
          <w:p w14:paraId="3D238937" w14:textId="77777777" w:rsidR="00C424E5" w:rsidRDefault="00C424E5">
            <w:pPr>
              <w:cnfStyle w:val="000000000000" w:firstRow="0" w:lastRow="0" w:firstColumn="0" w:lastColumn="0" w:oddVBand="0" w:evenVBand="0" w:oddHBand="0" w:evenHBand="0" w:firstRowFirstColumn="0" w:firstRowLastColumn="0" w:lastRowFirstColumn="0" w:lastRowLastColumn="0"/>
            </w:pPr>
            <w:r>
              <w:t>229</w:t>
            </w:r>
          </w:p>
        </w:tc>
        <w:tc>
          <w:tcPr>
            <w:tcW w:w="794" w:type="dxa"/>
          </w:tcPr>
          <w:p w14:paraId="1753D63B" w14:textId="77777777" w:rsidR="00C424E5" w:rsidRDefault="00C424E5">
            <w:pPr>
              <w:cnfStyle w:val="000000000000" w:firstRow="0" w:lastRow="0" w:firstColumn="0" w:lastColumn="0" w:oddVBand="0" w:evenVBand="0" w:oddHBand="0" w:evenHBand="0" w:firstRowFirstColumn="0" w:firstRowLastColumn="0" w:lastRowFirstColumn="0" w:lastRowLastColumn="0"/>
            </w:pPr>
            <w:r>
              <w:t>235</w:t>
            </w:r>
          </w:p>
        </w:tc>
        <w:tc>
          <w:tcPr>
            <w:tcW w:w="794" w:type="dxa"/>
          </w:tcPr>
          <w:p w14:paraId="064E4158" w14:textId="77777777" w:rsidR="00C424E5" w:rsidRDefault="00C424E5">
            <w:pPr>
              <w:cnfStyle w:val="000000000000" w:firstRow="0" w:lastRow="0" w:firstColumn="0" w:lastColumn="0" w:oddVBand="0" w:evenVBand="0" w:oddHBand="0" w:evenHBand="0" w:firstRowFirstColumn="0" w:firstRowLastColumn="0" w:lastRowFirstColumn="0" w:lastRowLastColumn="0"/>
            </w:pPr>
            <w:r>
              <w:t>241</w:t>
            </w:r>
          </w:p>
        </w:tc>
      </w:tr>
      <w:tr w:rsidR="00C424E5" w14:paraId="06F71AAB" w14:textId="77777777">
        <w:tc>
          <w:tcPr>
            <w:cnfStyle w:val="001000000000" w:firstRow="0" w:lastRow="0" w:firstColumn="1" w:lastColumn="0" w:oddVBand="0" w:evenVBand="0" w:oddHBand="0" w:evenHBand="0" w:firstRowFirstColumn="0" w:firstRowLastColumn="0" w:lastRowFirstColumn="0" w:lastRowLastColumn="0"/>
            <w:tcW w:w="3740" w:type="dxa"/>
          </w:tcPr>
          <w:p w14:paraId="062F09DD" w14:textId="77777777" w:rsidR="00C424E5" w:rsidRDefault="00C424E5">
            <w:r>
              <w:t>Actuarial (gains)/losses on the defined benefit obligation, due to:</w:t>
            </w:r>
          </w:p>
        </w:tc>
        <w:tc>
          <w:tcPr>
            <w:tcW w:w="794" w:type="dxa"/>
          </w:tcPr>
          <w:p w14:paraId="559A0BAC"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11BEB2A6"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5BD84772"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1339C2A6"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c>
          <w:tcPr>
            <w:tcW w:w="794" w:type="dxa"/>
          </w:tcPr>
          <w:p w14:paraId="29ED12CD" w14:textId="77777777" w:rsidR="00C424E5" w:rsidRDefault="00C424E5">
            <w:pPr>
              <w:cnfStyle w:val="000000000000" w:firstRow="0" w:lastRow="0" w:firstColumn="0" w:lastColumn="0" w:oddVBand="0" w:evenVBand="0" w:oddHBand="0" w:evenHBand="0" w:firstRowFirstColumn="0" w:firstRowLastColumn="0" w:lastRowFirstColumn="0" w:lastRowLastColumn="0"/>
            </w:pPr>
          </w:p>
        </w:tc>
      </w:tr>
      <w:tr w:rsidR="00C424E5" w14:paraId="3931F411" w14:textId="77777777">
        <w:tc>
          <w:tcPr>
            <w:cnfStyle w:val="001000000000" w:firstRow="0" w:lastRow="0" w:firstColumn="1" w:lastColumn="0" w:oddVBand="0" w:evenVBand="0" w:oddHBand="0" w:evenHBand="0" w:firstRowFirstColumn="0" w:firstRowLastColumn="0" w:lastRowFirstColumn="0" w:lastRowLastColumn="0"/>
            <w:tcW w:w="3740" w:type="dxa"/>
          </w:tcPr>
          <w:p w14:paraId="50C6BD94" w14:textId="77777777" w:rsidR="00C424E5" w:rsidRDefault="00C424E5">
            <w:r>
              <w:t xml:space="preserve">   Changes in financial assumptions</w:t>
            </w:r>
          </w:p>
        </w:tc>
        <w:tc>
          <w:tcPr>
            <w:tcW w:w="794" w:type="dxa"/>
          </w:tcPr>
          <w:p w14:paraId="7363BE17"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548064B3" w14:textId="77777777" w:rsidR="00C424E5" w:rsidRDefault="00C424E5">
            <w:pPr>
              <w:cnfStyle w:val="000000000000" w:firstRow="0" w:lastRow="0" w:firstColumn="0" w:lastColumn="0" w:oddVBand="0" w:evenVBand="0" w:oddHBand="0" w:evenHBand="0" w:firstRowFirstColumn="0" w:firstRowLastColumn="0" w:lastRowFirstColumn="0" w:lastRowLastColumn="0"/>
            </w:pPr>
            <w:r>
              <w:t>(1 443)</w:t>
            </w:r>
          </w:p>
        </w:tc>
        <w:tc>
          <w:tcPr>
            <w:tcW w:w="794" w:type="dxa"/>
          </w:tcPr>
          <w:p w14:paraId="5CA41A0A"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1E87EADF"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5F4A1C71" w14:textId="77777777" w:rsidR="00C424E5" w:rsidRDefault="00C424E5">
            <w:pPr>
              <w:cnfStyle w:val="000000000000" w:firstRow="0" w:lastRow="0" w:firstColumn="0" w:lastColumn="0" w:oddVBand="0" w:evenVBand="0" w:oddHBand="0" w:evenHBand="0" w:firstRowFirstColumn="0" w:firstRowLastColumn="0" w:lastRowFirstColumn="0" w:lastRowLastColumn="0"/>
            </w:pPr>
            <w:r>
              <w:t>..</w:t>
            </w:r>
          </w:p>
        </w:tc>
      </w:tr>
      <w:tr w:rsidR="00C424E5" w14:paraId="31EF31F5"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4C6D01EC" w14:textId="77777777" w:rsidR="00C424E5" w:rsidRDefault="00C424E5">
            <w:r>
              <w:t>Benefits paid</w:t>
            </w:r>
          </w:p>
        </w:tc>
        <w:tc>
          <w:tcPr>
            <w:tcW w:w="794" w:type="dxa"/>
            <w:tcBorders>
              <w:bottom w:val="single" w:sz="6" w:space="0" w:color="auto"/>
            </w:tcBorders>
          </w:tcPr>
          <w:p w14:paraId="0CEF9B18" w14:textId="77777777" w:rsidR="00C424E5" w:rsidRDefault="00C424E5">
            <w:pPr>
              <w:cnfStyle w:val="000000000000" w:firstRow="0" w:lastRow="0" w:firstColumn="0" w:lastColumn="0" w:oddVBand="0" w:evenVBand="0" w:oddHBand="0" w:evenHBand="0" w:firstRowFirstColumn="0" w:firstRowLastColumn="0" w:lastRowFirstColumn="0" w:lastRowLastColumn="0"/>
            </w:pPr>
            <w:r>
              <w:t>(3 189)</w:t>
            </w:r>
          </w:p>
        </w:tc>
        <w:tc>
          <w:tcPr>
            <w:tcW w:w="794" w:type="dxa"/>
            <w:tcBorders>
              <w:bottom w:val="single" w:sz="6" w:space="0" w:color="auto"/>
            </w:tcBorders>
          </w:tcPr>
          <w:p w14:paraId="5F1DB1D2" w14:textId="77777777" w:rsidR="00C424E5" w:rsidRDefault="00C424E5">
            <w:pPr>
              <w:cnfStyle w:val="000000000000" w:firstRow="0" w:lastRow="0" w:firstColumn="0" w:lastColumn="0" w:oddVBand="0" w:evenVBand="0" w:oddHBand="0" w:evenHBand="0" w:firstRowFirstColumn="0" w:firstRowLastColumn="0" w:lastRowFirstColumn="0" w:lastRowLastColumn="0"/>
            </w:pPr>
            <w:r>
              <w:t>(3 393)</w:t>
            </w:r>
          </w:p>
        </w:tc>
        <w:tc>
          <w:tcPr>
            <w:tcW w:w="794" w:type="dxa"/>
            <w:tcBorders>
              <w:bottom w:val="single" w:sz="6" w:space="0" w:color="auto"/>
            </w:tcBorders>
          </w:tcPr>
          <w:p w14:paraId="113BB7C8" w14:textId="77777777" w:rsidR="00C424E5" w:rsidRDefault="00C424E5">
            <w:pPr>
              <w:cnfStyle w:val="000000000000" w:firstRow="0" w:lastRow="0" w:firstColumn="0" w:lastColumn="0" w:oddVBand="0" w:evenVBand="0" w:oddHBand="0" w:evenHBand="0" w:firstRowFirstColumn="0" w:firstRowLastColumn="0" w:lastRowFirstColumn="0" w:lastRowLastColumn="0"/>
            </w:pPr>
            <w:r>
              <w:t>(3 277)</w:t>
            </w:r>
          </w:p>
        </w:tc>
        <w:tc>
          <w:tcPr>
            <w:tcW w:w="794" w:type="dxa"/>
            <w:tcBorders>
              <w:bottom w:val="single" w:sz="6" w:space="0" w:color="auto"/>
            </w:tcBorders>
          </w:tcPr>
          <w:p w14:paraId="3B063C1D" w14:textId="77777777" w:rsidR="00C424E5" w:rsidRDefault="00C424E5">
            <w:pPr>
              <w:cnfStyle w:val="000000000000" w:firstRow="0" w:lastRow="0" w:firstColumn="0" w:lastColumn="0" w:oddVBand="0" w:evenVBand="0" w:oddHBand="0" w:evenHBand="0" w:firstRowFirstColumn="0" w:firstRowLastColumn="0" w:lastRowFirstColumn="0" w:lastRowLastColumn="0"/>
            </w:pPr>
            <w:r>
              <w:t>(3 300)</w:t>
            </w:r>
          </w:p>
        </w:tc>
        <w:tc>
          <w:tcPr>
            <w:tcW w:w="794" w:type="dxa"/>
            <w:tcBorders>
              <w:bottom w:val="single" w:sz="6" w:space="0" w:color="auto"/>
            </w:tcBorders>
          </w:tcPr>
          <w:p w14:paraId="793CF0CF" w14:textId="77777777" w:rsidR="00C424E5" w:rsidRDefault="00C424E5">
            <w:pPr>
              <w:cnfStyle w:val="000000000000" w:firstRow="0" w:lastRow="0" w:firstColumn="0" w:lastColumn="0" w:oddVBand="0" w:evenVBand="0" w:oddHBand="0" w:evenHBand="0" w:firstRowFirstColumn="0" w:firstRowLastColumn="0" w:lastRowFirstColumn="0" w:lastRowLastColumn="0"/>
            </w:pPr>
            <w:r>
              <w:t>(3 285)</w:t>
            </w:r>
          </w:p>
        </w:tc>
      </w:tr>
      <w:tr w:rsidR="00C424E5" w14:paraId="74D0E56A"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405C481D" w14:textId="77777777" w:rsidR="00C424E5" w:rsidRDefault="00C424E5">
            <w:r>
              <w:rPr>
                <w:b/>
              </w:rPr>
              <w:t>Closing balance of defined benefit obligation</w:t>
            </w:r>
          </w:p>
        </w:tc>
        <w:tc>
          <w:tcPr>
            <w:tcW w:w="794" w:type="dxa"/>
            <w:tcBorders>
              <w:top w:val="single" w:sz="6" w:space="0" w:color="auto"/>
              <w:bottom w:val="single" w:sz="12" w:space="0" w:color="auto"/>
            </w:tcBorders>
          </w:tcPr>
          <w:p w14:paraId="2F475EA5"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44 028</w:t>
            </w:r>
          </w:p>
        </w:tc>
        <w:tc>
          <w:tcPr>
            <w:tcW w:w="794" w:type="dxa"/>
            <w:tcBorders>
              <w:top w:val="single" w:sz="6" w:space="0" w:color="auto"/>
              <w:bottom w:val="single" w:sz="12" w:space="0" w:color="auto"/>
            </w:tcBorders>
          </w:tcPr>
          <w:p w14:paraId="6006BF2C"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42 154</w:t>
            </w:r>
          </w:p>
        </w:tc>
        <w:tc>
          <w:tcPr>
            <w:tcW w:w="794" w:type="dxa"/>
            <w:tcBorders>
              <w:top w:val="single" w:sz="6" w:space="0" w:color="auto"/>
              <w:bottom w:val="single" w:sz="12" w:space="0" w:color="auto"/>
            </w:tcBorders>
          </w:tcPr>
          <w:p w14:paraId="7DE0F603"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41 823</w:t>
            </w:r>
          </w:p>
        </w:tc>
        <w:tc>
          <w:tcPr>
            <w:tcW w:w="794" w:type="dxa"/>
            <w:tcBorders>
              <w:top w:val="single" w:sz="6" w:space="0" w:color="auto"/>
              <w:bottom w:val="single" w:sz="12" w:space="0" w:color="auto"/>
            </w:tcBorders>
          </w:tcPr>
          <w:p w14:paraId="3A4ADB09"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41 545</w:t>
            </w:r>
          </w:p>
        </w:tc>
        <w:tc>
          <w:tcPr>
            <w:tcW w:w="794" w:type="dxa"/>
            <w:tcBorders>
              <w:top w:val="single" w:sz="6" w:space="0" w:color="auto"/>
              <w:bottom w:val="single" w:sz="12" w:space="0" w:color="auto"/>
            </w:tcBorders>
          </w:tcPr>
          <w:p w14:paraId="64C1AB2E" w14:textId="3BAAD422" w:rsidR="00C424E5" w:rsidRDefault="00C424E5">
            <w:pPr>
              <w:cnfStyle w:val="000000000000" w:firstRow="0" w:lastRow="0" w:firstColumn="0" w:lastColumn="0" w:oddVBand="0" w:evenVBand="0" w:oddHBand="0" w:evenHBand="0" w:firstRowFirstColumn="0" w:firstRowLastColumn="0" w:lastRowFirstColumn="0" w:lastRowLastColumn="0"/>
            </w:pPr>
            <w:r>
              <w:rPr>
                <w:b/>
              </w:rPr>
              <w:t>41 367</w:t>
            </w:r>
          </w:p>
        </w:tc>
      </w:tr>
    </w:tbl>
    <w:p w14:paraId="0CFE0E52" w14:textId="77777777" w:rsidR="00C424E5" w:rsidRPr="007A1818" w:rsidRDefault="00C424E5" w:rsidP="006206EF"/>
    <w:p w14:paraId="0978082E" w14:textId="77777777" w:rsidR="00C424E5" w:rsidRDefault="00C424E5" w:rsidP="006206EF">
      <w:pPr>
        <w:pStyle w:val="TableHeading"/>
      </w:pPr>
      <w:r w:rsidRPr="00D02438">
        <w:t>Reconciliation of the fair value of superannuation plan assets</w:t>
      </w:r>
      <w:r w:rsidRPr="00D02438">
        <w:tab/>
        <w:t>($ million)</w:t>
      </w:r>
    </w:p>
    <w:tbl>
      <w:tblPr>
        <w:tblStyle w:val="DTFTableNumeric"/>
        <w:tblW w:w="7710" w:type="dxa"/>
        <w:tblLayout w:type="fixed"/>
        <w:tblLook w:val="06A0" w:firstRow="1" w:lastRow="0" w:firstColumn="1" w:lastColumn="0" w:noHBand="1" w:noVBand="1"/>
      </w:tblPr>
      <w:tblGrid>
        <w:gridCol w:w="3740"/>
        <w:gridCol w:w="166"/>
        <w:gridCol w:w="628"/>
        <w:gridCol w:w="794"/>
        <w:gridCol w:w="794"/>
        <w:gridCol w:w="794"/>
        <w:gridCol w:w="794"/>
      </w:tblGrid>
      <w:tr w:rsidR="00F70B1C" w14:paraId="3DF22F41" w14:textId="77777777" w:rsidTr="00A836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5CDE7C84" w14:textId="464134DA" w:rsidR="00F70B1C" w:rsidRDefault="00F70B1C"/>
        </w:tc>
        <w:tc>
          <w:tcPr>
            <w:tcW w:w="794" w:type="dxa"/>
            <w:gridSpan w:val="2"/>
            <w:tcBorders>
              <w:top w:val="single" w:sz="6" w:space="0" w:color="auto"/>
            </w:tcBorders>
          </w:tcPr>
          <w:p w14:paraId="5E5BA972" w14:textId="680724EA" w:rsidR="00F70B1C" w:rsidRDefault="00F70B1C" w:rsidP="006A4B36">
            <w:pPr>
              <w:cnfStyle w:val="100000000000" w:firstRow="1" w:lastRow="0" w:firstColumn="0" w:lastColumn="0" w:oddVBand="0" w:evenVBand="0" w:oddHBand="0" w:evenHBand="0" w:firstRowFirstColumn="0" w:firstRowLastColumn="0" w:lastRowFirstColumn="0" w:lastRowLastColumn="0"/>
            </w:pPr>
            <w:r>
              <w:t>2023</w:t>
            </w:r>
            <w:r>
              <w:rPr>
                <w:i w:val="0"/>
              </w:rPr>
              <w:br/>
            </w:r>
            <w:r>
              <w:t>budget</w:t>
            </w:r>
          </w:p>
        </w:tc>
        <w:tc>
          <w:tcPr>
            <w:tcW w:w="794" w:type="dxa"/>
            <w:tcBorders>
              <w:top w:val="single" w:sz="6" w:space="0" w:color="auto"/>
            </w:tcBorders>
          </w:tcPr>
          <w:p w14:paraId="7D805DEA" w14:textId="6CCA7F97" w:rsidR="00F70B1C" w:rsidRDefault="00F70B1C" w:rsidP="002803FB">
            <w:pPr>
              <w:cnfStyle w:val="100000000000" w:firstRow="1" w:lastRow="0" w:firstColumn="0" w:lastColumn="0" w:oddVBand="0" w:evenVBand="0" w:oddHBand="0" w:evenHBand="0" w:firstRowFirstColumn="0" w:firstRowLastColumn="0" w:lastRowFirstColumn="0" w:lastRowLastColumn="0"/>
            </w:pPr>
            <w:r>
              <w:t>2023</w:t>
            </w:r>
            <w:r>
              <w:rPr>
                <w:i w:val="0"/>
              </w:rPr>
              <w:br/>
            </w:r>
            <w:r>
              <w:t>revised</w:t>
            </w:r>
          </w:p>
        </w:tc>
        <w:tc>
          <w:tcPr>
            <w:tcW w:w="794" w:type="dxa"/>
            <w:tcBorders>
              <w:top w:val="single" w:sz="6" w:space="0" w:color="auto"/>
            </w:tcBorders>
          </w:tcPr>
          <w:p w14:paraId="409FE29A" w14:textId="692C2D49" w:rsidR="00F70B1C" w:rsidRDefault="00F70B1C" w:rsidP="00F30E51">
            <w:pPr>
              <w:cnfStyle w:val="100000000000" w:firstRow="1" w:lastRow="0" w:firstColumn="0" w:lastColumn="0" w:oddVBand="0" w:evenVBand="0" w:oddHBand="0" w:evenHBand="0" w:firstRowFirstColumn="0" w:firstRowLastColumn="0" w:lastRowFirstColumn="0" w:lastRowLastColumn="0"/>
            </w:pPr>
            <w:r>
              <w:t>2024</w:t>
            </w:r>
            <w:r>
              <w:rPr>
                <w:i w:val="0"/>
              </w:rPr>
              <w:br/>
            </w:r>
            <w:r>
              <w:t>estimate</w:t>
            </w:r>
          </w:p>
        </w:tc>
        <w:tc>
          <w:tcPr>
            <w:tcW w:w="794" w:type="dxa"/>
            <w:tcBorders>
              <w:top w:val="single" w:sz="6" w:space="0" w:color="auto"/>
            </w:tcBorders>
          </w:tcPr>
          <w:p w14:paraId="50C50CE1" w14:textId="415812ED" w:rsidR="00F70B1C" w:rsidRDefault="00F70B1C" w:rsidP="00413341">
            <w:pPr>
              <w:cnfStyle w:val="100000000000" w:firstRow="1" w:lastRow="0" w:firstColumn="0" w:lastColumn="0" w:oddVBand="0" w:evenVBand="0" w:oddHBand="0" w:evenHBand="0" w:firstRowFirstColumn="0" w:firstRowLastColumn="0" w:lastRowFirstColumn="0" w:lastRowLastColumn="0"/>
            </w:pPr>
            <w:r>
              <w:t>2025</w:t>
            </w:r>
            <w:r>
              <w:rPr>
                <w:i w:val="0"/>
              </w:rPr>
              <w:br/>
            </w:r>
            <w:r>
              <w:t>estimate</w:t>
            </w:r>
          </w:p>
        </w:tc>
        <w:tc>
          <w:tcPr>
            <w:tcW w:w="794" w:type="dxa"/>
            <w:tcBorders>
              <w:top w:val="single" w:sz="6" w:space="0" w:color="auto"/>
            </w:tcBorders>
          </w:tcPr>
          <w:p w14:paraId="328BF2E6" w14:textId="6B934D43" w:rsidR="00F70B1C" w:rsidRDefault="00F70B1C" w:rsidP="00F4531D">
            <w:pPr>
              <w:cnfStyle w:val="100000000000" w:firstRow="1" w:lastRow="0" w:firstColumn="0" w:lastColumn="0" w:oddVBand="0" w:evenVBand="0" w:oddHBand="0" w:evenHBand="0" w:firstRowFirstColumn="0" w:firstRowLastColumn="0" w:lastRowFirstColumn="0" w:lastRowLastColumn="0"/>
            </w:pPr>
            <w:r>
              <w:t>2026</w:t>
            </w:r>
            <w:r>
              <w:rPr>
                <w:i w:val="0"/>
              </w:rPr>
              <w:br/>
            </w:r>
            <w:r>
              <w:t>estimate</w:t>
            </w:r>
          </w:p>
        </w:tc>
      </w:tr>
      <w:tr w:rsidR="00C424E5" w14:paraId="4D4949A7"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3BD2EBD9" w14:textId="77777777" w:rsidR="00C424E5" w:rsidRDefault="00C424E5">
            <w:r>
              <w:rPr>
                <w:b/>
              </w:rPr>
              <w:t>Opening balance of plan assets</w:t>
            </w:r>
          </w:p>
        </w:tc>
        <w:tc>
          <w:tcPr>
            <w:tcW w:w="794" w:type="dxa"/>
            <w:gridSpan w:val="2"/>
            <w:tcBorders>
              <w:top w:val="single" w:sz="6" w:space="0" w:color="auto"/>
            </w:tcBorders>
          </w:tcPr>
          <w:p w14:paraId="25AEA7B8"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24 392</w:t>
            </w:r>
          </w:p>
        </w:tc>
        <w:tc>
          <w:tcPr>
            <w:tcW w:w="794" w:type="dxa"/>
            <w:tcBorders>
              <w:top w:val="single" w:sz="6" w:space="0" w:color="auto"/>
            </w:tcBorders>
          </w:tcPr>
          <w:p w14:paraId="3865070D"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24 392</w:t>
            </w:r>
          </w:p>
        </w:tc>
        <w:tc>
          <w:tcPr>
            <w:tcW w:w="794" w:type="dxa"/>
            <w:tcBorders>
              <w:top w:val="single" w:sz="6" w:space="0" w:color="auto"/>
            </w:tcBorders>
          </w:tcPr>
          <w:p w14:paraId="16CC42F6"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24 693</w:t>
            </w:r>
          </w:p>
        </w:tc>
        <w:tc>
          <w:tcPr>
            <w:tcW w:w="794" w:type="dxa"/>
            <w:tcBorders>
              <w:top w:val="single" w:sz="6" w:space="0" w:color="auto"/>
            </w:tcBorders>
          </w:tcPr>
          <w:p w14:paraId="3531848D"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24 487</w:t>
            </w:r>
          </w:p>
        </w:tc>
        <w:tc>
          <w:tcPr>
            <w:tcW w:w="794" w:type="dxa"/>
            <w:tcBorders>
              <w:top w:val="single" w:sz="6" w:space="0" w:color="auto"/>
            </w:tcBorders>
          </w:tcPr>
          <w:p w14:paraId="47B6DD01"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24 755</w:t>
            </w:r>
          </w:p>
        </w:tc>
      </w:tr>
      <w:tr w:rsidR="00C424E5" w14:paraId="6D3191F8" w14:textId="77777777">
        <w:tc>
          <w:tcPr>
            <w:cnfStyle w:val="001000000000" w:firstRow="0" w:lastRow="0" w:firstColumn="1" w:lastColumn="0" w:oddVBand="0" w:evenVBand="0" w:oddHBand="0" w:evenHBand="0" w:firstRowFirstColumn="0" w:firstRowLastColumn="0" w:lastRowFirstColumn="0" w:lastRowLastColumn="0"/>
            <w:tcW w:w="3740" w:type="dxa"/>
          </w:tcPr>
          <w:p w14:paraId="0F9B60CA" w14:textId="77777777" w:rsidR="00C424E5" w:rsidRDefault="00C424E5">
            <w:r>
              <w:t>Interest income</w:t>
            </w:r>
          </w:p>
        </w:tc>
        <w:tc>
          <w:tcPr>
            <w:tcW w:w="794" w:type="dxa"/>
            <w:gridSpan w:val="2"/>
          </w:tcPr>
          <w:p w14:paraId="56DCE60B" w14:textId="77777777" w:rsidR="00C424E5" w:rsidRDefault="00C424E5">
            <w:pPr>
              <w:cnfStyle w:val="000000000000" w:firstRow="0" w:lastRow="0" w:firstColumn="0" w:lastColumn="0" w:oddVBand="0" w:evenVBand="0" w:oddHBand="0" w:evenHBand="0" w:firstRowFirstColumn="0" w:firstRowLastColumn="0" w:lastRowFirstColumn="0" w:lastRowLastColumn="0"/>
            </w:pPr>
            <w:r>
              <w:t>744</w:t>
            </w:r>
          </w:p>
        </w:tc>
        <w:tc>
          <w:tcPr>
            <w:tcW w:w="794" w:type="dxa"/>
          </w:tcPr>
          <w:p w14:paraId="73722AD4" w14:textId="77777777" w:rsidR="00C424E5" w:rsidRDefault="00C424E5">
            <w:pPr>
              <w:cnfStyle w:val="000000000000" w:firstRow="0" w:lastRow="0" w:firstColumn="0" w:lastColumn="0" w:oddVBand="0" w:evenVBand="0" w:oddHBand="0" w:evenHBand="0" w:firstRowFirstColumn="0" w:firstRowLastColumn="0" w:lastRowFirstColumn="0" w:lastRowLastColumn="0"/>
            </w:pPr>
            <w:r>
              <w:t>910</w:t>
            </w:r>
          </w:p>
        </w:tc>
        <w:tc>
          <w:tcPr>
            <w:tcW w:w="794" w:type="dxa"/>
          </w:tcPr>
          <w:p w14:paraId="7DE20A5D" w14:textId="77777777" w:rsidR="00C424E5" w:rsidRDefault="00C424E5">
            <w:pPr>
              <w:cnfStyle w:val="000000000000" w:firstRow="0" w:lastRow="0" w:firstColumn="0" w:lastColumn="0" w:oddVBand="0" w:evenVBand="0" w:oddHBand="0" w:evenHBand="0" w:firstRowFirstColumn="0" w:firstRowLastColumn="0" w:lastRowFirstColumn="0" w:lastRowLastColumn="0"/>
            </w:pPr>
            <w:r>
              <w:t>956</w:t>
            </w:r>
          </w:p>
        </w:tc>
        <w:tc>
          <w:tcPr>
            <w:tcW w:w="794" w:type="dxa"/>
          </w:tcPr>
          <w:p w14:paraId="63B47BA8" w14:textId="77777777" w:rsidR="00C424E5" w:rsidRDefault="00C424E5">
            <w:pPr>
              <w:cnfStyle w:val="000000000000" w:firstRow="0" w:lastRow="0" w:firstColumn="0" w:lastColumn="0" w:oddVBand="0" w:evenVBand="0" w:oddHBand="0" w:evenHBand="0" w:firstRowFirstColumn="0" w:firstRowLastColumn="0" w:lastRowFirstColumn="0" w:lastRowLastColumn="0"/>
            </w:pPr>
            <w:r>
              <w:t>967</w:t>
            </w:r>
          </w:p>
        </w:tc>
        <w:tc>
          <w:tcPr>
            <w:tcW w:w="794" w:type="dxa"/>
          </w:tcPr>
          <w:p w14:paraId="1DF8CF33" w14:textId="77777777" w:rsidR="00C424E5" w:rsidRDefault="00C424E5">
            <w:pPr>
              <w:cnfStyle w:val="000000000000" w:firstRow="0" w:lastRow="0" w:firstColumn="0" w:lastColumn="0" w:oddVBand="0" w:evenVBand="0" w:oddHBand="0" w:evenHBand="0" w:firstRowFirstColumn="0" w:firstRowLastColumn="0" w:lastRowFirstColumn="0" w:lastRowLastColumn="0"/>
            </w:pPr>
            <w:r>
              <w:t>977</w:t>
            </w:r>
          </w:p>
        </w:tc>
      </w:tr>
      <w:tr w:rsidR="00C424E5" w14:paraId="445D028A" w14:textId="77777777" w:rsidTr="00253AF8">
        <w:tc>
          <w:tcPr>
            <w:cnfStyle w:val="001000000000" w:firstRow="0" w:lastRow="0" w:firstColumn="1" w:lastColumn="0" w:oddVBand="0" w:evenVBand="0" w:oddHBand="0" w:evenHBand="0" w:firstRowFirstColumn="0" w:firstRowLastColumn="0" w:lastRowFirstColumn="0" w:lastRowLastColumn="0"/>
            <w:tcW w:w="3906" w:type="dxa"/>
            <w:gridSpan w:val="2"/>
          </w:tcPr>
          <w:p w14:paraId="21B9CB03" w14:textId="77777777" w:rsidR="00C424E5" w:rsidRDefault="00C424E5">
            <w:r>
              <w:t>Return on plan assets not included in interest income</w:t>
            </w:r>
          </w:p>
        </w:tc>
        <w:tc>
          <w:tcPr>
            <w:tcW w:w="628" w:type="dxa"/>
          </w:tcPr>
          <w:p w14:paraId="6FADE590" w14:textId="77777777" w:rsidR="00C424E5" w:rsidRDefault="00C424E5">
            <w:pPr>
              <w:cnfStyle w:val="000000000000" w:firstRow="0" w:lastRow="0" w:firstColumn="0" w:lastColumn="0" w:oddVBand="0" w:evenVBand="0" w:oddHBand="0" w:evenHBand="0" w:firstRowFirstColumn="0" w:firstRowLastColumn="0" w:lastRowFirstColumn="0" w:lastRowLastColumn="0"/>
            </w:pPr>
            <w:r>
              <w:t>984</w:t>
            </w:r>
          </w:p>
        </w:tc>
        <w:tc>
          <w:tcPr>
            <w:tcW w:w="794" w:type="dxa"/>
          </w:tcPr>
          <w:p w14:paraId="7D4CBD58" w14:textId="77777777" w:rsidR="00C424E5" w:rsidRDefault="00C424E5">
            <w:pPr>
              <w:cnfStyle w:val="000000000000" w:firstRow="0" w:lastRow="0" w:firstColumn="0" w:lastColumn="0" w:oddVBand="0" w:evenVBand="0" w:oddHBand="0" w:evenHBand="0" w:firstRowFirstColumn="0" w:firstRowLastColumn="0" w:lastRowFirstColumn="0" w:lastRowLastColumn="0"/>
            </w:pPr>
            <w:r>
              <w:t>429</w:t>
            </w:r>
          </w:p>
        </w:tc>
        <w:tc>
          <w:tcPr>
            <w:tcW w:w="794" w:type="dxa"/>
          </w:tcPr>
          <w:p w14:paraId="0408D8E0" w14:textId="77777777" w:rsidR="00C424E5" w:rsidRDefault="00C424E5">
            <w:pPr>
              <w:cnfStyle w:val="000000000000" w:firstRow="0" w:lastRow="0" w:firstColumn="0" w:lastColumn="0" w:oddVBand="0" w:evenVBand="0" w:oddHBand="0" w:evenHBand="0" w:firstRowFirstColumn="0" w:firstRowLastColumn="0" w:lastRowFirstColumn="0" w:lastRowLastColumn="0"/>
            </w:pPr>
            <w:r>
              <w:t>672</w:t>
            </w:r>
          </w:p>
        </w:tc>
        <w:tc>
          <w:tcPr>
            <w:tcW w:w="794" w:type="dxa"/>
          </w:tcPr>
          <w:p w14:paraId="6274BF3F" w14:textId="77777777" w:rsidR="00C424E5" w:rsidRDefault="00C424E5">
            <w:pPr>
              <w:cnfStyle w:val="000000000000" w:firstRow="0" w:lastRow="0" w:firstColumn="0" w:lastColumn="0" w:oddVBand="0" w:evenVBand="0" w:oddHBand="0" w:evenHBand="0" w:firstRowFirstColumn="0" w:firstRowLastColumn="0" w:lastRowFirstColumn="0" w:lastRowLastColumn="0"/>
            </w:pPr>
            <w:r>
              <w:t>676</w:t>
            </w:r>
          </w:p>
        </w:tc>
        <w:tc>
          <w:tcPr>
            <w:tcW w:w="794" w:type="dxa"/>
          </w:tcPr>
          <w:p w14:paraId="33D9C4BB" w14:textId="77777777" w:rsidR="00C424E5" w:rsidRDefault="00C424E5">
            <w:pPr>
              <w:cnfStyle w:val="000000000000" w:firstRow="0" w:lastRow="0" w:firstColumn="0" w:lastColumn="0" w:oddVBand="0" w:evenVBand="0" w:oddHBand="0" w:evenHBand="0" w:firstRowFirstColumn="0" w:firstRowLastColumn="0" w:lastRowFirstColumn="0" w:lastRowLastColumn="0"/>
            </w:pPr>
            <w:r>
              <w:t>677</w:t>
            </w:r>
          </w:p>
        </w:tc>
      </w:tr>
      <w:tr w:rsidR="00C424E5" w14:paraId="594F568C" w14:textId="77777777">
        <w:tc>
          <w:tcPr>
            <w:cnfStyle w:val="001000000000" w:firstRow="0" w:lastRow="0" w:firstColumn="1" w:lastColumn="0" w:oddVBand="0" w:evenVBand="0" w:oddHBand="0" w:evenHBand="0" w:firstRowFirstColumn="0" w:firstRowLastColumn="0" w:lastRowFirstColumn="0" w:lastRowLastColumn="0"/>
            <w:tcW w:w="3740" w:type="dxa"/>
          </w:tcPr>
          <w:p w14:paraId="3F374259" w14:textId="77777777" w:rsidR="00C424E5" w:rsidRDefault="00C424E5">
            <w:r>
              <w:t>Employer contributions</w:t>
            </w:r>
          </w:p>
        </w:tc>
        <w:tc>
          <w:tcPr>
            <w:tcW w:w="794" w:type="dxa"/>
            <w:gridSpan w:val="2"/>
          </w:tcPr>
          <w:p w14:paraId="45F91E7B" w14:textId="77777777" w:rsidR="00C424E5" w:rsidRDefault="00C424E5">
            <w:pPr>
              <w:cnfStyle w:val="000000000000" w:firstRow="0" w:lastRow="0" w:firstColumn="0" w:lastColumn="0" w:oddVBand="0" w:evenVBand="0" w:oddHBand="0" w:evenHBand="0" w:firstRowFirstColumn="0" w:firstRowLastColumn="0" w:lastRowFirstColumn="0" w:lastRowLastColumn="0"/>
            </w:pPr>
            <w:r>
              <w:t>1 627</w:t>
            </w:r>
          </w:p>
        </w:tc>
        <w:tc>
          <w:tcPr>
            <w:tcW w:w="794" w:type="dxa"/>
          </w:tcPr>
          <w:p w14:paraId="01133FD6" w14:textId="77777777" w:rsidR="00C424E5" w:rsidRDefault="00C424E5">
            <w:pPr>
              <w:cnfStyle w:val="000000000000" w:firstRow="0" w:lastRow="0" w:firstColumn="0" w:lastColumn="0" w:oddVBand="0" w:evenVBand="0" w:oddHBand="0" w:evenHBand="0" w:firstRowFirstColumn="0" w:firstRowLastColumn="0" w:lastRowFirstColumn="0" w:lastRowLastColumn="0"/>
            </w:pPr>
            <w:r>
              <w:t>2 130</w:t>
            </w:r>
          </w:p>
        </w:tc>
        <w:tc>
          <w:tcPr>
            <w:tcW w:w="794" w:type="dxa"/>
          </w:tcPr>
          <w:p w14:paraId="5A849E7A" w14:textId="77777777" w:rsidR="00C424E5" w:rsidRDefault="00C424E5">
            <w:pPr>
              <w:cnfStyle w:val="000000000000" w:firstRow="0" w:lastRow="0" w:firstColumn="0" w:lastColumn="0" w:oddVBand="0" w:evenVBand="0" w:oddHBand="0" w:evenHBand="0" w:firstRowFirstColumn="0" w:firstRowLastColumn="0" w:lastRowFirstColumn="0" w:lastRowLastColumn="0"/>
            </w:pPr>
            <w:r>
              <w:t>1 214</w:t>
            </w:r>
          </w:p>
        </w:tc>
        <w:tc>
          <w:tcPr>
            <w:tcW w:w="794" w:type="dxa"/>
          </w:tcPr>
          <w:p w14:paraId="2CC08ED5" w14:textId="77777777" w:rsidR="00C424E5" w:rsidRDefault="00C424E5">
            <w:pPr>
              <w:cnfStyle w:val="000000000000" w:firstRow="0" w:lastRow="0" w:firstColumn="0" w:lastColumn="0" w:oddVBand="0" w:evenVBand="0" w:oddHBand="0" w:evenHBand="0" w:firstRowFirstColumn="0" w:firstRowLastColumn="0" w:lastRowFirstColumn="0" w:lastRowLastColumn="0"/>
            </w:pPr>
            <w:r>
              <w:t>1 690</w:t>
            </w:r>
          </w:p>
        </w:tc>
        <w:tc>
          <w:tcPr>
            <w:tcW w:w="794" w:type="dxa"/>
          </w:tcPr>
          <w:p w14:paraId="72343E85" w14:textId="77777777" w:rsidR="00C424E5" w:rsidRDefault="00C424E5">
            <w:pPr>
              <w:cnfStyle w:val="000000000000" w:firstRow="0" w:lastRow="0" w:firstColumn="0" w:lastColumn="0" w:oddVBand="0" w:evenVBand="0" w:oddHBand="0" w:evenHBand="0" w:firstRowFirstColumn="0" w:firstRowLastColumn="0" w:lastRowFirstColumn="0" w:lastRowLastColumn="0"/>
            </w:pPr>
            <w:r>
              <w:t>1 580</w:t>
            </w:r>
          </w:p>
        </w:tc>
      </w:tr>
      <w:tr w:rsidR="00C424E5" w14:paraId="74833619" w14:textId="77777777">
        <w:tc>
          <w:tcPr>
            <w:cnfStyle w:val="001000000000" w:firstRow="0" w:lastRow="0" w:firstColumn="1" w:lastColumn="0" w:oddVBand="0" w:evenVBand="0" w:oddHBand="0" w:evenHBand="0" w:firstRowFirstColumn="0" w:firstRowLastColumn="0" w:lastRowFirstColumn="0" w:lastRowLastColumn="0"/>
            <w:tcW w:w="3740" w:type="dxa"/>
          </w:tcPr>
          <w:p w14:paraId="53B817CB" w14:textId="77777777" w:rsidR="00C424E5" w:rsidRDefault="00C424E5">
            <w:r>
              <w:t>Contributions by plan participants</w:t>
            </w:r>
          </w:p>
        </w:tc>
        <w:tc>
          <w:tcPr>
            <w:tcW w:w="794" w:type="dxa"/>
            <w:gridSpan w:val="2"/>
          </w:tcPr>
          <w:p w14:paraId="5875A5E7" w14:textId="77777777" w:rsidR="00C424E5" w:rsidRDefault="00C424E5">
            <w:pPr>
              <w:cnfStyle w:val="000000000000" w:firstRow="0" w:lastRow="0" w:firstColumn="0" w:lastColumn="0" w:oddVBand="0" w:evenVBand="0" w:oddHBand="0" w:evenHBand="0" w:firstRowFirstColumn="0" w:firstRowLastColumn="0" w:lastRowFirstColumn="0" w:lastRowLastColumn="0"/>
            </w:pPr>
            <w:r>
              <w:t>226</w:t>
            </w:r>
          </w:p>
        </w:tc>
        <w:tc>
          <w:tcPr>
            <w:tcW w:w="794" w:type="dxa"/>
          </w:tcPr>
          <w:p w14:paraId="346A82FC" w14:textId="77777777" w:rsidR="00C424E5" w:rsidRDefault="00C424E5">
            <w:pPr>
              <w:cnfStyle w:val="000000000000" w:firstRow="0" w:lastRow="0" w:firstColumn="0" w:lastColumn="0" w:oddVBand="0" w:evenVBand="0" w:oddHBand="0" w:evenHBand="0" w:firstRowFirstColumn="0" w:firstRowLastColumn="0" w:lastRowFirstColumn="0" w:lastRowLastColumn="0"/>
            </w:pPr>
            <w:r>
              <w:t>224</w:t>
            </w:r>
          </w:p>
        </w:tc>
        <w:tc>
          <w:tcPr>
            <w:tcW w:w="794" w:type="dxa"/>
          </w:tcPr>
          <w:p w14:paraId="752FBEE2" w14:textId="77777777" w:rsidR="00C424E5" w:rsidRDefault="00C424E5">
            <w:pPr>
              <w:cnfStyle w:val="000000000000" w:firstRow="0" w:lastRow="0" w:firstColumn="0" w:lastColumn="0" w:oddVBand="0" w:evenVBand="0" w:oddHBand="0" w:evenHBand="0" w:firstRowFirstColumn="0" w:firstRowLastColumn="0" w:lastRowFirstColumn="0" w:lastRowLastColumn="0"/>
            </w:pPr>
            <w:r>
              <w:t>229</w:t>
            </w:r>
          </w:p>
        </w:tc>
        <w:tc>
          <w:tcPr>
            <w:tcW w:w="794" w:type="dxa"/>
          </w:tcPr>
          <w:p w14:paraId="43BACCED" w14:textId="77777777" w:rsidR="00C424E5" w:rsidRDefault="00C424E5">
            <w:pPr>
              <w:cnfStyle w:val="000000000000" w:firstRow="0" w:lastRow="0" w:firstColumn="0" w:lastColumn="0" w:oddVBand="0" w:evenVBand="0" w:oddHBand="0" w:evenHBand="0" w:firstRowFirstColumn="0" w:firstRowLastColumn="0" w:lastRowFirstColumn="0" w:lastRowLastColumn="0"/>
            </w:pPr>
            <w:r>
              <w:t>235</w:t>
            </w:r>
          </w:p>
        </w:tc>
        <w:tc>
          <w:tcPr>
            <w:tcW w:w="794" w:type="dxa"/>
          </w:tcPr>
          <w:p w14:paraId="70547E6E" w14:textId="77777777" w:rsidR="00C424E5" w:rsidRDefault="00C424E5">
            <w:pPr>
              <w:cnfStyle w:val="000000000000" w:firstRow="0" w:lastRow="0" w:firstColumn="0" w:lastColumn="0" w:oddVBand="0" w:evenVBand="0" w:oddHBand="0" w:evenHBand="0" w:firstRowFirstColumn="0" w:firstRowLastColumn="0" w:lastRowFirstColumn="0" w:lastRowLastColumn="0"/>
            </w:pPr>
            <w:r>
              <w:t>241</w:t>
            </w:r>
          </w:p>
        </w:tc>
      </w:tr>
      <w:tr w:rsidR="00C424E5" w14:paraId="3119FD57"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68BF4BE6" w14:textId="77777777" w:rsidR="00C424E5" w:rsidRDefault="00C424E5">
            <w:r>
              <w:t>Benefits paid (including tax paid)</w:t>
            </w:r>
          </w:p>
        </w:tc>
        <w:tc>
          <w:tcPr>
            <w:tcW w:w="794" w:type="dxa"/>
            <w:gridSpan w:val="2"/>
            <w:tcBorders>
              <w:bottom w:val="single" w:sz="6" w:space="0" w:color="auto"/>
            </w:tcBorders>
          </w:tcPr>
          <w:p w14:paraId="0DCFA946" w14:textId="77777777" w:rsidR="00C424E5" w:rsidRDefault="00C424E5">
            <w:pPr>
              <w:cnfStyle w:val="000000000000" w:firstRow="0" w:lastRow="0" w:firstColumn="0" w:lastColumn="0" w:oddVBand="0" w:evenVBand="0" w:oddHBand="0" w:evenHBand="0" w:firstRowFirstColumn="0" w:firstRowLastColumn="0" w:lastRowFirstColumn="0" w:lastRowLastColumn="0"/>
            </w:pPr>
            <w:r>
              <w:t>(3 189)</w:t>
            </w:r>
          </w:p>
        </w:tc>
        <w:tc>
          <w:tcPr>
            <w:tcW w:w="794" w:type="dxa"/>
            <w:tcBorders>
              <w:bottom w:val="single" w:sz="6" w:space="0" w:color="auto"/>
            </w:tcBorders>
          </w:tcPr>
          <w:p w14:paraId="729D996D" w14:textId="77777777" w:rsidR="00C424E5" w:rsidRDefault="00C424E5">
            <w:pPr>
              <w:cnfStyle w:val="000000000000" w:firstRow="0" w:lastRow="0" w:firstColumn="0" w:lastColumn="0" w:oddVBand="0" w:evenVBand="0" w:oddHBand="0" w:evenHBand="0" w:firstRowFirstColumn="0" w:firstRowLastColumn="0" w:lastRowFirstColumn="0" w:lastRowLastColumn="0"/>
            </w:pPr>
            <w:r>
              <w:t>(3 393)</w:t>
            </w:r>
          </w:p>
        </w:tc>
        <w:tc>
          <w:tcPr>
            <w:tcW w:w="794" w:type="dxa"/>
            <w:tcBorders>
              <w:bottom w:val="single" w:sz="6" w:space="0" w:color="auto"/>
            </w:tcBorders>
          </w:tcPr>
          <w:p w14:paraId="2313D0E0" w14:textId="77777777" w:rsidR="00C424E5" w:rsidRDefault="00C424E5">
            <w:pPr>
              <w:cnfStyle w:val="000000000000" w:firstRow="0" w:lastRow="0" w:firstColumn="0" w:lastColumn="0" w:oddVBand="0" w:evenVBand="0" w:oddHBand="0" w:evenHBand="0" w:firstRowFirstColumn="0" w:firstRowLastColumn="0" w:lastRowFirstColumn="0" w:lastRowLastColumn="0"/>
            </w:pPr>
            <w:r>
              <w:t>(3 277)</w:t>
            </w:r>
          </w:p>
        </w:tc>
        <w:tc>
          <w:tcPr>
            <w:tcW w:w="794" w:type="dxa"/>
            <w:tcBorders>
              <w:bottom w:val="single" w:sz="6" w:space="0" w:color="auto"/>
            </w:tcBorders>
          </w:tcPr>
          <w:p w14:paraId="4A40F8F7" w14:textId="77777777" w:rsidR="00C424E5" w:rsidRDefault="00C424E5">
            <w:pPr>
              <w:cnfStyle w:val="000000000000" w:firstRow="0" w:lastRow="0" w:firstColumn="0" w:lastColumn="0" w:oddVBand="0" w:evenVBand="0" w:oddHBand="0" w:evenHBand="0" w:firstRowFirstColumn="0" w:firstRowLastColumn="0" w:lastRowFirstColumn="0" w:lastRowLastColumn="0"/>
            </w:pPr>
            <w:r>
              <w:t>(3 300)</w:t>
            </w:r>
          </w:p>
        </w:tc>
        <w:tc>
          <w:tcPr>
            <w:tcW w:w="794" w:type="dxa"/>
            <w:tcBorders>
              <w:bottom w:val="single" w:sz="6" w:space="0" w:color="auto"/>
            </w:tcBorders>
          </w:tcPr>
          <w:p w14:paraId="399C0288" w14:textId="77777777" w:rsidR="00C424E5" w:rsidRDefault="00C424E5">
            <w:pPr>
              <w:cnfStyle w:val="000000000000" w:firstRow="0" w:lastRow="0" w:firstColumn="0" w:lastColumn="0" w:oddVBand="0" w:evenVBand="0" w:oddHBand="0" w:evenHBand="0" w:firstRowFirstColumn="0" w:firstRowLastColumn="0" w:lastRowFirstColumn="0" w:lastRowLastColumn="0"/>
            </w:pPr>
            <w:r>
              <w:t>(3 285)</w:t>
            </w:r>
          </w:p>
        </w:tc>
      </w:tr>
      <w:tr w:rsidR="00C424E5" w14:paraId="44DCB045" w14:textId="77777777" w:rsidTr="00EE0584">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4D18B597" w14:textId="77777777" w:rsidR="00C424E5" w:rsidRDefault="00C424E5">
            <w:r>
              <w:rPr>
                <w:b/>
              </w:rPr>
              <w:t>Closing balance of plan assets</w:t>
            </w:r>
          </w:p>
        </w:tc>
        <w:tc>
          <w:tcPr>
            <w:tcW w:w="794" w:type="dxa"/>
            <w:gridSpan w:val="2"/>
            <w:tcBorders>
              <w:top w:val="single" w:sz="6" w:space="0" w:color="auto"/>
              <w:bottom w:val="single" w:sz="12" w:space="0" w:color="auto"/>
            </w:tcBorders>
          </w:tcPr>
          <w:p w14:paraId="47FB4A88"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24 784</w:t>
            </w:r>
          </w:p>
        </w:tc>
        <w:tc>
          <w:tcPr>
            <w:tcW w:w="794" w:type="dxa"/>
            <w:tcBorders>
              <w:top w:val="single" w:sz="6" w:space="0" w:color="auto"/>
              <w:bottom w:val="single" w:sz="12" w:space="0" w:color="auto"/>
            </w:tcBorders>
          </w:tcPr>
          <w:p w14:paraId="0E6713BC"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24 693</w:t>
            </w:r>
          </w:p>
        </w:tc>
        <w:tc>
          <w:tcPr>
            <w:tcW w:w="794" w:type="dxa"/>
            <w:tcBorders>
              <w:top w:val="single" w:sz="6" w:space="0" w:color="auto"/>
              <w:bottom w:val="single" w:sz="12" w:space="0" w:color="auto"/>
            </w:tcBorders>
          </w:tcPr>
          <w:p w14:paraId="236CBBFC"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24 487</w:t>
            </w:r>
          </w:p>
        </w:tc>
        <w:tc>
          <w:tcPr>
            <w:tcW w:w="794" w:type="dxa"/>
            <w:tcBorders>
              <w:top w:val="single" w:sz="6" w:space="0" w:color="auto"/>
              <w:bottom w:val="single" w:sz="12" w:space="0" w:color="auto"/>
            </w:tcBorders>
          </w:tcPr>
          <w:p w14:paraId="1D747E3A"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24 755</w:t>
            </w:r>
          </w:p>
        </w:tc>
        <w:tc>
          <w:tcPr>
            <w:tcW w:w="794" w:type="dxa"/>
            <w:tcBorders>
              <w:top w:val="single" w:sz="6" w:space="0" w:color="auto"/>
              <w:bottom w:val="single" w:sz="12" w:space="0" w:color="auto"/>
            </w:tcBorders>
          </w:tcPr>
          <w:p w14:paraId="191B3C15" w14:textId="3FF572C8" w:rsidR="00C424E5" w:rsidRDefault="00C424E5">
            <w:pPr>
              <w:cnfStyle w:val="000000000000" w:firstRow="0" w:lastRow="0" w:firstColumn="0" w:lastColumn="0" w:oddVBand="0" w:evenVBand="0" w:oddHBand="0" w:evenHBand="0" w:firstRowFirstColumn="0" w:firstRowLastColumn="0" w:lastRowFirstColumn="0" w:lastRowLastColumn="0"/>
            </w:pPr>
            <w:r>
              <w:rPr>
                <w:b/>
              </w:rPr>
              <w:t>24 946</w:t>
            </w:r>
          </w:p>
        </w:tc>
      </w:tr>
    </w:tbl>
    <w:p w14:paraId="61631B36" w14:textId="77777777" w:rsidR="00C424E5" w:rsidRDefault="00C424E5" w:rsidP="006206EF"/>
    <w:p w14:paraId="3217BFC8" w14:textId="77777777" w:rsidR="00C424E5" w:rsidRDefault="00C424E5" w:rsidP="006206EF">
      <w:r>
        <w:t>See Note 3.3.2 for further information on superannuation assumptions.</w:t>
      </w:r>
    </w:p>
    <w:p w14:paraId="54253B57" w14:textId="77777777" w:rsidR="00C424E5" w:rsidRDefault="00C424E5" w:rsidP="006206EF"/>
    <w:bookmarkEnd w:id="81"/>
    <w:p w14:paraId="336250B9" w14:textId="77777777" w:rsidR="00C424E5" w:rsidRDefault="00C424E5" w:rsidP="006206EF"/>
    <w:p w14:paraId="5DBF940F" w14:textId="77777777" w:rsidR="00C424E5" w:rsidRDefault="00C424E5" w:rsidP="006206EF">
      <w:pPr>
        <w:sectPr w:rsidR="00C424E5" w:rsidSect="00690DE5">
          <w:type w:val="continuous"/>
          <w:pgSz w:w="9979" w:h="14175" w:code="9"/>
          <w:pgMar w:top="1134" w:right="1134" w:bottom="1134" w:left="1134" w:header="624" w:footer="567" w:gutter="0"/>
          <w:cols w:space="708"/>
          <w:titlePg/>
          <w:docGrid w:linePitch="360"/>
        </w:sectPr>
      </w:pPr>
    </w:p>
    <w:p w14:paraId="199FEEE6" w14:textId="77777777" w:rsidR="00C424E5" w:rsidRDefault="00C424E5" w:rsidP="006206EF">
      <w:pPr>
        <w:pStyle w:val="Heading2"/>
      </w:pPr>
      <w:r w:rsidRPr="00020772">
        <w:lastRenderedPageBreak/>
        <w:t>OTHER DISCLOSURES</w:t>
      </w:r>
    </w:p>
    <w:p w14:paraId="279CB32A" w14:textId="77777777" w:rsidR="00C424E5" w:rsidRDefault="00C424E5" w:rsidP="006206EF">
      <w:pPr>
        <w:sectPr w:rsidR="00C424E5" w:rsidSect="00901119">
          <w:footerReference w:type="first" r:id="rId45"/>
          <w:pgSz w:w="9979" w:h="14175" w:code="9"/>
          <w:pgMar w:top="1134" w:right="1134" w:bottom="1134" w:left="1134" w:header="624" w:footer="567" w:gutter="0"/>
          <w:cols w:space="708"/>
          <w:docGrid w:linePitch="360"/>
        </w:sectPr>
      </w:pPr>
    </w:p>
    <w:p w14:paraId="41922248" w14:textId="77777777" w:rsidR="00C424E5" w:rsidRPr="00D02438" w:rsidRDefault="00C424E5" w:rsidP="006206EF">
      <w:pPr>
        <w:pStyle w:val="Heading30"/>
      </w:pPr>
      <w:r w:rsidRPr="00D02438">
        <w:t>Introduction</w:t>
      </w:r>
    </w:p>
    <w:p w14:paraId="1E39FDB3" w14:textId="77777777" w:rsidR="00C424E5" w:rsidRPr="00D02438" w:rsidRDefault="00C424E5" w:rsidP="006206EF">
      <w:r w:rsidRPr="00D02438">
        <w:t xml:space="preserve">This section includes several additional disclosures that assist </w:t>
      </w:r>
      <w:r>
        <w:t>with</w:t>
      </w:r>
      <w:r w:rsidRPr="00D02438">
        <w:t xml:space="preserve"> understanding the Estimated Financial Statements.</w:t>
      </w:r>
    </w:p>
    <w:p w14:paraId="31C671D4" w14:textId="77777777" w:rsidR="00C424E5" w:rsidRPr="00D02438" w:rsidRDefault="00C424E5" w:rsidP="006206EF">
      <w:pPr>
        <w:pStyle w:val="Heading30"/>
      </w:pPr>
      <w:r w:rsidRPr="00D02438">
        <w:br w:type="column"/>
      </w:r>
      <w:r w:rsidRPr="00D02438">
        <w:t>Structure</w:t>
      </w:r>
    </w:p>
    <w:p w14:paraId="25099587" w14:textId="1505BC64" w:rsidR="00C424E5" w:rsidRDefault="00C424E5">
      <w:pPr>
        <w:pStyle w:val="TOC9"/>
        <w:rPr>
          <w:rFonts w:eastAsiaTheme="minorEastAsia"/>
          <w:noProof/>
          <w:spacing w:val="0"/>
          <w:sz w:val="22"/>
          <w:lang w:eastAsia="en-AU"/>
        </w:rPr>
      </w:pPr>
      <w:r w:rsidRPr="00D02438">
        <w:fldChar w:fldCharType="begin"/>
      </w:r>
      <w:r w:rsidRPr="00D02438">
        <w:instrText xml:space="preserve"> TOC \h \z \t "Heading 3 (#),9" \b Section_7 \* MERGEFORMAT </w:instrText>
      </w:r>
      <w:r w:rsidRPr="00D02438">
        <w:fldChar w:fldCharType="separate"/>
      </w:r>
      <w:hyperlink w:anchor="_Toc117172505" w:history="1">
        <w:r w:rsidRPr="001C72AC">
          <w:rPr>
            <w:rStyle w:val="Hyperlink"/>
            <w:noProof/>
          </w:rPr>
          <w:t>3.7.1</w:t>
        </w:r>
        <w:r>
          <w:rPr>
            <w:rFonts w:eastAsiaTheme="minorEastAsia"/>
            <w:noProof/>
            <w:spacing w:val="0"/>
            <w:sz w:val="22"/>
            <w:lang w:eastAsia="en-AU"/>
          </w:rPr>
          <w:tab/>
        </w:r>
        <w:r w:rsidRPr="001C72AC">
          <w:rPr>
            <w:rStyle w:val="Hyperlink"/>
            <w:noProof/>
          </w:rPr>
          <w:t>Other gains/(losses) from other economic flows</w:t>
        </w:r>
        <w:r>
          <w:rPr>
            <w:noProof/>
            <w:webHidden/>
          </w:rPr>
          <w:tab/>
        </w:r>
        <w:r>
          <w:rPr>
            <w:noProof/>
            <w:webHidden/>
          </w:rPr>
          <w:fldChar w:fldCharType="begin"/>
        </w:r>
        <w:r>
          <w:rPr>
            <w:noProof/>
            <w:webHidden/>
          </w:rPr>
          <w:instrText xml:space="preserve"> PAGEREF _Toc117172505 \h </w:instrText>
        </w:r>
        <w:r>
          <w:rPr>
            <w:noProof/>
            <w:webHidden/>
          </w:rPr>
        </w:r>
        <w:r>
          <w:rPr>
            <w:noProof/>
            <w:webHidden/>
          </w:rPr>
          <w:fldChar w:fldCharType="separate"/>
        </w:r>
        <w:r w:rsidR="00087BE6">
          <w:rPr>
            <w:noProof/>
            <w:webHidden/>
          </w:rPr>
          <w:t>63</w:t>
        </w:r>
        <w:r>
          <w:rPr>
            <w:noProof/>
            <w:webHidden/>
          </w:rPr>
          <w:fldChar w:fldCharType="end"/>
        </w:r>
      </w:hyperlink>
    </w:p>
    <w:p w14:paraId="7BBA28C4" w14:textId="11FF59D2" w:rsidR="00C424E5" w:rsidRDefault="00087BE6">
      <w:pPr>
        <w:pStyle w:val="TOC9"/>
        <w:rPr>
          <w:rFonts w:eastAsiaTheme="minorEastAsia"/>
          <w:noProof/>
          <w:spacing w:val="0"/>
          <w:sz w:val="22"/>
          <w:lang w:eastAsia="en-AU"/>
        </w:rPr>
      </w:pPr>
      <w:hyperlink w:anchor="_Toc117172506" w:history="1">
        <w:r w:rsidR="00C424E5" w:rsidRPr="001C72AC">
          <w:rPr>
            <w:rStyle w:val="Hyperlink"/>
            <w:noProof/>
          </w:rPr>
          <w:t>3.7.2</w:t>
        </w:r>
        <w:r w:rsidR="00C424E5">
          <w:rPr>
            <w:rFonts w:eastAsiaTheme="minorEastAsia"/>
            <w:noProof/>
            <w:spacing w:val="0"/>
            <w:sz w:val="22"/>
            <w:lang w:eastAsia="en-AU"/>
          </w:rPr>
          <w:tab/>
        </w:r>
        <w:r w:rsidR="00C424E5" w:rsidRPr="001C72AC">
          <w:rPr>
            <w:rStyle w:val="Hyperlink"/>
            <w:noProof/>
          </w:rPr>
          <w:t>Reconciliation of Government Finance Statistics and Australian Accounting Standards</w:t>
        </w:r>
        <w:r w:rsidR="00C424E5">
          <w:rPr>
            <w:noProof/>
            <w:webHidden/>
          </w:rPr>
          <w:tab/>
        </w:r>
        <w:r w:rsidR="00C424E5">
          <w:rPr>
            <w:noProof/>
            <w:webHidden/>
          </w:rPr>
          <w:fldChar w:fldCharType="begin"/>
        </w:r>
        <w:r w:rsidR="00C424E5">
          <w:rPr>
            <w:noProof/>
            <w:webHidden/>
          </w:rPr>
          <w:instrText xml:space="preserve"> PAGEREF _Toc117172506 \h </w:instrText>
        </w:r>
        <w:r w:rsidR="00C424E5">
          <w:rPr>
            <w:noProof/>
            <w:webHidden/>
          </w:rPr>
        </w:r>
        <w:r w:rsidR="00C424E5">
          <w:rPr>
            <w:noProof/>
            <w:webHidden/>
          </w:rPr>
          <w:fldChar w:fldCharType="separate"/>
        </w:r>
        <w:r>
          <w:rPr>
            <w:noProof/>
            <w:webHidden/>
          </w:rPr>
          <w:t>64</w:t>
        </w:r>
        <w:r w:rsidR="00C424E5">
          <w:rPr>
            <w:noProof/>
            <w:webHidden/>
          </w:rPr>
          <w:fldChar w:fldCharType="end"/>
        </w:r>
      </w:hyperlink>
    </w:p>
    <w:p w14:paraId="2FBAE768" w14:textId="174ADF8C" w:rsidR="00C424E5" w:rsidRDefault="00087BE6">
      <w:pPr>
        <w:pStyle w:val="TOC9"/>
        <w:rPr>
          <w:rFonts w:eastAsiaTheme="minorEastAsia"/>
          <w:noProof/>
          <w:spacing w:val="0"/>
          <w:sz w:val="22"/>
          <w:lang w:eastAsia="en-AU"/>
        </w:rPr>
      </w:pPr>
      <w:hyperlink w:anchor="_Toc117172507" w:history="1">
        <w:r w:rsidR="00C424E5" w:rsidRPr="001C72AC">
          <w:rPr>
            <w:rStyle w:val="Hyperlink"/>
            <w:noProof/>
          </w:rPr>
          <w:t>3.7.3</w:t>
        </w:r>
        <w:r w:rsidR="00C424E5">
          <w:rPr>
            <w:rFonts w:eastAsiaTheme="minorEastAsia"/>
            <w:noProof/>
            <w:spacing w:val="0"/>
            <w:sz w:val="22"/>
            <w:lang w:eastAsia="en-AU"/>
          </w:rPr>
          <w:tab/>
        </w:r>
        <w:r w:rsidR="00C424E5" w:rsidRPr="001C72AC">
          <w:rPr>
            <w:rStyle w:val="Hyperlink"/>
            <w:noProof/>
          </w:rPr>
          <w:t xml:space="preserve">Prospective accounting and </w:t>
        </w:r>
        <w:r w:rsidR="00C424E5">
          <w:rPr>
            <w:rStyle w:val="Hyperlink"/>
            <w:noProof/>
          </w:rPr>
          <w:br/>
        </w:r>
        <w:r w:rsidR="00C424E5" w:rsidRPr="001C72AC">
          <w:rPr>
            <w:rStyle w:val="Hyperlink"/>
            <w:noProof/>
          </w:rPr>
          <w:t>reporting changes</w:t>
        </w:r>
        <w:r w:rsidR="00C424E5">
          <w:rPr>
            <w:noProof/>
            <w:webHidden/>
          </w:rPr>
          <w:tab/>
        </w:r>
        <w:r w:rsidR="00C424E5">
          <w:rPr>
            <w:noProof/>
            <w:webHidden/>
          </w:rPr>
          <w:fldChar w:fldCharType="begin"/>
        </w:r>
        <w:r w:rsidR="00C424E5">
          <w:rPr>
            <w:noProof/>
            <w:webHidden/>
          </w:rPr>
          <w:instrText xml:space="preserve"> PAGEREF _Toc117172507 \h </w:instrText>
        </w:r>
        <w:r w:rsidR="00C424E5">
          <w:rPr>
            <w:noProof/>
            <w:webHidden/>
          </w:rPr>
        </w:r>
        <w:r w:rsidR="00C424E5">
          <w:rPr>
            <w:noProof/>
            <w:webHidden/>
          </w:rPr>
          <w:fldChar w:fldCharType="separate"/>
        </w:r>
        <w:r>
          <w:rPr>
            <w:noProof/>
            <w:webHidden/>
          </w:rPr>
          <w:t>67</w:t>
        </w:r>
        <w:r w:rsidR="00C424E5">
          <w:rPr>
            <w:noProof/>
            <w:webHidden/>
          </w:rPr>
          <w:fldChar w:fldCharType="end"/>
        </w:r>
      </w:hyperlink>
    </w:p>
    <w:p w14:paraId="304C5288" w14:textId="6AFFDA99" w:rsidR="00C424E5" w:rsidRDefault="00087BE6">
      <w:pPr>
        <w:pStyle w:val="TOC9"/>
        <w:rPr>
          <w:rFonts w:eastAsiaTheme="minorEastAsia"/>
          <w:noProof/>
          <w:spacing w:val="0"/>
          <w:sz w:val="22"/>
          <w:lang w:eastAsia="en-AU"/>
        </w:rPr>
      </w:pPr>
      <w:hyperlink w:anchor="_Toc117172508" w:history="1">
        <w:r w:rsidR="00C424E5" w:rsidRPr="001C72AC">
          <w:rPr>
            <w:rStyle w:val="Hyperlink"/>
            <w:noProof/>
          </w:rPr>
          <w:t>3.7.4</w:t>
        </w:r>
        <w:r w:rsidR="00C424E5">
          <w:rPr>
            <w:rFonts w:eastAsiaTheme="minorEastAsia"/>
            <w:noProof/>
            <w:spacing w:val="0"/>
            <w:sz w:val="22"/>
            <w:lang w:eastAsia="en-AU"/>
          </w:rPr>
          <w:tab/>
        </w:r>
        <w:r w:rsidR="00C424E5" w:rsidRPr="001C72AC">
          <w:rPr>
            <w:rStyle w:val="Hyperlink"/>
            <w:noProof/>
          </w:rPr>
          <w:t>Controlled entities</w:t>
        </w:r>
        <w:r w:rsidR="00C424E5">
          <w:rPr>
            <w:noProof/>
            <w:webHidden/>
          </w:rPr>
          <w:tab/>
        </w:r>
        <w:r w:rsidR="00C424E5">
          <w:rPr>
            <w:noProof/>
            <w:webHidden/>
          </w:rPr>
          <w:fldChar w:fldCharType="begin"/>
        </w:r>
        <w:r w:rsidR="00C424E5">
          <w:rPr>
            <w:noProof/>
            <w:webHidden/>
          </w:rPr>
          <w:instrText xml:space="preserve"> PAGEREF _Toc117172508 \h </w:instrText>
        </w:r>
        <w:r w:rsidR="00C424E5">
          <w:rPr>
            <w:noProof/>
            <w:webHidden/>
          </w:rPr>
        </w:r>
        <w:r w:rsidR="00C424E5">
          <w:rPr>
            <w:noProof/>
            <w:webHidden/>
          </w:rPr>
          <w:fldChar w:fldCharType="separate"/>
        </w:r>
        <w:r>
          <w:rPr>
            <w:noProof/>
            <w:webHidden/>
          </w:rPr>
          <w:t>68</w:t>
        </w:r>
        <w:r w:rsidR="00C424E5">
          <w:rPr>
            <w:noProof/>
            <w:webHidden/>
          </w:rPr>
          <w:fldChar w:fldCharType="end"/>
        </w:r>
      </w:hyperlink>
    </w:p>
    <w:p w14:paraId="7B06E566" w14:textId="77777777" w:rsidR="00C424E5" w:rsidRDefault="00C424E5" w:rsidP="006206EF">
      <w:pPr>
        <w:sectPr w:rsidR="00C424E5" w:rsidSect="00020772">
          <w:type w:val="continuous"/>
          <w:pgSz w:w="9979" w:h="14175" w:code="9"/>
          <w:pgMar w:top="1134" w:right="1134" w:bottom="1134" w:left="1134" w:header="624" w:footer="567" w:gutter="0"/>
          <w:cols w:num="2" w:space="708"/>
          <w:titlePg/>
          <w:docGrid w:linePitch="360"/>
        </w:sectPr>
      </w:pPr>
      <w:r w:rsidRPr="00D02438">
        <w:fldChar w:fldCharType="end"/>
      </w:r>
    </w:p>
    <w:p w14:paraId="529B6A85" w14:textId="77777777" w:rsidR="00C424E5" w:rsidRDefault="00C424E5" w:rsidP="006206EF">
      <w:pPr>
        <w:pStyle w:val="Heading3"/>
        <w:spacing w:after="60"/>
        <w:rPr>
          <w:sz w:val="20"/>
          <w:szCs w:val="20"/>
        </w:rPr>
      </w:pPr>
      <w:bookmarkStart w:id="84" w:name="_Toc117172505"/>
      <w:bookmarkStart w:id="85" w:name="Section_7"/>
      <w:r w:rsidRPr="000070F7">
        <w:rPr>
          <w:sz w:val="20"/>
          <w:szCs w:val="20"/>
        </w:rPr>
        <w:t>Other gains/(losses) from other economic flows</w:t>
      </w:r>
      <w:r w:rsidRPr="000070F7">
        <w:rPr>
          <w:sz w:val="20"/>
          <w:szCs w:val="20"/>
        </w:rPr>
        <w:tab/>
        <w:t>($ million)</w:t>
      </w:r>
      <w:bookmarkEnd w:id="84"/>
    </w:p>
    <w:tbl>
      <w:tblPr>
        <w:tblStyle w:val="DTFTableNumeric"/>
        <w:tblW w:w="7710" w:type="dxa"/>
        <w:tblLayout w:type="fixed"/>
        <w:tblLook w:val="06A0" w:firstRow="1" w:lastRow="0" w:firstColumn="1" w:lastColumn="0" w:noHBand="1" w:noVBand="1"/>
      </w:tblPr>
      <w:tblGrid>
        <w:gridCol w:w="3878"/>
        <w:gridCol w:w="766"/>
        <w:gridCol w:w="766"/>
        <w:gridCol w:w="767"/>
        <w:gridCol w:w="766"/>
        <w:gridCol w:w="767"/>
      </w:tblGrid>
      <w:tr w:rsidR="00F70B1C" w14:paraId="385C4557" w14:textId="77777777" w:rsidTr="00A836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78" w:type="dxa"/>
          </w:tcPr>
          <w:p w14:paraId="2F5262E2" w14:textId="56699EBD" w:rsidR="00F70B1C" w:rsidRDefault="00F70B1C"/>
        </w:tc>
        <w:tc>
          <w:tcPr>
            <w:tcW w:w="766" w:type="dxa"/>
          </w:tcPr>
          <w:p w14:paraId="06A84788" w14:textId="1A06B049" w:rsidR="00F70B1C" w:rsidRDefault="00F70B1C" w:rsidP="008E75B0">
            <w:pPr>
              <w:cnfStyle w:val="100000000000" w:firstRow="1" w:lastRow="0" w:firstColumn="0" w:lastColumn="0" w:oddVBand="0" w:evenVBand="0" w:oddHBand="0" w:evenHBand="0" w:firstRowFirstColumn="0" w:firstRowLastColumn="0" w:lastRowFirstColumn="0" w:lastRowLastColumn="0"/>
            </w:pPr>
            <w:r>
              <w:t>2022</w:t>
            </w:r>
            <w:r>
              <w:noBreakHyphen/>
              <w:t>23</w:t>
            </w:r>
            <w:r>
              <w:rPr>
                <w:i w:val="0"/>
              </w:rPr>
              <w:br/>
            </w:r>
            <w:r>
              <w:t>budget</w:t>
            </w:r>
          </w:p>
        </w:tc>
        <w:tc>
          <w:tcPr>
            <w:tcW w:w="766" w:type="dxa"/>
          </w:tcPr>
          <w:p w14:paraId="00CCCE34" w14:textId="28E2B8FE" w:rsidR="00F70B1C" w:rsidRDefault="00F70B1C" w:rsidP="00290C85">
            <w:pPr>
              <w:cnfStyle w:val="100000000000" w:firstRow="1" w:lastRow="0" w:firstColumn="0" w:lastColumn="0" w:oddVBand="0" w:evenVBand="0" w:oddHBand="0" w:evenHBand="0" w:firstRowFirstColumn="0" w:firstRowLastColumn="0" w:lastRowFirstColumn="0" w:lastRowLastColumn="0"/>
            </w:pPr>
            <w:r>
              <w:t>2022</w:t>
            </w:r>
            <w:r>
              <w:noBreakHyphen/>
              <w:t>23</w:t>
            </w:r>
            <w:r>
              <w:rPr>
                <w:i w:val="0"/>
              </w:rPr>
              <w:br/>
            </w:r>
            <w:r>
              <w:t>revised</w:t>
            </w:r>
          </w:p>
        </w:tc>
        <w:tc>
          <w:tcPr>
            <w:tcW w:w="767" w:type="dxa"/>
          </w:tcPr>
          <w:p w14:paraId="4C0F514B" w14:textId="4E68ECBE" w:rsidR="00F70B1C" w:rsidRDefault="00F70B1C" w:rsidP="002F3DE3">
            <w:pPr>
              <w:cnfStyle w:val="100000000000" w:firstRow="1" w:lastRow="0" w:firstColumn="0" w:lastColumn="0" w:oddVBand="0" w:evenVBand="0" w:oddHBand="0" w:evenHBand="0" w:firstRowFirstColumn="0" w:firstRowLastColumn="0" w:lastRowFirstColumn="0" w:lastRowLastColumn="0"/>
            </w:pPr>
            <w:r>
              <w:t>2023</w:t>
            </w:r>
            <w:r>
              <w:noBreakHyphen/>
              <w:t>24</w:t>
            </w:r>
            <w:r>
              <w:rPr>
                <w:i w:val="0"/>
              </w:rPr>
              <w:br/>
            </w:r>
            <w:r>
              <w:t>estimate</w:t>
            </w:r>
          </w:p>
        </w:tc>
        <w:tc>
          <w:tcPr>
            <w:tcW w:w="766" w:type="dxa"/>
          </w:tcPr>
          <w:p w14:paraId="02AE9121" w14:textId="366D00C9" w:rsidR="00F70B1C" w:rsidRDefault="00F70B1C" w:rsidP="004062C1">
            <w:pPr>
              <w:cnfStyle w:val="100000000000" w:firstRow="1" w:lastRow="0" w:firstColumn="0" w:lastColumn="0" w:oddVBand="0" w:evenVBand="0" w:oddHBand="0" w:evenHBand="0" w:firstRowFirstColumn="0" w:firstRowLastColumn="0" w:lastRowFirstColumn="0" w:lastRowLastColumn="0"/>
            </w:pPr>
            <w:r>
              <w:t>2024</w:t>
            </w:r>
            <w:r>
              <w:noBreakHyphen/>
              <w:t>25</w:t>
            </w:r>
            <w:r>
              <w:rPr>
                <w:i w:val="0"/>
              </w:rPr>
              <w:br/>
            </w:r>
            <w:r>
              <w:t>estimate</w:t>
            </w:r>
          </w:p>
        </w:tc>
        <w:tc>
          <w:tcPr>
            <w:tcW w:w="767" w:type="dxa"/>
          </w:tcPr>
          <w:p w14:paraId="7E02469F" w14:textId="0D68B608" w:rsidR="00F70B1C" w:rsidRDefault="00F70B1C" w:rsidP="008D21B4">
            <w:pPr>
              <w:cnfStyle w:val="100000000000" w:firstRow="1" w:lastRow="0" w:firstColumn="0" w:lastColumn="0" w:oddVBand="0" w:evenVBand="0" w:oddHBand="0" w:evenHBand="0" w:firstRowFirstColumn="0" w:firstRowLastColumn="0" w:lastRowFirstColumn="0" w:lastRowLastColumn="0"/>
            </w:pPr>
            <w:r>
              <w:t>2025</w:t>
            </w:r>
            <w:r>
              <w:noBreakHyphen/>
              <w:t>26</w:t>
            </w:r>
            <w:r>
              <w:rPr>
                <w:i w:val="0"/>
              </w:rPr>
              <w:br/>
            </w:r>
            <w:r>
              <w:t>estimate</w:t>
            </w:r>
          </w:p>
        </w:tc>
      </w:tr>
      <w:tr w:rsidR="00C424E5" w14:paraId="792C6C8B" w14:textId="77777777" w:rsidTr="000D54DB">
        <w:tc>
          <w:tcPr>
            <w:cnfStyle w:val="001000000000" w:firstRow="0" w:lastRow="0" w:firstColumn="1" w:lastColumn="0" w:oddVBand="0" w:evenVBand="0" w:oddHBand="0" w:evenHBand="0" w:firstRowFirstColumn="0" w:firstRowLastColumn="0" w:lastRowFirstColumn="0" w:lastRowLastColumn="0"/>
            <w:tcW w:w="3878" w:type="dxa"/>
          </w:tcPr>
          <w:p w14:paraId="26C81A0F" w14:textId="77777777" w:rsidR="00C424E5" w:rsidRDefault="00C424E5">
            <w:r>
              <w:t>Net (increase)/decrease in allowances for credit losses</w:t>
            </w:r>
          </w:p>
        </w:tc>
        <w:tc>
          <w:tcPr>
            <w:tcW w:w="766" w:type="dxa"/>
          </w:tcPr>
          <w:p w14:paraId="659C7D46" w14:textId="77777777" w:rsidR="00C424E5" w:rsidRDefault="00C424E5">
            <w:pPr>
              <w:cnfStyle w:val="000000000000" w:firstRow="0" w:lastRow="0" w:firstColumn="0" w:lastColumn="0" w:oddVBand="0" w:evenVBand="0" w:oddHBand="0" w:evenHBand="0" w:firstRowFirstColumn="0" w:firstRowLastColumn="0" w:lastRowFirstColumn="0" w:lastRowLastColumn="0"/>
            </w:pPr>
            <w:r>
              <w:t>(21)</w:t>
            </w:r>
          </w:p>
        </w:tc>
        <w:tc>
          <w:tcPr>
            <w:tcW w:w="766" w:type="dxa"/>
          </w:tcPr>
          <w:p w14:paraId="3F7EDFBD" w14:textId="77777777" w:rsidR="00C424E5" w:rsidRDefault="00C424E5">
            <w:pPr>
              <w:cnfStyle w:val="000000000000" w:firstRow="0" w:lastRow="0" w:firstColumn="0" w:lastColumn="0" w:oddVBand="0" w:evenVBand="0" w:oddHBand="0" w:evenHBand="0" w:firstRowFirstColumn="0" w:firstRowLastColumn="0" w:lastRowFirstColumn="0" w:lastRowLastColumn="0"/>
            </w:pPr>
            <w:r>
              <w:t>(21)</w:t>
            </w:r>
          </w:p>
        </w:tc>
        <w:tc>
          <w:tcPr>
            <w:tcW w:w="767" w:type="dxa"/>
          </w:tcPr>
          <w:p w14:paraId="015A326D" w14:textId="77777777" w:rsidR="00C424E5" w:rsidRDefault="00C424E5">
            <w:pPr>
              <w:cnfStyle w:val="000000000000" w:firstRow="0" w:lastRow="0" w:firstColumn="0" w:lastColumn="0" w:oddVBand="0" w:evenVBand="0" w:oddHBand="0" w:evenHBand="0" w:firstRowFirstColumn="0" w:firstRowLastColumn="0" w:lastRowFirstColumn="0" w:lastRowLastColumn="0"/>
            </w:pPr>
            <w:r>
              <w:t>(114)</w:t>
            </w:r>
          </w:p>
        </w:tc>
        <w:tc>
          <w:tcPr>
            <w:tcW w:w="766" w:type="dxa"/>
          </w:tcPr>
          <w:p w14:paraId="7C4D2E20" w14:textId="77777777" w:rsidR="00C424E5" w:rsidRDefault="00C424E5">
            <w:pPr>
              <w:cnfStyle w:val="000000000000" w:firstRow="0" w:lastRow="0" w:firstColumn="0" w:lastColumn="0" w:oddVBand="0" w:evenVBand="0" w:oddHBand="0" w:evenHBand="0" w:firstRowFirstColumn="0" w:firstRowLastColumn="0" w:lastRowFirstColumn="0" w:lastRowLastColumn="0"/>
            </w:pPr>
            <w:r>
              <w:t>(34)</w:t>
            </w:r>
          </w:p>
        </w:tc>
        <w:tc>
          <w:tcPr>
            <w:tcW w:w="767" w:type="dxa"/>
          </w:tcPr>
          <w:p w14:paraId="37EF7A1D" w14:textId="77777777" w:rsidR="00C424E5" w:rsidRDefault="00C424E5">
            <w:pPr>
              <w:cnfStyle w:val="000000000000" w:firstRow="0" w:lastRow="0" w:firstColumn="0" w:lastColumn="0" w:oddVBand="0" w:evenVBand="0" w:oddHBand="0" w:evenHBand="0" w:firstRowFirstColumn="0" w:firstRowLastColumn="0" w:lastRowFirstColumn="0" w:lastRowLastColumn="0"/>
            </w:pPr>
            <w:r>
              <w:t>80</w:t>
            </w:r>
          </w:p>
        </w:tc>
      </w:tr>
      <w:tr w:rsidR="00C424E5" w14:paraId="4ED9C5E6" w14:textId="77777777" w:rsidTr="000D54DB">
        <w:tc>
          <w:tcPr>
            <w:cnfStyle w:val="001000000000" w:firstRow="0" w:lastRow="0" w:firstColumn="1" w:lastColumn="0" w:oddVBand="0" w:evenVBand="0" w:oddHBand="0" w:evenHBand="0" w:firstRowFirstColumn="0" w:firstRowLastColumn="0" w:lastRowFirstColumn="0" w:lastRowLastColumn="0"/>
            <w:tcW w:w="3878" w:type="dxa"/>
          </w:tcPr>
          <w:p w14:paraId="384D11AC" w14:textId="77777777" w:rsidR="00C424E5" w:rsidRDefault="00C424E5">
            <w:r>
              <w:t>Amortisation of intangible non</w:t>
            </w:r>
            <w:r>
              <w:noBreakHyphen/>
              <w:t>produced assets</w:t>
            </w:r>
          </w:p>
        </w:tc>
        <w:tc>
          <w:tcPr>
            <w:tcW w:w="766" w:type="dxa"/>
          </w:tcPr>
          <w:p w14:paraId="7FABD304" w14:textId="77777777" w:rsidR="00C424E5" w:rsidRDefault="00C424E5">
            <w:pPr>
              <w:cnfStyle w:val="000000000000" w:firstRow="0" w:lastRow="0" w:firstColumn="0" w:lastColumn="0" w:oddVBand="0" w:evenVBand="0" w:oddHBand="0" w:evenHBand="0" w:firstRowFirstColumn="0" w:firstRowLastColumn="0" w:lastRowFirstColumn="0" w:lastRowLastColumn="0"/>
            </w:pPr>
            <w:r>
              <w:t>(7)</w:t>
            </w:r>
          </w:p>
        </w:tc>
        <w:tc>
          <w:tcPr>
            <w:tcW w:w="766" w:type="dxa"/>
          </w:tcPr>
          <w:p w14:paraId="7DCB30FE" w14:textId="77777777" w:rsidR="00C424E5" w:rsidRDefault="00C424E5">
            <w:pPr>
              <w:cnfStyle w:val="000000000000" w:firstRow="0" w:lastRow="0" w:firstColumn="0" w:lastColumn="0" w:oddVBand="0" w:evenVBand="0" w:oddHBand="0" w:evenHBand="0" w:firstRowFirstColumn="0" w:firstRowLastColumn="0" w:lastRowFirstColumn="0" w:lastRowLastColumn="0"/>
            </w:pPr>
            <w:r>
              <w:t>(7)</w:t>
            </w:r>
          </w:p>
        </w:tc>
        <w:tc>
          <w:tcPr>
            <w:tcW w:w="767" w:type="dxa"/>
          </w:tcPr>
          <w:p w14:paraId="772379E1" w14:textId="77777777" w:rsidR="00C424E5" w:rsidRDefault="00C424E5">
            <w:pPr>
              <w:cnfStyle w:val="000000000000" w:firstRow="0" w:lastRow="0" w:firstColumn="0" w:lastColumn="0" w:oddVBand="0" w:evenVBand="0" w:oddHBand="0" w:evenHBand="0" w:firstRowFirstColumn="0" w:firstRowLastColumn="0" w:lastRowFirstColumn="0" w:lastRowLastColumn="0"/>
            </w:pPr>
            <w:r>
              <w:t>(7)</w:t>
            </w:r>
          </w:p>
        </w:tc>
        <w:tc>
          <w:tcPr>
            <w:tcW w:w="766" w:type="dxa"/>
          </w:tcPr>
          <w:p w14:paraId="2707A573" w14:textId="77777777" w:rsidR="00C424E5" w:rsidRDefault="00C424E5">
            <w:pPr>
              <w:cnfStyle w:val="000000000000" w:firstRow="0" w:lastRow="0" w:firstColumn="0" w:lastColumn="0" w:oddVBand="0" w:evenVBand="0" w:oddHBand="0" w:evenHBand="0" w:firstRowFirstColumn="0" w:firstRowLastColumn="0" w:lastRowFirstColumn="0" w:lastRowLastColumn="0"/>
            </w:pPr>
            <w:r>
              <w:t>(7)</w:t>
            </w:r>
          </w:p>
        </w:tc>
        <w:tc>
          <w:tcPr>
            <w:tcW w:w="767" w:type="dxa"/>
          </w:tcPr>
          <w:p w14:paraId="6B62F83A" w14:textId="77777777" w:rsidR="00C424E5" w:rsidRDefault="00C424E5">
            <w:pPr>
              <w:cnfStyle w:val="000000000000" w:firstRow="0" w:lastRow="0" w:firstColumn="0" w:lastColumn="0" w:oddVBand="0" w:evenVBand="0" w:oddHBand="0" w:evenHBand="0" w:firstRowFirstColumn="0" w:firstRowLastColumn="0" w:lastRowFirstColumn="0" w:lastRowLastColumn="0"/>
            </w:pPr>
            <w:r>
              <w:t>(7)</w:t>
            </w:r>
          </w:p>
        </w:tc>
      </w:tr>
      <w:tr w:rsidR="00C424E5" w14:paraId="245264EB" w14:textId="77777777" w:rsidTr="000D54DB">
        <w:tc>
          <w:tcPr>
            <w:cnfStyle w:val="001000000000" w:firstRow="0" w:lastRow="0" w:firstColumn="1" w:lastColumn="0" w:oddVBand="0" w:evenVBand="0" w:oddHBand="0" w:evenHBand="0" w:firstRowFirstColumn="0" w:firstRowLastColumn="0" w:lastRowFirstColumn="0" w:lastRowLastColumn="0"/>
            <w:tcW w:w="3878" w:type="dxa"/>
          </w:tcPr>
          <w:p w14:paraId="1389FA13" w14:textId="77777777" w:rsidR="00C424E5" w:rsidRDefault="00C424E5">
            <w:r>
              <w:t>Bad debts written off</w:t>
            </w:r>
          </w:p>
        </w:tc>
        <w:tc>
          <w:tcPr>
            <w:tcW w:w="766" w:type="dxa"/>
          </w:tcPr>
          <w:p w14:paraId="2F4B657F" w14:textId="77777777" w:rsidR="00C424E5" w:rsidRDefault="00C424E5">
            <w:pPr>
              <w:cnfStyle w:val="000000000000" w:firstRow="0" w:lastRow="0" w:firstColumn="0" w:lastColumn="0" w:oddVBand="0" w:evenVBand="0" w:oddHBand="0" w:evenHBand="0" w:firstRowFirstColumn="0" w:firstRowLastColumn="0" w:lastRowFirstColumn="0" w:lastRowLastColumn="0"/>
            </w:pPr>
            <w:r>
              <w:t>(398)</w:t>
            </w:r>
          </w:p>
        </w:tc>
        <w:tc>
          <w:tcPr>
            <w:tcW w:w="766" w:type="dxa"/>
          </w:tcPr>
          <w:p w14:paraId="7A81949F" w14:textId="77777777" w:rsidR="00C424E5" w:rsidRDefault="00C424E5">
            <w:pPr>
              <w:cnfStyle w:val="000000000000" w:firstRow="0" w:lastRow="0" w:firstColumn="0" w:lastColumn="0" w:oddVBand="0" w:evenVBand="0" w:oddHBand="0" w:evenHBand="0" w:firstRowFirstColumn="0" w:firstRowLastColumn="0" w:lastRowFirstColumn="0" w:lastRowLastColumn="0"/>
            </w:pPr>
            <w:r>
              <w:t>(398)</w:t>
            </w:r>
          </w:p>
        </w:tc>
        <w:tc>
          <w:tcPr>
            <w:tcW w:w="767" w:type="dxa"/>
          </w:tcPr>
          <w:p w14:paraId="582F8FA5" w14:textId="77777777" w:rsidR="00C424E5" w:rsidRDefault="00C424E5">
            <w:pPr>
              <w:cnfStyle w:val="000000000000" w:firstRow="0" w:lastRow="0" w:firstColumn="0" w:lastColumn="0" w:oddVBand="0" w:evenVBand="0" w:oddHBand="0" w:evenHBand="0" w:firstRowFirstColumn="0" w:firstRowLastColumn="0" w:lastRowFirstColumn="0" w:lastRowLastColumn="0"/>
            </w:pPr>
            <w:r>
              <w:t>(316)</w:t>
            </w:r>
          </w:p>
        </w:tc>
        <w:tc>
          <w:tcPr>
            <w:tcW w:w="766" w:type="dxa"/>
          </w:tcPr>
          <w:p w14:paraId="33A69EC2" w14:textId="77777777" w:rsidR="00C424E5" w:rsidRDefault="00C424E5">
            <w:pPr>
              <w:cnfStyle w:val="000000000000" w:firstRow="0" w:lastRow="0" w:firstColumn="0" w:lastColumn="0" w:oddVBand="0" w:evenVBand="0" w:oddHBand="0" w:evenHBand="0" w:firstRowFirstColumn="0" w:firstRowLastColumn="0" w:lastRowFirstColumn="0" w:lastRowLastColumn="0"/>
            </w:pPr>
            <w:r>
              <w:t>(367)</w:t>
            </w:r>
          </w:p>
        </w:tc>
        <w:tc>
          <w:tcPr>
            <w:tcW w:w="767" w:type="dxa"/>
          </w:tcPr>
          <w:p w14:paraId="1A254EF2" w14:textId="77777777" w:rsidR="00C424E5" w:rsidRDefault="00C424E5">
            <w:pPr>
              <w:cnfStyle w:val="000000000000" w:firstRow="0" w:lastRow="0" w:firstColumn="0" w:lastColumn="0" w:oddVBand="0" w:evenVBand="0" w:oddHBand="0" w:evenHBand="0" w:firstRowFirstColumn="0" w:firstRowLastColumn="0" w:lastRowFirstColumn="0" w:lastRowLastColumn="0"/>
            </w:pPr>
            <w:r>
              <w:t>(470)</w:t>
            </w:r>
          </w:p>
        </w:tc>
      </w:tr>
      <w:tr w:rsidR="00C424E5" w14:paraId="01CC7C78" w14:textId="77777777" w:rsidTr="000D54DB">
        <w:tc>
          <w:tcPr>
            <w:cnfStyle w:val="001000000000" w:firstRow="0" w:lastRow="0" w:firstColumn="1" w:lastColumn="0" w:oddVBand="0" w:evenVBand="0" w:oddHBand="0" w:evenHBand="0" w:firstRowFirstColumn="0" w:firstRowLastColumn="0" w:lastRowFirstColumn="0" w:lastRowLastColumn="0"/>
            <w:tcW w:w="3878" w:type="dxa"/>
            <w:tcBorders>
              <w:bottom w:val="single" w:sz="6" w:space="0" w:color="auto"/>
            </w:tcBorders>
          </w:tcPr>
          <w:p w14:paraId="07F65E65" w14:textId="77777777" w:rsidR="00C424E5" w:rsidRDefault="00C424E5">
            <w:r>
              <w:t>Other gains/(losses)</w:t>
            </w:r>
          </w:p>
        </w:tc>
        <w:tc>
          <w:tcPr>
            <w:tcW w:w="766" w:type="dxa"/>
            <w:tcBorders>
              <w:bottom w:val="single" w:sz="6" w:space="0" w:color="auto"/>
            </w:tcBorders>
          </w:tcPr>
          <w:p w14:paraId="11900610" w14:textId="77777777" w:rsidR="00C424E5" w:rsidRDefault="00C424E5">
            <w:pPr>
              <w:cnfStyle w:val="000000000000" w:firstRow="0" w:lastRow="0" w:firstColumn="0" w:lastColumn="0" w:oddVBand="0" w:evenVBand="0" w:oddHBand="0" w:evenHBand="0" w:firstRowFirstColumn="0" w:firstRowLastColumn="0" w:lastRowFirstColumn="0" w:lastRowLastColumn="0"/>
            </w:pPr>
            <w:r>
              <w:t>(54)</w:t>
            </w:r>
          </w:p>
        </w:tc>
        <w:tc>
          <w:tcPr>
            <w:tcW w:w="766" w:type="dxa"/>
            <w:tcBorders>
              <w:bottom w:val="single" w:sz="6" w:space="0" w:color="auto"/>
            </w:tcBorders>
          </w:tcPr>
          <w:p w14:paraId="5D453E38" w14:textId="77777777" w:rsidR="00C424E5" w:rsidRDefault="00C424E5">
            <w:pPr>
              <w:cnfStyle w:val="000000000000" w:firstRow="0" w:lastRow="0" w:firstColumn="0" w:lastColumn="0" w:oddVBand="0" w:evenVBand="0" w:oddHBand="0" w:evenHBand="0" w:firstRowFirstColumn="0" w:firstRowLastColumn="0" w:lastRowFirstColumn="0" w:lastRowLastColumn="0"/>
            </w:pPr>
            <w:r>
              <w:t>(54)</w:t>
            </w:r>
          </w:p>
        </w:tc>
        <w:tc>
          <w:tcPr>
            <w:tcW w:w="767" w:type="dxa"/>
            <w:tcBorders>
              <w:bottom w:val="single" w:sz="6" w:space="0" w:color="auto"/>
            </w:tcBorders>
          </w:tcPr>
          <w:p w14:paraId="4470E334" w14:textId="77777777" w:rsidR="00C424E5" w:rsidRDefault="00C424E5">
            <w:pPr>
              <w:cnfStyle w:val="000000000000" w:firstRow="0" w:lastRow="0" w:firstColumn="0" w:lastColumn="0" w:oddVBand="0" w:evenVBand="0" w:oddHBand="0" w:evenHBand="0" w:firstRowFirstColumn="0" w:firstRowLastColumn="0" w:lastRowFirstColumn="0" w:lastRowLastColumn="0"/>
            </w:pPr>
            <w:r>
              <w:t>(19)</w:t>
            </w:r>
          </w:p>
        </w:tc>
        <w:tc>
          <w:tcPr>
            <w:tcW w:w="766" w:type="dxa"/>
            <w:tcBorders>
              <w:bottom w:val="single" w:sz="6" w:space="0" w:color="auto"/>
            </w:tcBorders>
          </w:tcPr>
          <w:p w14:paraId="39C91B35" w14:textId="77777777" w:rsidR="00C424E5" w:rsidRDefault="00C424E5">
            <w:pPr>
              <w:cnfStyle w:val="000000000000" w:firstRow="0" w:lastRow="0" w:firstColumn="0" w:lastColumn="0" w:oddVBand="0" w:evenVBand="0" w:oddHBand="0" w:evenHBand="0" w:firstRowFirstColumn="0" w:firstRowLastColumn="0" w:lastRowFirstColumn="0" w:lastRowLastColumn="0"/>
            </w:pPr>
            <w:r>
              <w:t>(12)</w:t>
            </w:r>
          </w:p>
        </w:tc>
        <w:tc>
          <w:tcPr>
            <w:tcW w:w="767" w:type="dxa"/>
            <w:tcBorders>
              <w:bottom w:val="single" w:sz="6" w:space="0" w:color="auto"/>
            </w:tcBorders>
          </w:tcPr>
          <w:p w14:paraId="73258782" w14:textId="77777777" w:rsidR="00C424E5" w:rsidRDefault="00C424E5">
            <w:pPr>
              <w:cnfStyle w:val="000000000000" w:firstRow="0" w:lastRow="0" w:firstColumn="0" w:lastColumn="0" w:oddVBand="0" w:evenVBand="0" w:oddHBand="0" w:evenHBand="0" w:firstRowFirstColumn="0" w:firstRowLastColumn="0" w:lastRowFirstColumn="0" w:lastRowLastColumn="0"/>
            </w:pPr>
            <w:r>
              <w:t>(12)</w:t>
            </w:r>
          </w:p>
        </w:tc>
      </w:tr>
      <w:tr w:rsidR="00C424E5" w14:paraId="5C1A163F" w14:textId="77777777" w:rsidTr="000D54DB">
        <w:tc>
          <w:tcPr>
            <w:cnfStyle w:val="001000000000" w:firstRow="0" w:lastRow="0" w:firstColumn="1" w:lastColumn="0" w:oddVBand="0" w:evenVBand="0" w:oddHBand="0" w:evenHBand="0" w:firstRowFirstColumn="0" w:firstRowLastColumn="0" w:lastRowFirstColumn="0" w:lastRowLastColumn="0"/>
            <w:tcW w:w="3878" w:type="dxa"/>
            <w:tcBorders>
              <w:top w:val="single" w:sz="6" w:space="0" w:color="auto"/>
              <w:bottom w:val="single" w:sz="12" w:space="0" w:color="auto"/>
            </w:tcBorders>
          </w:tcPr>
          <w:p w14:paraId="1CCFACFC" w14:textId="77777777" w:rsidR="00C424E5" w:rsidRDefault="00C424E5">
            <w:r>
              <w:rPr>
                <w:b/>
              </w:rPr>
              <w:t>Total other gains/(losses) from other economic flows</w:t>
            </w:r>
          </w:p>
        </w:tc>
        <w:tc>
          <w:tcPr>
            <w:tcW w:w="766" w:type="dxa"/>
            <w:tcBorders>
              <w:top w:val="single" w:sz="6" w:space="0" w:color="auto"/>
              <w:bottom w:val="single" w:sz="12" w:space="0" w:color="auto"/>
            </w:tcBorders>
          </w:tcPr>
          <w:p w14:paraId="662C0B86"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(479)</w:t>
            </w:r>
          </w:p>
        </w:tc>
        <w:tc>
          <w:tcPr>
            <w:tcW w:w="766" w:type="dxa"/>
            <w:tcBorders>
              <w:top w:val="single" w:sz="6" w:space="0" w:color="auto"/>
              <w:bottom w:val="single" w:sz="12" w:space="0" w:color="auto"/>
            </w:tcBorders>
          </w:tcPr>
          <w:p w14:paraId="42C30B91"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(479)</w:t>
            </w:r>
          </w:p>
        </w:tc>
        <w:tc>
          <w:tcPr>
            <w:tcW w:w="767" w:type="dxa"/>
            <w:tcBorders>
              <w:top w:val="single" w:sz="6" w:space="0" w:color="auto"/>
              <w:bottom w:val="single" w:sz="12" w:space="0" w:color="auto"/>
            </w:tcBorders>
          </w:tcPr>
          <w:p w14:paraId="4F9F8521"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(455)</w:t>
            </w:r>
          </w:p>
        </w:tc>
        <w:tc>
          <w:tcPr>
            <w:tcW w:w="766" w:type="dxa"/>
            <w:tcBorders>
              <w:top w:val="single" w:sz="6" w:space="0" w:color="auto"/>
              <w:bottom w:val="single" w:sz="12" w:space="0" w:color="auto"/>
            </w:tcBorders>
          </w:tcPr>
          <w:p w14:paraId="35C31975" w14:textId="77777777" w:rsidR="00C424E5" w:rsidRDefault="00C424E5">
            <w:pPr>
              <w:cnfStyle w:val="000000000000" w:firstRow="0" w:lastRow="0" w:firstColumn="0" w:lastColumn="0" w:oddVBand="0" w:evenVBand="0" w:oddHBand="0" w:evenHBand="0" w:firstRowFirstColumn="0" w:firstRowLastColumn="0" w:lastRowFirstColumn="0" w:lastRowLastColumn="0"/>
            </w:pPr>
            <w:r>
              <w:rPr>
                <w:b/>
              </w:rPr>
              <w:t>(419)</w:t>
            </w:r>
          </w:p>
        </w:tc>
        <w:tc>
          <w:tcPr>
            <w:tcW w:w="767" w:type="dxa"/>
            <w:tcBorders>
              <w:top w:val="single" w:sz="6" w:space="0" w:color="auto"/>
              <w:bottom w:val="single" w:sz="12" w:space="0" w:color="auto"/>
            </w:tcBorders>
          </w:tcPr>
          <w:p w14:paraId="18B46883" w14:textId="4E957300" w:rsidR="00C424E5" w:rsidRDefault="00C424E5">
            <w:pPr>
              <w:cnfStyle w:val="000000000000" w:firstRow="0" w:lastRow="0" w:firstColumn="0" w:lastColumn="0" w:oddVBand="0" w:evenVBand="0" w:oddHBand="0" w:evenHBand="0" w:firstRowFirstColumn="0" w:firstRowLastColumn="0" w:lastRowFirstColumn="0" w:lastRowLastColumn="0"/>
            </w:pPr>
            <w:r>
              <w:rPr>
                <w:b/>
              </w:rPr>
              <w:t>(408)</w:t>
            </w:r>
          </w:p>
        </w:tc>
      </w:tr>
    </w:tbl>
    <w:p w14:paraId="6FD4529D" w14:textId="77777777" w:rsidR="00C424E5" w:rsidRDefault="00C424E5" w:rsidP="006206EF"/>
    <w:p w14:paraId="3F72482C" w14:textId="77777777" w:rsidR="00C424E5" w:rsidRPr="00F84EE1" w:rsidRDefault="00C424E5" w:rsidP="006206EF">
      <w:pPr>
        <w:pStyle w:val="Heading3"/>
        <w:pageBreakBefore/>
      </w:pPr>
      <w:bookmarkStart w:id="86" w:name="_Toc496606683"/>
      <w:bookmarkStart w:id="87" w:name="_Toc117172506"/>
      <w:r w:rsidRPr="00F84EE1">
        <w:lastRenderedPageBreak/>
        <w:t xml:space="preserve">Reconciliation </w:t>
      </w:r>
      <w:r>
        <w:t>of</w:t>
      </w:r>
      <w:r w:rsidRPr="00F84EE1">
        <w:t xml:space="preserve"> Government Finance Statistics and Australian Accounting Standards</w:t>
      </w:r>
      <w:bookmarkEnd w:id="86"/>
      <w:bookmarkEnd w:id="87"/>
    </w:p>
    <w:p w14:paraId="1E4792A2" w14:textId="77777777" w:rsidR="00C424E5" w:rsidRDefault="00C424E5" w:rsidP="006206EF">
      <w:r w:rsidRPr="00563C12">
        <w:t>This financial report has been prepared on the basis of relevant AAS</w:t>
      </w:r>
      <w:r>
        <w:t>s</w:t>
      </w:r>
      <w:r w:rsidRPr="00563C12">
        <w:t xml:space="preserve">. This note outlines the key </w:t>
      </w:r>
      <w:r>
        <w:t xml:space="preserve">convergence </w:t>
      </w:r>
      <w:r w:rsidRPr="00563C12">
        <w:t xml:space="preserve">differences between the AAS and GFS reporting frameworks, to explain the relationship between the balances and aggregates presented in this financial report and the related balances and aggregates presented under the GFS reporting framework. </w:t>
      </w:r>
    </w:p>
    <w:p w14:paraId="3AD111BD" w14:textId="77777777" w:rsidR="00C424E5" w:rsidRDefault="00C424E5" w:rsidP="006206EF">
      <w:r>
        <w:t>GFS information enables policymakers and analysts to study developments in the financial operations, financial position and liquidity situation of governments based on consistent economic reporting rules and definitions.</w:t>
      </w:r>
    </w:p>
    <w:p w14:paraId="01A2650B" w14:textId="77777777" w:rsidR="00C424E5" w:rsidRDefault="00C424E5" w:rsidP="006206EF">
      <w:r>
        <w:t xml:space="preserve">AASB 1049 provides optional relief from the disclosure of reconciliations of key fiscal aggregates measured in accordance with the GFS where they differ from the key fiscal aggregates provided pursuant to this accounting standard. </w:t>
      </w:r>
    </w:p>
    <w:p w14:paraId="4E0B0141" w14:textId="77777777" w:rsidR="00C424E5" w:rsidRDefault="00C424E5" w:rsidP="006206EF">
      <w:r>
        <w:t xml:space="preserve">The State has adopted the optional relief, which requires an explanation of how each of the key fiscal aggregates required by AASB 1049 are calculated and how it differs from the corresponding key fiscal aggregate measured in accordance with the ABS GFS. </w:t>
      </w:r>
    </w:p>
    <w:p w14:paraId="173C058A" w14:textId="77777777" w:rsidR="00C424E5" w:rsidRDefault="00C424E5" w:rsidP="006206EF">
      <w:r>
        <w:t>The key fiscal aggregates below, as defined by AASB 1049, have convergence differences with the GFS:</w:t>
      </w:r>
    </w:p>
    <w:p w14:paraId="74AD45CA" w14:textId="77777777" w:rsidR="00C424E5" w:rsidRDefault="00C424E5" w:rsidP="006206EF">
      <w:pPr>
        <w:pStyle w:val="ListBullet"/>
      </w:pPr>
      <w:r w:rsidRPr="000070F7">
        <w:rPr>
          <w:b/>
          <w:bCs/>
        </w:rPr>
        <w:t>Cash surplus/deficit</w:t>
      </w:r>
      <w:r>
        <w:t xml:space="preserve"> represents the net cash flows from operating activities plus the net cash flows from investments in non-financial assets (less dividends paid for the PNFC and PFC sectors).</w:t>
      </w:r>
    </w:p>
    <w:p w14:paraId="365B3B3D" w14:textId="77777777" w:rsidR="00C424E5" w:rsidRDefault="00C424E5" w:rsidP="006206EF">
      <w:pPr>
        <w:pStyle w:val="ListBullet"/>
      </w:pPr>
      <w:r w:rsidRPr="000070F7">
        <w:rPr>
          <w:b/>
          <w:bCs/>
        </w:rPr>
        <w:t>Comprehensive result – total change in net worth</w:t>
      </w:r>
      <w:r>
        <w:t xml:space="preserve"> is the amount included in the operating statement representing the total change in net worth other than transactions with owners as owners.</w:t>
      </w:r>
    </w:p>
    <w:p w14:paraId="64FC5984" w14:textId="77777777" w:rsidR="00C424E5" w:rsidRDefault="00C424E5" w:rsidP="006206EF">
      <w:pPr>
        <w:pStyle w:val="ListBullet"/>
      </w:pPr>
      <w:r w:rsidRPr="000070F7">
        <w:rPr>
          <w:b/>
          <w:bCs/>
        </w:rPr>
        <w:t>Net lending/borrowing</w:t>
      </w:r>
      <w:r>
        <w:t xml:space="preserve"> is the financing requirement of government, calculated as the net operating balance less the net acquisition of non-financial assets. It also equals transactions in financial assets less transactions in liabilities. A positive result reflects a net lending position and a negative result reflects a net borrowing position.</w:t>
      </w:r>
    </w:p>
    <w:p w14:paraId="40030C4C" w14:textId="77777777" w:rsidR="00C424E5" w:rsidRDefault="00C424E5" w:rsidP="006206EF">
      <w:pPr>
        <w:pStyle w:val="ListBullet"/>
      </w:pPr>
      <w:r w:rsidRPr="000070F7">
        <w:rPr>
          <w:b/>
          <w:bCs/>
        </w:rPr>
        <w:t>Net result from transactions – net operating balance</w:t>
      </w:r>
      <w:r>
        <w:t xml:space="preserve"> is revenue from transactions minus expenses from transactions. It is a summary measure of the ongoing sustainability of operations. It excludes gains and losses resulting from changes in price levels and other changes in the volume of assets. It is the component of the change in net worth that is due to transactions and can be attributed directly to government policies.</w:t>
      </w:r>
    </w:p>
    <w:p w14:paraId="4FFB964D" w14:textId="77777777" w:rsidR="00C424E5" w:rsidRDefault="00C424E5" w:rsidP="006206EF">
      <w:pPr>
        <w:pStyle w:val="ListBullet"/>
      </w:pPr>
      <w:r w:rsidRPr="000070F7">
        <w:rPr>
          <w:b/>
          <w:bCs/>
        </w:rPr>
        <w:t>Net worth</w:t>
      </w:r>
      <w:r>
        <w:t xml:space="preserve"> is calculated as assets less liabilities, which is an economic measure of wealth.</w:t>
      </w:r>
    </w:p>
    <w:p w14:paraId="01C1E7E3" w14:textId="77777777" w:rsidR="00C424E5" w:rsidRDefault="00C424E5" w:rsidP="006206EF"/>
    <w:p w14:paraId="06E98FC3" w14:textId="77777777" w:rsidR="00C424E5" w:rsidRDefault="00C424E5" w:rsidP="006206EF">
      <w:pPr>
        <w:pageBreakBefore/>
        <w:spacing w:after="120"/>
      </w:pPr>
      <w:r>
        <w:lastRenderedPageBreak/>
        <w:t>The convergence differences between AASB 1049 and the GFS and their expected impacts applying GFS methodology are outlined in the following table.</w:t>
      </w:r>
    </w:p>
    <w:tbl>
      <w:tblPr>
        <w:tblStyle w:val="DTFTableText"/>
        <w:tblW w:w="0" w:type="auto"/>
        <w:tblLook w:val="06A0" w:firstRow="1" w:lastRow="0" w:firstColumn="1" w:lastColumn="0" w:noHBand="1" w:noVBand="1"/>
      </w:tblPr>
      <w:tblGrid>
        <w:gridCol w:w="1440"/>
        <w:gridCol w:w="2246"/>
        <w:gridCol w:w="1894"/>
        <w:gridCol w:w="2131"/>
      </w:tblGrid>
      <w:tr w:rsidR="00C424E5" w:rsidRPr="00295561" w14:paraId="5C9C1E95" w14:textId="77777777" w:rsidTr="00D0055F">
        <w:trPr>
          <w:cnfStyle w:val="100000000000" w:firstRow="1" w:lastRow="0" w:firstColumn="0" w:lastColumn="0" w:oddVBand="0" w:evenVBand="0" w:oddHBand="0" w:evenHBand="0" w:firstRowFirstColumn="0" w:firstRowLastColumn="0" w:lastRowFirstColumn="0" w:lastRowLastColumn="0"/>
          <w:tblHeader/>
        </w:trPr>
        <w:tc>
          <w:tcPr>
            <w:tcW w:w="1440" w:type="dxa"/>
          </w:tcPr>
          <w:p w14:paraId="493CEA55" w14:textId="77777777" w:rsidR="00C424E5" w:rsidRPr="00295561" w:rsidRDefault="00C424E5" w:rsidP="00D0055F">
            <w:pPr>
              <w:autoSpaceDE w:val="0"/>
              <w:autoSpaceDN w:val="0"/>
              <w:adjustRightInd w:val="0"/>
              <w:spacing w:before="40" w:after="40"/>
              <w:rPr>
                <w:rFonts w:eastAsiaTheme="minorEastAsia" w:cs="Calibri"/>
                <w:iCs/>
                <w:szCs w:val="17"/>
                <w:lang w:eastAsia="en-AU"/>
              </w:rPr>
            </w:pPr>
            <w:r w:rsidRPr="00295561">
              <w:rPr>
                <w:rFonts w:eastAsiaTheme="minorEastAsia" w:cs="Calibri"/>
                <w:iCs/>
                <w:szCs w:val="17"/>
                <w:lang w:eastAsia="en-AU"/>
              </w:rPr>
              <w:t>Convergence difference</w:t>
            </w:r>
          </w:p>
        </w:tc>
        <w:tc>
          <w:tcPr>
            <w:tcW w:w="2246" w:type="dxa"/>
            <w:vAlign w:val="bottom"/>
          </w:tcPr>
          <w:p w14:paraId="40F69C15" w14:textId="77777777" w:rsidR="00C424E5" w:rsidRPr="00295561" w:rsidRDefault="00C424E5" w:rsidP="00D0055F">
            <w:pPr>
              <w:autoSpaceDE w:val="0"/>
              <w:autoSpaceDN w:val="0"/>
              <w:adjustRightInd w:val="0"/>
              <w:spacing w:before="40" w:after="40"/>
              <w:rPr>
                <w:rFonts w:eastAsiaTheme="minorEastAsia" w:cs="Calibri"/>
                <w:iCs/>
                <w:szCs w:val="17"/>
                <w:lang w:eastAsia="en-AU"/>
              </w:rPr>
            </w:pPr>
            <w:r w:rsidRPr="00295561">
              <w:rPr>
                <w:rFonts w:eastAsiaTheme="minorEastAsia" w:cs="Calibri"/>
                <w:iCs/>
                <w:szCs w:val="17"/>
                <w:lang w:eastAsia="en-AU"/>
              </w:rPr>
              <w:t xml:space="preserve">AASB 1049 </w:t>
            </w:r>
            <w:r>
              <w:rPr>
                <w:rFonts w:eastAsiaTheme="minorEastAsia" w:cs="Calibri"/>
                <w:iCs/>
                <w:szCs w:val="17"/>
                <w:lang w:eastAsia="en-AU"/>
              </w:rPr>
              <w:t>t</w:t>
            </w:r>
            <w:r w:rsidRPr="00295561">
              <w:rPr>
                <w:rFonts w:eastAsiaTheme="minorEastAsia" w:cs="Calibri"/>
                <w:iCs/>
                <w:szCs w:val="17"/>
                <w:lang w:eastAsia="en-AU"/>
              </w:rPr>
              <w:t>reatment</w:t>
            </w:r>
          </w:p>
        </w:tc>
        <w:tc>
          <w:tcPr>
            <w:tcW w:w="1894" w:type="dxa"/>
            <w:vAlign w:val="bottom"/>
          </w:tcPr>
          <w:p w14:paraId="4FCE9AAF" w14:textId="77777777" w:rsidR="00C424E5" w:rsidRPr="00295561" w:rsidRDefault="00C424E5" w:rsidP="00D0055F">
            <w:pPr>
              <w:autoSpaceDE w:val="0"/>
              <w:autoSpaceDN w:val="0"/>
              <w:adjustRightInd w:val="0"/>
              <w:spacing w:before="40" w:after="40"/>
              <w:rPr>
                <w:rFonts w:eastAsiaTheme="minorEastAsia" w:cs="Calibri"/>
                <w:iCs/>
                <w:szCs w:val="17"/>
                <w:lang w:eastAsia="en-AU"/>
              </w:rPr>
            </w:pPr>
            <w:r w:rsidRPr="00295561">
              <w:rPr>
                <w:rFonts w:eastAsiaTheme="minorEastAsia" w:cs="Calibri"/>
                <w:iCs/>
                <w:szCs w:val="17"/>
                <w:lang w:eastAsia="en-AU"/>
              </w:rPr>
              <w:t xml:space="preserve">ABS GFS </w:t>
            </w:r>
            <w:r>
              <w:rPr>
                <w:rFonts w:eastAsiaTheme="minorEastAsia" w:cs="Calibri"/>
                <w:iCs/>
                <w:szCs w:val="17"/>
                <w:lang w:eastAsia="en-AU"/>
              </w:rPr>
              <w:t>t</w:t>
            </w:r>
            <w:r w:rsidRPr="00295561">
              <w:rPr>
                <w:rFonts w:eastAsiaTheme="minorEastAsia" w:cs="Calibri"/>
                <w:iCs/>
                <w:szCs w:val="17"/>
                <w:lang w:eastAsia="en-AU"/>
              </w:rPr>
              <w:t>reatment</w:t>
            </w:r>
          </w:p>
        </w:tc>
        <w:tc>
          <w:tcPr>
            <w:tcW w:w="2131" w:type="dxa"/>
            <w:vAlign w:val="bottom"/>
          </w:tcPr>
          <w:p w14:paraId="4411093C" w14:textId="77777777" w:rsidR="00C424E5" w:rsidRPr="00295561" w:rsidRDefault="00C424E5" w:rsidP="00D0055F">
            <w:pPr>
              <w:autoSpaceDE w:val="0"/>
              <w:autoSpaceDN w:val="0"/>
              <w:adjustRightInd w:val="0"/>
              <w:spacing w:before="40" w:after="40"/>
              <w:rPr>
                <w:rFonts w:eastAsiaTheme="minorEastAsia" w:cs="Calibri"/>
                <w:iCs/>
                <w:szCs w:val="17"/>
                <w:lang w:eastAsia="en-AU"/>
              </w:rPr>
            </w:pPr>
            <w:r w:rsidRPr="00295561">
              <w:rPr>
                <w:rFonts w:eastAsiaTheme="minorEastAsia" w:cs="Calibri"/>
                <w:iCs/>
                <w:szCs w:val="17"/>
                <w:lang w:eastAsia="en-AU"/>
              </w:rPr>
              <w:t>Fiscal aggregate impact</w:t>
            </w:r>
          </w:p>
        </w:tc>
      </w:tr>
      <w:tr w:rsidR="00C424E5" w:rsidRPr="00295561" w14:paraId="0D4F2104" w14:textId="77777777" w:rsidTr="00D0055F">
        <w:tc>
          <w:tcPr>
            <w:tcW w:w="0" w:type="auto"/>
            <w:gridSpan w:val="4"/>
            <w:tcBorders>
              <w:bottom w:val="nil"/>
            </w:tcBorders>
            <w:shd w:val="clear" w:color="auto" w:fill="D9D9D9" w:themeFill="background1" w:themeFillShade="D9"/>
          </w:tcPr>
          <w:p w14:paraId="6C4E2786" w14:textId="77777777" w:rsidR="00C424E5" w:rsidRPr="00295561" w:rsidRDefault="00C424E5" w:rsidP="00D0055F">
            <w:pPr>
              <w:keepNext/>
              <w:spacing w:before="40" w:after="40"/>
              <w:rPr>
                <w:szCs w:val="17"/>
                <w:lang w:eastAsia="en-AU"/>
              </w:rPr>
            </w:pPr>
            <w:r w:rsidRPr="00295561">
              <w:rPr>
                <w:b/>
                <w:bCs/>
                <w:szCs w:val="17"/>
                <w:lang w:eastAsia="en-AU"/>
              </w:rPr>
              <w:t xml:space="preserve">AASB 16 </w:t>
            </w:r>
            <w:r w:rsidRPr="00295561">
              <w:rPr>
                <w:b/>
                <w:bCs/>
                <w:i/>
                <w:iCs/>
                <w:szCs w:val="17"/>
                <w:lang w:eastAsia="en-AU"/>
              </w:rPr>
              <w:t>Leases</w:t>
            </w:r>
          </w:p>
        </w:tc>
      </w:tr>
      <w:tr w:rsidR="00C424E5" w:rsidRPr="00295561" w14:paraId="189487F5" w14:textId="77777777" w:rsidTr="00D0055F">
        <w:tc>
          <w:tcPr>
            <w:tcW w:w="1440" w:type="dxa"/>
            <w:tcBorders>
              <w:top w:val="nil"/>
              <w:bottom w:val="nil"/>
            </w:tcBorders>
          </w:tcPr>
          <w:p w14:paraId="2FB24822" w14:textId="77777777" w:rsidR="00C424E5" w:rsidRPr="00295561" w:rsidRDefault="00C424E5" w:rsidP="00D0055F">
            <w:pPr>
              <w:spacing w:after="0"/>
              <w:rPr>
                <w:szCs w:val="17"/>
                <w:lang w:eastAsia="en-AU"/>
              </w:rPr>
            </w:pPr>
          </w:p>
        </w:tc>
        <w:tc>
          <w:tcPr>
            <w:tcW w:w="2246" w:type="dxa"/>
            <w:tcBorders>
              <w:top w:val="nil"/>
              <w:bottom w:val="nil"/>
            </w:tcBorders>
          </w:tcPr>
          <w:p w14:paraId="6586043C" w14:textId="77777777" w:rsidR="00C424E5" w:rsidRPr="00295561" w:rsidRDefault="00C424E5" w:rsidP="00D0055F">
            <w:pPr>
              <w:spacing w:after="0"/>
              <w:rPr>
                <w:szCs w:val="17"/>
                <w:lang w:eastAsia="en-AU"/>
              </w:rPr>
            </w:pPr>
            <w:r w:rsidRPr="00295561">
              <w:rPr>
                <w:szCs w:val="17"/>
                <w:lang w:eastAsia="en-AU"/>
              </w:rPr>
              <w:t xml:space="preserve">Operating leases are recognised on the balance sheet under AASB 16 </w:t>
            </w:r>
            <w:r w:rsidRPr="00295561">
              <w:rPr>
                <w:i/>
                <w:iCs/>
                <w:szCs w:val="17"/>
                <w:lang w:eastAsia="en-AU"/>
              </w:rPr>
              <w:t>Leases</w:t>
            </w:r>
            <w:r w:rsidRPr="00295561">
              <w:rPr>
                <w:szCs w:val="17"/>
                <w:lang w:eastAsia="en-AU"/>
              </w:rPr>
              <w:t xml:space="preserve"> unless the lease is shorter than 12 months or where the underlying assets are worth less than $10</w:t>
            </w:r>
            <w:r>
              <w:rPr>
                <w:szCs w:val="17"/>
                <w:lang w:eastAsia="en-AU"/>
              </w:rPr>
              <w:t> </w:t>
            </w:r>
            <w:r w:rsidRPr="00295561">
              <w:rPr>
                <w:szCs w:val="17"/>
                <w:lang w:eastAsia="en-AU"/>
              </w:rPr>
              <w:t>000.</w:t>
            </w:r>
          </w:p>
        </w:tc>
        <w:tc>
          <w:tcPr>
            <w:tcW w:w="1894" w:type="dxa"/>
            <w:tcBorders>
              <w:top w:val="nil"/>
              <w:bottom w:val="nil"/>
            </w:tcBorders>
          </w:tcPr>
          <w:p w14:paraId="615D615D" w14:textId="77777777" w:rsidR="00C424E5" w:rsidRPr="00295561" w:rsidRDefault="00C424E5" w:rsidP="00D0055F">
            <w:pPr>
              <w:spacing w:after="0"/>
              <w:rPr>
                <w:szCs w:val="17"/>
                <w:lang w:eastAsia="en-AU"/>
              </w:rPr>
            </w:pPr>
            <w:r>
              <w:rPr>
                <w:szCs w:val="17"/>
                <w:lang w:eastAsia="en-AU"/>
              </w:rPr>
              <w:t>O</w:t>
            </w:r>
            <w:r w:rsidRPr="00295561">
              <w:rPr>
                <w:szCs w:val="17"/>
                <w:lang w:eastAsia="en-AU"/>
              </w:rPr>
              <w:t>perating leases are not recognised on the balance sheet.</w:t>
            </w:r>
          </w:p>
        </w:tc>
        <w:tc>
          <w:tcPr>
            <w:tcW w:w="2131" w:type="dxa"/>
            <w:tcBorders>
              <w:top w:val="nil"/>
              <w:bottom w:val="nil"/>
            </w:tcBorders>
          </w:tcPr>
          <w:p w14:paraId="566D1862" w14:textId="77777777" w:rsidR="00C424E5" w:rsidRPr="00295561" w:rsidRDefault="00C424E5" w:rsidP="006206EF">
            <w:pPr>
              <w:pStyle w:val="ListParagraph"/>
              <w:numPr>
                <w:ilvl w:val="0"/>
                <w:numId w:val="28"/>
              </w:numPr>
              <w:spacing w:after="0"/>
              <w:ind w:left="234" w:hanging="234"/>
              <w:rPr>
                <w:szCs w:val="17"/>
                <w:lang w:eastAsia="en-AU"/>
              </w:rPr>
            </w:pPr>
            <w:r w:rsidRPr="00295561">
              <w:rPr>
                <w:szCs w:val="17"/>
                <w:lang w:eastAsia="en-AU"/>
              </w:rPr>
              <w:t>Cash surplus/ deficit</w:t>
            </w:r>
          </w:p>
          <w:p w14:paraId="324D3B26" w14:textId="77777777" w:rsidR="00C424E5" w:rsidRPr="00295561" w:rsidRDefault="00C424E5" w:rsidP="006206EF">
            <w:pPr>
              <w:pStyle w:val="ListParagraph"/>
              <w:numPr>
                <w:ilvl w:val="0"/>
                <w:numId w:val="28"/>
              </w:numPr>
              <w:spacing w:after="0"/>
              <w:ind w:left="234" w:hanging="234"/>
              <w:rPr>
                <w:szCs w:val="17"/>
                <w:lang w:eastAsia="en-AU"/>
              </w:rPr>
            </w:pPr>
            <w:r w:rsidRPr="00295561">
              <w:rPr>
                <w:szCs w:val="17"/>
                <w:lang w:eastAsia="en-AU"/>
              </w:rPr>
              <w:t>Comprehensive result – total change in net worth</w:t>
            </w:r>
          </w:p>
          <w:p w14:paraId="57E2E896" w14:textId="77777777" w:rsidR="00C424E5" w:rsidRPr="00295561" w:rsidRDefault="00C424E5" w:rsidP="006206EF">
            <w:pPr>
              <w:pStyle w:val="ListParagraph"/>
              <w:numPr>
                <w:ilvl w:val="0"/>
                <w:numId w:val="28"/>
              </w:numPr>
              <w:spacing w:after="0"/>
              <w:ind w:left="234" w:hanging="234"/>
              <w:rPr>
                <w:szCs w:val="17"/>
                <w:lang w:eastAsia="en-AU"/>
              </w:rPr>
            </w:pPr>
            <w:r w:rsidRPr="00295561">
              <w:rPr>
                <w:szCs w:val="17"/>
                <w:lang w:eastAsia="en-AU"/>
              </w:rPr>
              <w:t xml:space="preserve">Net lending/ borrowing </w:t>
            </w:r>
          </w:p>
          <w:p w14:paraId="37019CC8" w14:textId="77777777" w:rsidR="00C424E5" w:rsidRPr="00295561" w:rsidRDefault="00C424E5" w:rsidP="006206EF">
            <w:pPr>
              <w:pStyle w:val="ListParagraph"/>
              <w:numPr>
                <w:ilvl w:val="0"/>
                <w:numId w:val="28"/>
              </w:numPr>
              <w:spacing w:after="0"/>
              <w:ind w:left="234" w:hanging="234"/>
              <w:rPr>
                <w:szCs w:val="17"/>
                <w:lang w:eastAsia="en-AU"/>
              </w:rPr>
            </w:pPr>
            <w:r w:rsidRPr="00295561">
              <w:rPr>
                <w:szCs w:val="17"/>
                <w:lang w:eastAsia="en-AU"/>
              </w:rPr>
              <w:t xml:space="preserve">Net result from transactions – net operating balance </w:t>
            </w:r>
          </w:p>
          <w:p w14:paraId="53E879C6" w14:textId="77777777" w:rsidR="00C424E5" w:rsidRPr="00295561" w:rsidRDefault="00C424E5" w:rsidP="006206EF">
            <w:pPr>
              <w:pStyle w:val="ListParagraph"/>
              <w:numPr>
                <w:ilvl w:val="0"/>
                <w:numId w:val="28"/>
              </w:numPr>
              <w:spacing w:before="120"/>
              <w:ind w:left="232" w:hanging="232"/>
              <w:rPr>
                <w:szCs w:val="17"/>
                <w:lang w:eastAsia="en-AU"/>
              </w:rPr>
            </w:pPr>
            <w:r w:rsidRPr="00295561">
              <w:rPr>
                <w:szCs w:val="17"/>
                <w:lang w:eastAsia="en-AU"/>
              </w:rPr>
              <w:t>Net worth</w:t>
            </w:r>
          </w:p>
        </w:tc>
      </w:tr>
      <w:tr w:rsidR="00C424E5" w:rsidRPr="00295561" w14:paraId="03702F4F" w14:textId="77777777" w:rsidTr="00D0055F">
        <w:tc>
          <w:tcPr>
            <w:tcW w:w="0" w:type="auto"/>
            <w:gridSpan w:val="4"/>
            <w:tcBorders>
              <w:bottom w:val="nil"/>
            </w:tcBorders>
            <w:shd w:val="clear" w:color="auto" w:fill="D9D9D9" w:themeFill="background1" w:themeFillShade="D9"/>
          </w:tcPr>
          <w:p w14:paraId="1530927B" w14:textId="77777777" w:rsidR="00C424E5" w:rsidRPr="00295561" w:rsidRDefault="00C424E5" w:rsidP="00D0055F">
            <w:pPr>
              <w:spacing w:before="40" w:after="40"/>
              <w:rPr>
                <w:b/>
                <w:bCs/>
                <w:szCs w:val="17"/>
                <w:lang w:eastAsia="en-AU"/>
              </w:rPr>
            </w:pPr>
            <w:r w:rsidRPr="00295561">
              <w:rPr>
                <w:b/>
                <w:bCs/>
                <w:szCs w:val="17"/>
                <w:lang w:eastAsia="en-AU"/>
              </w:rPr>
              <w:t xml:space="preserve">AASB 1059 </w:t>
            </w:r>
            <w:r w:rsidRPr="00295561">
              <w:rPr>
                <w:b/>
                <w:bCs/>
                <w:i/>
                <w:iCs/>
                <w:szCs w:val="17"/>
                <w:lang w:eastAsia="en-AU"/>
              </w:rPr>
              <w:t>Service concession arrangements</w:t>
            </w:r>
          </w:p>
        </w:tc>
      </w:tr>
      <w:tr w:rsidR="00C424E5" w:rsidRPr="00295561" w14:paraId="505104F0" w14:textId="77777777" w:rsidTr="00D0055F">
        <w:tc>
          <w:tcPr>
            <w:tcW w:w="1440" w:type="dxa"/>
            <w:tcBorders>
              <w:top w:val="nil"/>
              <w:bottom w:val="nil"/>
            </w:tcBorders>
          </w:tcPr>
          <w:p w14:paraId="01D3AD24" w14:textId="77777777" w:rsidR="00C424E5" w:rsidRPr="00295561" w:rsidRDefault="00C424E5" w:rsidP="00D0055F">
            <w:pPr>
              <w:spacing w:after="0"/>
              <w:rPr>
                <w:szCs w:val="17"/>
                <w:lang w:eastAsia="en-AU"/>
              </w:rPr>
            </w:pPr>
          </w:p>
        </w:tc>
        <w:tc>
          <w:tcPr>
            <w:tcW w:w="2246" w:type="dxa"/>
            <w:tcBorders>
              <w:top w:val="nil"/>
              <w:bottom w:val="nil"/>
            </w:tcBorders>
          </w:tcPr>
          <w:p w14:paraId="30A5DD79" w14:textId="77777777" w:rsidR="00C424E5" w:rsidRPr="00295561" w:rsidRDefault="00C424E5" w:rsidP="00D0055F">
            <w:pPr>
              <w:spacing w:after="0"/>
              <w:rPr>
                <w:szCs w:val="17"/>
                <w:lang w:eastAsia="en-AU"/>
              </w:rPr>
            </w:pPr>
            <w:r w:rsidRPr="00295561">
              <w:rPr>
                <w:szCs w:val="17"/>
                <w:lang w:eastAsia="en-AU"/>
              </w:rPr>
              <w:t>Economic service concession arrangements, such as toll roads, are recognised on the State</w:t>
            </w:r>
            <w:r>
              <w:rPr>
                <w:szCs w:val="17"/>
                <w:lang w:eastAsia="en-AU"/>
              </w:rPr>
              <w:t>’</w:t>
            </w:r>
            <w:r w:rsidRPr="00295561">
              <w:rPr>
                <w:szCs w:val="17"/>
                <w:lang w:eastAsia="en-AU"/>
              </w:rPr>
              <w:t>s balance sheet under AASB</w:t>
            </w:r>
            <w:r>
              <w:rPr>
                <w:szCs w:val="17"/>
                <w:lang w:eastAsia="en-AU"/>
              </w:rPr>
              <w:t> </w:t>
            </w:r>
            <w:r w:rsidRPr="00295561">
              <w:rPr>
                <w:szCs w:val="17"/>
                <w:lang w:eastAsia="en-AU"/>
              </w:rPr>
              <w:t xml:space="preserve">1059 </w:t>
            </w:r>
            <w:r w:rsidRPr="00295561">
              <w:rPr>
                <w:i/>
                <w:iCs/>
                <w:szCs w:val="17"/>
                <w:lang w:eastAsia="en-AU"/>
              </w:rPr>
              <w:t>Service Concession Arrangements: Grantors</w:t>
            </w:r>
            <w:r w:rsidRPr="00295561">
              <w:rPr>
                <w:szCs w:val="17"/>
                <w:lang w:eastAsia="en-AU"/>
              </w:rPr>
              <w:t>.</w:t>
            </w:r>
          </w:p>
        </w:tc>
        <w:tc>
          <w:tcPr>
            <w:tcW w:w="1894" w:type="dxa"/>
            <w:tcBorders>
              <w:top w:val="nil"/>
              <w:bottom w:val="nil"/>
            </w:tcBorders>
          </w:tcPr>
          <w:p w14:paraId="662E48EB" w14:textId="77777777" w:rsidR="00C424E5" w:rsidRPr="00295561" w:rsidRDefault="00C424E5" w:rsidP="00D0055F">
            <w:pPr>
              <w:spacing w:after="0"/>
              <w:rPr>
                <w:szCs w:val="17"/>
                <w:lang w:eastAsia="en-AU"/>
              </w:rPr>
            </w:pPr>
            <w:r>
              <w:rPr>
                <w:szCs w:val="17"/>
                <w:lang w:eastAsia="en-AU"/>
              </w:rPr>
              <w:t>E</w:t>
            </w:r>
            <w:r w:rsidRPr="00295561">
              <w:rPr>
                <w:szCs w:val="17"/>
                <w:lang w:eastAsia="en-AU"/>
              </w:rPr>
              <w:t>conomic service concession arrangements, such as toll roads, are not recognised on the balance sheet.</w:t>
            </w:r>
          </w:p>
        </w:tc>
        <w:tc>
          <w:tcPr>
            <w:tcW w:w="2131" w:type="dxa"/>
            <w:tcBorders>
              <w:top w:val="nil"/>
              <w:bottom w:val="nil"/>
            </w:tcBorders>
          </w:tcPr>
          <w:p w14:paraId="18B047AD" w14:textId="77777777" w:rsidR="00C424E5" w:rsidRPr="00295561" w:rsidRDefault="00C424E5" w:rsidP="006206EF">
            <w:pPr>
              <w:pStyle w:val="ListParagraph"/>
              <w:numPr>
                <w:ilvl w:val="0"/>
                <w:numId w:val="28"/>
              </w:numPr>
              <w:spacing w:after="0"/>
              <w:ind w:left="234" w:hanging="234"/>
              <w:rPr>
                <w:szCs w:val="17"/>
                <w:lang w:eastAsia="en-AU"/>
              </w:rPr>
            </w:pPr>
            <w:r w:rsidRPr="00295561">
              <w:rPr>
                <w:szCs w:val="17"/>
                <w:lang w:eastAsia="en-AU"/>
              </w:rPr>
              <w:t>Cash surplus/deficit</w:t>
            </w:r>
          </w:p>
          <w:p w14:paraId="3DBA6554" w14:textId="77777777" w:rsidR="00C424E5" w:rsidRPr="00295561" w:rsidRDefault="00C424E5" w:rsidP="006206EF">
            <w:pPr>
              <w:pStyle w:val="ListParagraph"/>
              <w:numPr>
                <w:ilvl w:val="0"/>
                <w:numId w:val="28"/>
              </w:numPr>
              <w:spacing w:after="0"/>
              <w:ind w:left="234" w:hanging="234"/>
              <w:rPr>
                <w:szCs w:val="17"/>
                <w:lang w:eastAsia="en-AU"/>
              </w:rPr>
            </w:pPr>
            <w:r w:rsidRPr="00295561">
              <w:rPr>
                <w:szCs w:val="17"/>
                <w:lang w:eastAsia="en-AU"/>
              </w:rPr>
              <w:t>Comprehensive result – total change in net worth</w:t>
            </w:r>
          </w:p>
          <w:p w14:paraId="32CE2B2C" w14:textId="77777777" w:rsidR="00C424E5" w:rsidRPr="00295561" w:rsidRDefault="00C424E5" w:rsidP="006206EF">
            <w:pPr>
              <w:pStyle w:val="ListParagraph"/>
              <w:numPr>
                <w:ilvl w:val="0"/>
                <w:numId w:val="28"/>
              </w:numPr>
              <w:spacing w:before="120" w:after="0"/>
              <w:ind w:left="234" w:hanging="234"/>
              <w:rPr>
                <w:b/>
                <w:bCs/>
                <w:szCs w:val="17"/>
                <w:lang w:eastAsia="en-AU"/>
              </w:rPr>
            </w:pPr>
            <w:r w:rsidRPr="00295561">
              <w:rPr>
                <w:szCs w:val="17"/>
                <w:lang w:eastAsia="en-AU"/>
              </w:rPr>
              <w:t>Net lending/</w:t>
            </w:r>
            <w:r>
              <w:rPr>
                <w:szCs w:val="17"/>
                <w:lang w:eastAsia="en-AU"/>
              </w:rPr>
              <w:t xml:space="preserve"> </w:t>
            </w:r>
            <w:r w:rsidRPr="00295561">
              <w:rPr>
                <w:szCs w:val="17"/>
                <w:lang w:eastAsia="en-AU"/>
              </w:rPr>
              <w:t xml:space="preserve">borrowing </w:t>
            </w:r>
          </w:p>
          <w:p w14:paraId="2A5B00CA" w14:textId="77777777" w:rsidR="00C424E5" w:rsidRPr="00295561" w:rsidRDefault="00C424E5" w:rsidP="006206EF">
            <w:pPr>
              <w:pStyle w:val="ListParagraph"/>
              <w:numPr>
                <w:ilvl w:val="0"/>
                <w:numId w:val="28"/>
              </w:numPr>
              <w:spacing w:before="120" w:after="0"/>
              <w:ind w:left="234" w:hanging="234"/>
              <w:rPr>
                <w:szCs w:val="17"/>
                <w:lang w:eastAsia="en-AU"/>
              </w:rPr>
            </w:pPr>
            <w:r w:rsidRPr="00295561">
              <w:rPr>
                <w:szCs w:val="17"/>
                <w:lang w:eastAsia="en-AU"/>
              </w:rPr>
              <w:t xml:space="preserve">Net result from transactions – </w:t>
            </w:r>
            <w:r>
              <w:rPr>
                <w:szCs w:val="17"/>
                <w:lang w:eastAsia="en-AU"/>
              </w:rPr>
              <w:br/>
            </w:r>
            <w:r w:rsidRPr="00295561">
              <w:rPr>
                <w:szCs w:val="17"/>
                <w:lang w:eastAsia="en-AU"/>
              </w:rPr>
              <w:t xml:space="preserve">net operating balance </w:t>
            </w:r>
          </w:p>
          <w:p w14:paraId="003A1C01" w14:textId="77777777" w:rsidR="00C424E5" w:rsidRPr="00295561" w:rsidRDefault="00C424E5" w:rsidP="006206EF">
            <w:pPr>
              <w:pStyle w:val="ListParagraph"/>
              <w:numPr>
                <w:ilvl w:val="0"/>
                <w:numId w:val="28"/>
              </w:numPr>
              <w:spacing w:before="120"/>
              <w:ind w:left="232" w:hanging="232"/>
              <w:rPr>
                <w:b/>
                <w:bCs/>
                <w:szCs w:val="17"/>
                <w:lang w:eastAsia="en-AU"/>
              </w:rPr>
            </w:pPr>
            <w:r w:rsidRPr="00295561">
              <w:rPr>
                <w:szCs w:val="17"/>
                <w:lang w:eastAsia="en-AU"/>
              </w:rPr>
              <w:t>Net worth</w:t>
            </w:r>
          </w:p>
        </w:tc>
      </w:tr>
      <w:tr w:rsidR="00C424E5" w:rsidRPr="00295561" w14:paraId="19DDF562" w14:textId="77777777" w:rsidTr="00D0055F">
        <w:tc>
          <w:tcPr>
            <w:tcW w:w="0" w:type="auto"/>
            <w:gridSpan w:val="4"/>
            <w:tcBorders>
              <w:bottom w:val="nil"/>
            </w:tcBorders>
            <w:shd w:val="clear" w:color="auto" w:fill="D9D9D9" w:themeFill="background1" w:themeFillShade="D9"/>
          </w:tcPr>
          <w:p w14:paraId="4F375C55" w14:textId="77777777" w:rsidR="00C424E5" w:rsidRPr="00295561" w:rsidRDefault="00C424E5" w:rsidP="00D0055F">
            <w:pPr>
              <w:keepNext/>
              <w:spacing w:before="40" w:after="40"/>
              <w:rPr>
                <w:szCs w:val="17"/>
                <w:lang w:eastAsia="en-AU"/>
              </w:rPr>
            </w:pPr>
            <w:r w:rsidRPr="00295561">
              <w:rPr>
                <w:b/>
                <w:bCs/>
                <w:szCs w:val="17"/>
                <w:lang w:eastAsia="en-AU"/>
              </w:rPr>
              <w:t xml:space="preserve">AASB 15 </w:t>
            </w:r>
            <w:r w:rsidRPr="00295561">
              <w:rPr>
                <w:b/>
                <w:bCs/>
                <w:i/>
                <w:iCs/>
                <w:szCs w:val="17"/>
                <w:lang w:eastAsia="en-AU"/>
              </w:rPr>
              <w:t>Revenue from Contracts with Customers</w:t>
            </w:r>
            <w:r w:rsidRPr="00295561">
              <w:rPr>
                <w:b/>
                <w:bCs/>
                <w:szCs w:val="17"/>
                <w:lang w:eastAsia="en-AU"/>
              </w:rPr>
              <w:t xml:space="preserve"> and AASB 1058 </w:t>
            </w:r>
            <w:r w:rsidRPr="00295561">
              <w:rPr>
                <w:b/>
                <w:bCs/>
                <w:i/>
                <w:iCs/>
                <w:szCs w:val="17"/>
                <w:lang w:eastAsia="en-AU"/>
              </w:rPr>
              <w:t>Income of Not-for-Profit Entities</w:t>
            </w:r>
          </w:p>
        </w:tc>
      </w:tr>
      <w:tr w:rsidR="00C424E5" w:rsidRPr="00295561" w14:paraId="19271721" w14:textId="77777777" w:rsidTr="00D0055F">
        <w:tc>
          <w:tcPr>
            <w:tcW w:w="1440" w:type="dxa"/>
            <w:tcBorders>
              <w:top w:val="nil"/>
              <w:bottom w:val="single" w:sz="6" w:space="0" w:color="auto"/>
            </w:tcBorders>
          </w:tcPr>
          <w:p w14:paraId="731B7588" w14:textId="77777777" w:rsidR="00C424E5" w:rsidRPr="00295561" w:rsidRDefault="00C424E5" w:rsidP="00D0055F">
            <w:pPr>
              <w:spacing w:after="0"/>
              <w:rPr>
                <w:szCs w:val="17"/>
                <w:lang w:eastAsia="en-AU"/>
              </w:rPr>
            </w:pPr>
          </w:p>
        </w:tc>
        <w:tc>
          <w:tcPr>
            <w:tcW w:w="2246" w:type="dxa"/>
            <w:tcBorders>
              <w:top w:val="nil"/>
              <w:bottom w:val="single" w:sz="6" w:space="0" w:color="auto"/>
            </w:tcBorders>
          </w:tcPr>
          <w:p w14:paraId="7F78E6CD" w14:textId="77777777" w:rsidR="00C424E5" w:rsidRPr="00295561" w:rsidRDefault="00C424E5" w:rsidP="00D0055F">
            <w:pPr>
              <w:spacing w:after="0"/>
              <w:rPr>
                <w:szCs w:val="17"/>
                <w:lang w:eastAsia="en-AU"/>
              </w:rPr>
            </w:pPr>
            <w:r w:rsidRPr="00295561">
              <w:rPr>
                <w:szCs w:val="17"/>
                <w:lang w:eastAsia="en-AU"/>
              </w:rPr>
              <w:t xml:space="preserve">Deferral of revenue recognition, such as where performance obligations </w:t>
            </w:r>
            <w:r>
              <w:rPr>
                <w:szCs w:val="17"/>
                <w:lang w:eastAsia="en-AU"/>
              </w:rPr>
              <w:t xml:space="preserve">have not been satisfied, or </w:t>
            </w:r>
            <w:r w:rsidRPr="00295561">
              <w:rPr>
                <w:szCs w:val="17"/>
                <w:lang w:eastAsia="en-AU"/>
              </w:rPr>
              <w:t>for capital grants from the Commonwealth Government, is a requirement under AASB</w:t>
            </w:r>
            <w:r>
              <w:rPr>
                <w:szCs w:val="17"/>
                <w:lang w:eastAsia="en-AU"/>
              </w:rPr>
              <w:t> </w:t>
            </w:r>
            <w:r w:rsidRPr="00295561">
              <w:rPr>
                <w:szCs w:val="17"/>
                <w:lang w:eastAsia="en-AU"/>
              </w:rPr>
              <w:t>15 and AASB 1058.</w:t>
            </w:r>
          </w:p>
        </w:tc>
        <w:tc>
          <w:tcPr>
            <w:tcW w:w="1894" w:type="dxa"/>
            <w:tcBorders>
              <w:top w:val="nil"/>
              <w:bottom w:val="single" w:sz="6" w:space="0" w:color="auto"/>
            </w:tcBorders>
          </w:tcPr>
          <w:p w14:paraId="5C3B452D" w14:textId="77777777" w:rsidR="00C424E5" w:rsidRPr="00295561" w:rsidRDefault="00C424E5" w:rsidP="00D0055F">
            <w:pPr>
              <w:rPr>
                <w:szCs w:val="17"/>
                <w:lang w:eastAsia="en-AU"/>
              </w:rPr>
            </w:pPr>
            <w:r>
              <w:rPr>
                <w:szCs w:val="17"/>
                <w:lang w:eastAsia="en-AU"/>
              </w:rPr>
              <w:t>D</w:t>
            </w:r>
            <w:r w:rsidRPr="00295561">
              <w:rPr>
                <w:szCs w:val="17"/>
                <w:lang w:eastAsia="en-AU"/>
              </w:rPr>
              <w:t xml:space="preserve">eferral of revenue recognition, such as where performance obligations </w:t>
            </w:r>
            <w:r>
              <w:rPr>
                <w:szCs w:val="17"/>
                <w:lang w:eastAsia="en-AU"/>
              </w:rPr>
              <w:t>have not been satisfied, or</w:t>
            </w:r>
            <w:r w:rsidRPr="00295561">
              <w:rPr>
                <w:szCs w:val="17"/>
                <w:lang w:eastAsia="en-AU"/>
              </w:rPr>
              <w:t xml:space="preserve"> for capital grants from the Commonwealth Government, is not recognised. This timing difference is expected to impact all the key fiscal aggregates. While it is expected that there will not be a net change to the fiscal aggregates over time, there will be convergence differences in any given year.</w:t>
            </w:r>
          </w:p>
        </w:tc>
        <w:tc>
          <w:tcPr>
            <w:tcW w:w="2131" w:type="dxa"/>
            <w:tcBorders>
              <w:top w:val="nil"/>
              <w:bottom w:val="single" w:sz="6" w:space="0" w:color="auto"/>
            </w:tcBorders>
          </w:tcPr>
          <w:p w14:paraId="68D9AF2E" w14:textId="77777777" w:rsidR="00C424E5" w:rsidRPr="00295561" w:rsidRDefault="00C424E5" w:rsidP="006206EF">
            <w:pPr>
              <w:pStyle w:val="ListParagraph"/>
              <w:numPr>
                <w:ilvl w:val="0"/>
                <w:numId w:val="28"/>
              </w:numPr>
              <w:spacing w:after="0"/>
              <w:ind w:left="232" w:hanging="232"/>
              <w:rPr>
                <w:szCs w:val="17"/>
                <w:lang w:eastAsia="en-AU"/>
              </w:rPr>
            </w:pPr>
            <w:r w:rsidRPr="00295561">
              <w:rPr>
                <w:szCs w:val="17"/>
                <w:lang w:eastAsia="en-AU"/>
              </w:rPr>
              <w:t>Cash surplus/deficit</w:t>
            </w:r>
          </w:p>
          <w:p w14:paraId="02225DC4" w14:textId="77777777" w:rsidR="00C424E5" w:rsidRPr="00295561" w:rsidRDefault="00C424E5" w:rsidP="006206EF">
            <w:pPr>
              <w:pStyle w:val="ListParagraph"/>
              <w:numPr>
                <w:ilvl w:val="0"/>
                <w:numId w:val="28"/>
              </w:numPr>
              <w:spacing w:before="120" w:after="0"/>
              <w:ind w:left="234" w:hanging="234"/>
              <w:rPr>
                <w:szCs w:val="17"/>
                <w:lang w:eastAsia="en-AU"/>
              </w:rPr>
            </w:pPr>
            <w:r w:rsidRPr="00295561">
              <w:rPr>
                <w:szCs w:val="17"/>
                <w:lang w:eastAsia="en-AU"/>
              </w:rPr>
              <w:t>Comprehensive result – total change in net worth</w:t>
            </w:r>
          </w:p>
          <w:p w14:paraId="7B73EAD0" w14:textId="77777777" w:rsidR="00C424E5" w:rsidRPr="00295561" w:rsidRDefault="00C424E5" w:rsidP="006206EF">
            <w:pPr>
              <w:pStyle w:val="ListParagraph"/>
              <w:numPr>
                <w:ilvl w:val="0"/>
                <w:numId w:val="28"/>
              </w:numPr>
              <w:spacing w:before="120" w:after="0"/>
              <w:ind w:left="234" w:hanging="234"/>
              <w:rPr>
                <w:szCs w:val="17"/>
                <w:lang w:eastAsia="en-AU"/>
              </w:rPr>
            </w:pPr>
            <w:r w:rsidRPr="00295561">
              <w:rPr>
                <w:szCs w:val="17"/>
                <w:lang w:eastAsia="en-AU"/>
              </w:rPr>
              <w:t>Net lending/</w:t>
            </w:r>
            <w:r>
              <w:rPr>
                <w:szCs w:val="17"/>
                <w:lang w:eastAsia="en-AU"/>
              </w:rPr>
              <w:t xml:space="preserve"> </w:t>
            </w:r>
            <w:r w:rsidRPr="00295561">
              <w:rPr>
                <w:szCs w:val="17"/>
                <w:lang w:eastAsia="en-AU"/>
              </w:rPr>
              <w:t xml:space="preserve">borrowing </w:t>
            </w:r>
          </w:p>
          <w:p w14:paraId="290419C3" w14:textId="77777777" w:rsidR="00C424E5" w:rsidRPr="00295561" w:rsidRDefault="00C424E5" w:rsidP="006206EF">
            <w:pPr>
              <w:pStyle w:val="ListParagraph"/>
              <w:numPr>
                <w:ilvl w:val="0"/>
                <w:numId w:val="28"/>
              </w:numPr>
              <w:spacing w:before="120" w:after="0"/>
              <w:ind w:left="234" w:hanging="234"/>
              <w:rPr>
                <w:szCs w:val="17"/>
                <w:lang w:eastAsia="en-AU"/>
              </w:rPr>
            </w:pPr>
            <w:r w:rsidRPr="00295561">
              <w:rPr>
                <w:szCs w:val="17"/>
                <w:lang w:eastAsia="en-AU"/>
              </w:rPr>
              <w:t xml:space="preserve">Net result from transactions – </w:t>
            </w:r>
            <w:r>
              <w:rPr>
                <w:szCs w:val="17"/>
                <w:lang w:eastAsia="en-AU"/>
              </w:rPr>
              <w:br/>
            </w:r>
            <w:r w:rsidRPr="00295561">
              <w:rPr>
                <w:szCs w:val="17"/>
                <w:lang w:eastAsia="en-AU"/>
              </w:rPr>
              <w:t>net operating balance</w:t>
            </w:r>
          </w:p>
          <w:p w14:paraId="1D5D237C" w14:textId="77777777" w:rsidR="00C424E5" w:rsidRPr="00295561" w:rsidRDefault="00C424E5" w:rsidP="006206EF">
            <w:pPr>
              <w:pStyle w:val="ListParagraph"/>
              <w:numPr>
                <w:ilvl w:val="0"/>
                <w:numId w:val="28"/>
              </w:numPr>
              <w:spacing w:before="120" w:after="0"/>
              <w:ind w:left="234" w:hanging="234"/>
              <w:rPr>
                <w:szCs w:val="17"/>
                <w:lang w:eastAsia="en-AU"/>
              </w:rPr>
            </w:pPr>
            <w:r w:rsidRPr="00295561">
              <w:rPr>
                <w:szCs w:val="17"/>
                <w:lang w:eastAsia="en-AU"/>
              </w:rPr>
              <w:t>Net worth</w:t>
            </w:r>
          </w:p>
        </w:tc>
      </w:tr>
      <w:tr w:rsidR="00C424E5" w:rsidRPr="00295561" w14:paraId="53B766A5" w14:textId="77777777" w:rsidTr="00D0055F">
        <w:tc>
          <w:tcPr>
            <w:tcW w:w="0" w:type="auto"/>
            <w:gridSpan w:val="4"/>
            <w:tcBorders>
              <w:top w:val="single" w:sz="6" w:space="0" w:color="auto"/>
              <w:bottom w:val="nil"/>
            </w:tcBorders>
            <w:shd w:val="clear" w:color="auto" w:fill="D9D9D9" w:themeFill="background1" w:themeFillShade="D9"/>
          </w:tcPr>
          <w:p w14:paraId="0BAF009E" w14:textId="77777777" w:rsidR="00C424E5" w:rsidRPr="00295561" w:rsidRDefault="00C424E5" w:rsidP="00D0055F">
            <w:pPr>
              <w:keepNext/>
              <w:spacing w:before="40" w:after="40"/>
              <w:rPr>
                <w:szCs w:val="17"/>
                <w:lang w:eastAsia="en-AU"/>
              </w:rPr>
            </w:pPr>
            <w:r w:rsidRPr="00295561">
              <w:rPr>
                <w:b/>
                <w:bCs/>
                <w:szCs w:val="17"/>
                <w:lang w:eastAsia="en-AU"/>
              </w:rPr>
              <w:lastRenderedPageBreak/>
              <w:t>Port of Melbourne lease transaction</w:t>
            </w:r>
          </w:p>
        </w:tc>
      </w:tr>
      <w:tr w:rsidR="00C424E5" w:rsidRPr="00295561" w14:paraId="6FECCFBB" w14:textId="77777777" w:rsidTr="00D0055F">
        <w:trPr>
          <w:trHeight w:val="1944"/>
        </w:trPr>
        <w:tc>
          <w:tcPr>
            <w:tcW w:w="1440" w:type="dxa"/>
            <w:tcBorders>
              <w:top w:val="nil"/>
            </w:tcBorders>
          </w:tcPr>
          <w:p w14:paraId="3DE99917" w14:textId="77777777" w:rsidR="00C424E5" w:rsidRPr="00295561" w:rsidRDefault="00C424E5" w:rsidP="00D0055F">
            <w:pPr>
              <w:keepNext/>
              <w:spacing w:after="0"/>
              <w:rPr>
                <w:b/>
                <w:bCs/>
                <w:szCs w:val="17"/>
                <w:lang w:eastAsia="en-AU"/>
              </w:rPr>
            </w:pPr>
            <w:r w:rsidRPr="00295561">
              <w:rPr>
                <w:szCs w:val="17"/>
                <w:lang w:eastAsia="en-AU"/>
              </w:rPr>
              <w:t>Port Licence Fee</w:t>
            </w:r>
          </w:p>
        </w:tc>
        <w:tc>
          <w:tcPr>
            <w:tcW w:w="2246" w:type="dxa"/>
            <w:tcBorders>
              <w:top w:val="nil"/>
            </w:tcBorders>
          </w:tcPr>
          <w:p w14:paraId="45A2D654" w14:textId="77777777" w:rsidR="00C424E5" w:rsidRPr="00295561" w:rsidRDefault="00C424E5" w:rsidP="00D0055F">
            <w:pPr>
              <w:keepNext/>
              <w:spacing w:after="0"/>
              <w:rPr>
                <w:szCs w:val="17"/>
                <w:lang w:eastAsia="en-AU"/>
              </w:rPr>
            </w:pPr>
            <w:r>
              <w:rPr>
                <w:szCs w:val="17"/>
                <w:lang w:eastAsia="en-AU"/>
              </w:rPr>
              <w:t>T</w:t>
            </w:r>
            <w:r w:rsidRPr="00295561">
              <w:rPr>
                <w:szCs w:val="17"/>
                <w:lang w:eastAsia="en-AU"/>
              </w:rPr>
              <w:t>he 15-year prepaid Port Licence Fee from the medium-term lease of the Port of Melbourne is recognised upfront upon receipt.</w:t>
            </w:r>
          </w:p>
        </w:tc>
        <w:tc>
          <w:tcPr>
            <w:tcW w:w="1894" w:type="dxa"/>
            <w:tcBorders>
              <w:top w:val="nil"/>
            </w:tcBorders>
          </w:tcPr>
          <w:p w14:paraId="13053F97" w14:textId="77777777" w:rsidR="00C424E5" w:rsidRPr="00295561" w:rsidRDefault="00C424E5" w:rsidP="00D0055F">
            <w:pPr>
              <w:keepNext/>
              <w:spacing w:after="0"/>
              <w:rPr>
                <w:szCs w:val="17"/>
                <w:lang w:eastAsia="en-AU"/>
              </w:rPr>
            </w:pPr>
            <w:r>
              <w:rPr>
                <w:szCs w:val="17"/>
                <w:lang w:eastAsia="en-AU"/>
              </w:rPr>
              <w:t>T</w:t>
            </w:r>
            <w:r w:rsidRPr="00295561">
              <w:rPr>
                <w:szCs w:val="17"/>
                <w:lang w:eastAsia="en-AU"/>
              </w:rPr>
              <w:t>he 15-year prepaid Port Licence Fee from the medium-term lease of the Port of Melbourne is recognised as revenue over the 15-year period.</w:t>
            </w:r>
          </w:p>
        </w:tc>
        <w:tc>
          <w:tcPr>
            <w:tcW w:w="2131" w:type="dxa"/>
            <w:tcBorders>
              <w:top w:val="nil"/>
            </w:tcBorders>
          </w:tcPr>
          <w:p w14:paraId="4B654CFC" w14:textId="77777777" w:rsidR="00C424E5" w:rsidRPr="00295561" w:rsidRDefault="00C424E5" w:rsidP="006206EF">
            <w:pPr>
              <w:pStyle w:val="ListParagraph"/>
              <w:numPr>
                <w:ilvl w:val="0"/>
                <w:numId w:val="28"/>
              </w:numPr>
              <w:spacing w:after="0"/>
              <w:ind w:left="232" w:hanging="232"/>
              <w:rPr>
                <w:szCs w:val="17"/>
                <w:lang w:eastAsia="en-AU"/>
              </w:rPr>
            </w:pPr>
            <w:r w:rsidRPr="00295561">
              <w:rPr>
                <w:szCs w:val="17"/>
                <w:lang w:eastAsia="en-AU"/>
              </w:rPr>
              <w:t>Comprehensive result – total change in net worth</w:t>
            </w:r>
          </w:p>
          <w:p w14:paraId="0847442E" w14:textId="77777777" w:rsidR="00C424E5" w:rsidRPr="00295561" w:rsidRDefault="00C424E5" w:rsidP="006206EF">
            <w:pPr>
              <w:pStyle w:val="ListParagraph"/>
              <w:numPr>
                <w:ilvl w:val="0"/>
                <w:numId w:val="28"/>
              </w:numPr>
              <w:spacing w:before="120" w:after="0"/>
              <w:ind w:left="234" w:hanging="234"/>
              <w:rPr>
                <w:szCs w:val="17"/>
                <w:lang w:eastAsia="en-AU"/>
              </w:rPr>
            </w:pPr>
            <w:r w:rsidRPr="00295561">
              <w:rPr>
                <w:szCs w:val="17"/>
                <w:lang w:eastAsia="en-AU"/>
              </w:rPr>
              <w:t>Net lending/</w:t>
            </w:r>
            <w:r>
              <w:rPr>
                <w:szCs w:val="17"/>
                <w:lang w:eastAsia="en-AU"/>
              </w:rPr>
              <w:t xml:space="preserve"> </w:t>
            </w:r>
            <w:r w:rsidRPr="00295561">
              <w:rPr>
                <w:szCs w:val="17"/>
                <w:lang w:eastAsia="en-AU"/>
              </w:rPr>
              <w:t xml:space="preserve">borrowing </w:t>
            </w:r>
          </w:p>
          <w:p w14:paraId="310F4A04" w14:textId="77777777" w:rsidR="00C424E5" w:rsidRPr="00295561" w:rsidRDefault="00C424E5" w:rsidP="006206EF">
            <w:pPr>
              <w:pStyle w:val="ListParagraph"/>
              <w:numPr>
                <w:ilvl w:val="0"/>
                <w:numId w:val="28"/>
              </w:numPr>
              <w:spacing w:before="120" w:after="0"/>
              <w:ind w:left="234" w:hanging="234"/>
              <w:rPr>
                <w:szCs w:val="17"/>
                <w:lang w:eastAsia="en-AU"/>
              </w:rPr>
            </w:pPr>
            <w:r w:rsidRPr="00295561">
              <w:rPr>
                <w:szCs w:val="17"/>
                <w:lang w:eastAsia="en-AU"/>
              </w:rPr>
              <w:t>Net result from transactions – net</w:t>
            </w:r>
            <w:r>
              <w:rPr>
                <w:szCs w:val="17"/>
                <w:lang w:eastAsia="en-AU"/>
              </w:rPr>
              <w:t> </w:t>
            </w:r>
            <w:r w:rsidRPr="00295561">
              <w:rPr>
                <w:szCs w:val="17"/>
                <w:lang w:eastAsia="en-AU"/>
              </w:rPr>
              <w:t>operating balance</w:t>
            </w:r>
          </w:p>
          <w:p w14:paraId="329742DC" w14:textId="77777777" w:rsidR="00C424E5" w:rsidRPr="00295561" w:rsidRDefault="00C424E5" w:rsidP="006206EF">
            <w:pPr>
              <w:pStyle w:val="ListParagraph"/>
              <w:numPr>
                <w:ilvl w:val="0"/>
                <w:numId w:val="28"/>
              </w:numPr>
              <w:spacing w:before="120"/>
              <w:ind w:left="232" w:hanging="232"/>
              <w:rPr>
                <w:szCs w:val="17"/>
                <w:lang w:eastAsia="en-AU"/>
              </w:rPr>
            </w:pPr>
            <w:r w:rsidRPr="00295561">
              <w:rPr>
                <w:szCs w:val="17"/>
                <w:lang w:eastAsia="en-AU"/>
              </w:rPr>
              <w:t>Net worth</w:t>
            </w:r>
          </w:p>
        </w:tc>
      </w:tr>
      <w:tr w:rsidR="00C424E5" w:rsidRPr="00295561" w14:paraId="1F005D2B" w14:textId="77777777" w:rsidTr="00D0055F">
        <w:tc>
          <w:tcPr>
            <w:tcW w:w="1440" w:type="dxa"/>
            <w:tcBorders>
              <w:bottom w:val="nil"/>
            </w:tcBorders>
          </w:tcPr>
          <w:p w14:paraId="6AEA22A8" w14:textId="77777777" w:rsidR="00C424E5" w:rsidRPr="00295561" w:rsidRDefault="00C424E5" w:rsidP="00D0055F">
            <w:pPr>
              <w:keepNext/>
              <w:spacing w:after="0"/>
              <w:rPr>
                <w:szCs w:val="17"/>
                <w:lang w:eastAsia="en-AU"/>
              </w:rPr>
            </w:pPr>
            <w:r w:rsidRPr="00295561">
              <w:rPr>
                <w:szCs w:val="17"/>
                <w:lang w:eastAsia="en-AU"/>
              </w:rPr>
              <w:t>Port of Melbourne lease transaction</w:t>
            </w:r>
          </w:p>
        </w:tc>
        <w:tc>
          <w:tcPr>
            <w:tcW w:w="2246" w:type="dxa"/>
            <w:tcBorders>
              <w:bottom w:val="nil"/>
            </w:tcBorders>
          </w:tcPr>
          <w:p w14:paraId="33406C43" w14:textId="77777777" w:rsidR="00C424E5" w:rsidRPr="00295561" w:rsidRDefault="00C424E5" w:rsidP="00D0055F">
            <w:pPr>
              <w:keepNext/>
              <w:spacing w:after="0"/>
              <w:rPr>
                <w:szCs w:val="17"/>
                <w:lang w:eastAsia="en-AU"/>
              </w:rPr>
            </w:pPr>
            <w:r>
              <w:rPr>
                <w:szCs w:val="17"/>
                <w:lang w:eastAsia="en-AU"/>
              </w:rPr>
              <w:t>T</w:t>
            </w:r>
            <w:r w:rsidRPr="00295561">
              <w:rPr>
                <w:szCs w:val="17"/>
                <w:lang w:eastAsia="en-AU"/>
              </w:rPr>
              <w:t xml:space="preserve">he Port of Melbourne lease transaction </w:t>
            </w:r>
            <w:r>
              <w:rPr>
                <w:szCs w:val="17"/>
                <w:lang w:eastAsia="en-AU"/>
              </w:rPr>
              <w:t>is</w:t>
            </w:r>
            <w:r w:rsidRPr="00295561">
              <w:rPr>
                <w:szCs w:val="17"/>
                <w:lang w:eastAsia="en-AU"/>
              </w:rPr>
              <w:t xml:space="preserve"> treated as an operating lease with the leased assets remaining with the PNFC sector.</w:t>
            </w:r>
          </w:p>
        </w:tc>
        <w:tc>
          <w:tcPr>
            <w:tcW w:w="1894" w:type="dxa"/>
            <w:tcBorders>
              <w:bottom w:val="nil"/>
            </w:tcBorders>
          </w:tcPr>
          <w:p w14:paraId="4986091A" w14:textId="77777777" w:rsidR="00C424E5" w:rsidRPr="00295561" w:rsidRDefault="00C424E5" w:rsidP="00D0055F">
            <w:pPr>
              <w:keepNext/>
              <w:spacing w:after="0"/>
              <w:rPr>
                <w:szCs w:val="17"/>
                <w:lang w:eastAsia="en-AU"/>
              </w:rPr>
            </w:pPr>
            <w:r>
              <w:rPr>
                <w:szCs w:val="17"/>
                <w:lang w:eastAsia="en-AU"/>
              </w:rPr>
              <w:t>T</w:t>
            </w:r>
            <w:r w:rsidRPr="00295561">
              <w:rPr>
                <w:szCs w:val="17"/>
                <w:lang w:eastAsia="en-AU"/>
              </w:rPr>
              <w:t>he Port of Melbourne lease transaction is recognised as a sale of equity from the general government sector.</w:t>
            </w:r>
          </w:p>
        </w:tc>
        <w:tc>
          <w:tcPr>
            <w:tcW w:w="2131" w:type="dxa"/>
            <w:tcBorders>
              <w:bottom w:val="nil"/>
            </w:tcBorders>
          </w:tcPr>
          <w:p w14:paraId="3617FE37" w14:textId="77777777" w:rsidR="00C424E5" w:rsidRPr="00295561" w:rsidRDefault="00C424E5" w:rsidP="006206EF">
            <w:pPr>
              <w:pStyle w:val="ListParagraph"/>
              <w:numPr>
                <w:ilvl w:val="0"/>
                <w:numId w:val="28"/>
              </w:numPr>
              <w:spacing w:after="0"/>
              <w:ind w:left="232" w:hanging="232"/>
              <w:rPr>
                <w:szCs w:val="17"/>
                <w:lang w:eastAsia="en-AU"/>
              </w:rPr>
            </w:pPr>
            <w:r w:rsidRPr="00295561">
              <w:rPr>
                <w:szCs w:val="17"/>
                <w:lang w:eastAsia="en-AU"/>
              </w:rPr>
              <w:t>Cash surplus/deficit</w:t>
            </w:r>
          </w:p>
          <w:p w14:paraId="518060AB" w14:textId="77777777" w:rsidR="00C424E5" w:rsidRPr="00295561" w:rsidRDefault="00C424E5" w:rsidP="006206EF">
            <w:pPr>
              <w:pStyle w:val="ListParagraph"/>
              <w:numPr>
                <w:ilvl w:val="0"/>
                <w:numId w:val="28"/>
              </w:numPr>
              <w:spacing w:after="0"/>
              <w:ind w:left="232" w:hanging="232"/>
              <w:rPr>
                <w:szCs w:val="17"/>
                <w:lang w:eastAsia="en-AU"/>
              </w:rPr>
            </w:pPr>
            <w:r w:rsidRPr="00295561">
              <w:rPr>
                <w:szCs w:val="17"/>
                <w:lang w:eastAsia="en-AU"/>
              </w:rPr>
              <w:t>Comprehensive result – total change in net worth</w:t>
            </w:r>
          </w:p>
          <w:p w14:paraId="45094E0C" w14:textId="77777777" w:rsidR="00C424E5" w:rsidRPr="00295561" w:rsidRDefault="00C424E5" w:rsidP="006206EF">
            <w:pPr>
              <w:pStyle w:val="ListParagraph"/>
              <w:numPr>
                <w:ilvl w:val="0"/>
                <w:numId w:val="28"/>
              </w:numPr>
              <w:spacing w:before="120" w:after="0"/>
              <w:ind w:left="234" w:hanging="234"/>
              <w:rPr>
                <w:szCs w:val="17"/>
                <w:lang w:eastAsia="en-AU"/>
              </w:rPr>
            </w:pPr>
            <w:r w:rsidRPr="00295561">
              <w:rPr>
                <w:szCs w:val="17"/>
                <w:lang w:eastAsia="en-AU"/>
              </w:rPr>
              <w:t>Net</w:t>
            </w:r>
            <w:r>
              <w:rPr>
                <w:szCs w:val="17"/>
                <w:lang w:eastAsia="en-AU"/>
              </w:rPr>
              <w:t xml:space="preserve"> </w:t>
            </w:r>
            <w:r w:rsidRPr="00295561">
              <w:rPr>
                <w:szCs w:val="17"/>
                <w:lang w:eastAsia="en-AU"/>
              </w:rPr>
              <w:t>lending/</w:t>
            </w:r>
            <w:r>
              <w:rPr>
                <w:szCs w:val="17"/>
                <w:lang w:eastAsia="en-AU"/>
              </w:rPr>
              <w:t xml:space="preserve"> </w:t>
            </w:r>
            <w:r w:rsidRPr="00295561">
              <w:rPr>
                <w:szCs w:val="17"/>
                <w:lang w:eastAsia="en-AU"/>
              </w:rPr>
              <w:t xml:space="preserve">borrowing </w:t>
            </w:r>
          </w:p>
          <w:p w14:paraId="1103F89B" w14:textId="77777777" w:rsidR="00C424E5" w:rsidRPr="00295561" w:rsidRDefault="00C424E5" w:rsidP="006206EF">
            <w:pPr>
              <w:pStyle w:val="ListParagraph"/>
              <w:numPr>
                <w:ilvl w:val="0"/>
                <w:numId w:val="28"/>
              </w:numPr>
              <w:spacing w:before="120" w:after="0"/>
              <w:ind w:left="234" w:hanging="234"/>
              <w:rPr>
                <w:szCs w:val="17"/>
                <w:lang w:eastAsia="en-AU"/>
              </w:rPr>
            </w:pPr>
            <w:r w:rsidRPr="00295561">
              <w:rPr>
                <w:szCs w:val="17"/>
                <w:lang w:eastAsia="en-AU"/>
              </w:rPr>
              <w:t>Net result from transactions – net</w:t>
            </w:r>
            <w:r>
              <w:rPr>
                <w:szCs w:val="17"/>
                <w:lang w:eastAsia="en-AU"/>
              </w:rPr>
              <w:t> </w:t>
            </w:r>
            <w:r w:rsidRPr="00295561">
              <w:rPr>
                <w:szCs w:val="17"/>
                <w:lang w:eastAsia="en-AU"/>
              </w:rPr>
              <w:t>operating balance</w:t>
            </w:r>
          </w:p>
          <w:p w14:paraId="60650868" w14:textId="77777777" w:rsidR="00C424E5" w:rsidRPr="00295561" w:rsidRDefault="00C424E5" w:rsidP="006206EF">
            <w:pPr>
              <w:pStyle w:val="ListParagraph"/>
              <w:numPr>
                <w:ilvl w:val="0"/>
                <w:numId w:val="28"/>
              </w:numPr>
              <w:spacing w:before="120"/>
              <w:ind w:left="232" w:hanging="232"/>
              <w:rPr>
                <w:b/>
                <w:bCs/>
                <w:szCs w:val="17"/>
                <w:lang w:eastAsia="en-AU"/>
              </w:rPr>
            </w:pPr>
            <w:r w:rsidRPr="00295561">
              <w:rPr>
                <w:szCs w:val="17"/>
                <w:lang w:eastAsia="en-AU"/>
              </w:rPr>
              <w:t>Net worth</w:t>
            </w:r>
          </w:p>
        </w:tc>
      </w:tr>
      <w:tr w:rsidR="00C424E5" w:rsidRPr="00295561" w14:paraId="48C5579F" w14:textId="77777777" w:rsidTr="00D0055F">
        <w:tc>
          <w:tcPr>
            <w:tcW w:w="0" w:type="auto"/>
            <w:gridSpan w:val="4"/>
            <w:tcBorders>
              <w:bottom w:val="nil"/>
            </w:tcBorders>
            <w:shd w:val="clear" w:color="auto" w:fill="D9D9D9" w:themeFill="background1" w:themeFillShade="D9"/>
          </w:tcPr>
          <w:p w14:paraId="6C02F6DC" w14:textId="77777777" w:rsidR="00C424E5" w:rsidRPr="00295561" w:rsidRDefault="00C424E5" w:rsidP="00D0055F">
            <w:pPr>
              <w:spacing w:before="40" w:after="40"/>
              <w:rPr>
                <w:b/>
                <w:bCs/>
                <w:szCs w:val="17"/>
                <w:lang w:eastAsia="en-AU"/>
              </w:rPr>
            </w:pPr>
            <w:r w:rsidRPr="00295561">
              <w:rPr>
                <w:b/>
                <w:bCs/>
                <w:szCs w:val="17"/>
                <w:lang w:eastAsia="en-AU"/>
              </w:rPr>
              <w:t>Doubtful receivables</w:t>
            </w:r>
          </w:p>
        </w:tc>
      </w:tr>
      <w:tr w:rsidR="00C424E5" w:rsidRPr="00295561" w14:paraId="41B7B75E" w14:textId="77777777" w:rsidTr="00D0055F">
        <w:tc>
          <w:tcPr>
            <w:tcW w:w="1440" w:type="dxa"/>
            <w:tcBorders>
              <w:top w:val="nil"/>
              <w:bottom w:val="nil"/>
            </w:tcBorders>
          </w:tcPr>
          <w:p w14:paraId="55BF58C9" w14:textId="77777777" w:rsidR="00C424E5" w:rsidRPr="00295561" w:rsidRDefault="00C424E5" w:rsidP="00D0055F">
            <w:pPr>
              <w:spacing w:after="0"/>
              <w:rPr>
                <w:b/>
                <w:bCs/>
                <w:szCs w:val="17"/>
                <w:lang w:eastAsia="en-AU"/>
              </w:rPr>
            </w:pPr>
          </w:p>
        </w:tc>
        <w:tc>
          <w:tcPr>
            <w:tcW w:w="2246" w:type="dxa"/>
            <w:tcBorders>
              <w:top w:val="nil"/>
              <w:bottom w:val="nil"/>
            </w:tcBorders>
          </w:tcPr>
          <w:p w14:paraId="28BDF1AF" w14:textId="77777777" w:rsidR="00C424E5" w:rsidRPr="00295561" w:rsidRDefault="00C424E5" w:rsidP="00D0055F">
            <w:pPr>
              <w:spacing w:after="0"/>
              <w:rPr>
                <w:szCs w:val="17"/>
                <w:lang w:eastAsia="en-AU"/>
              </w:rPr>
            </w:pPr>
            <w:r>
              <w:rPr>
                <w:szCs w:val="17"/>
              </w:rPr>
              <w:t>P</w:t>
            </w:r>
            <w:r w:rsidRPr="00295561">
              <w:rPr>
                <w:szCs w:val="17"/>
              </w:rPr>
              <w:t xml:space="preserve">rovisions for </w:t>
            </w:r>
            <w:r>
              <w:rPr>
                <w:szCs w:val="17"/>
              </w:rPr>
              <w:t>expected credit loss</w:t>
            </w:r>
            <w:r w:rsidRPr="00295561">
              <w:rPr>
                <w:szCs w:val="17"/>
              </w:rPr>
              <w:t xml:space="preserve"> are included on the balance sheet a</w:t>
            </w:r>
            <w:r>
              <w:rPr>
                <w:szCs w:val="17"/>
              </w:rPr>
              <w:t>s a</w:t>
            </w:r>
            <w:r w:rsidRPr="00295561">
              <w:rPr>
                <w:szCs w:val="17"/>
              </w:rPr>
              <w:t xml:space="preserve"> </w:t>
            </w:r>
            <w:r>
              <w:rPr>
                <w:szCs w:val="17"/>
              </w:rPr>
              <w:t xml:space="preserve">reduction in </w:t>
            </w:r>
            <w:r w:rsidRPr="00295561">
              <w:rPr>
                <w:szCs w:val="17"/>
              </w:rPr>
              <w:t>assets</w:t>
            </w:r>
            <w:r w:rsidRPr="00295561">
              <w:rPr>
                <w:szCs w:val="17"/>
                <w:lang w:eastAsia="en-AU"/>
              </w:rPr>
              <w:t>.</w:t>
            </w:r>
          </w:p>
        </w:tc>
        <w:tc>
          <w:tcPr>
            <w:tcW w:w="1894" w:type="dxa"/>
            <w:tcBorders>
              <w:top w:val="nil"/>
              <w:bottom w:val="nil"/>
            </w:tcBorders>
          </w:tcPr>
          <w:p w14:paraId="19ED982C" w14:textId="77777777" w:rsidR="00C424E5" w:rsidRPr="00295561" w:rsidRDefault="00C424E5" w:rsidP="00D0055F">
            <w:pPr>
              <w:rPr>
                <w:szCs w:val="17"/>
                <w:lang w:eastAsia="en-AU"/>
              </w:rPr>
            </w:pPr>
            <w:r>
              <w:rPr>
                <w:szCs w:val="17"/>
                <w:lang w:eastAsia="en-AU"/>
              </w:rPr>
              <w:t>T</w:t>
            </w:r>
            <w:r w:rsidRPr="00295561">
              <w:rPr>
                <w:szCs w:val="17"/>
                <w:lang w:eastAsia="en-AU"/>
              </w:rPr>
              <w:t>he act of creating provisions is not considered an economic event and is therefore not included on the balance sheet.</w:t>
            </w:r>
          </w:p>
        </w:tc>
        <w:tc>
          <w:tcPr>
            <w:tcW w:w="2131" w:type="dxa"/>
            <w:tcBorders>
              <w:top w:val="nil"/>
              <w:bottom w:val="nil"/>
            </w:tcBorders>
          </w:tcPr>
          <w:p w14:paraId="4AF3A268" w14:textId="77777777" w:rsidR="00C424E5" w:rsidRPr="00295561" w:rsidRDefault="00C424E5" w:rsidP="006206EF">
            <w:pPr>
              <w:pStyle w:val="ListParagraph"/>
              <w:numPr>
                <w:ilvl w:val="0"/>
                <w:numId w:val="28"/>
              </w:numPr>
              <w:spacing w:after="0"/>
              <w:ind w:left="234" w:hanging="234"/>
              <w:rPr>
                <w:szCs w:val="17"/>
                <w:lang w:eastAsia="en-AU"/>
              </w:rPr>
            </w:pPr>
            <w:r w:rsidRPr="00295561">
              <w:rPr>
                <w:szCs w:val="17"/>
                <w:lang w:eastAsia="en-AU"/>
              </w:rPr>
              <w:t>Comprehensive result – total change in net worth</w:t>
            </w:r>
          </w:p>
          <w:p w14:paraId="7FAA4220" w14:textId="77777777" w:rsidR="00C424E5" w:rsidRPr="00295561" w:rsidRDefault="00C424E5" w:rsidP="006206EF">
            <w:pPr>
              <w:pStyle w:val="ListParagraph"/>
              <w:numPr>
                <w:ilvl w:val="0"/>
                <w:numId w:val="28"/>
              </w:numPr>
              <w:spacing w:before="120" w:after="0"/>
              <w:ind w:left="234" w:hanging="234"/>
              <w:rPr>
                <w:b/>
                <w:bCs/>
                <w:szCs w:val="17"/>
                <w:lang w:eastAsia="en-AU"/>
              </w:rPr>
            </w:pPr>
            <w:r w:rsidRPr="00295561">
              <w:rPr>
                <w:szCs w:val="17"/>
                <w:lang w:eastAsia="en-AU"/>
              </w:rPr>
              <w:t>Net worth</w:t>
            </w:r>
          </w:p>
        </w:tc>
      </w:tr>
      <w:tr w:rsidR="00C424E5" w:rsidRPr="00295561" w14:paraId="36484F2C" w14:textId="77777777" w:rsidTr="00D0055F">
        <w:tc>
          <w:tcPr>
            <w:tcW w:w="0" w:type="auto"/>
            <w:gridSpan w:val="4"/>
            <w:tcBorders>
              <w:bottom w:val="nil"/>
            </w:tcBorders>
            <w:shd w:val="clear" w:color="auto" w:fill="D9D9D9" w:themeFill="background1" w:themeFillShade="D9"/>
          </w:tcPr>
          <w:p w14:paraId="400260CC" w14:textId="77777777" w:rsidR="00C424E5" w:rsidRPr="00295561" w:rsidRDefault="00C424E5" w:rsidP="00D0055F">
            <w:pPr>
              <w:keepNext/>
              <w:spacing w:before="40" w:after="40"/>
              <w:rPr>
                <w:b/>
                <w:bCs/>
                <w:szCs w:val="17"/>
                <w:lang w:eastAsia="en-AU"/>
              </w:rPr>
            </w:pPr>
            <w:r w:rsidRPr="00295561">
              <w:rPr>
                <w:b/>
                <w:bCs/>
                <w:szCs w:val="17"/>
                <w:lang w:eastAsia="en-AU"/>
              </w:rPr>
              <w:t>Investment in other sector entities</w:t>
            </w:r>
          </w:p>
        </w:tc>
      </w:tr>
      <w:tr w:rsidR="00C424E5" w:rsidRPr="00295561" w14:paraId="7C58E95B" w14:textId="77777777" w:rsidTr="00D0055F">
        <w:tc>
          <w:tcPr>
            <w:tcW w:w="1440" w:type="dxa"/>
            <w:tcBorders>
              <w:top w:val="nil"/>
            </w:tcBorders>
          </w:tcPr>
          <w:p w14:paraId="0F121564" w14:textId="77777777" w:rsidR="00C424E5" w:rsidRPr="00295561" w:rsidRDefault="00C424E5" w:rsidP="00D0055F">
            <w:pPr>
              <w:spacing w:after="0"/>
              <w:rPr>
                <w:b/>
                <w:bCs/>
                <w:szCs w:val="17"/>
                <w:lang w:eastAsia="en-AU"/>
              </w:rPr>
            </w:pPr>
          </w:p>
        </w:tc>
        <w:tc>
          <w:tcPr>
            <w:tcW w:w="2246" w:type="dxa"/>
            <w:tcBorders>
              <w:top w:val="nil"/>
            </w:tcBorders>
          </w:tcPr>
          <w:p w14:paraId="43CB5EF7" w14:textId="77777777" w:rsidR="00C424E5" w:rsidRPr="00295561" w:rsidRDefault="00C424E5" w:rsidP="00D0055F">
            <w:pPr>
              <w:rPr>
                <w:szCs w:val="17"/>
                <w:lang w:eastAsia="en-AU"/>
              </w:rPr>
            </w:pPr>
            <w:r>
              <w:rPr>
                <w:szCs w:val="17"/>
                <w:lang w:eastAsia="en-AU"/>
              </w:rPr>
              <w:t>T</w:t>
            </w:r>
            <w:r w:rsidRPr="00295561">
              <w:rPr>
                <w:szCs w:val="17"/>
                <w:lang w:eastAsia="en-AU"/>
              </w:rPr>
              <w:t>he net worth of investments in other sector entities for the general government sector includes doubtful receivables, future tax benefits and deferred tax liabilities of the PNFC and PFC sectors.</w:t>
            </w:r>
          </w:p>
        </w:tc>
        <w:tc>
          <w:tcPr>
            <w:tcW w:w="1894" w:type="dxa"/>
            <w:tcBorders>
              <w:top w:val="nil"/>
            </w:tcBorders>
          </w:tcPr>
          <w:p w14:paraId="6C070810" w14:textId="77777777" w:rsidR="00C424E5" w:rsidRPr="00295561" w:rsidRDefault="00C424E5" w:rsidP="00D0055F">
            <w:pPr>
              <w:spacing w:after="0"/>
              <w:rPr>
                <w:szCs w:val="17"/>
                <w:lang w:eastAsia="en-AU"/>
              </w:rPr>
            </w:pPr>
            <w:r>
              <w:rPr>
                <w:szCs w:val="17"/>
                <w:lang w:eastAsia="en-AU"/>
              </w:rPr>
              <w:t>T</w:t>
            </w:r>
            <w:r w:rsidRPr="00295561">
              <w:rPr>
                <w:szCs w:val="17"/>
                <w:lang w:eastAsia="en-AU"/>
              </w:rPr>
              <w:t>he determination of net worth is exclusive of this.</w:t>
            </w:r>
          </w:p>
        </w:tc>
        <w:tc>
          <w:tcPr>
            <w:tcW w:w="2131" w:type="dxa"/>
            <w:tcBorders>
              <w:top w:val="nil"/>
            </w:tcBorders>
          </w:tcPr>
          <w:p w14:paraId="64CD41F3" w14:textId="77777777" w:rsidR="00C424E5" w:rsidRPr="00295561" w:rsidRDefault="00C424E5" w:rsidP="006206EF">
            <w:pPr>
              <w:pStyle w:val="ListParagraph"/>
              <w:numPr>
                <w:ilvl w:val="0"/>
                <w:numId w:val="28"/>
              </w:numPr>
              <w:spacing w:after="0"/>
              <w:ind w:left="234" w:hanging="234"/>
              <w:rPr>
                <w:szCs w:val="17"/>
                <w:lang w:eastAsia="en-AU"/>
              </w:rPr>
            </w:pPr>
            <w:r w:rsidRPr="00295561">
              <w:rPr>
                <w:szCs w:val="17"/>
                <w:lang w:eastAsia="en-AU"/>
              </w:rPr>
              <w:t>Comprehensive result – total change in net worth</w:t>
            </w:r>
          </w:p>
          <w:p w14:paraId="3167F619" w14:textId="77777777" w:rsidR="00C424E5" w:rsidRPr="00295561" w:rsidRDefault="00C424E5" w:rsidP="006206EF">
            <w:pPr>
              <w:pStyle w:val="ListParagraph"/>
              <w:numPr>
                <w:ilvl w:val="0"/>
                <w:numId w:val="28"/>
              </w:numPr>
              <w:spacing w:after="0"/>
              <w:ind w:left="234" w:hanging="234"/>
              <w:rPr>
                <w:szCs w:val="17"/>
                <w:lang w:eastAsia="en-AU"/>
              </w:rPr>
            </w:pPr>
            <w:r w:rsidRPr="00295561">
              <w:rPr>
                <w:szCs w:val="17"/>
                <w:lang w:eastAsia="en-AU"/>
              </w:rPr>
              <w:t>Net worth</w:t>
            </w:r>
          </w:p>
        </w:tc>
      </w:tr>
    </w:tbl>
    <w:p w14:paraId="79FD44D0" w14:textId="77777777" w:rsidR="00C424E5" w:rsidRDefault="00C424E5" w:rsidP="006206EF"/>
    <w:p w14:paraId="0445CA0A" w14:textId="77777777" w:rsidR="00C424E5" w:rsidRDefault="00C424E5" w:rsidP="006206EF">
      <w:r>
        <w:br w:type="page"/>
      </w:r>
    </w:p>
    <w:p w14:paraId="04649975" w14:textId="77777777" w:rsidR="00C424E5" w:rsidRDefault="00C424E5" w:rsidP="006206EF">
      <w:pPr>
        <w:pStyle w:val="Heading3"/>
      </w:pPr>
      <w:bookmarkStart w:id="88" w:name="_Toc117172507"/>
      <w:r w:rsidRPr="00F872C9">
        <w:lastRenderedPageBreak/>
        <w:t>Prospective accounting and reporting changes</w:t>
      </w:r>
      <w:bookmarkEnd w:id="88"/>
    </w:p>
    <w:p w14:paraId="225FDD58" w14:textId="77777777" w:rsidR="00C424E5" w:rsidRPr="00A7102E" w:rsidRDefault="00C424E5" w:rsidP="006206EF">
      <w:r w:rsidRPr="00A7102E">
        <w:t xml:space="preserve">New and revised accounting standards have been issued </w:t>
      </w:r>
      <w:r>
        <w:t>that</w:t>
      </w:r>
      <w:r w:rsidRPr="00A7102E">
        <w:t xml:space="preserve"> are not effective for the 202</w:t>
      </w:r>
      <w:r>
        <w:t>2</w:t>
      </w:r>
      <w:r w:rsidRPr="00A7102E">
        <w:t>-2</w:t>
      </w:r>
      <w:r>
        <w:t>3</w:t>
      </w:r>
      <w:r w:rsidRPr="00A7102E">
        <w:t xml:space="preserve"> reporting period. These accounting standards have not been applied to the Estimated Financial Statements. The State is reviewing its existing policies and assessing the potential implications of: </w:t>
      </w:r>
    </w:p>
    <w:p w14:paraId="52BB4984" w14:textId="77777777" w:rsidR="00C424E5" w:rsidRPr="00A7102E" w:rsidRDefault="00C424E5" w:rsidP="006206EF">
      <w:pPr>
        <w:pStyle w:val="ListBullet"/>
      </w:pPr>
      <w:r w:rsidRPr="00A7102E">
        <w:t xml:space="preserve">AASB 17 </w:t>
      </w:r>
      <w:r w:rsidRPr="00F872C9">
        <w:rPr>
          <w:i/>
          <w:iCs/>
        </w:rPr>
        <w:t>Insurance Contracts</w:t>
      </w:r>
      <w:bookmarkStart w:id="89" w:name="_Hlk66808391"/>
      <w:r>
        <w:t>:</w:t>
      </w:r>
      <w:r w:rsidRPr="00A7102E">
        <w:t xml:space="preserve"> </w:t>
      </w:r>
      <w:r>
        <w:t>i</w:t>
      </w:r>
      <w:r w:rsidRPr="00734119">
        <w:t xml:space="preserve">t is proposed in Exposure Draft 319 </w:t>
      </w:r>
      <w:r w:rsidRPr="00734119">
        <w:rPr>
          <w:i/>
          <w:iCs/>
        </w:rPr>
        <w:t>Insurance Contracts in the Public Sector</w:t>
      </w:r>
      <w:r w:rsidRPr="00734119">
        <w:t xml:space="preserve"> that public sector entities would apply AASB 17 to annual periods beginning on or after 1 July 2025, with earlier application permitted. This is later than the application date of AASB 17 to entities that are not public sector entities, which is annual periods beginning on or after 1 January 2023. AASB 17 will supersede AASB 4 </w:t>
      </w:r>
      <w:r w:rsidRPr="00734119">
        <w:rPr>
          <w:i/>
          <w:iCs/>
        </w:rPr>
        <w:t>Insurance Contracts</w:t>
      </w:r>
      <w:r w:rsidRPr="00734119">
        <w:t xml:space="preserve"> </w:t>
      </w:r>
      <w:r w:rsidRPr="008270FE">
        <w:t xml:space="preserve">and AASB 1023 </w:t>
      </w:r>
      <w:r w:rsidRPr="008270FE">
        <w:rPr>
          <w:i/>
          <w:iCs/>
        </w:rPr>
        <w:t>General Insurance Contracts</w:t>
      </w:r>
      <w:r>
        <w:t xml:space="preserve"> </w:t>
      </w:r>
      <w:r w:rsidRPr="00734119">
        <w:t>and</w:t>
      </w:r>
      <w:bookmarkEnd w:id="89"/>
      <w:r w:rsidRPr="00A7102E">
        <w:t xml:space="preserve"> seeks to eliminate inconsistencies and weaknesses in existing practices by providing a single principle</w:t>
      </w:r>
      <w:r w:rsidRPr="00A7102E">
        <w:noBreakHyphen/>
        <w:t xml:space="preserve">based framework to account for all types of insurance contracts, including </w:t>
      </w:r>
      <w:r>
        <w:t xml:space="preserve">reinsurance </w:t>
      </w:r>
      <w:r w:rsidRPr="00A7102E">
        <w:t>contracts</w:t>
      </w:r>
      <w:r>
        <w:t xml:space="preserve">, </w:t>
      </w:r>
      <w:r w:rsidRPr="00A7102E">
        <w:t xml:space="preserve">that an insurer holds. The standard also provides new requirements for presentation and disclosure to enhance comparability between entities. </w:t>
      </w:r>
    </w:p>
    <w:p w14:paraId="760030E8" w14:textId="77777777" w:rsidR="00C424E5" w:rsidRDefault="00C424E5" w:rsidP="00901119">
      <w:r>
        <w:t>S</w:t>
      </w:r>
      <w:r w:rsidRPr="00A7102E">
        <w:t>everal other amending standards and AASB interpretations have been issued that apply to future reporting periods but are considered to have limited impact on public sector reporting.</w:t>
      </w:r>
    </w:p>
    <w:p w14:paraId="006119F7" w14:textId="77777777" w:rsidR="00C424E5" w:rsidRPr="009E03FE" w:rsidRDefault="00C424E5" w:rsidP="006206EF">
      <w:pPr>
        <w:pStyle w:val="Note"/>
      </w:pPr>
    </w:p>
    <w:p w14:paraId="282DB894" w14:textId="77777777" w:rsidR="00C424E5" w:rsidRPr="00A7102E" w:rsidRDefault="00C424E5" w:rsidP="00901119">
      <w:pPr>
        <w:pStyle w:val="Heading3"/>
        <w:pageBreakBefore/>
      </w:pPr>
      <w:bookmarkStart w:id="90" w:name="_Toc117172508"/>
      <w:r w:rsidRPr="00A7102E">
        <w:lastRenderedPageBreak/>
        <w:t>Controlled entities</w:t>
      </w:r>
      <w:bookmarkEnd w:id="90"/>
    </w:p>
    <w:p w14:paraId="7D0EC0CF" w14:textId="77777777" w:rsidR="00C424E5" w:rsidRPr="00A7102E" w:rsidRDefault="00C424E5" w:rsidP="006206EF">
      <w:bookmarkStart w:id="91" w:name="_Hlk531351592"/>
      <w:r w:rsidRPr="00A7102E">
        <w:t xml:space="preserve">Note 9.8 in Chapter 4 of the </w:t>
      </w:r>
      <w:r w:rsidRPr="00F872C9">
        <w:rPr>
          <w:i/>
          <w:iCs/>
        </w:rPr>
        <w:t>202</w:t>
      </w:r>
      <w:r>
        <w:rPr>
          <w:i/>
          <w:iCs/>
        </w:rPr>
        <w:t>1</w:t>
      </w:r>
      <w:r w:rsidRPr="00F872C9">
        <w:rPr>
          <w:i/>
          <w:iCs/>
        </w:rPr>
        <w:noBreakHyphen/>
        <w:t>2</w:t>
      </w:r>
      <w:r>
        <w:rPr>
          <w:i/>
          <w:iCs/>
        </w:rPr>
        <w:t>2</w:t>
      </w:r>
      <w:r w:rsidRPr="00F872C9">
        <w:rPr>
          <w:i/>
          <w:iCs/>
        </w:rPr>
        <w:t> Financial Report</w:t>
      </w:r>
      <w:r w:rsidRPr="00A7102E">
        <w:t xml:space="preserve"> for the State of Victoria</w:t>
      </w:r>
      <w:r w:rsidRPr="00A7102E" w:rsidDel="00F21926">
        <w:t xml:space="preserve"> </w:t>
      </w:r>
      <w:r w:rsidRPr="00A7102E">
        <w:t>lists significant controlled entities</w:t>
      </w:r>
      <w:r>
        <w:t xml:space="preserve"> that</w:t>
      </w:r>
      <w:r w:rsidRPr="00A7102E">
        <w:t xml:space="preserve"> were consolidated in that financial report. </w:t>
      </w:r>
    </w:p>
    <w:bookmarkEnd w:id="91"/>
    <w:p w14:paraId="3A07B285" w14:textId="77777777" w:rsidR="00C424E5" w:rsidRDefault="00C424E5" w:rsidP="006206EF">
      <w:pPr>
        <w:spacing w:after="120"/>
      </w:pPr>
      <w:r w:rsidRPr="00A7102E">
        <w:t>The following are changes in general government sector entities since 1 July 202</w:t>
      </w:r>
      <w:r>
        <w:t>2</w:t>
      </w:r>
      <w:r w:rsidRPr="00A7102E">
        <w:t>, which have also been incorporated in this financial report:</w:t>
      </w:r>
    </w:p>
    <w:tbl>
      <w:tblPr>
        <w:tblStyle w:val="DTFTableText"/>
        <w:tblW w:w="4947" w:type="pct"/>
        <w:tblLook w:val="04A0" w:firstRow="1" w:lastRow="0" w:firstColumn="1" w:lastColumn="0" w:noHBand="0" w:noVBand="1"/>
      </w:tblPr>
      <w:tblGrid>
        <w:gridCol w:w="7629"/>
      </w:tblGrid>
      <w:tr w:rsidR="00C424E5" w:rsidRPr="006E4AE9" w14:paraId="6037392B" w14:textId="77777777" w:rsidTr="00D0055F">
        <w:trPr>
          <w:cnfStyle w:val="100000000000" w:firstRow="1" w:lastRow="0" w:firstColumn="0" w:lastColumn="0" w:oddVBand="0" w:evenVBand="0" w:oddHBand="0" w:evenHBand="0" w:firstRowFirstColumn="0" w:firstRowLastColumn="0" w:lastRowFirstColumn="0" w:lastRowLastColumn="0"/>
        </w:trPr>
        <w:tc>
          <w:tcPr>
            <w:tcW w:w="5000" w:type="pct"/>
          </w:tcPr>
          <w:p w14:paraId="545872C1" w14:textId="77777777" w:rsidR="00C424E5" w:rsidRPr="001C7011" w:rsidRDefault="00C424E5" w:rsidP="00D0055F">
            <w:pPr>
              <w:spacing w:after="40"/>
              <w:rPr>
                <w:b/>
                <w:bCs/>
              </w:rPr>
            </w:pPr>
            <w:r w:rsidRPr="001C7011">
              <w:rPr>
                <w:b/>
                <w:bCs/>
              </w:rPr>
              <w:t xml:space="preserve">General government </w:t>
            </w:r>
            <w:r>
              <w:rPr>
                <w:b/>
                <w:bCs/>
              </w:rPr>
              <w:t>sector</w:t>
            </w:r>
          </w:p>
        </w:tc>
      </w:tr>
      <w:tr w:rsidR="00C424E5" w:rsidRPr="00AD1F6B" w14:paraId="3B244F84" w14:textId="77777777" w:rsidTr="00D0055F">
        <w:trPr>
          <w:cnfStyle w:val="000000100000" w:firstRow="0" w:lastRow="0" w:firstColumn="0" w:lastColumn="0" w:oddVBand="0" w:evenVBand="0" w:oddHBand="1" w:evenHBand="0" w:firstRowFirstColumn="0" w:firstRowLastColumn="0" w:lastRowFirstColumn="0" w:lastRowLastColumn="0"/>
        </w:trPr>
        <w:tc>
          <w:tcPr>
            <w:tcW w:w="5000" w:type="pct"/>
          </w:tcPr>
          <w:p w14:paraId="41990568" w14:textId="77777777" w:rsidR="00C424E5" w:rsidRPr="00330E67" w:rsidRDefault="00C424E5" w:rsidP="00D0055F">
            <w:pPr>
              <w:pStyle w:val="ControlledEntitiesDepartment"/>
              <w:rPr>
                <w:bCs w:val="0"/>
                <w:vertAlign w:val="superscript"/>
              </w:rPr>
            </w:pPr>
            <w:r w:rsidRPr="00330E67">
              <w:rPr>
                <w:bCs w:val="0"/>
              </w:rPr>
              <w:t xml:space="preserve">Department of Environment, Land, Water and Planning </w:t>
            </w:r>
            <w:r w:rsidRPr="00330E67">
              <w:rPr>
                <w:bCs w:val="0"/>
                <w:vertAlign w:val="superscript"/>
              </w:rPr>
              <w:t>(a)</w:t>
            </w:r>
          </w:p>
          <w:p w14:paraId="26713801" w14:textId="77777777" w:rsidR="00C424E5" w:rsidRPr="00AD1F6B" w:rsidRDefault="00C424E5" w:rsidP="00D0055F">
            <w:pPr>
              <w:pStyle w:val="ControlledEntitiesDepartment"/>
              <w:spacing w:after="40"/>
              <w:rPr>
                <w:color w:val="auto"/>
              </w:rPr>
            </w:pPr>
            <w:r w:rsidRPr="00330E67">
              <w:rPr>
                <w:bCs w:val="0"/>
              </w:rPr>
              <w:t>Department of Jobs, Precincts and Regions</w:t>
            </w:r>
          </w:p>
          <w:p w14:paraId="607E544E" w14:textId="77777777" w:rsidR="00C424E5" w:rsidRDefault="00C424E5" w:rsidP="00D0055F">
            <w:pPr>
              <w:spacing w:after="40"/>
              <w:rPr>
                <w:vertAlign w:val="superscript"/>
              </w:rPr>
            </w:pPr>
            <w:r w:rsidRPr="005B7B8F">
              <w:t xml:space="preserve">Victoria 2026 Pty Ltd </w:t>
            </w:r>
            <w:r w:rsidRPr="00330E67">
              <w:rPr>
                <w:vertAlign w:val="superscript"/>
              </w:rPr>
              <w:t>(b)</w:t>
            </w:r>
          </w:p>
          <w:p w14:paraId="69751B49" w14:textId="77777777" w:rsidR="00C424E5" w:rsidRPr="00AD1F6B" w:rsidRDefault="00C424E5" w:rsidP="00D0055F">
            <w:pPr>
              <w:pStyle w:val="ControlledEntitiesDepartment"/>
              <w:spacing w:after="40"/>
              <w:rPr>
                <w:color w:val="auto"/>
              </w:rPr>
            </w:pPr>
            <w:r w:rsidRPr="00330E67">
              <w:rPr>
                <w:bCs w:val="0"/>
              </w:rPr>
              <w:t xml:space="preserve">Department of </w:t>
            </w:r>
            <w:r>
              <w:rPr>
                <w:bCs w:val="0"/>
              </w:rPr>
              <w:t xml:space="preserve">Transport </w:t>
            </w:r>
            <w:r w:rsidRPr="00330E67">
              <w:rPr>
                <w:bCs w:val="0"/>
                <w:vertAlign w:val="superscript"/>
              </w:rPr>
              <w:t>(c)</w:t>
            </w:r>
          </w:p>
          <w:p w14:paraId="4CA4AF63" w14:textId="77777777" w:rsidR="00C424E5" w:rsidRPr="00AE4953" w:rsidRDefault="00C424E5" w:rsidP="00D0055F">
            <w:pPr>
              <w:spacing w:after="40"/>
              <w:rPr>
                <w:vertAlign w:val="superscript"/>
              </w:rPr>
            </w:pPr>
            <w:r w:rsidRPr="00AE4953">
              <w:t xml:space="preserve">Safe Transport Victoria (STV) </w:t>
            </w:r>
            <w:r w:rsidRPr="00AE4953">
              <w:rPr>
                <w:vertAlign w:val="superscript"/>
              </w:rPr>
              <w:t>(</w:t>
            </w:r>
            <w:r>
              <w:rPr>
                <w:vertAlign w:val="superscript"/>
              </w:rPr>
              <w:t>d</w:t>
            </w:r>
            <w:r w:rsidRPr="00AE4953">
              <w:rPr>
                <w:vertAlign w:val="superscript"/>
              </w:rPr>
              <w:t>)</w:t>
            </w:r>
          </w:p>
          <w:p w14:paraId="64E94A12" w14:textId="77777777" w:rsidR="00C424E5" w:rsidRPr="00AE4953" w:rsidRDefault="00C424E5" w:rsidP="00D0055F">
            <w:pPr>
              <w:pStyle w:val="ListBullet"/>
              <w:numPr>
                <w:ilvl w:val="0"/>
                <w:numId w:val="0"/>
              </w:numPr>
              <w:spacing w:before="20"/>
              <w:ind w:left="284" w:hanging="284"/>
              <w:rPr>
                <w:color w:val="000000" w:themeColor="text1"/>
              </w:rPr>
            </w:pPr>
            <w:r w:rsidRPr="00AE4953">
              <w:rPr>
                <w:color w:val="000000" w:themeColor="text1"/>
              </w:rPr>
              <w:t>VicRoads Modernisation including:</w:t>
            </w:r>
            <w:r w:rsidRPr="00AE4953">
              <w:rPr>
                <w:vertAlign w:val="superscript"/>
              </w:rPr>
              <w:t xml:space="preserve"> (</w:t>
            </w:r>
            <w:r>
              <w:rPr>
                <w:vertAlign w:val="superscript"/>
              </w:rPr>
              <w:t>e</w:t>
            </w:r>
            <w:r w:rsidRPr="00AE4953">
              <w:rPr>
                <w:vertAlign w:val="superscript"/>
              </w:rPr>
              <w:t>)</w:t>
            </w:r>
          </w:p>
          <w:p w14:paraId="64CB7DF6" w14:textId="77777777" w:rsidR="00C424E5" w:rsidRPr="00AE4953" w:rsidRDefault="00C424E5" w:rsidP="00D0055F">
            <w:pPr>
              <w:pStyle w:val="ListBullet"/>
              <w:spacing w:before="20"/>
              <w:ind w:left="170" w:hanging="170"/>
            </w:pPr>
            <w:r w:rsidRPr="00AE4953">
              <w:t xml:space="preserve">CP Services Victoria Pty Ltd </w:t>
            </w:r>
          </w:p>
          <w:p w14:paraId="6DAC3602" w14:textId="77777777" w:rsidR="00C424E5" w:rsidRPr="00AE4953" w:rsidRDefault="00C424E5" w:rsidP="00D0055F">
            <w:pPr>
              <w:pStyle w:val="ListBullet"/>
              <w:spacing w:before="20"/>
              <w:ind w:left="170" w:hanging="170"/>
            </w:pPr>
            <w:r w:rsidRPr="00AE4953">
              <w:t>R&amp;L Services Victoria Pty Ltd</w:t>
            </w:r>
          </w:p>
          <w:p w14:paraId="02A0DD4C" w14:textId="77777777" w:rsidR="00C424E5" w:rsidRPr="00AE4953" w:rsidRDefault="00C424E5" w:rsidP="00D0055F">
            <w:pPr>
              <w:pStyle w:val="ListBullet"/>
              <w:spacing w:before="20"/>
              <w:ind w:left="170" w:hanging="170"/>
            </w:pPr>
            <w:r w:rsidRPr="00AE4953">
              <w:t>Victorian R&amp;L Services Trust</w:t>
            </w:r>
          </w:p>
          <w:p w14:paraId="705655BE" w14:textId="77777777" w:rsidR="00C424E5" w:rsidRPr="001C7011" w:rsidRDefault="00C424E5" w:rsidP="00D0055F">
            <w:pPr>
              <w:pStyle w:val="ListBullet"/>
              <w:spacing w:before="20"/>
              <w:ind w:left="170" w:hanging="170"/>
            </w:pPr>
            <w:r w:rsidRPr="00AE4953">
              <w:t>Victoria CP Services Trust</w:t>
            </w:r>
          </w:p>
        </w:tc>
      </w:tr>
    </w:tbl>
    <w:p w14:paraId="7B0B3E4F" w14:textId="77777777" w:rsidR="00C424E5" w:rsidRDefault="00C424E5" w:rsidP="006206EF">
      <w:pPr>
        <w:pStyle w:val="Note"/>
      </w:pPr>
      <w:r>
        <w:t>Notes:</w:t>
      </w:r>
    </w:p>
    <w:p w14:paraId="79626836" w14:textId="77777777" w:rsidR="00C424E5" w:rsidRDefault="00C424E5" w:rsidP="006206EF">
      <w:pPr>
        <w:pStyle w:val="Note"/>
      </w:pPr>
      <w:r>
        <w:t>(a)</w:t>
      </w:r>
      <w:r>
        <w:tab/>
      </w:r>
      <w:bookmarkStart w:id="92" w:name="_Hlk116373275"/>
      <w:r w:rsidRPr="00680CE3">
        <w:t>On 1 July 2022, the seven Waste and Resource Recovery Groups were abolished and amalgamated into the Department of Environment, Land, Water and Planning (DELWP) to form a business unit within DELWP, Recycling Victoria.</w:t>
      </w:r>
    </w:p>
    <w:p w14:paraId="4F44E836" w14:textId="77777777" w:rsidR="00C424E5" w:rsidRDefault="00C424E5" w:rsidP="006206EF">
      <w:pPr>
        <w:pStyle w:val="Note"/>
      </w:pPr>
      <w:r>
        <w:t>(b)</w:t>
      </w:r>
      <w:r>
        <w:tab/>
      </w:r>
      <w:r w:rsidRPr="00330E67">
        <w:t xml:space="preserve">On 7 September 2022, the Victorian Commonwealth Games Organising Committee was established </w:t>
      </w:r>
      <w:r>
        <w:t xml:space="preserve">as Victoria 2026 Pty Ltd </w:t>
      </w:r>
      <w:r w:rsidRPr="00330E67">
        <w:t>to organise, host and manage the 2026 Commonwealth Games.</w:t>
      </w:r>
    </w:p>
    <w:p w14:paraId="218D3E8E" w14:textId="77777777" w:rsidR="00C424E5" w:rsidRDefault="00C424E5" w:rsidP="006206EF">
      <w:pPr>
        <w:pStyle w:val="Note"/>
      </w:pPr>
      <w:bookmarkStart w:id="93" w:name="_Hlk116383823"/>
      <w:bookmarkEnd w:id="92"/>
      <w:r>
        <w:t>(c)</w:t>
      </w:r>
      <w:r>
        <w:tab/>
        <w:t xml:space="preserve">Effective from August 2022, </w:t>
      </w:r>
      <w:r w:rsidRPr="00595F24">
        <w:t>VicHoldCo was dissolved</w:t>
      </w:r>
      <w:r>
        <w:t>.</w:t>
      </w:r>
    </w:p>
    <w:bookmarkEnd w:id="93"/>
    <w:p w14:paraId="42A58662" w14:textId="77777777" w:rsidR="00C424E5" w:rsidRDefault="00C424E5" w:rsidP="006206EF">
      <w:pPr>
        <w:pStyle w:val="Note"/>
      </w:pPr>
      <w:r>
        <w:t>(d)</w:t>
      </w:r>
      <w:r>
        <w:tab/>
      </w:r>
      <w:r w:rsidRPr="00512BF6">
        <w:t>On 1 July 2022, Commercial Passenger Vehicles Victoria and Transport Safety Victoria came together as a new entity, Safe Transport Victoria (STV), to create a new regulator to manage safety, compliance, accreditation and registration for commercial passenger vehicles, buses</w:t>
      </w:r>
      <w:r>
        <w:t xml:space="preserve"> </w:t>
      </w:r>
      <w:r w:rsidRPr="00512BF6">
        <w:t>and the marine sector.</w:t>
      </w:r>
    </w:p>
    <w:p w14:paraId="63212B4D" w14:textId="77777777" w:rsidR="00C424E5" w:rsidRPr="00A7102E" w:rsidRDefault="00C424E5" w:rsidP="006206EF">
      <w:pPr>
        <w:pStyle w:val="Note"/>
        <w:rPr>
          <w:highlight w:val="yellow"/>
        </w:rPr>
      </w:pPr>
      <w:r>
        <w:rPr>
          <w:iCs/>
        </w:rPr>
        <w:t>(e)</w:t>
      </w:r>
      <w:r>
        <w:rPr>
          <w:iCs/>
        </w:rPr>
        <w:tab/>
      </w:r>
      <w:r w:rsidRPr="00770DD4">
        <w:rPr>
          <w:iCs/>
        </w:rPr>
        <w:t xml:space="preserve">On 15 August 2022, the </w:t>
      </w:r>
      <w:r>
        <w:rPr>
          <w:iCs/>
        </w:rPr>
        <w:t>majority</w:t>
      </w:r>
      <w:r w:rsidRPr="00770DD4">
        <w:rPr>
          <w:iCs/>
        </w:rPr>
        <w:t xml:space="preserve"> interest in the two proprietary companies established under the </w:t>
      </w:r>
      <w:r w:rsidRPr="00770DD4">
        <w:rPr>
          <w:i w:val="0"/>
        </w:rPr>
        <w:t>Corporations Act 20</w:t>
      </w:r>
      <w:r>
        <w:rPr>
          <w:i w:val="0"/>
        </w:rPr>
        <w:t>0</w:t>
      </w:r>
      <w:r w:rsidRPr="00770DD4">
        <w:rPr>
          <w:i w:val="0"/>
        </w:rPr>
        <w:t>1</w:t>
      </w:r>
      <w:r w:rsidRPr="00770DD4">
        <w:rPr>
          <w:iCs/>
        </w:rPr>
        <w:t xml:space="preserve"> and the two Special Purpose Trusts was transferred to the joint venture partner as part of the financial close of the VicRoads Modernisation process</w:t>
      </w:r>
      <w:r>
        <w:rPr>
          <w:iCs/>
        </w:rPr>
        <w:t>, with the State retaining an interest in the joint venture.</w:t>
      </w:r>
    </w:p>
    <w:bookmarkEnd w:id="85"/>
    <w:p w14:paraId="0A8710AD" w14:textId="77777777" w:rsidR="00C424E5" w:rsidRDefault="00C424E5">
      <w:pPr>
        <w:keepLines w:val="0"/>
      </w:pPr>
    </w:p>
    <w:p w14:paraId="2A3D7D31" w14:textId="77777777" w:rsidR="00C424E5" w:rsidRPr="00387283" w:rsidRDefault="00C424E5" w:rsidP="005848C6"/>
    <w:p w14:paraId="53D122F8" w14:textId="22259A6A" w:rsidR="008D6F13" w:rsidRDefault="008D6F13" w:rsidP="003610AD"/>
    <w:p w14:paraId="17A1AA74" w14:textId="3014E4BB" w:rsidR="00C424E5" w:rsidRDefault="00C424E5" w:rsidP="003610AD"/>
    <w:p w14:paraId="2C97A371" w14:textId="77777777" w:rsidR="00C424E5" w:rsidRDefault="00C424E5" w:rsidP="003610AD"/>
    <w:p w14:paraId="3876CF43" w14:textId="40FA0CFD" w:rsidR="0031078F" w:rsidRDefault="0031078F" w:rsidP="003610AD">
      <w:pPr>
        <w:sectPr w:rsidR="0031078F" w:rsidSect="00901119">
          <w:footerReference w:type="first" r:id="rId46"/>
          <w:type w:val="continuous"/>
          <w:pgSz w:w="9979" w:h="14175" w:code="9"/>
          <w:pgMar w:top="1134" w:right="1134" w:bottom="1134" w:left="1134" w:header="624" w:footer="567" w:gutter="0"/>
          <w:cols w:space="708"/>
          <w:docGrid w:linePitch="360"/>
        </w:sectPr>
      </w:pPr>
    </w:p>
    <w:p w14:paraId="179DF502" w14:textId="4D10C4D5" w:rsidR="008D6F13" w:rsidRPr="00AC196B" w:rsidRDefault="00AC196B" w:rsidP="00AC196B">
      <w:pPr>
        <w:pStyle w:val="ChapterHeading"/>
      </w:pPr>
      <w:bookmarkStart w:id="94" w:name="_Toc117586253"/>
      <w:r w:rsidRPr="00AC196B">
        <w:lastRenderedPageBreak/>
        <w:t>Chapter 4 – Contingent assets and contingent liabilities</w:t>
      </w:r>
      <w:bookmarkEnd w:id="94"/>
    </w:p>
    <w:p w14:paraId="5FA12B4D" w14:textId="77777777" w:rsidR="0020345D" w:rsidRDefault="0020345D" w:rsidP="0020345D">
      <w:r>
        <w:t xml:space="preserve">This chapter contains information on contingent assets and liabilities for the general government sector and should be read in conjunction </w:t>
      </w:r>
      <w:r w:rsidRPr="0043313F">
        <w:t>with Chapter 3.</w:t>
      </w:r>
    </w:p>
    <w:p w14:paraId="450708E2" w14:textId="77777777" w:rsidR="0020345D" w:rsidRPr="00FD72D0" w:rsidRDefault="0020345D" w:rsidP="0020345D">
      <w:pPr>
        <w:pStyle w:val="Heading10"/>
      </w:pPr>
      <w:bookmarkStart w:id="95" w:name="_Toc117586254"/>
      <w:r w:rsidRPr="00FD72D0">
        <w:t>Contingent assets</w:t>
      </w:r>
      <w:bookmarkEnd w:id="95"/>
    </w:p>
    <w:p w14:paraId="39EC8CC2" w14:textId="77777777" w:rsidR="0020345D" w:rsidRDefault="0020345D" w:rsidP="0020345D">
      <w:r>
        <w:t>Contingent assets are possible assets that arise from past events, whose existence will be confirmed only by the occurrence or non-occurrence of one or more uncertain future events not wholly within the control of the entity.</w:t>
      </w:r>
    </w:p>
    <w:p w14:paraId="42E0D355" w14:textId="77777777" w:rsidR="0020345D" w:rsidRDefault="0020345D" w:rsidP="0020345D">
      <w:r>
        <w:t>These are classified as either quantifiable, where the potential economic benefit is known, or non</w:t>
      </w:r>
      <w:r>
        <w:noBreakHyphen/>
        <w:t xml:space="preserve">quantifiable. </w:t>
      </w:r>
    </w:p>
    <w:p w14:paraId="46182A16" w14:textId="77777777" w:rsidR="0020345D" w:rsidRDefault="0020345D" w:rsidP="0020345D">
      <w:r>
        <w:t xml:space="preserve">Table 4.1 contains quantifiable contingent assets as at </w:t>
      </w:r>
      <w:r w:rsidRPr="00E31C07">
        <w:t>1</w:t>
      </w:r>
      <w:r>
        <w:t>1</w:t>
      </w:r>
      <w:r w:rsidRPr="00D83C48">
        <w:t xml:space="preserve"> October 2022.</w:t>
      </w:r>
    </w:p>
    <w:p w14:paraId="28136F67" w14:textId="77777777" w:rsidR="0020345D" w:rsidRDefault="0020345D" w:rsidP="0020345D">
      <w:pPr>
        <w:pStyle w:val="TableHeading"/>
      </w:pPr>
      <w:r>
        <w:t>Table 4.1:</w:t>
      </w:r>
      <w:r>
        <w:tab/>
        <w:t xml:space="preserve">Quantifiable contingent assets </w:t>
      </w:r>
      <w:r>
        <w:tab/>
        <w:t>($ million)</w:t>
      </w:r>
    </w:p>
    <w:tbl>
      <w:tblPr>
        <w:tblStyle w:val="DTFTableNumeric"/>
        <w:tblW w:w="7797" w:type="dxa"/>
        <w:tblLayout w:type="fixed"/>
        <w:tblLook w:val="06A0" w:firstRow="1" w:lastRow="0" w:firstColumn="1" w:lastColumn="0" w:noHBand="1" w:noVBand="1"/>
      </w:tblPr>
      <w:tblGrid>
        <w:gridCol w:w="5387"/>
        <w:gridCol w:w="850"/>
        <w:gridCol w:w="1560"/>
      </w:tblGrid>
      <w:tr w:rsidR="00B6646F" w14:paraId="2187BEDD" w14:textId="77777777" w:rsidTr="007E0B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87" w:type="dxa"/>
          </w:tcPr>
          <w:p w14:paraId="0CA57AFE" w14:textId="158F2589" w:rsidR="00B6646F" w:rsidRDefault="00B6646F" w:rsidP="00D0055F"/>
        </w:tc>
        <w:tc>
          <w:tcPr>
            <w:tcW w:w="850" w:type="dxa"/>
          </w:tcPr>
          <w:p w14:paraId="436C1B12" w14:textId="47BA4C7E" w:rsidR="00B6646F" w:rsidRDefault="00B6646F" w:rsidP="00B6646F">
            <w:pPr>
              <w:cnfStyle w:val="100000000000" w:firstRow="1" w:lastRow="0" w:firstColumn="0" w:lastColumn="0" w:oddVBand="0" w:evenVBand="0" w:oddHBand="0" w:evenHBand="0" w:firstRowFirstColumn="0" w:firstRowLastColumn="0" w:lastRowFirstColumn="0" w:lastRowLastColumn="0"/>
            </w:pPr>
            <w:r>
              <w:t>As at</w:t>
            </w:r>
            <w:r>
              <w:br/>
              <w:t>Oct 2022</w:t>
            </w:r>
          </w:p>
        </w:tc>
        <w:tc>
          <w:tcPr>
            <w:tcW w:w="1560" w:type="dxa"/>
          </w:tcPr>
          <w:p w14:paraId="25574F3E" w14:textId="3A815733" w:rsidR="00B6646F" w:rsidRDefault="00B6646F" w:rsidP="00B6646F">
            <w:pPr>
              <w:cnfStyle w:val="100000000000" w:firstRow="1" w:lastRow="0" w:firstColumn="0" w:lastColumn="0" w:oddVBand="0" w:evenVBand="0" w:oddHBand="0" w:evenHBand="0" w:firstRowFirstColumn="0" w:firstRowLastColumn="0" w:lastRowFirstColumn="0" w:lastRowLastColumn="0"/>
            </w:pPr>
            <w:r>
              <w:t>Published budget</w:t>
            </w:r>
            <w:r>
              <w:br/>
              <w:t>estimate</w:t>
            </w:r>
            <w:r>
              <w:rPr>
                <w:vertAlign w:val="superscript"/>
              </w:rPr>
              <w:t xml:space="preserve"> (a)</w:t>
            </w:r>
          </w:p>
        </w:tc>
      </w:tr>
      <w:tr w:rsidR="0020345D" w14:paraId="3A19C829" w14:textId="77777777" w:rsidTr="007E0B75">
        <w:tc>
          <w:tcPr>
            <w:cnfStyle w:val="001000000000" w:firstRow="0" w:lastRow="0" w:firstColumn="1" w:lastColumn="0" w:oddVBand="0" w:evenVBand="0" w:oddHBand="0" w:evenHBand="0" w:firstRowFirstColumn="0" w:firstRowLastColumn="0" w:lastRowFirstColumn="0" w:lastRowLastColumn="0"/>
            <w:tcW w:w="5387" w:type="dxa"/>
          </w:tcPr>
          <w:p w14:paraId="0A69FF7B" w14:textId="77777777" w:rsidR="0020345D" w:rsidRDefault="0020345D" w:rsidP="00D0055F">
            <w:r>
              <w:t>Guarantees, indemnities and warranties</w:t>
            </w:r>
          </w:p>
        </w:tc>
        <w:tc>
          <w:tcPr>
            <w:tcW w:w="850" w:type="dxa"/>
          </w:tcPr>
          <w:p w14:paraId="1F7ACE3B" w14:textId="77777777" w:rsidR="0020345D" w:rsidRDefault="0020345D" w:rsidP="00D0055F">
            <w:pPr>
              <w:cnfStyle w:val="000000000000" w:firstRow="0" w:lastRow="0" w:firstColumn="0" w:lastColumn="0" w:oddVBand="0" w:evenVBand="0" w:oddHBand="0" w:evenHBand="0" w:firstRowFirstColumn="0" w:firstRowLastColumn="0" w:lastRowFirstColumn="0" w:lastRowLastColumn="0"/>
            </w:pPr>
            <w:r>
              <w:t>75</w:t>
            </w:r>
          </w:p>
        </w:tc>
        <w:tc>
          <w:tcPr>
            <w:tcW w:w="1560" w:type="dxa"/>
          </w:tcPr>
          <w:p w14:paraId="45466EE9" w14:textId="77777777" w:rsidR="0020345D" w:rsidRDefault="0020345D" w:rsidP="00D0055F">
            <w:pPr>
              <w:cnfStyle w:val="000000000000" w:firstRow="0" w:lastRow="0" w:firstColumn="0" w:lastColumn="0" w:oddVBand="0" w:evenVBand="0" w:oddHBand="0" w:evenHBand="0" w:firstRowFirstColumn="0" w:firstRowLastColumn="0" w:lastRowFirstColumn="0" w:lastRowLastColumn="0"/>
            </w:pPr>
            <w:r>
              <w:t>81</w:t>
            </w:r>
          </w:p>
        </w:tc>
      </w:tr>
      <w:tr w:rsidR="0020345D" w14:paraId="0EE0D2AD" w14:textId="77777777" w:rsidTr="007E0B75">
        <w:tc>
          <w:tcPr>
            <w:cnfStyle w:val="001000000000" w:firstRow="0" w:lastRow="0" w:firstColumn="1" w:lastColumn="0" w:oddVBand="0" w:evenVBand="0" w:oddHBand="0" w:evenHBand="0" w:firstRowFirstColumn="0" w:firstRowLastColumn="0" w:lastRowFirstColumn="0" w:lastRowLastColumn="0"/>
            <w:tcW w:w="5387" w:type="dxa"/>
          </w:tcPr>
          <w:p w14:paraId="0A209115" w14:textId="77777777" w:rsidR="0020345D" w:rsidRDefault="0020345D" w:rsidP="00D0055F">
            <w:r>
              <w:t>Legal proceedings and disputes</w:t>
            </w:r>
          </w:p>
        </w:tc>
        <w:tc>
          <w:tcPr>
            <w:tcW w:w="850" w:type="dxa"/>
          </w:tcPr>
          <w:p w14:paraId="1E6A9159" w14:textId="77777777" w:rsidR="0020345D" w:rsidRDefault="0020345D" w:rsidP="00D0055F">
            <w:pPr>
              <w:cnfStyle w:val="000000000000" w:firstRow="0" w:lastRow="0" w:firstColumn="0" w:lastColumn="0" w:oddVBand="0" w:evenVBand="0" w:oddHBand="0" w:evenHBand="0" w:firstRowFirstColumn="0" w:firstRowLastColumn="0" w:lastRowFirstColumn="0" w:lastRowLastColumn="0"/>
            </w:pPr>
            <w:r>
              <w:t>2</w:t>
            </w:r>
          </w:p>
        </w:tc>
        <w:tc>
          <w:tcPr>
            <w:tcW w:w="1560" w:type="dxa"/>
          </w:tcPr>
          <w:p w14:paraId="7956B814" w14:textId="77777777" w:rsidR="0020345D" w:rsidRDefault="0020345D" w:rsidP="00D0055F">
            <w:pPr>
              <w:cnfStyle w:val="000000000000" w:firstRow="0" w:lastRow="0" w:firstColumn="0" w:lastColumn="0" w:oddVBand="0" w:evenVBand="0" w:oddHBand="0" w:evenHBand="0" w:firstRowFirstColumn="0" w:firstRowLastColumn="0" w:lastRowFirstColumn="0" w:lastRowLastColumn="0"/>
            </w:pPr>
            <w:r>
              <w:t>3</w:t>
            </w:r>
          </w:p>
        </w:tc>
      </w:tr>
      <w:tr w:rsidR="0020345D" w14:paraId="02ABF842" w14:textId="77777777" w:rsidTr="007E0B75">
        <w:tc>
          <w:tcPr>
            <w:cnfStyle w:val="001000000000" w:firstRow="0" w:lastRow="0" w:firstColumn="1" w:lastColumn="0" w:oddVBand="0" w:evenVBand="0" w:oddHBand="0" w:evenHBand="0" w:firstRowFirstColumn="0" w:firstRowLastColumn="0" w:lastRowFirstColumn="0" w:lastRowLastColumn="0"/>
            <w:tcW w:w="5387" w:type="dxa"/>
            <w:tcBorders>
              <w:bottom w:val="single" w:sz="6" w:space="0" w:color="auto"/>
            </w:tcBorders>
          </w:tcPr>
          <w:p w14:paraId="61FEF09E" w14:textId="77777777" w:rsidR="0020345D" w:rsidRDefault="0020345D" w:rsidP="00D0055F">
            <w:r>
              <w:t>Other</w:t>
            </w:r>
          </w:p>
        </w:tc>
        <w:tc>
          <w:tcPr>
            <w:tcW w:w="850" w:type="dxa"/>
            <w:tcBorders>
              <w:bottom w:val="single" w:sz="6" w:space="0" w:color="auto"/>
            </w:tcBorders>
          </w:tcPr>
          <w:p w14:paraId="0C61B8F7" w14:textId="77777777" w:rsidR="0020345D" w:rsidRDefault="0020345D" w:rsidP="00D0055F">
            <w:pPr>
              <w:cnfStyle w:val="000000000000" w:firstRow="0" w:lastRow="0" w:firstColumn="0" w:lastColumn="0" w:oddVBand="0" w:evenVBand="0" w:oddHBand="0" w:evenHBand="0" w:firstRowFirstColumn="0" w:firstRowLastColumn="0" w:lastRowFirstColumn="0" w:lastRowLastColumn="0"/>
            </w:pPr>
            <w:r>
              <w:t>46</w:t>
            </w:r>
          </w:p>
        </w:tc>
        <w:tc>
          <w:tcPr>
            <w:tcW w:w="1560" w:type="dxa"/>
            <w:tcBorders>
              <w:bottom w:val="single" w:sz="6" w:space="0" w:color="auto"/>
            </w:tcBorders>
          </w:tcPr>
          <w:p w14:paraId="1C018DDC" w14:textId="77777777" w:rsidR="0020345D" w:rsidRDefault="0020345D" w:rsidP="00D0055F">
            <w:pPr>
              <w:cnfStyle w:val="000000000000" w:firstRow="0" w:lastRow="0" w:firstColumn="0" w:lastColumn="0" w:oddVBand="0" w:evenVBand="0" w:oddHBand="0" w:evenHBand="0" w:firstRowFirstColumn="0" w:firstRowLastColumn="0" w:lastRowFirstColumn="0" w:lastRowLastColumn="0"/>
            </w:pPr>
            <w:r>
              <w:t>47</w:t>
            </w:r>
          </w:p>
        </w:tc>
      </w:tr>
      <w:tr w:rsidR="0020345D" w14:paraId="2740390E" w14:textId="77777777" w:rsidTr="007E0B75">
        <w:tc>
          <w:tcPr>
            <w:cnfStyle w:val="001000000000" w:firstRow="0" w:lastRow="0" w:firstColumn="1" w:lastColumn="0" w:oddVBand="0" w:evenVBand="0" w:oddHBand="0" w:evenHBand="0" w:firstRowFirstColumn="0" w:firstRowLastColumn="0" w:lastRowFirstColumn="0" w:lastRowLastColumn="0"/>
            <w:tcW w:w="5387" w:type="dxa"/>
            <w:tcBorders>
              <w:top w:val="single" w:sz="6" w:space="0" w:color="auto"/>
              <w:bottom w:val="single" w:sz="12" w:space="0" w:color="auto"/>
            </w:tcBorders>
          </w:tcPr>
          <w:p w14:paraId="1A5FAC75" w14:textId="77777777" w:rsidR="0020345D" w:rsidRDefault="0020345D" w:rsidP="00D0055F">
            <w:r>
              <w:rPr>
                <w:b/>
              </w:rPr>
              <w:t>Total contingent assets</w:t>
            </w:r>
          </w:p>
        </w:tc>
        <w:tc>
          <w:tcPr>
            <w:tcW w:w="850" w:type="dxa"/>
            <w:tcBorders>
              <w:top w:val="single" w:sz="6" w:space="0" w:color="auto"/>
              <w:bottom w:val="single" w:sz="12" w:space="0" w:color="auto"/>
            </w:tcBorders>
          </w:tcPr>
          <w:p w14:paraId="6367CBFC" w14:textId="77777777" w:rsidR="0020345D" w:rsidRDefault="0020345D" w:rsidP="00D0055F">
            <w:pPr>
              <w:cnfStyle w:val="000000000000" w:firstRow="0" w:lastRow="0" w:firstColumn="0" w:lastColumn="0" w:oddVBand="0" w:evenVBand="0" w:oddHBand="0" w:evenHBand="0" w:firstRowFirstColumn="0" w:firstRowLastColumn="0" w:lastRowFirstColumn="0" w:lastRowLastColumn="0"/>
            </w:pPr>
            <w:r>
              <w:rPr>
                <w:b/>
              </w:rPr>
              <w:t>123</w:t>
            </w:r>
          </w:p>
        </w:tc>
        <w:tc>
          <w:tcPr>
            <w:tcW w:w="1560" w:type="dxa"/>
            <w:tcBorders>
              <w:top w:val="single" w:sz="6" w:space="0" w:color="auto"/>
              <w:bottom w:val="single" w:sz="12" w:space="0" w:color="auto"/>
            </w:tcBorders>
          </w:tcPr>
          <w:p w14:paraId="20097E55" w14:textId="26513C9D" w:rsidR="0020345D" w:rsidRDefault="0020345D" w:rsidP="00D0055F">
            <w:pPr>
              <w:cnfStyle w:val="000000000000" w:firstRow="0" w:lastRow="0" w:firstColumn="0" w:lastColumn="0" w:oddVBand="0" w:evenVBand="0" w:oddHBand="0" w:evenHBand="0" w:firstRowFirstColumn="0" w:firstRowLastColumn="0" w:lastRowFirstColumn="0" w:lastRowLastColumn="0"/>
            </w:pPr>
            <w:r>
              <w:rPr>
                <w:b/>
              </w:rPr>
              <w:t>131</w:t>
            </w:r>
          </w:p>
        </w:tc>
      </w:tr>
    </w:tbl>
    <w:p w14:paraId="65D98E13" w14:textId="77777777" w:rsidR="0020345D" w:rsidRDefault="0020345D" w:rsidP="0020345D">
      <w:pPr>
        <w:pStyle w:val="Note"/>
      </w:pPr>
      <w:r>
        <w:t>Note:</w:t>
      </w:r>
    </w:p>
    <w:p w14:paraId="662C4D63" w14:textId="77777777" w:rsidR="0020345D" w:rsidRDefault="0020345D" w:rsidP="0020345D">
      <w:pPr>
        <w:pStyle w:val="Note"/>
        <w:numPr>
          <w:ilvl w:val="0"/>
          <w:numId w:val="41"/>
        </w:numPr>
        <w:tabs>
          <w:tab w:val="clear" w:pos="284"/>
        </w:tabs>
        <w:spacing w:before="60"/>
        <w:ind w:left="284" w:hanging="284"/>
        <w:contextualSpacing/>
      </w:pPr>
      <w:r w:rsidRPr="00C32EA4">
        <w:t xml:space="preserve">As published in the </w:t>
      </w:r>
      <w:r w:rsidRPr="00C32EA4">
        <w:rPr>
          <w:i w:val="0"/>
        </w:rPr>
        <w:t>2022-23 Budget</w:t>
      </w:r>
      <w:r w:rsidRPr="00C32EA4">
        <w:t>.</w:t>
      </w:r>
    </w:p>
    <w:p w14:paraId="4CA1AAAD" w14:textId="77777777" w:rsidR="0020345D" w:rsidRPr="00961BFE" w:rsidRDefault="0020345D" w:rsidP="0020345D">
      <w:pPr>
        <w:pStyle w:val="Note"/>
      </w:pPr>
    </w:p>
    <w:p w14:paraId="711D9546" w14:textId="77777777" w:rsidR="0020345D" w:rsidRDefault="0020345D" w:rsidP="0020345D">
      <w:pPr>
        <w:pStyle w:val="Heading20"/>
      </w:pPr>
      <w:r>
        <w:t>Non-quantifiable contingent assets</w:t>
      </w:r>
    </w:p>
    <w:p w14:paraId="16F483E3" w14:textId="77777777" w:rsidR="0020345D" w:rsidRPr="00EA1A49" w:rsidRDefault="0020345D" w:rsidP="0020345D">
      <w:pPr>
        <w:pStyle w:val="Heading30"/>
      </w:pPr>
      <w:r w:rsidRPr="00EA1A49">
        <w:t>Peninsula Link compensable enhancement claim</w:t>
      </w:r>
    </w:p>
    <w:p w14:paraId="3D744CD8" w14:textId="77777777" w:rsidR="0020345D" w:rsidRDefault="0020345D" w:rsidP="0020345D">
      <w:r>
        <w:t>The EastLink Concession Deed contains compensable enhancement provisions that enable the State to claim 50 per cent of any additional revenue derived by ConnectEast Pty Ltd (ConnectEast) as a result of certain events that particularly benefit EastLink, including changes to the adjoining road network.</w:t>
      </w:r>
    </w:p>
    <w:p w14:paraId="31B4C8D8" w14:textId="77777777" w:rsidR="0020345D" w:rsidRDefault="0020345D" w:rsidP="0020345D">
      <w:r>
        <w:t>On 2 January 2014, the State lodged a compensable enhancement claim as a result of opening Peninsula Link. The claim remains outstanding.</w:t>
      </w:r>
    </w:p>
    <w:p w14:paraId="7F89E028" w14:textId="77777777" w:rsidR="0020345D" w:rsidRDefault="0020345D" w:rsidP="0020345D">
      <w:pPr>
        <w:pStyle w:val="Heading10"/>
      </w:pPr>
      <w:bookmarkStart w:id="96" w:name="_Toc517171549"/>
      <w:bookmarkStart w:id="97" w:name="_Toc117586255"/>
      <w:r>
        <w:lastRenderedPageBreak/>
        <w:t>Contingent liabilities</w:t>
      </w:r>
      <w:bookmarkEnd w:id="96"/>
      <w:bookmarkEnd w:id="97"/>
    </w:p>
    <w:p w14:paraId="676948A1" w14:textId="77777777" w:rsidR="0020345D" w:rsidRDefault="0020345D" w:rsidP="0020345D">
      <w:r>
        <w:t>Contingent liabilities are either:</w:t>
      </w:r>
    </w:p>
    <w:p w14:paraId="4D142A1F" w14:textId="53AA3BFB" w:rsidR="0020345D" w:rsidRDefault="0020345D" w:rsidP="0020345D">
      <w:pPr>
        <w:pStyle w:val="ListBullet"/>
        <w:numPr>
          <w:ilvl w:val="0"/>
          <w:numId w:val="39"/>
        </w:numPr>
      </w:pPr>
      <w:r>
        <w:t xml:space="preserve">possible obligations that arise from past events, whose existence will be confirmed only by the occurrence or non-occurrence of one or more uncertain future events not wholly within the control of the entity </w:t>
      </w:r>
    </w:p>
    <w:p w14:paraId="19A0B4BE" w14:textId="77777777" w:rsidR="0020345D" w:rsidRDefault="0020345D" w:rsidP="0020345D">
      <w:pPr>
        <w:pStyle w:val="ListBullet"/>
        <w:numPr>
          <w:ilvl w:val="0"/>
          <w:numId w:val="39"/>
        </w:numPr>
      </w:pPr>
      <w:r>
        <w:t>present obligations that arise from past events but are not recognised because either:</w:t>
      </w:r>
    </w:p>
    <w:p w14:paraId="45428975" w14:textId="44CBF190" w:rsidR="0020345D" w:rsidRPr="00716A8E" w:rsidRDefault="0020345D" w:rsidP="0020345D">
      <w:pPr>
        <w:pStyle w:val="ListBullet2"/>
        <w:numPr>
          <w:ilvl w:val="1"/>
          <w:numId w:val="39"/>
        </w:numPr>
      </w:pPr>
      <w:r w:rsidRPr="00716A8E">
        <w:t xml:space="preserve">it is not probable that an outflow of resources embodying economic benefits will be required to settle the obligations </w:t>
      </w:r>
    </w:p>
    <w:p w14:paraId="24A01C55" w14:textId="77777777" w:rsidR="0020345D" w:rsidRPr="00716A8E" w:rsidRDefault="0020345D" w:rsidP="0020345D">
      <w:pPr>
        <w:pStyle w:val="ListBullet2"/>
        <w:numPr>
          <w:ilvl w:val="1"/>
          <w:numId w:val="39"/>
        </w:numPr>
      </w:pPr>
      <w:r w:rsidRPr="00716A8E">
        <w:t>the amount of the obligations cannot be measured with sufficient reliability.</w:t>
      </w:r>
    </w:p>
    <w:p w14:paraId="2D6B9FA7" w14:textId="77777777" w:rsidR="0020345D" w:rsidRDefault="0020345D" w:rsidP="0020345D">
      <w:r>
        <w:t>Contingent liabilities are also classified as either quantifiable or non-quantifiable.</w:t>
      </w:r>
    </w:p>
    <w:p w14:paraId="14D89B0B" w14:textId="77777777" w:rsidR="0020345D" w:rsidRDefault="0020345D" w:rsidP="0020345D">
      <w:r>
        <w:t xml:space="preserve">Table 4.2 contains quantifiable contingent liabilities as </w:t>
      </w:r>
      <w:r w:rsidRPr="00C32EA4">
        <w:t xml:space="preserve">at </w:t>
      </w:r>
      <w:r>
        <w:t>11</w:t>
      </w:r>
      <w:r w:rsidRPr="00D83C48">
        <w:t xml:space="preserve"> October 2022.</w:t>
      </w:r>
    </w:p>
    <w:p w14:paraId="54C0B283" w14:textId="77777777" w:rsidR="0020345D" w:rsidRPr="00126A6E" w:rsidRDefault="0020345D" w:rsidP="00126A6E">
      <w:pPr>
        <w:pStyle w:val="TableHeading"/>
      </w:pPr>
      <w:r w:rsidRPr="00126A6E">
        <w:t>Table 4.2:</w:t>
      </w:r>
      <w:r w:rsidRPr="00126A6E">
        <w:tab/>
        <w:t>Quantifiable contingent liabilities</w:t>
      </w:r>
      <w:r w:rsidRPr="00126A6E">
        <w:tab/>
        <w:t>($ million)</w:t>
      </w:r>
    </w:p>
    <w:tbl>
      <w:tblPr>
        <w:tblStyle w:val="DTFTableNumeric"/>
        <w:tblW w:w="7711" w:type="dxa"/>
        <w:tblLayout w:type="fixed"/>
        <w:tblLook w:val="06A0" w:firstRow="1" w:lastRow="0" w:firstColumn="1" w:lastColumn="0" w:noHBand="1" w:noVBand="1"/>
      </w:tblPr>
      <w:tblGrid>
        <w:gridCol w:w="5186"/>
        <w:gridCol w:w="982"/>
        <w:gridCol w:w="1543"/>
      </w:tblGrid>
      <w:tr w:rsidR="00B6646F" w14:paraId="713A23CC" w14:textId="77777777" w:rsidTr="00126A6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5" w:type="dxa"/>
          </w:tcPr>
          <w:p w14:paraId="7F8D2A4C" w14:textId="57B39F69" w:rsidR="00B6646F" w:rsidRDefault="00B6646F" w:rsidP="00D0055F"/>
        </w:tc>
        <w:tc>
          <w:tcPr>
            <w:tcW w:w="992" w:type="dxa"/>
          </w:tcPr>
          <w:p w14:paraId="659C963A" w14:textId="0C8113E9" w:rsidR="00B6646F" w:rsidRDefault="00B6646F" w:rsidP="00B6646F">
            <w:pPr>
              <w:cnfStyle w:val="100000000000" w:firstRow="1" w:lastRow="0" w:firstColumn="0" w:lastColumn="0" w:oddVBand="0" w:evenVBand="0" w:oddHBand="0" w:evenHBand="0" w:firstRowFirstColumn="0" w:firstRowLastColumn="0" w:lastRowFirstColumn="0" w:lastRowLastColumn="0"/>
            </w:pPr>
            <w:r>
              <w:t xml:space="preserve">As at </w:t>
            </w:r>
            <w:r>
              <w:br/>
              <w:t>Oct 2022</w:t>
            </w:r>
          </w:p>
        </w:tc>
        <w:tc>
          <w:tcPr>
            <w:tcW w:w="1560" w:type="dxa"/>
          </w:tcPr>
          <w:p w14:paraId="433C0936" w14:textId="579AF7A3" w:rsidR="00B6646F" w:rsidRDefault="00B6646F" w:rsidP="00B6646F">
            <w:pPr>
              <w:cnfStyle w:val="100000000000" w:firstRow="1" w:lastRow="0" w:firstColumn="0" w:lastColumn="0" w:oddVBand="0" w:evenVBand="0" w:oddHBand="0" w:evenHBand="0" w:firstRowFirstColumn="0" w:firstRowLastColumn="0" w:lastRowFirstColumn="0" w:lastRowLastColumn="0"/>
            </w:pPr>
            <w:r>
              <w:t>Published budget estimate</w:t>
            </w:r>
            <w:r>
              <w:rPr>
                <w:vertAlign w:val="superscript"/>
              </w:rPr>
              <w:t xml:space="preserve"> (a)</w:t>
            </w:r>
          </w:p>
        </w:tc>
      </w:tr>
      <w:tr w:rsidR="0020345D" w14:paraId="008CCC49" w14:textId="77777777" w:rsidTr="00126A6E">
        <w:tc>
          <w:tcPr>
            <w:cnfStyle w:val="001000000000" w:firstRow="0" w:lastRow="0" w:firstColumn="1" w:lastColumn="0" w:oddVBand="0" w:evenVBand="0" w:oddHBand="0" w:evenHBand="0" w:firstRowFirstColumn="0" w:firstRowLastColumn="0" w:lastRowFirstColumn="0" w:lastRowLastColumn="0"/>
            <w:tcW w:w="5245" w:type="dxa"/>
          </w:tcPr>
          <w:p w14:paraId="409987D2" w14:textId="77777777" w:rsidR="0020345D" w:rsidRDefault="0020345D" w:rsidP="00D0055F">
            <w:r>
              <w:t>Guarantees, indemnities and warranties</w:t>
            </w:r>
            <w:r>
              <w:rPr>
                <w:vertAlign w:val="superscript"/>
              </w:rPr>
              <w:t xml:space="preserve"> (b)</w:t>
            </w:r>
          </w:p>
        </w:tc>
        <w:tc>
          <w:tcPr>
            <w:tcW w:w="992" w:type="dxa"/>
          </w:tcPr>
          <w:p w14:paraId="5CFC5ABB" w14:textId="77777777" w:rsidR="0020345D" w:rsidRDefault="0020345D" w:rsidP="00D0055F">
            <w:pPr>
              <w:cnfStyle w:val="000000000000" w:firstRow="0" w:lastRow="0" w:firstColumn="0" w:lastColumn="0" w:oddVBand="0" w:evenVBand="0" w:oddHBand="0" w:evenHBand="0" w:firstRowFirstColumn="0" w:firstRowLastColumn="0" w:lastRowFirstColumn="0" w:lastRowLastColumn="0"/>
            </w:pPr>
            <w:r>
              <w:t>1 070</w:t>
            </w:r>
          </w:p>
        </w:tc>
        <w:tc>
          <w:tcPr>
            <w:tcW w:w="1560" w:type="dxa"/>
          </w:tcPr>
          <w:p w14:paraId="583190CC" w14:textId="77777777" w:rsidR="0020345D" w:rsidRDefault="0020345D" w:rsidP="00D0055F">
            <w:pPr>
              <w:cnfStyle w:val="000000000000" w:firstRow="0" w:lastRow="0" w:firstColumn="0" w:lastColumn="0" w:oddVBand="0" w:evenVBand="0" w:oddHBand="0" w:evenHBand="0" w:firstRowFirstColumn="0" w:firstRowLastColumn="0" w:lastRowFirstColumn="0" w:lastRowLastColumn="0"/>
            </w:pPr>
            <w:r>
              <w:t>999</w:t>
            </w:r>
          </w:p>
        </w:tc>
      </w:tr>
      <w:tr w:rsidR="0020345D" w14:paraId="196927AD" w14:textId="77777777" w:rsidTr="00126A6E">
        <w:tc>
          <w:tcPr>
            <w:cnfStyle w:val="001000000000" w:firstRow="0" w:lastRow="0" w:firstColumn="1" w:lastColumn="0" w:oddVBand="0" w:evenVBand="0" w:oddHBand="0" w:evenHBand="0" w:firstRowFirstColumn="0" w:firstRowLastColumn="0" w:lastRowFirstColumn="0" w:lastRowLastColumn="0"/>
            <w:tcW w:w="5245" w:type="dxa"/>
          </w:tcPr>
          <w:p w14:paraId="3485CEC2" w14:textId="77777777" w:rsidR="0020345D" w:rsidRDefault="0020345D" w:rsidP="00D0055F">
            <w:r>
              <w:t>Legal proceedings and disputes</w:t>
            </w:r>
          </w:p>
        </w:tc>
        <w:tc>
          <w:tcPr>
            <w:tcW w:w="992" w:type="dxa"/>
          </w:tcPr>
          <w:p w14:paraId="0C59B1D6" w14:textId="77777777" w:rsidR="0020345D" w:rsidRDefault="0020345D" w:rsidP="00D0055F">
            <w:pPr>
              <w:cnfStyle w:val="000000000000" w:firstRow="0" w:lastRow="0" w:firstColumn="0" w:lastColumn="0" w:oddVBand="0" w:evenVBand="0" w:oddHBand="0" w:evenHBand="0" w:firstRowFirstColumn="0" w:firstRowLastColumn="0" w:lastRowFirstColumn="0" w:lastRowLastColumn="0"/>
            </w:pPr>
            <w:r>
              <w:t>335</w:t>
            </w:r>
          </w:p>
        </w:tc>
        <w:tc>
          <w:tcPr>
            <w:tcW w:w="1560" w:type="dxa"/>
          </w:tcPr>
          <w:p w14:paraId="6808170C" w14:textId="77777777" w:rsidR="0020345D" w:rsidRDefault="0020345D" w:rsidP="00D0055F">
            <w:pPr>
              <w:cnfStyle w:val="000000000000" w:firstRow="0" w:lastRow="0" w:firstColumn="0" w:lastColumn="0" w:oddVBand="0" w:evenVBand="0" w:oddHBand="0" w:evenHBand="0" w:firstRowFirstColumn="0" w:firstRowLastColumn="0" w:lastRowFirstColumn="0" w:lastRowLastColumn="0"/>
            </w:pPr>
            <w:r>
              <w:t>423</w:t>
            </w:r>
          </w:p>
        </w:tc>
      </w:tr>
      <w:tr w:rsidR="0020345D" w14:paraId="33B2D649" w14:textId="77777777" w:rsidTr="00126A6E">
        <w:tc>
          <w:tcPr>
            <w:cnfStyle w:val="001000000000" w:firstRow="0" w:lastRow="0" w:firstColumn="1" w:lastColumn="0" w:oddVBand="0" w:evenVBand="0" w:oddHBand="0" w:evenHBand="0" w:firstRowFirstColumn="0" w:firstRowLastColumn="0" w:lastRowFirstColumn="0" w:lastRowLastColumn="0"/>
            <w:tcW w:w="5245" w:type="dxa"/>
          </w:tcPr>
          <w:p w14:paraId="7223E0D3" w14:textId="77777777" w:rsidR="0020345D" w:rsidRDefault="0020345D" w:rsidP="00D0055F">
            <w:r>
              <w:t>Other</w:t>
            </w:r>
          </w:p>
        </w:tc>
        <w:tc>
          <w:tcPr>
            <w:tcW w:w="992" w:type="dxa"/>
          </w:tcPr>
          <w:p w14:paraId="6574FBB5" w14:textId="77777777" w:rsidR="0020345D" w:rsidRDefault="0020345D" w:rsidP="00D0055F">
            <w:pPr>
              <w:cnfStyle w:val="000000000000" w:firstRow="0" w:lastRow="0" w:firstColumn="0" w:lastColumn="0" w:oddVBand="0" w:evenVBand="0" w:oddHBand="0" w:evenHBand="0" w:firstRowFirstColumn="0" w:firstRowLastColumn="0" w:lastRowFirstColumn="0" w:lastRowLastColumn="0"/>
            </w:pPr>
            <w:r>
              <w:t>442</w:t>
            </w:r>
          </w:p>
        </w:tc>
        <w:tc>
          <w:tcPr>
            <w:tcW w:w="1560" w:type="dxa"/>
          </w:tcPr>
          <w:p w14:paraId="53E92EBC" w14:textId="77777777" w:rsidR="0020345D" w:rsidRDefault="0020345D" w:rsidP="00D0055F">
            <w:pPr>
              <w:cnfStyle w:val="000000000000" w:firstRow="0" w:lastRow="0" w:firstColumn="0" w:lastColumn="0" w:oddVBand="0" w:evenVBand="0" w:oddHBand="0" w:evenHBand="0" w:firstRowFirstColumn="0" w:firstRowLastColumn="0" w:lastRowFirstColumn="0" w:lastRowLastColumn="0"/>
            </w:pPr>
            <w:r>
              <w:t>454</w:t>
            </w:r>
          </w:p>
        </w:tc>
      </w:tr>
      <w:tr w:rsidR="0020345D" w14:paraId="261D57CB" w14:textId="77777777" w:rsidTr="00126A6E">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6ED38F40" w14:textId="77777777" w:rsidR="0020345D" w:rsidRDefault="0020345D" w:rsidP="00D0055F">
            <w:r>
              <w:t>Non</w:t>
            </w:r>
            <w:r>
              <w:noBreakHyphen/>
              <w:t xml:space="preserve">general government debt </w:t>
            </w:r>
            <w:r>
              <w:rPr>
                <w:vertAlign w:val="superscript"/>
              </w:rPr>
              <w:t>(c)</w:t>
            </w:r>
          </w:p>
        </w:tc>
        <w:tc>
          <w:tcPr>
            <w:tcW w:w="992" w:type="dxa"/>
            <w:tcBorders>
              <w:bottom w:val="single" w:sz="6" w:space="0" w:color="auto"/>
            </w:tcBorders>
          </w:tcPr>
          <w:p w14:paraId="452B7732" w14:textId="77777777" w:rsidR="0020345D" w:rsidRDefault="0020345D" w:rsidP="00D0055F">
            <w:pPr>
              <w:cnfStyle w:val="000000000000" w:firstRow="0" w:lastRow="0" w:firstColumn="0" w:lastColumn="0" w:oddVBand="0" w:evenVBand="0" w:oddHBand="0" w:evenHBand="0" w:firstRowFirstColumn="0" w:firstRowLastColumn="0" w:lastRowFirstColumn="0" w:lastRowLastColumn="0"/>
            </w:pPr>
            <w:r>
              <w:t>14 603</w:t>
            </w:r>
          </w:p>
        </w:tc>
        <w:tc>
          <w:tcPr>
            <w:tcW w:w="1560" w:type="dxa"/>
            <w:tcBorders>
              <w:bottom w:val="single" w:sz="6" w:space="0" w:color="auto"/>
            </w:tcBorders>
          </w:tcPr>
          <w:p w14:paraId="2F889733" w14:textId="77777777" w:rsidR="0020345D" w:rsidRDefault="0020345D" w:rsidP="00D0055F">
            <w:pPr>
              <w:cnfStyle w:val="000000000000" w:firstRow="0" w:lastRow="0" w:firstColumn="0" w:lastColumn="0" w:oddVBand="0" w:evenVBand="0" w:oddHBand="0" w:evenHBand="0" w:firstRowFirstColumn="0" w:firstRowLastColumn="0" w:lastRowFirstColumn="0" w:lastRowLastColumn="0"/>
            </w:pPr>
            <w:r>
              <w:t>14 241</w:t>
            </w:r>
          </w:p>
        </w:tc>
      </w:tr>
      <w:tr w:rsidR="0020345D" w14:paraId="2CCD6BB1" w14:textId="77777777" w:rsidTr="00126A6E">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12" w:space="0" w:color="auto"/>
            </w:tcBorders>
          </w:tcPr>
          <w:p w14:paraId="4EBDDF89" w14:textId="77777777" w:rsidR="0020345D" w:rsidRDefault="0020345D" w:rsidP="00D0055F">
            <w:r>
              <w:rPr>
                <w:b/>
              </w:rPr>
              <w:t>Total contingent liabilities</w:t>
            </w:r>
          </w:p>
        </w:tc>
        <w:tc>
          <w:tcPr>
            <w:tcW w:w="992" w:type="dxa"/>
            <w:tcBorders>
              <w:top w:val="single" w:sz="6" w:space="0" w:color="auto"/>
              <w:bottom w:val="single" w:sz="12" w:space="0" w:color="auto"/>
            </w:tcBorders>
          </w:tcPr>
          <w:p w14:paraId="65356DF9" w14:textId="77777777" w:rsidR="0020345D" w:rsidRDefault="0020345D" w:rsidP="00D0055F">
            <w:pPr>
              <w:cnfStyle w:val="000000000000" w:firstRow="0" w:lastRow="0" w:firstColumn="0" w:lastColumn="0" w:oddVBand="0" w:evenVBand="0" w:oddHBand="0" w:evenHBand="0" w:firstRowFirstColumn="0" w:firstRowLastColumn="0" w:lastRowFirstColumn="0" w:lastRowLastColumn="0"/>
            </w:pPr>
            <w:r>
              <w:rPr>
                <w:b/>
              </w:rPr>
              <w:t>16 450</w:t>
            </w:r>
          </w:p>
        </w:tc>
        <w:tc>
          <w:tcPr>
            <w:tcW w:w="1560" w:type="dxa"/>
            <w:tcBorders>
              <w:top w:val="single" w:sz="6" w:space="0" w:color="auto"/>
              <w:bottom w:val="single" w:sz="12" w:space="0" w:color="auto"/>
            </w:tcBorders>
          </w:tcPr>
          <w:p w14:paraId="4DC8D62D" w14:textId="5671681A" w:rsidR="0020345D" w:rsidRDefault="0020345D" w:rsidP="00D0055F">
            <w:pPr>
              <w:cnfStyle w:val="000000000000" w:firstRow="0" w:lastRow="0" w:firstColumn="0" w:lastColumn="0" w:oddVBand="0" w:evenVBand="0" w:oddHBand="0" w:evenHBand="0" w:firstRowFirstColumn="0" w:firstRowLastColumn="0" w:lastRowFirstColumn="0" w:lastRowLastColumn="0"/>
            </w:pPr>
            <w:r>
              <w:rPr>
                <w:b/>
              </w:rPr>
              <w:t>16 118</w:t>
            </w:r>
          </w:p>
        </w:tc>
      </w:tr>
    </w:tbl>
    <w:p w14:paraId="5FA93BFE" w14:textId="77777777" w:rsidR="0020345D" w:rsidRDefault="0020345D" w:rsidP="0020345D">
      <w:pPr>
        <w:pStyle w:val="Note"/>
      </w:pPr>
      <w:r>
        <w:t>Notes:</w:t>
      </w:r>
    </w:p>
    <w:p w14:paraId="7A6F5F2E" w14:textId="77777777" w:rsidR="0020345D" w:rsidRDefault="0020345D" w:rsidP="0020345D">
      <w:pPr>
        <w:pStyle w:val="Note"/>
        <w:numPr>
          <w:ilvl w:val="0"/>
          <w:numId w:val="40"/>
        </w:numPr>
        <w:spacing w:before="60"/>
        <w:contextualSpacing/>
        <w:rPr>
          <w:i w:val="0"/>
        </w:rPr>
      </w:pPr>
      <w:r w:rsidRPr="00C32EA4">
        <w:t xml:space="preserve">As published in the </w:t>
      </w:r>
      <w:r w:rsidRPr="00C32EA4">
        <w:rPr>
          <w:i w:val="0"/>
        </w:rPr>
        <w:t>2022-23 Budget</w:t>
      </w:r>
      <w:r>
        <w:rPr>
          <w:i w:val="0"/>
        </w:rPr>
        <w:t>.</w:t>
      </w:r>
    </w:p>
    <w:p w14:paraId="1DA354BC" w14:textId="77777777" w:rsidR="0020345D" w:rsidRDefault="0020345D" w:rsidP="0020345D">
      <w:pPr>
        <w:pStyle w:val="Note"/>
        <w:numPr>
          <w:ilvl w:val="0"/>
          <w:numId w:val="40"/>
        </w:numPr>
        <w:spacing w:before="60"/>
        <w:contextualSpacing/>
      </w:pPr>
      <w:r>
        <w:t xml:space="preserve">Guarantees, indemnities and warranties include loans provided by the Treasury Corporation of Victoria to entities other than the State of Victoria and participating authorities, subject to the provision of a guarantee by the Treasurer. </w:t>
      </w:r>
    </w:p>
    <w:p w14:paraId="1DF66EDD" w14:textId="017FD23E" w:rsidR="0020345D" w:rsidRDefault="0020345D" w:rsidP="0020345D">
      <w:pPr>
        <w:pStyle w:val="Note"/>
      </w:pPr>
      <w:r>
        <w:t>(c)</w:t>
      </w:r>
      <w:r>
        <w:tab/>
        <w:t xml:space="preserve">Mainly represents the guarantee of borrowings provided by the Treasurer for the public sector borrowings portfolio. </w:t>
      </w:r>
      <w:r w:rsidR="00EC7D1E">
        <w:br/>
      </w:r>
      <w:r>
        <w:t>Expected losses under any financial guarantees are recorded as financial liabilities in the balance sheet.</w:t>
      </w:r>
    </w:p>
    <w:p w14:paraId="1207E177" w14:textId="77777777" w:rsidR="0020345D" w:rsidRDefault="0020345D" w:rsidP="00B77FAD"/>
    <w:p w14:paraId="53614927" w14:textId="77777777" w:rsidR="0020345D" w:rsidRDefault="0020345D" w:rsidP="0020345D">
      <w:pPr>
        <w:pStyle w:val="Heading20"/>
      </w:pPr>
      <w:r>
        <w:t>Non-quantifiable contingent liabilities</w:t>
      </w:r>
    </w:p>
    <w:p w14:paraId="56403C7A" w14:textId="77777777" w:rsidR="0020345D" w:rsidRDefault="0020345D" w:rsidP="0020345D">
      <w:r>
        <w:t>A number of potential obligations are non</w:t>
      </w:r>
      <w:r>
        <w:noBreakHyphen/>
        <w:t>quantifiable at this time arising from:</w:t>
      </w:r>
    </w:p>
    <w:p w14:paraId="795CEFF4" w14:textId="77777777" w:rsidR="0020345D" w:rsidRPr="0020345D" w:rsidRDefault="0020345D" w:rsidP="0020345D">
      <w:pPr>
        <w:pStyle w:val="ListBullet"/>
      </w:pPr>
      <w:r w:rsidRPr="0020345D">
        <w:t>indemnities provided in relation to transactions, including financial arrangements and consultancy services, as well as for directors and administrators</w:t>
      </w:r>
    </w:p>
    <w:p w14:paraId="7D6E6976" w14:textId="77777777" w:rsidR="0020345D" w:rsidRPr="0020345D" w:rsidRDefault="0020345D" w:rsidP="0020345D">
      <w:pPr>
        <w:pStyle w:val="ListBullet"/>
      </w:pPr>
      <w:r w:rsidRPr="0020345D">
        <w:t>performance guarantees, warranties, letters of comfort and the like</w:t>
      </w:r>
    </w:p>
    <w:p w14:paraId="0FD0BD98" w14:textId="77777777" w:rsidR="0020345D" w:rsidRPr="0020345D" w:rsidRDefault="0020345D" w:rsidP="0020345D">
      <w:pPr>
        <w:pStyle w:val="ListBullet"/>
      </w:pPr>
      <w:r w:rsidRPr="0020345D">
        <w:t>deeds in respect of certain obligations</w:t>
      </w:r>
    </w:p>
    <w:p w14:paraId="56062F15" w14:textId="77777777" w:rsidR="0020345D" w:rsidRPr="0020345D" w:rsidRDefault="0020345D" w:rsidP="0020345D">
      <w:pPr>
        <w:pStyle w:val="ListBullet"/>
      </w:pPr>
      <w:r w:rsidRPr="0020345D">
        <w:t>unclaimed monies, which may be subject to future claims by the general public against the State.</w:t>
      </w:r>
    </w:p>
    <w:p w14:paraId="464921AE" w14:textId="77777777" w:rsidR="0020345D" w:rsidRDefault="0020345D" w:rsidP="0020345D">
      <w:r>
        <w:t>An overview of the more significant non</w:t>
      </w:r>
      <w:r>
        <w:noBreakHyphen/>
        <w:t>quantifiable liabilities follows.</w:t>
      </w:r>
    </w:p>
    <w:p w14:paraId="7E9DDD02" w14:textId="77777777" w:rsidR="0020345D" w:rsidRPr="00596030" w:rsidRDefault="0020345D" w:rsidP="00B77FAD">
      <w:pPr>
        <w:pStyle w:val="Heading30"/>
        <w:pageBreakBefore/>
      </w:pPr>
      <w:r w:rsidRPr="00596030">
        <w:lastRenderedPageBreak/>
        <w:t xml:space="preserve">Biosciences Research Centre (known as AgriBio) </w:t>
      </w:r>
    </w:p>
    <w:p w14:paraId="09349CE7" w14:textId="77777777" w:rsidR="0020345D" w:rsidRDefault="0020345D" w:rsidP="0020345D">
      <w:r w:rsidRPr="005E7C8E">
        <w:t xml:space="preserve">The quarterly service fee payment obligations of Biosciences Research Centre Pty Ltd (BRC Co) on behalf of the joint venture participants (Department of Jobs, Precincts and Regions and La Trobe University) are backed by the State of Victoria under a State Support Deed. </w:t>
      </w:r>
    </w:p>
    <w:p w14:paraId="4273F11B" w14:textId="77777777" w:rsidR="0020345D" w:rsidRDefault="0020345D" w:rsidP="0020345D">
      <w:r w:rsidRPr="005E7C8E">
        <w:t>Under this Deed, the State ensures that the joint venture participants have the financial capacity to meet their payment obligations to BRC Co, thereby enabling BRC Co to meet its obligations to pay the quarterly service fee to the concessionaire under the Project Agreement. The State underwrites the risk of any default by BRC Co.</w:t>
      </w:r>
    </w:p>
    <w:p w14:paraId="74F57292" w14:textId="77777777" w:rsidR="0020345D" w:rsidRPr="001A2FAA" w:rsidRDefault="0020345D" w:rsidP="0020345D">
      <w:pPr>
        <w:pStyle w:val="Heading30"/>
      </w:pPr>
      <w:r w:rsidRPr="001A2FAA">
        <w:t>Compulsory property acquisitions</w:t>
      </w:r>
    </w:p>
    <w:p w14:paraId="07393C1C" w14:textId="77777777" w:rsidR="0020345D" w:rsidRDefault="0020345D" w:rsidP="0020345D">
      <w:pPr>
        <w:rPr>
          <w:i/>
          <w:iCs/>
        </w:rPr>
      </w:pPr>
      <w:r w:rsidRPr="00347553">
        <w:t>The State has compulsorily acquired a number of properties (residential and commercial)</w:t>
      </w:r>
      <w:r>
        <w:rPr>
          <w:i/>
          <w:iCs/>
        </w:rPr>
        <w:t xml:space="preserve"> </w:t>
      </w:r>
      <w:r w:rsidRPr="00347553">
        <w:t xml:space="preserve">through the </w:t>
      </w:r>
      <w:r w:rsidRPr="00DC7F87">
        <w:rPr>
          <w:i/>
          <w:iCs/>
        </w:rPr>
        <w:t>Land Acquisition and Compensation Act 1986</w:t>
      </w:r>
      <w:r w:rsidRPr="00347553">
        <w:t xml:space="preserve"> to facilitate delivery of various</w:t>
      </w:r>
      <w:r>
        <w:rPr>
          <w:i/>
          <w:iCs/>
        </w:rPr>
        <w:t xml:space="preserve"> </w:t>
      </w:r>
      <w:r w:rsidRPr="00347553">
        <w:t xml:space="preserve">projects. Possible future claims for compensation arising from the </w:t>
      </w:r>
      <w:r w:rsidRPr="00847555">
        <w:t>c</w:t>
      </w:r>
      <w:r w:rsidRPr="00347553">
        <w:t>ompulsory acquisition</w:t>
      </w:r>
      <w:r>
        <w:rPr>
          <w:i/>
          <w:iCs/>
        </w:rPr>
        <w:t xml:space="preserve"> </w:t>
      </w:r>
      <w:r w:rsidRPr="00347553">
        <w:t>of these properties cannot be quantified at this stage.</w:t>
      </w:r>
    </w:p>
    <w:p w14:paraId="39C3B565" w14:textId="77777777" w:rsidR="0020345D" w:rsidRPr="00596030" w:rsidRDefault="0020345D" w:rsidP="0020345D">
      <w:pPr>
        <w:pStyle w:val="Heading30"/>
      </w:pPr>
      <w:r w:rsidRPr="00596030">
        <w:t xml:space="preserve">COVID-19 class action – Victorian businesses </w:t>
      </w:r>
    </w:p>
    <w:p w14:paraId="2412B883" w14:textId="77777777" w:rsidR="0020345D" w:rsidRDefault="0020345D" w:rsidP="009F52D2">
      <w:pPr>
        <w:ind w:right="-86"/>
      </w:pPr>
      <w:r>
        <w:t xml:space="preserve">A class action has been filed in the Supreme Court of Victoria against the State of Victoria, the Ministers for Health and Jobs, and the Secretaries of the </w:t>
      </w:r>
      <w:r w:rsidRPr="00EE7F82">
        <w:t>Department of Health and Human Services (DHHS)</w:t>
      </w:r>
      <w:r>
        <w:t xml:space="preserve"> and the Department of Jobs, Precincts and Regions (DJPR) relating to economic losses suffered by Victorian businesses under Stage 3 and 4 public health restrictions. The VMIA has been notified of this proceeding. VMIA’s Combined Liability Policy will respond. </w:t>
      </w:r>
    </w:p>
    <w:p w14:paraId="7D3D44BD" w14:textId="77777777" w:rsidR="0020345D" w:rsidRDefault="0020345D" w:rsidP="0020345D">
      <w:r>
        <w:t>At this stage, it is impractical to quantify the financial effects of this contingent liability.</w:t>
      </w:r>
    </w:p>
    <w:p w14:paraId="32830DFB" w14:textId="77777777" w:rsidR="0020345D" w:rsidRPr="00596030" w:rsidRDefault="0020345D" w:rsidP="0020345D">
      <w:pPr>
        <w:pStyle w:val="Heading30"/>
      </w:pPr>
      <w:r w:rsidRPr="00596030">
        <w:t xml:space="preserve">COVID-19 class action – </w:t>
      </w:r>
      <w:r>
        <w:t>p</w:t>
      </w:r>
      <w:r w:rsidRPr="00596030">
        <w:t xml:space="preserve">ublic </w:t>
      </w:r>
      <w:r>
        <w:t>h</w:t>
      </w:r>
      <w:r w:rsidRPr="00596030">
        <w:t xml:space="preserve">ousing </w:t>
      </w:r>
      <w:r>
        <w:t>t</w:t>
      </w:r>
      <w:r w:rsidRPr="00596030">
        <w:t xml:space="preserve">owers residents </w:t>
      </w:r>
    </w:p>
    <w:p w14:paraId="68BC31D2" w14:textId="77777777" w:rsidR="0020345D" w:rsidRDefault="0020345D" w:rsidP="0020345D">
      <w:r w:rsidRPr="00347553">
        <w:t>A class action was filed in the Supreme Court of Victoria against the State of Victoria</w:t>
      </w:r>
      <w:r>
        <w:t xml:space="preserve"> </w:t>
      </w:r>
      <w:r w:rsidRPr="00347553">
        <w:t>relating to the decision to declare localised public health restrictions. The VMIA has been</w:t>
      </w:r>
      <w:r>
        <w:t xml:space="preserve"> </w:t>
      </w:r>
      <w:r w:rsidRPr="00347553">
        <w:t xml:space="preserve">notified of this proceeding. VMIA’s Combined Liability Policy will respond. </w:t>
      </w:r>
    </w:p>
    <w:p w14:paraId="16D024C0" w14:textId="77777777" w:rsidR="0020345D" w:rsidRDefault="0020345D" w:rsidP="0020345D">
      <w:r w:rsidRPr="006721D9">
        <w:t>At this stage</w:t>
      </w:r>
      <w:r>
        <w:t>,</w:t>
      </w:r>
      <w:r w:rsidRPr="006721D9">
        <w:t xml:space="preserve"> it is impractical to quantify the financial effects of this contingent liability.</w:t>
      </w:r>
    </w:p>
    <w:p w14:paraId="4A1E9CF6" w14:textId="77777777" w:rsidR="0020345D" w:rsidRPr="00596030" w:rsidRDefault="0020345D" w:rsidP="0020345D">
      <w:pPr>
        <w:pStyle w:val="Heading30"/>
      </w:pPr>
      <w:r w:rsidRPr="00596030">
        <w:t>COVID-19 related claim notifications</w:t>
      </w:r>
    </w:p>
    <w:p w14:paraId="13786096" w14:textId="77777777" w:rsidR="0020345D" w:rsidRDefault="0020345D" w:rsidP="0020345D">
      <w:r>
        <w:t>The Department of Transport may receive notifications under the contractual agreements by the contractors in relation to the possible impact of the COVID-19 pandemic on a number of projects. Possible future claims cannot be reliably estimated at this stage, as quantifiable claims have not yet been provided under the contract.</w:t>
      </w:r>
    </w:p>
    <w:p w14:paraId="0C1E1E75" w14:textId="77777777" w:rsidR="0020345D" w:rsidRDefault="0020345D" w:rsidP="0020345D">
      <w:r>
        <w:t>Until detailed claims have been submitted and substantiated by the contractors, it is not possible to estimate the financial effect of the claims.</w:t>
      </w:r>
    </w:p>
    <w:p w14:paraId="7A831850" w14:textId="77777777" w:rsidR="0020345D" w:rsidRPr="00316FB2" w:rsidRDefault="0020345D" w:rsidP="0020345D">
      <w:pPr>
        <w:pStyle w:val="Heading30"/>
      </w:pPr>
      <w:r w:rsidRPr="00316FB2">
        <w:lastRenderedPageBreak/>
        <w:t>Department of Education and Training</w:t>
      </w:r>
    </w:p>
    <w:p w14:paraId="12489C8B" w14:textId="77777777" w:rsidR="0020345D" w:rsidRPr="00321FE3" w:rsidRDefault="0020345D" w:rsidP="0020345D">
      <w:pPr>
        <w:keepNext/>
      </w:pPr>
      <w:r w:rsidRPr="00321FE3">
        <w:t xml:space="preserve">The Department </w:t>
      </w:r>
      <w:r>
        <w:t xml:space="preserve">of Education and Training </w:t>
      </w:r>
      <w:r w:rsidRPr="00321FE3">
        <w:t>has a number of non-quantifiable contingent liabilities, arising from indemnities provided by it, as follows:</w:t>
      </w:r>
    </w:p>
    <w:p w14:paraId="06AA2E22" w14:textId="77777777" w:rsidR="0020345D" w:rsidRPr="0020345D" w:rsidRDefault="0020345D" w:rsidP="0020345D">
      <w:pPr>
        <w:pStyle w:val="ListBullet"/>
      </w:pPr>
      <w:r w:rsidRPr="0020345D">
        <w:t xml:space="preserve">Volunteer school workers and volunteer student workers: the </w:t>
      </w:r>
      <w:r w:rsidRPr="00CC4889">
        <w:rPr>
          <w:i/>
          <w:iCs/>
        </w:rPr>
        <w:t>Education and Training Reform Act 2006</w:t>
      </w:r>
      <w:r w:rsidRPr="0020345D">
        <w:t xml:space="preserve"> provides an indemnity for personal injuries </w:t>
      </w:r>
      <w:bookmarkStart w:id="98" w:name="_Hlk115870750"/>
      <w:r w:rsidRPr="0020345D">
        <w:t xml:space="preserve">or death (and at the discretion of the Minister, for property damage) </w:t>
      </w:r>
      <w:bookmarkEnd w:id="98"/>
      <w:r w:rsidRPr="0020345D">
        <w:t>suffered by volunteer school workers and volunteer student workers arising out of or in the course of engaging in school work or community work respectively.</w:t>
      </w:r>
    </w:p>
    <w:p w14:paraId="49B87337" w14:textId="77777777" w:rsidR="0020345D" w:rsidRPr="0020345D" w:rsidRDefault="0020345D" w:rsidP="0020345D">
      <w:pPr>
        <w:pStyle w:val="ListBullet"/>
      </w:pPr>
      <w:bookmarkStart w:id="99" w:name="_Hlk115870697"/>
      <w:r w:rsidRPr="0020345D">
        <w:t>Teaching service and public service employees</w:t>
      </w:r>
      <w:bookmarkEnd w:id="99"/>
      <w:r w:rsidRPr="0020345D">
        <w:t xml:space="preserve">: </w:t>
      </w:r>
      <w:bookmarkStart w:id="100" w:name="_Hlk115870892"/>
      <w:r w:rsidRPr="0020345D">
        <w:t xml:space="preserve">if a </w:t>
      </w:r>
      <w:bookmarkStart w:id="101" w:name="_Hlk115870814"/>
      <w:r w:rsidRPr="0020345D">
        <w:t xml:space="preserve">department employee </w:t>
      </w:r>
      <w:bookmarkEnd w:id="101"/>
      <w:r w:rsidRPr="0020345D">
        <w:t>is named as a defendant in a civil proceeding (for example, a personal injury, discrimination or employment claim) any costs and damages will generally be paid by the Department provided the employee was not under the influence of illicit drugs or alcohol or engaging in a criminal offence and the behaviour was not outrageous and was related to their employment.</w:t>
      </w:r>
      <w:bookmarkEnd w:id="100"/>
    </w:p>
    <w:p w14:paraId="4428ECE8" w14:textId="77777777" w:rsidR="0020345D" w:rsidRPr="0020345D" w:rsidRDefault="0020345D" w:rsidP="0020345D">
      <w:pPr>
        <w:pStyle w:val="ListBullet"/>
      </w:pPr>
      <w:r w:rsidRPr="0020345D">
        <w:t xml:space="preserve">Board members: </w:t>
      </w:r>
      <w:bookmarkStart w:id="102" w:name="_Hlk115871002"/>
      <w:r w:rsidRPr="0020345D">
        <w:t xml:space="preserve">the </w:t>
      </w:r>
      <w:r w:rsidRPr="00CC4889">
        <w:rPr>
          <w:i/>
          <w:iCs/>
        </w:rPr>
        <w:t>Education and Training Reform Act 2006</w:t>
      </w:r>
      <w:r w:rsidRPr="0020345D">
        <w:t xml:space="preserve"> requires the State to indemnify a member of a Merit Protection Board or a Disciplinary Appeals Board for anything done or omitted to be done in good faith in the exercise of a power or the discharge of their statutory duties.</w:t>
      </w:r>
      <w:bookmarkEnd w:id="102"/>
    </w:p>
    <w:p w14:paraId="711557A5" w14:textId="77777777" w:rsidR="0020345D" w:rsidRPr="0020345D" w:rsidRDefault="0020345D" w:rsidP="0020345D">
      <w:pPr>
        <w:pStyle w:val="ListBullet"/>
      </w:pPr>
      <w:r w:rsidRPr="0020345D">
        <w:t xml:space="preserve">School councils: the </w:t>
      </w:r>
      <w:r w:rsidRPr="00CC4889">
        <w:rPr>
          <w:i/>
          <w:iCs/>
        </w:rPr>
        <w:t>Education and Training Reform Act 2006</w:t>
      </w:r>
      <w:r w:rsidRPr="0020345D">
        <w:t xml:space="preserve"> requires the Department to indemnify individual members of school councils for any legal liability, whether in contract, negligence or defamation, if they acted in good faith and in the exercise of their powers or functions. The Department may decide to indemnify school councils, which are separate entities to the Department, in claims of common law negligence, employment disputes and other civil claims, for the cost of settlement and/or legal representation. The Department will take into account the impact of payment upon the school’s educational program and any insurance cover for the school council, and will likely indemnify if the Department is satisfied that: </w:t>
      </w:r>
    </w:p>
    <w:p w14:paraId="5AD04D33" w14:textId="77777777" w:rsidR="0020345D" w:rsidRPr="00321FE3" w:rsidRDefault="0020345D" w:rsidP="0020345D">
      <w:pPr>
        <w:pStyle w:val="ListBullet2"/>
      </w:pPr>
      <w:r w:rsidRPr="00321FE3">
        <w:t>the school council acted in good faith and according to issued guidelines and directions</w:t>
      </w:r>
    </w:p>
    <w:p w14:paraId="042E8BE7" w14:textId="77777777" w:rsidR="0020345D" w:rsidRDefault="0020345D" w:rsidP="0020345D">
      <w:pPr>
        <w:pStyle w:val="ListBullet2"/>
      </w:pPr>
      <w:r w:rsidRPr="00321FE3">
        <w:t>the school council has insufficient funds to pay the claim.</w:t>
      </w:r>
    </w:p>
    <w:p w14:paraId="08B9BF64" w14:textId="77777777" w:rsidR="0020345D" w:rsidRPr="00596030" w:rsidRDefault="0020345D" w:rsidP="0020345D">
      <w:pPr>
        <w:pStyle w:val="Heading30"/>
      </w:pPr>
      <w:bookmarkStart w:id="103" w:name="_Hlk115871925"/>
      <w:r w:rsidRPr="00596030">
        <w:t>Firefighters’ Presumptive Rights Compensation and Fire Services Legislation Amendment (Reform) Act 2019</w:t>
      </w:r>
    </w:p>
    <w:bookmarkEnd w:id="103"/>
    <w:p w14:paraId="58F001B8" w14:textId="77777777" w:rsidR="0020345D" w:rsidRDefault="0020345D" w:rsidP="0020345D">
      <w:r>
        <w:t>T</w:t>
      </w:r>
      <w:r w:rsidRPr="00244D5F">
        <w:t>he</w:t>
      </w:r>
      <w:r w:rsidRPr="00EC5FEE">
        <w:rPr>
          <w:i/>
          <w:iCs/>
        </w:rPr>
        <w:t xml:space="preserve"> Firefighters’ Presumptive Rights Compensation and Fire Services Legislation Amendment (Reform) Act 2019</w:t>
      </w:r>
      <w:r w:rsidRPr="00C910FC">
        <w:t xml:space="preserve"> (Act)</w:t>
      </w:r>
      <w:r w:rsidRPr="00244D5F">
        <w:t xml:space="preserve"> </w:t>
      </w:r>
      <w:r>
        <w:t>was assented to on 2 July 2019.</w:t>
      </w:r>
    </w:p>
    <w:p w14:paraId="0A7ED7FF" w14:textId="77777777" w:rsidR="0020345D" w:rsidRDefault="0020345D" w:rsidP="0020345D">
      <w:r w:rsidRPr="00C910FC">
        <w:t>Part 2 of the Act</w:t>
      </w:r>
      <w:r>
        <w:t xml:space="preserve">, which </w:t>
      </w:r>
      <w:r w:rsidRPr="00C910FC">
        <w:t>came into operation on 3</w:t>
      </w:r>
      <w:r>
        <w:t> </w:t>
      </w:r>
      <w:r w:rsidRPr="00C910FC">
        <w:t>July 2019</w:t>
      </w:r>
      <w:r>
        <w:t>,</w:t>
      </w:r>
      <w:r w:rsidRPr="00C910FC">
        <w:t xml:space="preserve"> provides for the establishment and operation of the Firefighters</w:t>
      </w:r>
      <w:r>
        <w:t>’</w:t>
      </w:r>
      <w:r w:rsidRPr="00C910FC">
        <w:t xml:space="preserve"> Presumptive Rights Compensation scheme for both career and volunteer firefighters. At the time of the preparation of this report, it is impractical to quantify any possible contingent liabilities for </w:t>
      </w:r>
      <w:r>
        <w:t>the State arising from the scheme.</w:t>
      </w:r>
    </w:p>
    <w:p w14:paraId="3F31178C" w14:textId="77777777" w:rsidR="0020345D" w:rsidRPr="00AA08A8" w:rsidRDefault="0020345D" w:rsidP="0020345D">
      <w:pPr>
        <w:pStyle w:val="Heading30"/>
        <w:spacing w:before="160"/>
      </w:pPr>
      <w:r w:rsidRPr="00AA08A8">
        <w:lastRenderedPageBreak/>
        <w:t>Fiskville independent investigation and closure of training college</w:t>
      </w:r>
    </w:p>
    <w:p w14:paraId="59611B64" w14:textId="77777777" w:rsidR="0020345D" w:rsidRDefault="0020345D" w:rsidP="0020345D">
      <w:pPr>
        <w:spacing w:before="100"/>
      </w:pPr>
      <w:r>
        <w:t xml:space="preserve">An independent investigation was undertaken into the historical use of chemicals for live firefighting training at Fiskville Training College (Fiskville) between 1971 and 1999. The report of the independent investigation has been released and the Country Fire Authority (CFA) has accepted all of the facts, recommendations and conclusions and is committed to implementing all recommendations. </w:t>
      </w:r>
    </w:p>
    <w:p w14:paraId="7D64BABE" w14:textId="77777777" w:rsidR="0020345D" w:rsidRDefault="0020345D" w:rsidP="0020345D">
      <w:pPr>
        <w:spacing w:before="100"/>
      </w:pPr>
      <w:r>
        <w:t xml:space="preserve">In August 2012, the CFA established a program office to manage the implementation of the report’s recommendations and an additional 11 management initiatives to which the CFA Board committed in its response to the report. </w:t>
      </w:r>
    </w:p>
    <w:p w14:paraId="1C5D0F0D" w14:textId="77777777" w:rsidR="0020345D" w:rsidRDefault="0020345D" w:rsidP="0020345D">
      <w:pPr>
        <w:spacing w:before="100"/>
      </w:pPr>
      <w:r>
        <w:t xml:space="preserve">On 26 March 2015, the Government announced the permanent closure of Fiskville. Fiskville and the Victorian Emergency Management Training Centre training grounds owned by the CFA at Penshurst, Bangholme, West Sale, Wangaratta, Huntly, and Longerenong have been the subject of notices issued by the Environment Protection Authority Victoria (EPA). </w:t>
      </w:r>
      <w:bookmarkStart w:id="104" w:name="_Hlk115872289"/>
      <w:r>
        <w:t>In addition, the CFA has received a clean-up notice to remediate the immediate neighbouring properties located downstream of the formal Fiskville Training College.</w:t>
      </w:r>
      <w:bookmarkEnd w:id="104"/>
    </w:p>
    <w:p w14:paraId="39171B4C" w14:textId="77777777" w:rsidR="0020345D" w:rsidRDefault="0020345D" w:rsidP="0020345D">
      <w:pPr>
        <w:spacing w:before="100"/>
      </w:pPr>
      <w:r>
        <w:t>The Government’s response to the Fiskville Inquiry was tabled in Parliament on 24 November 2016. The response supported all of the 31 recommendations of the Victorian Parliamentary Inquiry into the CFA Training College at Fiskville, either in full, in principle or in part.</w:t>
      </w:r>
    </w:p>
    <w:p w14:paraId="467F0794" w14:textId="77777777" w:rsidR="0020345D" w:rsidRDefault="0020345D" w:rsidP="0020345D">
      <w:pPr>
        <w:spacing w:before="100"/>
        <w:ind w:right="-226"/>
      </w:pPr>
      <w:r w:rsidRPr="003E6432">
        <w:t>The CFA has a number of contingent liabilities arising from the closure of Fiskville and the notices issued by the EPA. These relate to any further notices that may be issued by the EPA, any regulatory infringements that may be imposed by the EPA, compensation that may be sought, any legal claims that may be made</w:t>
      </w:r>
      <w:r>
        <w:t>,</w:t>
      </w:r>
      <w:r w:rsidRPr="003E6432">
        <w:t xml:space="preserve"> and recommendations made by the inquiry.</w:t>
      </w:r>
    </w:p>
    <w:p w14:paraId="125291DC" w14:textId="77777777" w:rsidR="0020345D" w:rsidRDefault="0020345D" w:rsidP="0020345D">
      <w:pPr>
        <w:spacing w:before="100"/>
      </w:pPr>
      <w:r>
        <w:t>At this stage, it is impractical to quantify the financial effects of these contingent liabilities.</w:t>
      </w:r>
    </w:p>
    <w:p w14:paraId="04B25747" w14:textId="77777777" w:rsidR="0020345D" w:rsidRPr="00AA08A8" w:rsidRDefault="0020345D" w:rsidP="0020345D">
      <w:pPr>
        <w:pStyle w:val="Heading30"/>
        <w:spacing w:before="160"/>
      </w:pPr>
      <w:r w:rsidRPr="00AA08A8">
        <w:t>Land remediation – environmental concerns</w:t>
      </w:r>
    </w:p>
    <w:p w14:paraId="48CAF4AB" w14:textId="77777777" w:rsidR="0020345D" w:rsidRDefault="0020345D" w:rsidP="0020345D">
      <w:pPr>
        <w:spacing w:before="100"/>
      </w:pPr>
      <w:r>
        <w:t>In addition to properties for which remediation costs have been provided in the State’s financial statements, certain other properties have been identified as potentially contaminated sites. The State does not admit any liability in respect of these sites. However, remedial expenditure may be incurred to restore the sites to an acceptable environmental standard in the event contamination is identified.</w:t>
      </w:r>
    </w:p>
    <w:p w14:paraId="2D190E9A" w14:textId="77777777" w:rsidR="0020345D" w:rsidRPr="00AA08A8" w:rsidRDefault="0020345D" w:rsidP="0020345D">
      <w:pPr>
        <w:pStyle w:val="Heading30"/>
        <w:spacing w:before="160"/>
      </w:pPr>
      <w:r w:rsidRPr="00AA08A8">
        <w:t>Native Title</w:t>
      </w:r>
    </w:p>
    <w:p w14:paraId="3551F28D" w14:textId="77777777" w:rsidR="0020345D" w:rsidRDefault="0020345D" w:rsidP="0020345D">
      <w:pPr>
        <w:spacing w:before="100"/>
        <w:ind w:right="-226"/>
      </w:pPr>
      <w:r>
        <w:t xml:space="preserve">A number of claims have been filed in the Federal Court under the Commonwealth </w:t>
      </w:r>
      <w:r w:rsidRPr="00707DA5">
        <w:rPr>
          <w:i/>
        </w:rPr>
        <w:t>Native Title Act 1993</w:t>
      </w:r>
      <w:r>
        <w:t xml:space="preserve"> that affect Victoria. It is not feasible at this time to quantify any future liability.</w:t>
      </w:r>
    </w:p>
    <w:p w14:paraId="23D2E570" w14:textId="77777777" w:rsidR="0020345D" w:rsidRPr="00AA08A8" w:rsidRDefault="0020345D" w:rsidP="00253AF8">
      <w:pPr>
        <w:pStyle w:val="Heading30"/>
        <w:spacing w:before="120"/>
      </w:pPr>
      <w:r w:rsidRPr="00AA08A8">
        <w:lastRenderedPageBreak/>
        <w:t>October 2022 flood event</w:t>
      </w:r>
    </w:p>
    <w:p w14:paraId="6CB8C7D6" w14:textId="77E600C1" w:rsidR="0020345D" w:rsidRPr="00A826C7" w:rsidRDefault="0020345D" w:rsidP="00126A6E">
      <w:pPr>
        <w:spacing w:before="100"/>
        <w:ind w:right="-212"/>
      </w:pPr>
      <w:r w:rsidRPr="000D01A2">
        <w:t xml:space="preserve">In October 2022, Victoria experienced </w:t>
      </w:r>
      <w:r w:rsidR="006B3286">
        <w:t>a significant flood event which resulted in loss and damage to many homes, farms, properties, community assets, roads and other infrastructure</w:t>
      </w:r>
      <w:r w:rsidRPr="000D01A2">
        <w:t>.</w:t>
      </w:r>
      <w:r w:rsidR="006B3286">
        <w:t xml:space="preserve"> These impacts were felt in many local government areas across regional Victoria and metropolitan Melbourne.</w:t>
      </w:r>
      <w:r w:rsidRPr="000D01A2">
        <w:t> The Victorian and Commonwealth Governments are working cooperatively together on implementing relief and recovery initiatives to be jointly funded under the Disaster Recovery Funding Arrangements (DRFA).</w:t>
      </w:r>
      <w:r>
        <w:t xml:space="preserve"> </w:t>
      </w:r>
      <w:r w:rsidRPr="000D01A2">
        <w:t>At this stage it is impractical to accurately quantify the financial effects of these liabilities.</w:t>
      </w:r>
    </w:p>
    <w:p w14:paraId="07D747E5" w14:textId="77777777" w:rsidR="0020345D" w:rsidRPr="00AA08A8" w:rsidRDefault="0020345D" w:rsidP="00253AF8">
      <w:pPr>
        <w:pStyle w:val="Heading30"/>
        <w:spacing w:before="120"/>
      </w:pPr>
      <w:r w:rsidRPr="00AA08A8">
        <w:t>Planning scheme compensation</w:t>
      </w:r>
    </w:p>
    <w:p w14:paraId="68EDC613" w14:textId="77777777" w:rsidR="0020345D" w:rsidRDefault="0020345D" w:rsidP="0020345D">
      <w:r>
        <w:t xml:space="preserve">Under section 98 of the </w:t>
      </w:r>
      <w:r w:rsidRPr="00562AEC">
        <w:rPr>
          <w:i/>
          <w:iCs/>
        </w:rPr>
        <w:t>Planning and Environment Act 1987</w:t>
      </w:r>
      <w:r>
        <w:t xml:space="preserve">, the owner or occupier of any land may claim compensation from the planning authority for financial loss suffered as the natural, direct and reasonable consequence of the land being reserved or declared as reserved for a public purpose under a planning scheme. </w:t>
      </w:r>
    </w:p>
    <w:p w14:paraId="04D4B55A" w14:textId="77777777" w:rsidR="0020345D" w:rsidRDefault="0020345D" w:rsidP="0020345D">
      <w:r>
        <w:t>Any future liability depends on a number of factors and cannot be reliably quantified.</w:t>
      </w:r>
    </w:p>
    <w:p w14:paraId="6F3DE721" w14:textId="77777777" w:rsidR="0020345D" w:rsidRPr="00AA08A8" w:rsidRDefault="0020345D" w:rsidP="00253AF8">
      <w:pPr>
        <w:pStyle w:val="Heading30"/>
        <w:spacing w:before="120"/>
      </w:pPr>
      <w:r w:rsidRPr="00AA08A8">
        <w:t>Public acquisition overlays for the future development of rail and road</w:t>
      </w:r>
      <w:r w:rsidRPr="00316FB2">
        <w:t xml:space="preserve"> </w:t>
      </w:r>
      <w:r w:rsidRPr="00AA08A8">
        <w:t xml:space="preserve">infrastructure </w:t>
      </w:r>
    </w:p>
    <w:p w14:paraId="34D8C7FD" w14:textId="77777777" w:rsidR="0020345D" w:rsidRDefault="0020345D" w:rsidP="0020345D">
      <w:r>
        <w:t xml:space="preserve">Public acquisition overlays are in place to reserve certain areas of land for future development of rail and road infrastructure. Under section 98 of the </w:t>
      </w:r>
      <w:r w:rsidRPr="00707DA5">
        <w:rPr>
          <w:i/>
        </w:rPr>
        <w:t>Planning and Environment Act 1987</w:t>
      </w:r>
      <w:r>
        <w:t>, the State has a legislative responsibility to compensate eligible land and property owners who face either:</w:t>
      </w:r>
    </w:p>
    <w:p w14:paraId="7B7CF712" w14:textId="77777777" w:rsidR="0020345D" w:rsidRPr="0020345D" w:rsidRDefault="0020345D" w:rsidP="0020345D">
      <w:pPr>
        <w:pStyle w:val="ListBullet"/>
      </w:pPr>
      <w:r w:rsidRPr="0020345D">
        <w:t>loss on sale – an eligible landowner is entitled to compensation for the incremental loss on sale when a property affected by a public acquisition overlay is sold for less than its market value</w:t>
      </w:r>
    </w:p>
    <w:p w14:paraId="041F564B" w14:textId="77777777" w:rsidR="0020345D" w:rsidRPr="0020345D" w:rsidRDefault="0020345D" w:rsidP="0020345D">
      <w:pPr>
        <w:pStyle w:val="ListBullet"/>
      </w:pPr>
      <w:r w:rsidRPr="0020345D">
        <w:t>financial loss – the entitlement to financial loss compensation is triggered when a development permit is refused because the property is required for a public purpose.</w:t>
      </w:r>
    </w:p>
    <w:p w14:paraId="413E2C53" w14:textId="77777777" w:rsidR="0020345D" w:rsidRDefault="0020345D" w:rsidP="0020345D">
      <w:r>
        <w:t>Compensation and purchase claims occur as a result of claims by land owners. The future liability depends on factors, including the number of claims received and the prevailing value of land at the time the claim is made</w:t>
      </w:r>
      <w:r w:rsidRPr="00552C9F">
        <w:t>. As a result, the liability cannot be reliably quantified.</w:t>
      </w:r>
    </w:p>
    <w:p w14:paraId="09374505" w14:textId="77777777" w:rsidR="0020345D" w:rsidRPr="00AA08A8" w:rsidRDefault="0020345D" w:rsidP="00253AF8">
      <w:pPr>
        <w:pStyle w:val="Heading30"/>
        <w:spacing w:before="120"/>
      </w:pPr>
      <w:r w:rsidRPr="00AA08A8">
        <w:t>Public transport rail partnership agreements</w:t>
      </w:r>
    </w:p>
    <w:p w14:paraId="285F94A1" w14:textId="77777777" w:rsidR="0020345D" w:rsidRDefault="0020345D" w:rsidP="0020345D">
      <w:bookmarkStart w:id="105" w:name="_Hlk115874846"/>
      <w:r>
        <w:t xml:space="preserve">The Department of Transport (DoT) is party to contractual arrangements with franchisees to operate metropolitan rail transport services across the state, from </w:t>
      </w:r>
      <w:r w:rsidRPr="00790AC1">
        <w:t>30 November 2017 until 30 November 2024. The major contingent liabilities arising in the event of early termination or expiry of the contract are:</w:t>
      </w:r>
    </w:p>
    <w:p w14:paraId="75D5A6B9" w14:textId="77777777" w:rsidR="0020345D" w:rsidRPr="0020345D" w:rsidRDefault="0020345D" w:rsidP="0020345D">
      <w:pPr>
        <w:pStyle w:val="ListBullet"/>
      </w:pPr>
      <w:r w:rsidRPr="0020345D">
        <w:t>partnership assets – to maintain continuity of services, at early termination or expiry of the franchise contract, assets will revert to DoT or a successor. In the case of some assets, a reversion back to DoT would entail those assets being purchased</w:t>
      </w:r>
    </w:p>
    <w:p w14:paraId="2069F6ED" w14:textId="77777777" w:rsidR="0020345D" w:rsidRPr="0020345D" w:rsidRDefault="0020345D" w:rsidP="0020345D">
      <w:pPr>
        <w:pStyle w:val="ListBullet"/>
      </w:pPr>
      <w:r w:rsidRPr="0020345D">
        <w:t xml:space="preserve">unfunded superannuation – at the early termination or expiry of the contract, DoT will assume any unfunded superannuation amounts (apart from contributions the operator is required to pay over the contract term) to the extent that the State becomes the successor operator. </w:t>
      </w:r>
    </w:p>
    <w:bookmarkEnd w:id="105"/>
    <w:p w14:paraId="1C32B558" w14:textId="77777777" w:rsidR="0020345D" w:rsidRPr="00596030" w:rsidRDefault="0020345D" w:rsidP="0020345D">
      <w:pPr>
        <w:pStyle w:val="Heading30"/>
        <w:spacing w:before="180"/>
      </w:pPr>
      <w:r w:rsidRPr="00596030">
        <w:lastRenderedPageBreak/>
        <w:t>The Royal Commission into the Management of Police Informants</w:t>
      </w:r>
    </w:p>
    <w:p w14:paraId="6063C33D" w14:textId="77777777" w:rsidR="0020345D" w:rsidRDefault="0020345D" w:rsidP="0020345D">
      <w:pPr>
        <w:keepNext/>
      </w:pPr>
      <w:r w:rsidRPr="001D0767">
        <w:t>Since the conclusion of the Royal Commission into the Management of Police Informants (RCMPI), the State of Victoria (Victoria Police) ha</w:t>
      </w:r>
      <w:r>
        <w:t>s</w:t>
      </w:r>
      <w:r w:rsidRPr="001D0767">
        <w:t xml:space="preserve"> been served with a number of civil claims. These civil claims and a number of Court of Appeal criminal matters as well as ongoing disclosure work by Victoria Police will likely dictate whether further claims are received. </w:t>
      </w:r>
    </w:p>
    <w:p w14:paraId="6E45E5EE" w14:textId="77777777" w:rsidR="0020345D" w:rsidRPr="001D0767" w:rsidRDefault="0020345D" w:rsidP="0020345D">
      <w:r w:rsidRPr="001D0767">
        <w:t xml:space="preserve">Given those circumstances it is not possible to </w:t>
      </w:r>
      <w:r w:rsidRPr="008B314A">
        <w:t>reliably quantify any contingent liabilities relating</w:t>
      </w:r>
      <w:r>
        <w:t xml:space="preserve"> </w:t>
      </w:r>
      <w:r w:rsidRPr="008B314A">
        <w:t xml:space="preserve">to </w:t>
      </w:r>
      <w:r w:rsidRPr="001D0767">
        <w:t>potential matters arising from the conduct explored by the RCMPI.</w:t>
      </w:r>
    </w:p>
    <w:p w14:paraId="0A92D573" w14:textId="77777777" w:rsidR="0020345D" w:rsidRPr="001A2FAA" w:rsidRDefault="0020345D" w:rsidP="0020345D">
      <w:pPr>
        <w:pStyle w:val="Heading30"/>
        <w:spacing w:before="180"/>
      </w:pPr>
      <w:r w:rsidRPr="001A2FAA">
        <w:t>Royal Melbourne Showgrounds redevelopment</w:t>
      </w:r>
    </w:p>
    <w:p w14:paraId="3E13452A" w14:textId="77777777" w:rsidR="0020345D" w:rsidRDefault="0020345D" w:rsidP="0020345D">
      <w:pPr>
        <w:rPr>
          <w:i/>
          <w:iCs/>
        </w:rPr>
      </w:pPr>
      <w:bookmarkStart w:id="106" w:name="_Hlk115874921"/>
      <w:r w:rsidRPr="00536F63">
        <w:t xml:space="preserve">The </w:t>
      </w:r>
      <w:r>
        <w:t>S</w:t>
      </w:r>
      <w:r w:rsidRPr="00536F63">
        <w:t xml:space="preserve">tate has entered into an agreement with </w:t>
      </w:r>
      <w:r>
        <w:t xml:space="preserve">the </w:t>
      </w:r>
      <w:r w:rsidRPr="00536F63">
        <w:t>Royal Agricultural Society of Victoria (RASV) pursuant to which the State agrees to support certain payment obligations of RASV that may arise under the Non-Core Development Agreement subject to the RASV complying with certain obligations as set out in that Deed.</w:t>
      </w:r>
    </w:p>
    <w:bookmarkEnd w:id="106"/>
    <w:p w14:paraId="0451326E" w14:textId="77777777" w:rsidR="0020345D" w:rsidRPr="00B156C1" w:rsidRDefault="0020345D" w:rsidP="0020345D">
      <w:pPr>
        <w:pStyle w:val="Heading30"/>
        <w:spacing w:before="180"/>
        <w:rPr>
          <w:i/>
          <w:iCs/>
        </w:rPr>
      </w:pPr>
      <w:r w:rsidRPr="00B156C1">
        <w:t xml:space="preserve">Southern Cross Station Target Capacity Threshold </w:t>
      </w:r>
    </w:p>
    <w:p w14:paraId="3A085517" w14:textId="77777777" w:rsidR="0020345D" w:rsidRDefault="0020345D" w:rsidP="0020345D">
      <w:r>
        <w:t>The State has a possible liability relating to a claim from a contractor responsible for operating and maintaining Southern Cross Station. The claim relates to patronage levels at the station and the contract provides a process to assess whether modifications to the station, compensation to the contractor or changes to the service standards are required. The claim is being considered and the financial effect is yet to be determined.</w:t>
      </w:r>
    </w:p>
    <w:p w14:paraId="6CB536DC" w14:textId="77777777" w:rsidR="0020345D" w:rsidRPr="001A2FAA" w:rsidRDefault="0020345D" w:rsidP="0020345D">
      <w:pPr>
        <w:pStyle w:val="Heading30"/>
        <w:spacing w:before="180"/>
        <w:rPr>
          <w:i/>
          <w:iCs/>
        </w:rPr>
      </w:pPr>
      <w:r w:rsidRPr="001A2FAA">
        <w:t>Victorian Managed Insurance Authority – insurance cover</w:t>
      </w:r>
    </w:p>
    <w:p w14:paraId="7F067826" w14:textId="77777777" w:rsidR="0020345D" w:rsidRDefault="0020345D" w:rsidP="0020345D">
      <w:bookmarkStart w:id="107" w:name="_Hlk111715041"/>
      <w:r w:rsidRPr="007E7AE9">
        <w:t xml:space="preserve">The Victorian Managed Insurance Authority (VMIA) was established in 1996 as an insurer for state government departments, participating bodies as defined under the </w:t>
      </w:r>
      <w:r w:rsidRPr="008B314A">
        <w:rPr>
          <w:i/>
          <w:iCs/>
        </w:rPr>
        <w:t>Victorian Managed Insurance Authority Act 1996</w:t>
      </w:r>
      <w:r w:rsidRPr="007E7AE9">
        <w:t xml:space="preserve"> and other entities</w:t>
      </w:r>
      <w:r>
        <w:t xml:space="preserve"> as declared by the Minister</w:t>
      </w:r>
      <w:r w:rsidRPr="007E7AE9">
        <w:t xml:space="preserve">. </w:t>
      </w:r>
      <w:r w:rsidRPr="009A1C97">
        <w:t>The VMIA insures its clients for property, public and products liability, professional indemnity, medical indemnity, contract works and a range of other risks. The VMIA also provides domestic building insurance to Victorian residential builders and, until 31</w:t>
      </w:r>
      <w:r>
        <w:t> </w:t>
      </w:r>
      <w:r w:rsidRPr="009A1C97">
        <w:t xml:space="preserve">December 2022, </w:t>
      </w:r>
      <w:r>
        <w:t xml:space="preserve">has been directed to </w:t>
      </w:r>
      <w:r w:rsidRPr="009A1C97">
        <w:t>provide COVID-19 event insurance to qualifying creative, business, sporting and community event organisers.</w:t>
      </w:r>
      <w:r w:rsidRPr="007E7AE9">
        <w:t xml:space="preserve"> </w:t>
      </w:r>
    </w:p>
    <w:p w14:paraId="363C4F1A" w14:textId="77777777" w:rsidR="0020345D" w:rsidRDefault="0020345D" w:rsidP="0020345D">
      <w:r w:rsidRPr="002D7D10">
        <w:t xml:space="preserve">The VMIA reinsures in the private market based on the likelihood and impact of events as well as the cost and availability of such cover. The risk of losses above what VMIA reinsures in the private market is borne by the State. </w:t>
      </w:r>
    </w:p>
    <w:p w14:paraId="42B377AE" w14:textId="77777777" w:rsidR="0020345D" w:rsidRDefault="0020345D" w:rsidP="0020345D">
      <w:r w:rsidRPr="00DB4347">
        <w:t>The State, under separate deeds of indemnity, has agreed to reimburse VMIA:</w:t>
      </w:r>
    </w:p>
    <w:p w14:paraId="7A0322E0" w14:textId="77777777" w:rsidR="0020345D" w:rsidRPr="0020345D" w:rsidRDefault="0020345D" w:rsidP="0020345D">
      <w:pPr>
        <w:pStyle w:val="ListBullet"/>
      </w:pPr>
      <w:r w:rsidRPr="0020345D">
        <w:t>if the costs of public sector medical indemnity claims for a policy year exceed the initial estimate on which the risk premium was based by more than 20 per cent</w:t>
      </w:r>
    </w:p>
    <w:p w14:paraId="655DF551" w14:textId="77777777" w:rsidR="0020345D" w:rsidRPr="0020345D" w:rsidRDefault="0020345D" w:rsidP="0020345D">
      <w:pPr>
        <w:pStyle w:val="ListBullet"/>
      </w:pPr>
      <w:r w:rsidRPr="0020345D">
        <w:t>for losses above a certain limit that VMIA may incur due to changes in the availability of reinsurance.</w:t>
      </w:r>
    </w:p>
    <w:bookmarkEnd w:id="107"/>
    <w:p w14:paraId="60990DB3" w14:textId="77777777" w:rsidR="0020345D" w:rsidRPr="00FB185C" w:rsidRDefault="0020345D" w:rsidP="0020345D">
      <w:pPr>
        <w:pStyle w:val="Heading4"/>
        <w:rPr>
          <w:b/>
          <w:bCs/>
          <w:i w:val="0"/>
          <w:iCs w:val="0"/>
          <w:spacing w:val="-2"/>
        </w:rPr>
      </w:pPr>
      <w:r w:rsidRPr="00FB185C">
        <w:rPr>
          <w:b/>
          <w:bCs/>
          <w:i w:val="0"/>
          <w:iCs w:val="0"/>
          <w:spacing w:val="-2"/>
        </w:rPr>
        <w:lastRenderedPageBreak/>
        <w:t>Yallourn Power Station safety net</w:t>
      </w:r>
    </w:p>
    <w:p w14:paraId="6AAF6DBB" w14:textId="77777777" w:rsidR="0020345D" w:rsidRPr="000E641E" w:rsidRDefault="0020345D" w:rsidP="0020345D">
      <w:bookmarkStart w:id="108" w:name="_Hlk83299603"/>
      <w:r w:rsidRPr="000E641E">
        <w:t>The Government has reached an agreement with EnergyAustralia</w:t>
      </w:r>
      <w:r>
        <w:t xml:space="preserve"> (EA)</w:t>
      </w:r>
      <w:r w:rsidRPr="000E641E">
        <w:t xml:space="preserve"> to ensure an orderly transition as EA implements the closure of the Yallourn Power Station in June</w:t>
      </w:r>
      <w:r>
        <w:t> </w:t>
      </w:r>
      <w:r w:rsidRPr="000E641E">
        <w:t xml:space="preserve">2028. </w:t>
      </w:r>
    </w:p>
    <w:p w14:paraId="671199BD" w14:textId="77777777" w:rsidR="0020345D" w:rsidRPr="000E641E" w:rsidRDefault="0020345D" w:rsidP="0020345D">
      <w:r w:rsidRPr="000E641E">
        <w:t xml:space="preserve">The agreement includes, should it be needed, a safety net to avoid an unplanned exit of Yallourn. </w:t>
      </w:r>
    </w:p>
    <w:p w14:paraId="2943DCB3" w14:textId="77777777" w:rsidR="0020345D" w:rsidRPr="000E641E" w:rsidRDefault="0020345D" w:rsidP="0020345D">
      <w:r w:rsidRPr="000E641E">
        <w:t>As part of this safety net,</w:t>
      </w:r>
      <w:r>
        <w:t xml:space="preserve"> under certain scenarios, </w:t>
      </w:r>
      <w:r w:rsidRPr="000E641E">
        <w:t xml:space="preserve">the State agrees to </w:t>
      </w:r>
      <w:r>
        <w:t xml:space="preserve">provide partial support to </w:t>
      </w:r>
      <w:r w:rsidRPr="000E641E">
        <w:t xml:space="preserve">EA in the event of </w:t>
      </w:r>
      <w:r>
        <w:t xml:space="preserve">exceptional </w:t>
      </w:r>
      <w:r w:rsidRPr="000E641E">
        <w:t xml:space="preserve">costs </w:t>
      </w:r>
      <w:r>
        <w:t xml:space="preserve">incurred in </w:t>
      </w:r>
      <w:r w:rsidRPr="000E641E">
        <w:t>the operation of the Yallourn Power Station.</w:t>
      </w:r>
    </w:p>
    <w:p w14:paraId="2B768E3A" w14:textId="77777777" w:rsidR="0020345D" w:rsidRDefault="0020345D" w:rsidP="0020345D">
      <w:r w:rsidRPr="000E641E">
        <w:t>This support will help to ensure Yallourn’s workers and Victoria’s energy system have sufficient time to plan for the plant’s closure. The possible liability depends on a number of future events and cannot be reliably and readily quantified.</w:t>
      </w:r>
      <w:bookmarkEnd w:id="108"/>
    </w:p>
    <w:p w14:paraId="3F778355" w14:textId="5DE4F983" w:rsidR="008D6F13" w:rsidRDefault="008D6F13">
      <w:pPr>
        <w:keepLines w:val="0"/>
      </w:pPr>
    </w:p>
    <w:p w14:paraId="6AB31684" w14:textId="77777777" w:rsidR="008D6F13" w:rsidRDefault="008D6F13" w:rsidP="003610AD"/>
    <w:p w14:paraId="0F640514" w14:textId="0B2377AE" w:rsidR="008D6F13" w:rsidRDefault="008D6F13" w:rsidP="003610AD">
      <w:pPr>
        <w:sectPr w:rsidR="008D6F13" w:rsidSect="0020345D">
          <w:footerReference w:type="even" r:id="rId47"/>
          <w:footerReference w:type="default" r:id="rId48"/>
          <w:footerReference w:type="first" r:id="rId49"/>
          <w:pgSz w:w="9979" w:h="14175" w:code="9"/>
          <w:pgMar w:top="1134" w:right="1134" w:bottom="1134" w:left="1134" w:header="624" w:footer="567" w:gutter="0"/>
          <w:cols w:space="708"/>
          <w:docGrid w:linePitch="360"/>
        </w:sectPr>
      </w:pPr>
    </w:p>
    <w:p w14:paraId="268C4E6C" w14:textId="20758691" w:rsidR="00C7198A" w:rsidRDefault="00C7198A" w:rsidP="00C7198A">
      <w:pPr>
        <w:pStyle w:val="ChapterHeading"/>
      </w:pPr>
      <w:bookmarkStart w:id="109" w:name="_Toc117586256"/>
      <w:bookmarkStart w:id="110" w:name="_Toc71733655"/>
      <w:r>
        <w:lastRenderedPageBreak/>
        <w:t>A</w:t>
      </w:r>
      <w:r w:rsidR="00B70498">
        <w:t>p</w:t>
      </w:r>
      <w:r>
        <w:t>pendix A – Specific policy initiatives affecting the budget position</w:t>
      </w:r>
      <w:bookmarkEnd w:id="109"/>
    </w:p>
    <w:p w14:paraId="6FA9436C" w14:textId="77777777" w:rsidR="00C7198A" w:rsidRDefault="00C7198A" w:rsidP="00F458AB">
      <w:pPr>
        <w:ind w:right="-94"/>
      </w:pPr>
      <w:r>
        <w:t xml:space="preserve">Appendix A outlines specific policy initiatives that affect outputs and assets, including Treasurer’s Advances, agreed by the Government since the </w:t>
      </w:r>
      <w:r>
        <w:rPr>
          <w:i/>
          <w:iCs/>
        </w:rPr>
        <w:t>2022-23 Budget</w:t>
      </w:r>
      <w:r>
        <w:t>.</w:t>
      </w:r>
    </w:p>
    <w:p w14:paraId="4B8C7D4C" w14:textId="77777777" w:rsidR="00C7198A" w:rsidRDefault="00C7198A" w:rsidP="00666591">
      <w:pPr>
        <w:pStyle w:val="ListBullet"/>
        <w:numPr>
          <w:ilvl w:val="0"/>
          <w:numId w:val="0"/>
        </w:numPr>
        <w:ind w:left="284" w:hanging="284"/>
      </w:pPr>
      <w:r>
        <w:t>The following tables provide details of output and asset initiatives for departments.</w:t>
      </w:r>
    </w:p>
    <w:p w14:paraId="67AF9836" w14:textId="77777777" w:rsidR="00C7198A" w:rsidRDefault="00C7198A" w:rsidP="00F458AB">
      <w:pPr>
        <w:ind w:right="-94"/>
      </w:pPr>
      <w:r>
        <w:t>Appendix A also includes a cross reference between initiatives and their relevant departmental outputs, which indicates the impact of policy decisions on relevant portfolios.</w:t>
      </w:r>
    </w:p>
    <w:p w14:paraId="566F3405" w14:textId="77777777" w:rsidR="00C7198A" w:rsidRDefault="00C7198A" w:rsidP="00F458AB">
      <w:pPr>
        <w:ind w:right="-94"/>
      </w:pPr>
      <w:r>
        <w:t>The figures included are generally the gross costs of decisions. Funding from reprioritisation and other sources has not been deducted from the total cost of new initiatives.</w:t>
      </w:r>
    </w:p>
    <w:p w14:paraId="032B8CF2" w14:textId="231D5F5A" w:rsidR="00C7198A" w:rsidRDefault="00C7198A" w:rsidP="00F458AB">
      <w:pPr>
        <w:keepLines w:val="0"/>
        <w:rPr>
          <w:rFonts w:asciiTheme="majorHAnsi" w:eastAsiaTheme="majorEastAsia" w:hAnsiTheme="majorHAnsi" w:cstheme="majorBidi"/>
          <w:b/>
          <w:bCs/>
          <w:caps/>
          <w:spacing w:val="-2"/>
          <w:sz w:val="26"/>
          <w:szCs w:val="28"/>
        </w:rPr>
      </w:pPr>
    </w:p>
    <w:p w14:paraId="38CACD52" w14:textId="77777777" w:rsidR="00C7198A" w:rsidRDefault="00C7198A" w:rsidP="003C06B2">
      <w:pPr>
        <w:pStyle w:val="Heading10"/>
        <w:pageBreakBefore/>
      </w:pPr>
      <w:bookmarkStart w:id="111" w:name="_Toc117586257"/>
      <w:bookmarkEnd w:id="110"/>
      <w:r>
        <w:lastRenderedPageBreak/>
        <w:t>Whole of government – Flood recovery</w:t>
      </w:r>
      <w:bookmarkEnd w:id="111"/>
    </w:p>
    <w:p w14:paraId="57339F7A" w14:textId="77777777" w:rsidR="00C7198A" w:rsidRDefault="00C7198A" w:rsidP="00F458AB">
      <w:pPr>
        <w:pStyle w:val="Heading20"/>
      </w:pPr>
      <w:r>
        <w:t>Output initiatives</w:t>
      </w:r>
    </w:p>
    <w:p w14:paraId="7279F03F" w14:textId="77777777" w:rsidR="00C7198A" w:rsidRDefault="00C7198A" w:rsidP="00F458AB">
      <w:pPr>
        <w:pStyle w:val="TableHeading"/>
      </w:pPr>
      <w:r>
        <w:t>Table A.1:</w:t>
      </w:r>
      <w:r>
        <w:tab/>
        <w:t>Output initiatives – Flood Recovery</w:t>
      </w:r>
      <w:r>
        <w:tab/>
        <w:t>($ million)</w:t>
      </w:r>
    </w:p>
    <w:tbl>
      <w:tblPr>
        <w:tblStyle w:val="DTFTableNumeric"/>
        <w:tblW w:w="7710" w:type="dxa"/>
        <w:tblLayout w:type="fixed"/>
        <w:tblLook w:val="06A0" w:firstRow="1" w:lastRow="0" w:firstColumn="1" w:lastColumn="0" w:noHBand="1" w:noVBand="1"/>
      </w:tblPr>
      <w:tblGrid>
        <w:gridCol w:w="4534"/>
        <w:gridCol w:w="794"/>
        <w:gridCol w:w="794"/>
        <w:gridCol w:w="794"/>
        <w:gridCol w:w="794"/>
      </w:tblGrid>
      <w:tr w:rsidR="00C7198A" w14:paraId="537995D9" w14:textId="77777777" w:rsidTr="00DB2C9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4" w:type="dxa"/>
          </w:tcPr>
          <w:p w14:paraId="4B02946D" w14:textId="345E269F" w:rsidR="00C7198A" w:rsidRDefault="00C7198A"/>
        </w:tc>
        <w:tc>
          <w:tcPr>
            <w:tcW w:w="794" w:type="dxa"/>
          </w:tcPr>
          <w:p w14:paraId="3D04F709" w14:textId="77777777" w:rsidR="00C7198A" w:rsidRDefault="00C7198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0285DB28" w14:textId="77777777" w:rsidR="00C7198A" w:rsidRDefault="00C7198A">
            <w:pPr>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64353A90" w14:textId="77777777" w:rsidR="00C7198A" w:rsidRDefault="00C7198A">
            <w:pPr>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69148685" w14:textId="77777777" w:rsidR="00C7198A" w:rsidRDefault="00C7198A">
            <w:pPr>
              <w:cnfStyle w:val="100000000000" w:firstRow="1" w:lastRow="0" w:firstColumn="0" w:lastColumn="0" w:oddVBand="0" w:evenVBand="0" w:oddHBand="0" w:evenHBand="0" w:firstRowFirstColumn="0" w:firstRowLastColumn="0" w:lastRowFirstColumn="0" w:lastRowLastColumn="0"/>
            </w:pPr>
            <w:r>
              <w:t>2025</w:t>
            </w:r>
            <w:r>
              <w:noBreakHyphen/>
              <w:t>26</w:t>
            </w:r>
          </w:p>
        </w:tc>
      </w:tr>
      <w:tr w:rsidR="00C7198A" w14:paraId="24C1937D" w14:textId="77777777" w:rsidTr="00DB2C9C">
        <w:tc>
          <w:tcPr>
            <w:cnfStyle w:val="001000000000" w:firstRow="0" w:lastRow="0" w:firstColumn="1" w:lastColumn="0" w:oddVBand="0" w:evenVBand="0" w:oddHBand="0" w:evenHBand="0" w:firstRowFirstColumn="0" w:firstRowLastColumn="0" w:lastRowFirstColumn="0" w:lastRowLastColumn="0"/>
            <w:tcW w:w="4534" w:type="dxa"/>
            <w:tcBorders>
              <w:bottom w:val="single" w:sz="6" w:space="0" w:color="auto"/>
            </w:tcBorders>
          </w:tcPr>
          <w:p w14:paraId="7A76977F" w14:textId="2E3EF1E2" w:rsidR="00C7198A" w:rsidRDefault="00C7198A">
            <w:r>
              <w:t>Victoria’s Flood Recovery</w:t>
            </w:r>
            <w:r w:rsidR="00750191" w:rsidRPr="0095606C">
              <w:rPr>
                <w:vertAlign w:val="superscript"/>
              </w:rPr>
              <w:t xml:space="preserve"> (a)</w:t>
            </w:r>
          </w:p>
        </w:tc>
        <w:tc>
          <w:tcPr>
            <w:tcW w:w="794" w:type="dxa"/>
            <w:tcBorders>
              <w:bottom w:val="single" w:sz="6" w:space="0" w:color="auto"/>
            </w:tcBorders>
          </w:tcPr>
          <w:p w14:paraId="329ED208" w14:textId="77777777" w:rsidR="00C7198A" w:rsidRDefault="00C7198A">
            <w:pPr>
              <w:cnfStyle w:val="000000000000" w:firstRow="0" w:lastRow="0" w:firstColumn="0" w:lastColumn="0" w:oddVBand="0" w:evenVBand="0" w:oddHBand="0" w:evenHBand="0" w:firstRowFirstColumn="0" w:firstRowLastColumn="0" w:lastRowFirstColumn="0" w:lastRowLastColumn="0"/>
            </w:pPr>
            <w:r>
              <w:t>500.0</w:t>
            </w:r>
          </w:p>
        </w:tc>
        <w:tc>
          <w:tcPr>
            <w:tcW w:w="794" w:type="dxa"/>
            <w:tcBorders>
              <w:bottom w:val="single" w:sz="6" w:space="0" w:color="auto"/>
            </w:tcBorders>
          </w:tcPr>
          <w:p w14:paraId="11EC5028"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31CBBA71"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6FBC4575"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r>
      <w:tr w:rsidR="00C7198A" w14:paraId="3EECCE1A" w14:textId="77777777" w:rsidTr="00DB2C9C">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bottom w:val="single" w:sz="12" w:space="0" w:color="auto"/>
            </w:tcBorders>
          </w:tcPr>
          <w:p w14:paraId="3143F129" w14:textId="091637FC" w:rsidR="00C7198A" w:rsidRDefault="00C7198A">
            <w:r>
              <w:rPr>
                <w:b/>
              </w:rPr>
              <w:t>Total output initiatives</w:t>
            </w:r>
            <w:r w:rsidR="00750191">
              <w:rPr>
                <w:b/>
              </w:rPr>
              <w:t xml:space="preserve"> </w:t>
            </w:r>
          </w:p>
        </w:tc>
        <w:tc>
          <w:tcPr>
            <w:tcW w:w="794" w:type="dxa"/>
            <w:tcBorders>
              <w:top w:val="single" w:sz="6" w:space="0" w:color="auto"/>
              <w:bottom w:val="single" w:sz="12" w:space="0" w:color="auto"/>
            </w:tcBorders>
          </w:tcPr>
          <w:p w14:paraId="16878811" w14:textId="77777777" w:rsidR="00C7198A" w:rsidRDefault="00C7198A">
            <w:pPr>
              <w:cnfStyle w:val="000000000000" w:firstRow="0" w:lastRow="0" w:firstColumn="0" w:lastColumn="0" w:oddVBand="0" w:evenVBand="0" w:oddHBand="0" w:evenHBand="0" w:firstRowFirstColumn="0" w:firstRowLastColumn="0" w:lastRowFirstColumn="0" w:lastRowLastColumn="0"/>
            </w:pPr>
            <w:r>
              <w:rPr>
                <w:b/>
              </w:rPr>
              <w:t>500.0</w:t>
            </w:r>
          </w:p>
        </w:tc>
        <w:tc>
          <w:tcPr>
            <w:tcW w:w="794" w:type="dxa"/>
            <w:tcBorders>
              <w:top w:val="single" w:sz="6" w:space="0" w:color="auto"/>
              <w:bottom w:val="single" w:sz="12" w:space="0" w:color="auto"/>
            </w:tcBorders>
          </w:tcPr>
          <w:p w14:paraId="687BA34E" w14:textId="77777777" w:rsidR="00C7198A" w:rsidRDefault="00C7198A">
            <w:pPr>
              <w:cnfStyle w:val="000000000000" w:firstRow="0" w:lastRow="0" w:firstColumn="0" w:lastColumn="0" w:oddVBand="0" w:evenVBand="0" w:oddHBand="0" w:evenHBand="0" w:firstRowFirstColumn="0" w:firstRowLastColumn="0" w:lastRowFirstColumn="0" w:lastRowLastColumn="0"/>
            </w:pPr>
            <w:r>
              <w:rPr>
                <w:b/>
              </w:rPr>
              <w:t>..</w:t>
            </w:r>
          </w:p>
        </w:tc>
        <w:tc>
          <w:tcPr>
            <w:tcW w:w="794" w:type="dxa"/>
            <w:tcBorders>
              <w:top w:val="single" w:sz="6" w:space="0" w:color="auto"/>
              <w:bottom w:val="single" w:sz="12" w:space="0" w:color="auto"/>
            </w:tcBorders>
          </w:tcPr>
          <w:p w14:paraId="6A34CAD7" w14:textId="77777777" w:rsidR="00C7198A" w:rsidRDefault="00C7198A">
            <w:pPr>
              <w:cnfStyle w:val="000000000000" w:firstRow="0" w:lastRow="0" w:firstColumn="0" w:lastColumn="0" w:oddVBand="0" w:evenVBand="0" w:oddHBand="0" w:evenHBand="0" w:firstRowFirstColumn="0" w:firstRowLastColumn="0" w:lastRowFirstColumn="0" w:lastRowLastColumn="0"/>
            </w:pPr>
            <w:r>
              <w:rPr>
                <w:b/>
              </w:rPr>
              <w:t>..</w:t>
            </w:r>
          </w:p>
        </w:tc>
        <w:tc>
          <w:tcPr>
            <w:tcW w:w="794" w:type="dxa"/>
            <w:tcBorders>
              <w:top w:val="single" w:sz="6" w:space="0" w:color="auto"/>
              <w:bottom w:val="single" w:sz="12" w:space="0" w:color="auto"/>
            </w:tcBorders>
          </w:tcPr>
          <w:p w14:paraId="06567C57" w14:textId="7CF73FF9" w:rsidR="00C7198A" w:rsidRDefault="00C7198A">
            <w:pPr>
              <w:cnfStyle w:val="000000000000" w:firstRow="0" w:lastRow="0" w:firstColumn="0" w:lastColumn="0" w:oddVBand="0" w:evenVBand="0" w:oddHBand="0" w:evenHBand="0" w:firstRowFirstColumn="0" w:firstRowLastColumn="0" w:lastRowFirstColumn="0" w:lastRowLastColumn="0"/>
            </w:pPr>
            <w:r>
              <w:rPr>
                <w:b/>
              </w:rPr>
              <w:t>..</w:t>
            </w:r>
          </w:p>
        </w:tc>
      </w:tr>
    </w:tbl>
    <w:p w14:paraId="4CDBE949" w14:textId="77777777" w:rsidR="00750191" w:rsidRPr="0032362A" w:rsidRDefault="00750191" w:rsidP="00750191">
      <w:pPr>
        <w:pStyle w:val="Note"/>
      </w:pPr>
      <w:r w:rsidRPr="0032362A">
        <w:t>Note:</w:t>
      </w:r>
    </w:p>
    <w:p w14:paraId="66EDE9F0" w14:textId="209D5C79" w:rsidR="003C06B2" w:rsidRPr="0095606C" w:rsidRDefault="00750191" w:rsidP="0095606C">
      <w:pPr>
        <w:pStyle w:val="Note"/>
      </w:pPr>
      <w:r w:rsidRPr="0095606C">
        <w:t>(a)</w:t>
      </w:r>
      <w:r w:rsidRPr="0095606C">
        <w:tab/>
      </w:r>
      <w:r w:rsidR="00745EA6">
        <w:t>Some of the</w:t>
      </w:r>
      <w:r w:rsidR="00745EA6" w:rsidRPr="00B37DB5">
        <w:t xml:space="preserve"> initiatives </w:t>
      </w:r>
      <w:r w:rsidR="00745EA6">
        <w:t xml:space="preserve">listed below will </w:t>
      </w:r>
      <w:r w:rsidR="00745EA6" w:rsidRPr="00B37DB5">
        <w:t xml:space="preserve">receive Commonwealth funding under the Disaster Recovery Funding Arrangements. Estimates of the Commonwealth’s contribution are </w:t>
      </w:r>
      <w:r w:rsidR="00745EA6">
        <w:t>yet to be determined.</w:t>
      </w:r>
    </w:p>
    <w:p w14:paraId="0841B1DC" w14:textId="77777777" w:rsidR="00C52DB6" w:rsidRDefault="00C52DB6" w:rsidP="004321C6"/>
    <w:p w14:paraId="1DAB93A3" w14:textId="2D17E1E4" w:rsidR="00C7198A" w:rsidRPr="0032362A" w:rsidRDefault="00C7198A" w:rsidP="003E7C2F">
      <w:pPr>
        <w:keepNext/>
        <w:tabs>
          <w:tab w:val="right" w:pos="7710"/>
        </w:tabs>
        <w:spacing w:before="180"/>
        <w:outlineLvl w:val="4"/>
        <w:rPr>
          <w:rFonts w:ascii="Calibri" w:eastAsia="Times New Roman" w:hAnsi="Calibri" w:cs="Times New Roman"/>
          <w:b/>
          <w:iCs/>
          <w:sz w:val="21"/>
          <w:szCs w:val="26"/>
        </w:rPr>
      </w:pPr>
      <w:r w:rsidRPr="0032362A">
        <w:rPr>
          <w:rFonts w:ascii="Calibri" w:eastAsia="Times New Roman" w:hAnsi="Calibri" w:cs="Times New Roman"/>
          <w:b/>
          <w:iCs/>
          <w:sz w:val="21"/>
          <w:szCs w:val="26"/>
        </w:rPr>
        <w:t>Victoria’s Flood Recovery</w:t>
      </w:r>
    </w:p>
    <w:p w14:paraId="61B42A94" w14:textId="77777777" w:rsidR="00745EA6" w:rsidRDefault="00745EA6" w:rsidP="00745EA6">
      <w:r>
        <w:t>Initial f</w:t>
      </w:r>
      <w:r w:rsidRPr="002A198F">
        <w:t>unding is provided to meet the immediate needs of flood-affected communities and support the emergency response,</w:t>
      </w:r>
      <w:r>
        <w:t xml:space="preserve"> including:</w:t>
      </w:r>
      <w:r w:rsidDel="000530CC">
        <w:t xml:space="preserve"> </w:t>
      </w:r>
    </w:p>
    <w:p w14:paraId="57D26C5F" w14:textId="77777777" w:rsidR="00745EA6" w:rsidRPr="00104C80" w:rsidRDefault="00745EA6" w:rsidP="00745EA6">
      <w:pPr>
        <w:pStyle w:val="ListBullet"/>
      </w:pPr>
      <w:r w:rsidRPr="00104C80">
        <w:t xml:space="preserve">emergency road repair works to ensure the safety </w:t>
      </w:r>
      <w:r>
        <w:t>of</w:t>
      </w:r>
      <w:r w:rsidRPr="00104C80">
        <w:t xml:space="preserve"> road users and the community, repair works to reopen priority roads in flood affected areas, and larger-scale works like the reconstruction of roads, bridges and culverts following damage assessments</w:t>
      </w:r>
      <w:r>
        <w:t xml:space="preserve"> </w:t>
      </w:r>
    </w:p>
    <w:p w14:paraId="3E946070" w14:textId="77777777" w:rsidR="00745EA6" w:rsidRDefault="00745EA6" w:rsidP="00745EA6">
      <w:pPr>
        <w:pStyle w:val="ListBullet"/>
      </w:pPr>
      <w:r w:rsidRPr="00104C80">
        <w:t>the coordinated clean-up of impacted communities, operationalising the Centre for National Resilience, flood recovery case support program, community recovery officers, surge capacity for emergency services, volunteer support payments, repairs and clean</w:t>
      </w:r>
      <w:r w:rsidRPr="00104C80">
        <w:noBreakHyphen/>
        <w:t>up of the Rochester VicSES facilities</w:t>
      </w:r>
      <w:r>
        <w:t xml:space="preserve"> </w:t>
      </w:r>
    </w:p>
    <w:p w14:paraId="5D44800D" w14:textId="77777777" w:rsidR="00745EA6" w:rsidRPr="00104C80" w:rsidRDefault="00745EA6" w:rsidP="00745EA6">
      <w:pPr>
        <w:pStyle w:val="ListBullet"/>
      </w:pPr>
      <w:r w:rsidRPr="00104C80">
        <w:t>delivering grants, concessional loans and transport costs to support primary producers directly affected by the floods</w:t>
      </w:r>
    </w:p>
    <w:p w14:paraId="27F16AFC" w14:textId="77777777" w:rsidR="00745EA6" w:rsidRDefault="00745EA6" w:rsidP="00745EA6">
      <w:pPr>
        <w:pStyle w:val="ListBullet"/>
      </w:pPr>
      <w:r w:rsidRPr="00104C80">
        <w:t>one-off grants to business owners whose livelihoods have been affected by the floods</w:t>
      </w:r>
    </w:p>
    <w:p w14:paraId="73A20D7A" w14:textId="30D9E6F2" w:rsidR="00745EA6" w:rsidRDefault="00745EA6" w:rsidP="00745EA6">
      <w:pPr>
        <w:pStyle w:val="ListBullet"/>
      </w:pPr>
      <w:r w:rsidRPr="00104C80">
        <w:t xml:space="preserve">the </w:t>
      </w:r>
      <w:r w:rsidRPr="00035D7B">
        <w:rPr>
          <w:i/>
          <w:iCs/>
        </w:rPr>
        <w:t>Council Flood Support Fund</w:t>
      </w:r>
      <w:r w:rsidRPr="00104C80">
        <w:t xml:space="preserve"> to support local government areas with profound flood damage</w:t>
      </w:r>
    </w:p>
    <w:p w14:paraId="327D9CB2" w14:textId="63AC0855" w:rsidR="001606D1" w:rsidRPr="00AA0855" w:rsidRDefault="001606D1" w:rsidP="00745EA6">
      <w:pPr>
        <w:pStyle w:val="ListBullet"/>
      </w:pPr>
      <w:r w:rsidRPr="001606D1">
        <w:t>support for schools, TAFEs and students affected by the floods to ensure continuation of education services, including for repairs of damaged equipment and facilities, cleaning up outdoor areas, replacement of lost school consumables and furniture, additional emergency relocatable buildings, additional staffing, transport and delivery of remote learning</w:t>
      </w:r>
    </w:p>
    <w:p w14:paraId="2AEBE98C" w14:textId="325CD7D0" w:rsidR="00745EA6" w:rsidRPr="00104C80" w:rsidRDefault="00745EA6" w:rsidP="004321C6">
      <w:pPr>
        <w:pStyle w:val="ListBullet"/>
        <w:ind w:right="-114"/>
      </w:pPr>
      <w:r w:rsidRPr="00104C80">
        <w:rPr>
          <w:rFonts w:eastAsia="Times New Roman"/>
        </w:rPr>
        <w:t>a landfill gate fee rebate that will ensure that all flood-related waste within affected Local Government Areas (LGAs) can be disposed of free of charge until 31 December 2022</w:t>
      </w:r>
      <w:r>
        <w:rPr>
          <w:rFonts w:eastAsia="Times New Roman"/>
        </w:rPr>
        <w:t xml:space="preserve"> </w:t>
      </w:r>
    </w:p>
    <w:p w14:paraId="376B6CD0" w14:textId="17A39B0C" w:rsidR="00745EA6" w:rsidRDefault="00745EA6" w:rsidP="00745EA6">
      <w:pPr>
        <w:pStyle w:val="ListBullet"/>
      </w:pPr>
      <w:r w:rsidRPr="00104C80">
        <w:t>support for health services, including delivering 200 additional hospital staff to flood</w:t>
      </w:r>
      <w:r>
        <w:noBreakHyphen/>
      </w:r>
      <w:r w:rsidRPr="00104C80">
        <w:t>affected areas for three months, 20 locum pharmacists to support small local pharmacies,</w:t>
      </w:r>
      <w:r w:rsidR="00A81FB3">
        <w:t xml:space="preserve"> </w:t>
      </w:r>
      <w:r w:rsidR="00A81FB3" w:rsidRPr="00A81FB3">
        <w:t>repairs to public health services and public sector residential aged care facilities</w:t>
      </w:r>
      <w:r w:rsidRPr="00104C80">
        <w:t xml:space="preserve"> and extra air ambulance transfers for patients and staff while roads are inaccessible</w:t>
      </w:r>
      <w:r>
        <w:t xml:space="preserve"> </w:t>
      </w:r>
    </w:p>
    <w:p w14:paraId="2F3A2FF2" w14:textId="77777777" w:rsidR="00745EA6" w:rsidRPr="00104C80" w:rsidRDefault="00745EA6" w:rsidP="00745EA6">
      <w:pPr>
        <w:pStyle w:val="ListBullet"/>
      </w:pPr>
      <w:r w:rsidRPr="00104C80">
        <w:lastRenderedPageBreak/>
        <w:t>health protection initiatives, including a dedicated monitoring and control system to prevent and control mosquitos, making the Japanese Encephalitis Virus vaccination free in flood-affected areas, deployment of an Environmental Health and Field workforce to flooded regions, and additional resources for Local Public Health Units in affected areas</w:t>
      </w:r>
      <w:r>
        <w:t xml:space="preserve"> </w:t>
      </w:r>
    </w:p>
    <w:p w14:paraId="664E1C39" w14:textId="77777777" w:rsidR="00745EA6" w:rsidRDefault="00745EA6" w:rsidP="00745EA6">
      <w:pPr>
        <w:pStyle w:val="ListBullet"/>
      </w:pPr>
      <w:r w:rsidRPr="00104C80">
        <w:t>extra mental healthcare support for flood-affected Victorians, including additional hours of care through Mental Health and Wellbeing Hubs and community mental health organisations, and facilitation of local events by Neighbourhood Houses and Aboriginal Community-Controlled Organisations to connect flood-affected residents</w:t>
      </w:r>
      <w:r>
        <w:t xml:space="preserve"> </w:t>
      </w:r>
    </w:p>
    <w:p w14:paraId="5D9D9138" w14:textId="5AB29A86" w:rsidR="00745EA6" w:rsidRPr="00104C80" w:rsidRDefault="00745EA6" w:rsidP="00745EA6">
      <w:pPr>
        <w:pStyle w:val="ListBullet"/>
      </w:pPr>
      <w:r w:rsidRPr="00104C80">
        <w:t>immediate food relief and support for flood impacted communities, including assistance for food relief organisations and regional food hubs, multicultural food providers, Neighbourhood Houses and for Shepp</w:t>
      </w:r>
      <w:r w:rsidR="00B20465">
        <w:t>a</w:t>
      </w:r>
      <w:r w:rsidRPr="00104C80">
        <w:t>rton Foodshare to build a new food relief hub and warehouse facility</w:t>
      </w:r>
    </w:p>
    <w:p w14:paraId="00D8FB5F" w14:textId="77777777" w:rsidR="00745EA6" w:rsidRDefault="00745EA6" w:rsidP="00745EA6">
      <w:pPr>
        <w:pStyle w:val="ListBullet"/>
      </w:pPr>
      <w:r w:rsidRPr="00104C80">
        <w:t xml:space="preserve">the </w:t>
      </w:r>
      <w:r w:rsidRPr="00035D7B">
        <w:rPr>
          <w:i/>
          <w:iCs/>
        </w:rPr>
        <w:t>Community Sport Emergency Flood Assistance Program</w:t>
      </w:r>
      <w:r w:rsidRPr="00104C80">
        <w:t xml:space="preserve"> for grants to sporting clubs directly affected by the floods to assist meeting costs of damaged items</w:t>
      </w:r>
    </w:p>
    <w:p w14:paraId="1F301FD0" w14:textId="77777777" w:rsidR="00745EA6" w:rsidRDefault="00745EA6" w:rsidP="00745EA6">
      <w:pPr>
        <w:pStyle w:val="ListBullet"/>
      </w:pPr>
      <w:r w:rsidRPr="00104C80">
        <w:t>grants to sessional kindergartens impacted by the floods to assist with clean-up and provide children with additional support programs</w:t>
      </w:r>
      <w:r>
        <w:t>.</w:t>
      </w:r>
    </w:p>
    <w:p w14:paraId="67260C2C" w14:textId="77777777" w:rsidR="003C06B2" w:rsidRPr="007F7047" w:rsidRDefault="003C06B2" w:rsidP="002A198F"/>
    <w:p w14:paraId="383B304B" w14:textId="77777777" w:rsidR="00C7198A" w:rsidRDefault="00C7198A" w:rsidP="003C06B2">
      <w:pPr>
        <w:pStyle w:val="Heading10"/>
        <w:pageBreakBefore/>
      </w:pPr>
      <w:bookmarkStart w:id="112" w:name="_Toc117586258"/>
      <w:r>
        <w:lastRenderedPageBreak/>
        <w:t>Department of Education and Training</w:t>
      </w:r>
      <w:bookmarkEnd w:id="112"/>
    </w:p>
    <w:p w14:paraId="51B8782C" w14:textId="77777777" w:rsidR="00C7198A" w:rsidRDefault="00C7198A" w:rsidP="00F458AB">
      <w:pPr>
        <w:pStyle w:val="Heading20"/>
      </w:pPr>
      <w:r>
        <w:t>Output initiatives</w:t>
      </w:r>
    </w:p>
    <w:p w14:paraId="2CE72267" w14:textId="77777777" w:rsidR="00C7198A" w:rsidRDefault="00C7198A" w:rsidP="00F458AB">
      <w:pPr>
        <w:pStyle w:val="TableHeading"/>
      </w:pPr>
      <w:r>
        <w:t>Table A.2:</w:t>
      </w:r>
      <w:r>
        <w:tab/>
        <w:t>Output initiatives – Department of Education and Training</w:t>
      </w:r>
      <w:r>
        <w:tab/>
        <w:t>($ million)</w:t>
      </w:r>
    </w:p>
    <w:tbl>
      <w:tblPr>
        <w:tblStyle w:val="DTFTableNumeric"/>
        <w:tblW w:w="7710" w:type="dxa"/>
        <w:tblLayout w:type="fixed"/>
        <w:tblLook w:val="06A0" w:firstRow="1" w:lastRow="0" w:firstColumn="1" w:lastColumn="0" w:noHBand="1" w:noVBand="1"/>
      </w:tblPr>
      <w:tblGrid>
        <w:gridCol w:w="4534"/>
        <w:gridCol w:w="794"/>
        <w:gridCol w:w="794"/>
        <w:gridCol w:w="794"/>
        <w:gridCol w:w="794"/>
      </w:tblGrid>
      <w:tr w:rsidR="00C7198A" w14:paraId="37968062" w14:textId="77777777" w:rsidTr="009E18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4" w:type="dxa"/>
          </w:tcPr>
          <w:p w14:paraId="3A1F8AE8" w14:textId="642CC875" w:rsidR="00C7198A" w:rsidRDefault="00C7198A"/>
        </w:tc>
        <w:tc>
          <w:tcPr>
            <w:tcW w:w="794" w:type="dxa"/>
          </w:tcPr>
          <w:p w14:paraId="6720B6AD" w14:textId="77777777" w:rsidR="00C7198A" w:rsidRDefault="00C7198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6D0D073A" w14:textId="77777777" w:rsidR="00C7198A" w:rsidRDefault="00C7198A">
            <w:pPr>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27DB29FE" w14:textId="77777777" w:rsidR="00C7198A" w:rsidRDefault="00C7198A">
            <w:pPr>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1DE6BABC" w14:textId="77777777" w:rsidR="00C7198A" w:rsidRDefault="00C7198A">
            <w:pPr>
              <w:cnfStyle w:val="100000000000" w:firstRow="1" w:lastRow="0" w:firstColumn="0" w:lastColumn="0" w:oddVBand="0" w:evenVBand="0" w:oddHBand="0" w:evenHBand="0" w:firstRowFirstColumn="0" w:firstRowLastColumn="0" w:lastRowFirstColumn="0" w:lastRowLastColumn="0"/>
            </w:pPr>
            <w:r>
              <w:t>2025</w:t>
            </w:r>
            <w:r>
              <w:noBreakHyphen/>
              <w:t>26</w:t>
            </w:r>
          </w:p>
        </w:tc>
      </w:tr>
      <w:tr w:rsidR="00C7198A" w14:paraId="7AA162B3" w14:textId="77777777">
        <w:tc>
          <w:tcPr>
            <w:cnfStyle w:val="001000000000" w:firstRow="0" w:lastRow="0" w:firstColumn="1" w:lastColumn="0" w:oddVBand="0" w:evenVBand="0" w:oddHBand="0" w:evenHBand="0" w:firstRowFirstColumn="0" w:firstRowLastColumn="0" w:lastRowFirstColumn="0" w:lastRowLastColumn="0"/>
            <w:tcW w:w="4534" w:type="dxa"/>
          </w:tcPr>
          <w:p w14:paraId="23C81163" w14:textId="77777777" w:rsidR="00C7198A" w:rsidRDefault="00C7198A">
            <w:r>
              <w:rPr>
                <w:b/>
              </w:rPr>
              <w:t>Early Childhood Education</w:t>
            </w:r>
          </w:p>
        </w:tc>
        <w:tc>
          <w:tcPr>
            <w:tcW w:w="794" w:type="dxa"/>
          </w:tcPr>
          <w:p w14:paraId="4D4FB803"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06533C03"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4231E84D"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0FA9A812"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r>
      <w:tr w:rsidR="00C7198A" w14:paraId="147186AF" w14:textId="77777777">
        <w:tc>
          <w:tcPr>
            <w:cnfStyle w:val="001000000000" w:firstRow="0" w:lastRow="0" w:firstColumn="1" w:lastColumn="0" w:oddVBand="0" w:evenVBand="0" w:oddHBand="0" w:evenHBand="0" w:firstRowFirstColumn="0" w:firstRowLastColumn="0" w:lastRowFirstColumn="0" w:lastRowLastColumn="0"/>
            <w:tcW w:w="4534" w:type="dxa"/>
          </w:tcPr>
          <w:p w14:paraId="1C5454A8" w14:textId="77777777" w:rsidR="00C7198A" w:rsidRDefault="00C7198A">
            <w:r>
              <w:t>Best Start, Best Life</w:t>
            </w:r>
          </w:p>
        </w:tc>
        <w:tc>
          <w:tcPr>
            <w:tcW w:w="794" w:type="dxa"/>
          </w:tcPr>
          <w:p w14:paraId="6A406C99" w14:textId="77777777" w:rsidR="00C7198A" w:rsidRDefault="00C7198A">
            <w:pPr>
              <w:cnfStyle w:val="000000000000" w:firstRow="0" w:lastRow="0" w:firstColumn="0" w:lastColumn="0" w:oddVBand="0" w:evenVBand="0" w:oddHBand="0" w:evenHBand="0" w:firstRowFirstColumn="0" w:firstRowLastColumn="0" w:lastRowFirstColumn="0" w:lastRowLastColumn="0"/>
            </w:pPr>
            <w:r>
              <w:t>154.5</w:t>
            </w:r>
          </w:p>
        </w:tc>
        <w:tc>
          <w:tcPr>
            <w:tcW w:w="794" w:type="dxa"/>
          </w:tcPr>
          <w:p w14:paraId="449312EE" w14:textId="77777777" w:rsidR="00C7198A" w:rsidRDefault="00C7198A">
            <w:pPr>
              <w:cnfStyle w:val="000000000000" w:firstRow="0" w:lastRow="0" w:firstColumn="0" w:lastColumn="0" w:oddVBand="0" w:evenVBand="0" w:oddHBand="0" w:evenHBand="0" w:firstRowFirstColumn="0" w:firstRowLastColumn="0" w:lastRowFirstColumn="0" w:lastRowLastColumn="0"/>
            </w:pPr>
            <w:r>
              <w:t>365.1</w:t>
            </w:r>
          </w:p>
        </w:tc>
        <w:tc>
          <w:tcPr>
            <w:tcW w:w="794" w:type="dxa"/>
          </w:tcPr>
          <w:p w14:paraId="594A1D22" w14:textId="77777777" w:rsidR="00C7198A" w:rsidRDefault="00C7198A">
            <w:pPr>
              <w:cnfStyle w:val="000000000000" w:firstRow="0" w:lastRow="0" w:firstColumn="0" w:lastColumn="0" w:oddVBand="0" w:evenVBand="0" w:oddHBand="0" w:evenHBand="0" w:firstRowFirstColumn="0" w:firstRowLastColumn="0" w:lastRowFirstColumn="0" w:lastRowLastColumn="0"/>
            </w:pPr>
            <w:r>
              <w:t>524.8</w:t>
            </w:r>
          </w:p>
        </w:tc>
        <w:tc>
          <w:tcPr>
            <w:tcW w:w="794" w:type="dxa"/>
          </w:tcPr>
          <w:p w14:paraId="0B4C980B" w14:textId="77777777" w:rsidR="00C7198A" w:rsidRDefault="00C7198A">
            <w:pPr>
              <w:cnfStyle w:val="000000000000" w:firstRow="0" w:lastRow="0" w:firstColumn="0" w:lastColumn="0" w:oddVBand="0" w:evenVBand="0" w:oddHBand="0" w:evenHBand="0" w:firstRowFirstColumn="0" w:firstRowLastColumn="0" w:lastRowFirstColumn="0" w:lastRowLastColumn="0"/>
            </w:pPr>
            <w:r>
              <w:t>717.1</w:t>
            </w:r>
          </w:p>
        </w:tc>
      </w:tr>
      <w:tr w:rsidR="00C7198A" w14:paraId="354D76D2" w14:textId="77777777">
        <w:tc>
          <w:tcPr>
            <w:cnfStyle w:val="001000000000" w:firstRow="0" w:lastRow="0" w:firstColumn="1" w:lastColumn="0" w:oddVBand="0" w:evenVBand="0" w:oddHBand="0" w:evenHBand="0" w:firstRowFirstColumn="0" w:firstRowLastColumn="0" w:lastRowFirstColumn="0" w:lastRowLastColumn="0"/>
            <w:tcW w:w="4534" w:type="dxa"/>
          </w:tcPr>
          <w:p w14:paraId="6248B340" w14:textId="77777777" w:rsidR="00C7198A" w:rsidRDefault="00C7198A">
            <w:r>
              <w:rPr>
                <w:b/>
              </w:rPr>
              <w:t>School Education</w:t>
            </w:r>
          </w:p>
        </w:tc>
        <w:tc>
          <w:tcPr>
            <w:tcW w:w="794" w:type="dxa"/>
          </w:tcPr>
          <w:p w14:paraId="1A1189A0"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2DD97DC4"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0BBA9C5A"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110CDB80"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r>
      <w:tr w:rsidR="00C7198A" w14:paraId="39AF0CE9" w14:textId="77777777">
        <w:tc>
          <w:tcPr>
            <w:cnfStyle w:val="001000000000" w:firstRow="0" w:lastRow="0" w:firstColumn="1" w:lastColumn="0" w:oddVBand="0" w:evenVBand="0" w:oddHBand="0" w:evenHBand="0" w:firstRowFirstColumn="0" w:firstRowLastColumn="0" w:lastRowFirstColumn="0" w:lastRowLastColumn="0"/>
            <w:tcW w:w="4534" w:type="dxa"/>
          </w:tcPr>
          <w:p w14:paraId="77D42E67" w14:textId="77777777" w:rsidR="00C7198A" w:rsidRDefault="00C7198A">
            <w:r>
              <w:t>Extending the Tutor Learning Initiative</w:t>
            </w:r>
          </w:p>
        </w:tc>
        <w:tc>
          <w:tcPr>
            <w:tcW w:w="794" w:type="dxa"/>
          </w:tcPr>
          <w:p w14:paraId="220516A3" w14:textId="77777777" w:rsidR="00C7198A" w:rsidRDefault="00C7198A">
            <w:pPr>
              <w:cnfStyle w:val="000000000000" w:firstRow="0" w:lastRow="0" w:firstColumn="0" w:lastColumn="0" w:oddVBand="0" w:evenVBand="0" w:oddHBand="0" w:evenHBand="0" w:firstRowFirstColumn="0" w:firstRowLastColumn="0" w:lastRowFirstColumn="0" w:lastRowLastColumn="0"/>
            </w:pPr>
            <w:r>
              <w:t>129.2</w:t>
            </w:r>
          </w:p>
        </w:tc>
        <w:tc>
          <w:tcPr>
            <w:tcW w:w="794" w:type="dxa"/>
          </w:tcPr>
          <w:p w14:paraId="38423060" w14:textId="77777777" w:rsidR="00C7198A" w:rsidRDefault="00C7198A">
            <w:pPr>
              <w:cnfStyle w:val="000000000000" w:firstRow="0" w:lastRow="0" w:firstColumn="0" w:lastColumn="0" w:oddVBand="0" w:evenVBand="0" w:oddHBand="0" w:evenHBand="0" w:firstRowFirstColumn="0" w:firstRowLastColumn="0" w:lastRowFirstColumn="0" w:lastRowLastColumn="0"/>
            </w:pPr>
            <w:r>
              <w:t>129.2</w:t>
            </w:r>
          </w:p>
        </w:tc>
        <w:tc>
          <w:tcPr>
            <w:tcW w:w="794" w:type="dxa"/>
          </w:tcPr>
          <w:p w14:paraId="5E469F73"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565FF10B"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r>
      <w:tr w:rsidR="00C7198A" w14:paraId="369BE94D" w14:textId="77777777">
        <w:tc>
          <w:tcPr>
            <w:cnfStyle w:val="001000000000" w:firstRow="0" w:lastRow="0" w:firstColumn="1" w:lastColumn="0" w:oddVBand="0" w:evenVBand="0" w:oddHBand="0" w:evenHBand="0" w:firstRowFirstColumn="0" w:firstRowLastColumn="0" w:lastRowFirstColumn="0" w:lastRowLastColumn="0"/>
            <w:tcW w:w="4534" w:type="dxa"/>
          </w:tcPr>
          <w:p w14:paraId="0B8F1F4A" w14:textId="77777777" w:rsidR="00C7198A" w:rsidRDefault="00C7198A">
            <w:r>
              <w:t>Mental Health in Primary Schools</w:t>
            </w:r>
          </w:p>
        </w:tc>
        <w:tc>
          <w:tcPr>
            <w:tcW w:w="794" w:type="dxa"/>
          </w:tcPr>
          <w:p w14:paraId="0CB008CB" w14:textId="77777777" w:rsidR="00C7198A" w:rsidRDefault="00C7198A">
            <w:pPr>
              <w:cnfStyle w:val="000000000000" w:firstRow="0" w:lastRow="0" w:firstColumn="0" w:lastColumn="0" w:oddVBand="0" w:evenVBand="0" w:oddHBand="0" w:evenHBand="0" w:firstRowFirstColumn="0" w:firstRowLastColumn="0" w:lastRowFirstColumn="0" w:lastRowLastColumn="0"/>
            </w:pPr>
            <w:r>
              <w:t>13.0</w:t>
            </w:r>
          </w:p>
        </w:tc>
        <w:tc>
          <w:tcPr>
            <w:tcW w:w="794" w:type="dxa"/>
          </w:tcPr>
          <w:p w14:paraId="584DFBFB" w14:textId="77777777" w:rsidR="00C7198A" w:rsidRDefault="00C7198A">
            <w:pPr>
              <w:cnfStyle w:val="000000000000" w:firstRow="0" w:lastRow="0" w:firstColumn="0" w:lastColumn="0" w:oddVBand="0" w:evenVBand="0" w:oddHBand="0" w:evenHBand="0" w:firstRowFirstColumn="0" w:firstRowLastColumn="0" w:lastRowFirstColumn="0" w:lastRowLastColumn="0"/>
            </w:pPr>
            <w:r>
              <w:t>37.9</w:t>
            </w:r>
          </w:p>
        </w:tc>
        <w:tc>
          <w:tcPr>
            <w:tcW w:w="794" w:type="dxa"/>
          </w:tcPr>
          <w:p w14:paraId="42C8BAC7" w14:textId="77777777" w:rsidR="00C7198A" w:rsidRDefault="00C7198A">
            <w:pPr>
              <w:cnfStyle w:val="000000000000" w:firstRow="0" w:lastRow="0" w:firstColumn="0" w:lastColumn="0" w:oddVBand="0" w:evenVBand="0" w:oddHBand="0" w:evenHBand="0" w:firstRowFirstColumn="0" w:firstRowLastColumn="0" w:lastRowFirstColumn="0" w:lastRowLastColumn="0"/>
            </w:pPr>
            <w:r>
              <w:t>63.0</w:t>
            </w:r>
          </w:p>
        </w:tc>
        <w:tc>
          <w:tcPr>
            <w:tcW w:w="794" w:type="dxa"/>
          </w:tcPr>
          <w:p w14:paraId="29B24208" w14:textId="77777777" w:rsidR="00C7198A" w:rsidRDefault="00C7198A">
            <w:pPr>
              <w:cnfStyle w:val="000000000000" w:firstRow="0" w:lastRow="0" w:firstColumn="0" w:lastColumn="0" w:oddVBand="0" w:evenVBand="0" w:oddHBand="0" w:evenHBand="0" w:firstRowFirstColumn="0" w:firstRowLastColumn="0" w:lastRowFirstColumn="0" w:lastRowLastColumn="0"/>
            </w:pPr>
            <w:r>
              <w:t>86.7</w:t>
            </w:r>
          </w:p>
        </w:tc>
      </w:tr>
      <w:tr w:rsidR="00C7198A" w14:paraId="08EAE446" w14:textId="77777777">
        <w:tc>
          <w:tcPr>
            <w:cnfStyle w:val="001000000000" w:firstRow="0" w:lastRow="0" w:firstColumn="1" w:lastColumn="0" w:oddVBand="0" w:evenVBand="0" w:oddHBand="0" w:evenHBand="0" w:firstRowFirstColumn="0" w:firstRowLastColumn="0" w:lastRowFirstColumn="0" w:lastRowLastColumn="0"/>
            <w:tcW w:w="4534" w:type="dxa"/>
          </w:tcPr>
          <w:p w14:paraId="1651F1E3" w14:textId="77777777" w:rsidR="00C7198A" w:rsidRDefault="00C7198A">
            <w:r>
              <w:rPr>
                <w:b/>
              </w:rPr>
              <w:t>Training, Higher Education and Workforce Development</w:t>
            </w:r>
          </w:p>
        </w:tc>
        <w:tc>
          <w:tcPr>
            <w:tcW w:w="794" w:type="dxa"/>
          </w:tcPr>
          <w:p w14:paraId="60B94CCE" w14:textId="77777777" w:rsidR="00C7198A" w:rsidRDefault="00C7198A">
            <w:pPr>
              <w:cnfStyle w:val="000000000000" w:firstRow="0" w:lastRow="0" w:firstColumn="0" w:lastColumn="0" w:oddVBand="0" w:evenVBand="0" w:oddHBand="0" w:evenHBand="0" w:firstRowFirstColumn="0" w:firstRowLastColumn="0" w:lastRowFirstColumn="0" w:lastRowLastColumn="0"/>
            </w:pPr>
            <w:r>
              <w:rPr>
                <w:b/>
              </w:rPr>
              <w:t>..</w:t>
            </w:r>
          </w:p>
        </w:tc>
        <w:tc>
          <w:tcPr>
            <w:tcW w:w="794" w:type="dxa"/>
          </w:tcPr>
          <w:p w14:paraId="3FC475A5"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6EE2099D"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7097C198"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r>
      <w:tr w:rsidR="00C7198A" w14:paraId="60FA4347" w14:textId="77777777">
        <w:tc>
          <w:tcPr>
            <w:cnfStyle w:val="001000000000" w:firstRow="0" w:lastRow="0" w:firstColumn="1" w:lastColumn="0" w:oddVBand="0" w:evenVBand="0" w:oddHBand="0" w:evenHBand="0" w:firstRowFirstColumn="0" w:firstRowLastColumn="0" w:lastRowFirstColumn="0" w:lastRowLastColumn="0"/>
            <w:tcW w:w="4534" w:type="dxa"/>
          </w:tcPr>
          <w:p w14:paraId="3644153E" w14:textId="77777777" w:rsidR="00C7198A" w:rsidRDefault="00C7198A">
            <w:r>
              <w:t>Improving Free TAFE</w:t>
            </w:r>
          </w:p>
        </w:tc>
        <w:tc>
          <w:tcPr>
            <w:tcW w:w="794" w:type="dxa"/>
          </w:tcPr>
          <w:p w14:paraId="6CEFADC2" w14:textId="77777777" w:rsidR="00C7198A" w:rsidRDefault="00C7198A">
            <w:pPr>
              <w:cnfStyle w:val="000000000000" w:firstRow="0" w:lastRow="0" w:firstColumn="0" w:lastColumn="0" w:oddVBand="0" w:evenVBand="0" w:oddHBand="0" w:evenHBand="0" w:firstRowFirstColumn="0" w:firstRowLastColumn="0" w:lastRowFirstColumn="0" w:lastRowLastColumn="0"/>
            </w:pPr>
            <w:r>
              <w:t>56.4</w:t>
            </w:r>
          </w:p>
        </w:tc>
        <w:tc>
          <w:tcPr>
            <w:tcW w:w="794" w:type="dxa"/>
          </w:tcPr>
          <w:p w14:paraId="41E9DB32" w14:textId="77777777" w:rsidR="00C7198A" w:rsidRDefault="00C7198A">
            <w:pPr>
              <w:cnfStyle w:val="000000000000" w:firstRow="0" w:lastRow="0" w:firstColumn="0" w:lastColumn="0" w:oddVBand="0" w:evenVBand="0" w:oddHBand="0" w:evenHBand="0" w:firstRowFirstColumn="0" w:firstRowLastColumn="0" w:lastRowFirstColumn="0" w:lastRowLastColumn="0"/>
            </w:pPr>
            <w:r>
              <w:t>23.2</w:t>
            </w:r>
          </w:p>
        </w:tc>
        <w:tc>
          <w:tcPr>
            <w:tcW w:w="794" w:type="dxa"/>
          </w:tcPr>
          <w:p w14:paraId="438AE069" w14:textId="77777777" w:rsidR="00C7198A" w:rsidRDefault="00C7198A">
            <w:pPr>
              <w:cnfStyle w:val="000000000000" w:firstRow="0" w:lastRow="0" w:firstColumn="0" w:lastColumn="0" w:oddVBand="0" w:evenVBand="0" w:oddHBand="0" w:evenHBand="0" w:firstRowFirstColumn="0" w:firstRowLastColumn="0" w:lastRowFirstColumn="0" w:lastRowLastColumn="0"/>
            </w:pPr>
            <w:r>
              <w:t>25.9</w:t>
            </w:r>
          </w:p>
        </w:tc>
        <w:tc>
          <w:tcPr>
            <w:tcW w:w="794" w:type="dxa"/>
          </w:tcPr>
          <w:p w14:paraId="41CFEE6A"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r>
      <w:tr w:rsidR="00C7198A" w14:paraId="2D05360C" w14:textId="77777777" w:rsidTr="009E18DD">
        <w:tc>
          <w:tcPr>
            <w:cnfStyle w:val="001000000000" w:firstRow="0" w:lastRow="0" w:firstColumn="1" w:lastColumn="0" w:oddVBand="0" w:evenVBand="0" w:oddHBand="0" w:evenHBand="0" w:firstRowFirstColumn="0" w:firstRowLastColumn="0" w:lastRowFirstColumn="0" w:lastRowLastColumn="0"/>
            <w:tcW w:w="4534" w:type="dxa"/>
            <w:tcBorders>
              <w:bottom w:val="single" w:sz="6" w:space="0" w:color="auto"/>
            </w:tcBorders>
          </w:tcPr>
          <w:p w14:paraId="7BF3F4C6" w14:textId="77777777" w:rsidR="00C7198A" w:rsidRDefault="00C7198A">
            <w:r>
              <w:t>Prahran campus site purchase and master planning</w:t>
            </w:r>
          </w:p>
        </w:tc>
        <w:tc>
          <w:tcPr>
            <w:tcW w:w="794" w:type="dxa"/>
            <w:tcBorders>
              <w:bottom w:val="single" w:sz="6" w:space="0" w:color="auto"/>
            </w:tcBorders>
          </w:tcPr>
          <w:p w14:paraId="5902450B" w14:textId="77777777" w:rsidR="00C7198A" w:rsidRDefault="00C7198A">
            <w:pPr>
              <w:cnfStyle w:val="000000000000" w:firstRow="0" w:lastRow="0" w:firstColumn="0" w:lastColumn="0" w:oddVBand="0" w:evenVBand="0" w:oddHBand="0" w:evenHBand="0" w:firstRowFirstColumn="0" w:firstRowLastColumn="0" w:lastRowFirstColumn="0" w:lastRowLastColumn="0"/>
            </w:pPr>
            <w:r>
              <w:t>0.8</w:t>
            </w:r>
          </w:p>
        </w:tc>
        <w:tc>
          <w:tcPr>
            <w:tcW w:w="794" w:type="dxa"/>
            <w:tcBorders>
              <w:bottom w:val="single" w:sz="6" w:space="0" w:color="auto"/>
            </w:tcBorders>
          </w:tcPr>
          <w:p w14:paraId="471F8D3D"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207A39A0"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0C016826"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r>
      <w:tr w:rsidR="00C7198A" w14:paraId="6D02C659" w14:textId="77777777" w:rsidTr="009E18DD">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bottom w:val="single" w:sz="12" w:space="0" w:color="auto"/>
            </w:tcBorders>
          </w:tcPr>
          <w:p w14:paraId="3BF745B3" w14:textId="77777777" w:rsidR="00C7198A" w:rsidRDefault="00C7198A">
            <w:r>
              <w:rPr>
                <w:b/>
              </w:rPr>
              <w:t xml:space="preserve">Total output initiatives </w:t>
            </w:r>
            <w:r>
              <w:rPr>
                <w:b/>
                <w:vertAlign w:val="superscript"/>
              </w:rPr>
              <w:t>(a)</w:t>
            </w:r>
          </w:p>
        </w:tc>
        <w:tc>
          <w:tcPr>
            <w:tcW w:w="794" w:type="dxa"/>
            <w:tcBorders>
              <w:top w:val="single" w:sz="6" w:space="0" w:color="auto"/>
              <w:bottom w:val="single" w:sz="12" w:space="0" w:color="auto"/>
            </w:tcBorders>
          </w:tcPr>
          <w:p w14:paraId="1839A79E" w14:textId="77777777" w:rsidR="00C7198A" w:rsidRDefault="00C7198A">
            <w:pPr>
              <w:cnfStyle w:val="000000000000" w:firstRow="0" w:lastRow="0" w:firstColumn="0" w:lastColumn="0" w:oddVBand="0" w:evenVBand="0" w:oddHBand="0" w:evenHBand="0" w:firstRowFirstColumn="0" w:firstRowLastColumn="0" w:lastRowFirstColumn="0" w:lastRowLastColumn="0"/>
            </w:pPr>
            <w:r>
              <w:rPr>
                <w:b/>
              </w:rPr>
              <w:t>353.9</w:t>
            </w:r>
          </w:p>
        </w:tc>
        <w:tc>
          <w:tcPr>
            <w:tcW w:w="794" w:type="dxa"/>
            <w:tcBorders>
              <w:top w:val="single" w:sz="6" w:space="0" w:color="auto"/>
              <w:bottom w:val="single" w:sz="12" w:space="0" w:color="auto"/>
            </w:tcBorders>
          </w:tcPr>
          <w:p w14:paraId="76E005BA" w14:textId="77777777" w:rsidR="00C7198A" w:rsidRDefault="00C7198A">
            <w:pPr>
              <w:cnfStyle w:val="000000000000" w:firstRow="0" w:lastRow="0" w:firstColumn="0" w:lastColumn="0" w:oddVBand="0" w:evenVBand="0" w:oddHBand="0" w:evenHBand="0" w:firstRowFirstColumn="0" w:firstRowLastColumn="0" w:lastRowFirstColumn="0" w:lastRowLastColumn="0"/>
            </w:pPr>
            <w:r>
              <w:rPr>
                <w:b/>
              </w:rPr>
              <w:t>555.4</w:t>
            </w:r>
          </w:p>
        </w:tc>
        <w:tc>
          <w:tcPr>
            <w:tcW w:w="794" w:type="dxa"/>
            <w:tcBorders>
              <w:top w:val="single" w:sz="6" w:space="0" w:color="auto"/>
              <w:bottom w:val="single" w:sz="12" w:space="0" w:color="auto"/>
            </w:tcBorders>
          </w:tcPr>
          <w:p w14:paraId="0B48ACA8" w14:textId="77777777" w:rsidR="00C7198A" w:rsidRDefault="00C7198A">
            <w:pPr>
              <w:cnfStyle w:val="000000000000" w:firstRow="0" w:lastRow="0" w:firstColumn="0" w:lastColumn="0" w:oddVBand="0" w:evenVBand="0" w:oddHBand="0" w:evenHBand="0" w:firstRowFirstColumn="0" w:firstRowLastColumn="0" w:lastRowFirstColumn="0" w:lastRowLastColumn="0"/>
            </w:pPr>
            <w:r>
              <w:rPr>
                <w:b/>
              </w:rPr>
              <w:t>613.7</w:t>
            </w:r>
          </w:p>
        </w:tc>
        <w:tc>
          <w:tcPr>
            <w:tcW w:w="794" w:type="dxa"/>
            <w:tcBorders>
              <w:top w:val="single" w:sz="6" w:space="0" w:color="auto"/>
              <w:bottom w:val="single" w:sz="12" w:space="0" w:color="auto"/>
            </w:tcBorders>
          </w:tcPr>
          <w:p w14:paraId="7E1454B6" w14:textId="1AFC82A6" w:rsidR="00C7198A" w:rsidRDefault="00C7198A">
            <w:pPr>
              <w:cnfStyle w:val="000000000000" w:firstRow="0" w:lastRow="0" w:firstColumn="0" w:lastColumn="0" w:oddVBand="0" w:evenVBand="0" w:oddHBand="0" w:evenHBand="0" w:firstRowFirstColumn="0" w:firstRowLastColumn="0" w:lastRowFirstColumn="0" w:lastRowLastColumn="0"/>
            </w:pPr>
            <w:r>
              <w:rPr>
                <w:b/>
              </w:rPr>
              <w:t>803.8</w:t>
            </w:r>
          </w:p>
        </w:tc>
      </w:tr>
    </w:tbl>
    <w:p w14:paraId="1E802478" w14:textId="77777777" w:rsidR="00C7198A" w:rsidRDefault="00C7198A" w:rsidP="00F458AB">
      <w:pPr>
        <w:pStyle w:val="Note"/>
      </w:pPr>
      <w:r>
        <w:t>Note:</w:t>
      </w:r>
    </w:p>
    <w:p w14:paraId="3503C4DE" w14:textId="77777777" w:rsidR="00C7198A" w:rsidRDefault="00C7198A" w:rsidP="00F458AB">
      <w:pPr>
        <w:pStyle w:val="Note"/>
      </w:pPr>
      <w:r>
        <w:t>(a)</w:t>
      </w:r>
      <w:r>
        <w:tab/>
      </w:r>
      <w:r w:rsidRPr="00B82015">
        <w:t>Table may not add due to rounding.</w:t>
      </w:r>
    </w:p>
    <w:p w14:paraId="43705F22" w14:textId="77777777" w:rsidR="003C06B2" w:rsidRDefault="003C06B2" w:rsidP="003C06B2"/>
    <w:p w14:paraId="6CA4581B" w14:textId="01E82F6F" w:rsidR="00C7198A" w:rsidRPr="003D2410" w:rsidRDefault="00C7198A" w:rsidP="003E7C2F">
      <w:pPr>
        <w:keepNext/>
        <w:tabs>
          <w:tab w:val="right" w:pos="7710"/>
        </w:tabs>
        <w:spacing w:before="180"/>
        <w:outlineLvl w:val="3"/>
        <w:rPr>
          <w:rFonts w:ascii="Calibri" w:eastAsia="Times New Roman" w:hAnsi="Calibri" w:cs="Times New Roman"/>
          <w:i/>
          <w:iCs/>
          <w:sz w:val="23"/>
          <w:szCs w:val="26"/>
        </w:rPr>
      </w:pPr>
      <w:r w:rsidRPr="003D2410">
        <w:rPr>
          <w:rFonts w:ascii="Calibri" w:eastAsia="Times New Roman" w:hAnsi="Calibri" w:cs="Times New Roman"/>
          <w:i/>
          <w:iCs/>
          <w:sz w:val="23"/>
          <w:szCs w:val="26"/>
        </w:rPr>
        <w:t>Early Childhood Education</w:t>
      </w:r>
    </w:p>
    <w:p w14:paraId="77D4ED61" w14:textId="77777777" w:rsidR="00C7198A" w:rsidRPr="003D2410" w:rsidRDefault="00C7198A" w:rsidP="003E7C2F">
      <w:pPr>
        <w:keepNext/>
        <w:tabs>
          <w:tab w:val="right" w:pos="7710"/>
        </w:tabs>
        <w:spacing w:before="180"/>
        <w:outlineLvl w:val="4"/>
        <w:rPr>
          <w:rFonts w:ascii="Calibri" w:eastAsia="Times New Roman" w:hAnsi="Calibri" w:cs="Times New Roman"/>
          <w:b/>
          <w:iCs/>
          <w:sz w:val="21"/>
          <w:szCs w:val="26"/>
        </w:rPr>
      </w:pPr>
      <w:r w:rsidRPr="003D2410">
        <w:rPr>
          <w:rFonts w:ascii="Calibri" w:eastAsia="Times New Roman" w:hAnsi="Calibri" w:cs="Times New Roman"/>
          <w:b/>
          <w:iCs/>
          <w:sz w:val="21"/>
          <w:szCs w:val="26"/>
        </w:rPr>
        <w:t xml:space="preserve">Best Start, Best Life </w:t>
      </w:r>
    </w:p>
    <w:p w14:paraId="3EA39FE5" w14:textId="77777777" w:rsidR="00C7198A" w:rsidRPr="003D2410" w:rsidRDefault="00C7198A" w:rsidP="00A213C1">
      <w:r w:rsidRPr="003D2410">
        <w:t>An initial investment has been made for the Best Start</w:t>
      </w:r>
      <w:r>
        <w:t>,</w:t>
      </w:r>
      <w:r w:rsidRPr="003D2410">
        <w:t xml:space="preserve"> Best Life initiative to progressively transition </w:t>
      </w:r>
      <w:r>
        <w:t>F</w:t>
      </w:r>
      <w:r w:rsidRPr="003D2410">
        <w:t>our</w:t>
      </w:r>
      <w:r>
        <w:t>-Y</w:t>
      </w:r>
      <w:r w:rsidRPr="003D2410">
        <w:t>ear</w:t>
      </w:r>
      <w:r>
        <w:t>-O</w:t>
      </w:r>
      <w:r w:rsidRPr="003D2410">
        <w:t xml:space="preserve">ld </w:t>
      </w:r>
      <w:r>
        <w:t>K</w:t>
      </w:r>
      <w:r w:rsidRPr="003D2410">
        <w:t>inder</w:t>
      </w:r>
      <w:r>
        <w:t>garten</w:t>
      </w:r>
      <w:r w:rsidRPr="003D2410">
        <w:t xml:space="preserve"> to Pre-Prep</w:t>
      </w:r>
      <w:r>
        <w:t>,</w:t>
      </w:r>
      <w:r w:rsidRPr="003D2410">
        <w:t xml:space="preserve"> providing 30 hours per-week of play</w:t>
      </w:r>
      <w:r>
        <w:noBreakHyphen/>
      </w:r>
      <w:r w:rsidRPr="003D2410">
        <w:t>based learning</w:t>
      </w:r>
      <w:r>
        <w:t xml:space="preserve"> by 2032. This will</w:t>
      </w:r>
      <w:r w:rsidRPr="003D2410">
        <w:t xml:space="preserve"> support every Victorian child to access Free Kinder from 2023</w:t>
      </w:r>
      <w:r>
        <w:t xml:space="preserve"> and deliver </w:t>
      </w:r>
      <w:r w:rsidRPr="003D2410">
        <w:t>workforce support and attraction initiatives</w:t>
      </w:r>
      <w:r>
        <w:t>.</w:t>
      </w:r>
      <w:r w:rsidRPr="003D2410">
        <w:t xml:space="preserve"> </w:t>
      </w:r>
    </w:p>
    <w:p w14:paraId="2639DF32" w14:textId="77777777" w:rsidR="00C7198A" w:rsidRPr="003D2410" w:rsidRDefault="00C7198A" w:rsidP="00A213C1">
      <w:bookmarkStart w:id="113" w:name="_Hlk115707693"/>
      <w:r w:rsidRPr="00A45B92">
        <w:t>This initiative will also build new facilities across the state, including 50 government owned Early Learning Centres and expand existing services</w:t>
      </w:r>
      <w:r>
        <w:t>.</w:t>
      </w:r>
    </w:p>
    <w:bookmarkEnd w:id="113"/>
    <w:p w14:paraId="15345430" w14:textId="77777777" w:rsidR="00C7198A" w:rsidRDefault="00C7198A" w:rsidP="00CC4889">
      <w:pPr>
        <w:ind w:right="-114"/>
      </w:pPr>
      <w:r w:rsidRPr="003D2410">
        <w:t>This initiative contributes to the Department of Education and Training’s</w:t>
      </w:r>
      <w:r>
        <w:t xml:space="preserve"> </w:t>
      </w:r>
      <w:r w:rsidRPr="003D2410">
        <w:t xml:space="preserve">Early </w:t>
      </w:r>
      <w:r w:rsidRPr="00BB4BA5">
        <w:t xml:space="preserve">Childhood </w:t>
      </w:r>
      <w:r w:rsidRPr="002561D5">
        <w:t>Education</w:t>
      </w:r>
      <w:r w:rsidRPr="003D2410">
        <w:t xml:space="preserve"> output</w:t>
      </w:r>
      <w:r>
        <w:t>.</w:t>
      </w:r>
    </w:p>
    <w:p w14:paraId="138E72CF" w14:textId="77777777" w:rsidR="00C7198A" w:rsidRDefault="00C7198A" w:rsidP="003E7C2F">
      <w:pPr>
        <w:pStyle w:val="Heading4"/>
      </w:pPr>
      <w:r>
        <w:t>School Education</w:t>
      </w:r>
    </w:p>
    <w:p w14:paraId="5AD7199B" w14:textId="77777777" w:rsidR="00C7198A" w:rsidRPr="00697E16" w:rsidRDefault="00C7198A" w:rsidP="003E7C2F">
      <w:pPr>
        <w:pStyle w:val="Heading5"/>
      </w:pPr>
      <w:r>
        <w:t>Extending the Tutor Learning Initiative</w:t>
      </w:r>
    </w:p>
    <w:p w14:paraId="08FE482C" w14:textId="77777777" w:rsidR="00C7198A" w:rsidRDefault="00C7198A" w:rsidP="00A213C1">
      <w:r>
        <w:t xml:space="preserve">Funding is provided to extend the Tutor Learning Initiative, enabling government and non-government schools to continue delivering small group learning support in 2023 to students with the most need for additional academic support. </w:t>
      </w:r>
    </w:p>
    <w:p w14:paraId="1E2372F0" w14:textId="77777777" w:rsidR="00C7198A" w:rsidRDefault="00C7198A" w:rsidP="00A213C1">
      <w:r>
        <w:t>T</w:t>
      </w:r>
      <w:r w:rsidRPr="00B078B7">
        <w:t>his initiative contributes to the</w:t>
      </w:r>
      <w:r>
        <w:t xml:space="preserve"> Department of Education and Training’s:</w:t>
      </w:r>
    </w:p>
    <w:p w14:paraId="50FD2872" w14:textId="77777777" w:rsidR="00C7198A" w:rsidRPr="004B14E2" w:rsidRDefault="00C7198A" w:rsidP="003E7C2F">
      <w:pPr>
        <w:pStyle w:val="ListBullet"/>
        <w:keepNext/>
        <w:ind w:left="288" w:hanging="288"/>
        <w:rPr>
          <w:rFonts w:ascii="Garamond" w:hAnsi="Garamond"/>
        </w:rPr>
      </w:pPr>
      <w:r w:rsidRPr="004B14E2">
        <w:rPr>
          <w:rFonts w:ascii="Garamond" w:hAnsi="Garamond"/>
        </w:rPr>
        <w:t>School Education – Primary output</w:t>
      </w:r>
    </w:p>
    <w:p w14:paraId="1B056D4A" w14:textId="77777777" w:rsidR="00C7198A" w:rsidRDefault="00C7198A" w:rsidP="003E7C2F">
      <w:pPr>
        <w:pStyle w:val="ListBullet"/>
        <w:rPr>
          <w:rFonts w:ascii="Garamond" w:hAnsi="Garamond"/>
        </w:rPr>
      </w:pPr>
      <w:r w:rsidRPr="004B14E2">
        <w:rPr>
          <w:rFonts w:ascii="Garamond" w:hAnsi="Garamond"/>
        </w:rPr>
        <w:t>School Education – Secondary output</w:t>
      </w:r>
      <w:r>
        <w:rPr>
          <w:rFonts w:ascii="Garamond" w:hAnsi="Garamond"/>
        </w:rPr>
        <w:t xml:space="preserve">. </w:t>
      </w:r>
    </w:p>
    <w:p w14:paraId="3A3E7B7C" w14:textId="77777777" w:rsidR="00C7198A" w:rsidRDefault="00C7198A" w:rsidP="003C06B2">
      <w:pPr>
        <w:pStyle w:val="Heading5"/>
        <w:pageBreakBefore/>
      </w:pPr>
      <w:r>
        <w:lastRenderedPageBreak/>
        <w:t>Mental Health in Primary Schools</w:t>
      </w:r>
    </w:p>
    <w:p w14:paraId="0A142874" w14:textId="77777777" w:rsidR="00C7198A" w:rsidRPr="00433BDA" w:rsidRDefault="00C7198A" w:rsidP="00A213C1">
      <w:r>
        <w:t xml:space="preserve">Funding is provided to expand the Mental Health in Primary Schools pilot program to ensure every government and low-fee non-government primary school has a Mental Health and Wellbeing Leader supporting students in primary schools by implementing a whole-school approach to mental health and wellbeing. </w:t>
      </w:r>
    </w:p>
    <w:p w14:paraId="4260ACE7" w14:textId="4BF896CE" w:rsidR="00C7198A" w:rsidRDefault="00C7198A" w:rsidP="00CC4889">
      <w:pPr>
        <w:ind w:right="-16"/>
      </w:pPr>
      <w:r>
        <w:t>T</w:t>
      </w:r>
      <w:r w:rsidRPr="00B078B7">
        <w:t>his initiative contributes to the</w:t>
      </w:r>
      <w:r>
        <w:t xml:space="preserve"> Department of Education and Training’s </w:t>
      </w:r>
      <w:r w:rsidR="00CC4889">
        <w:br/>
      </w:r>
      <w:r>
        <w:t xml:space="preserve">School Education </w:t>
      </w:r>
      <w:r w:rsidRPr="002561D5">
        <w:t>– Primary output.</w:t>
      </w:r>
    </w:p>
    <w:p w14:paraId="11D5EDB1" w14:textId="77777777" w:rsidR="00C7198A" w:rsidRDefault="00C7198A" w:rsidP="003E7C2F">
      <w:pPr>
        <w:pStyle w:val="Heading4"/>
      </w:pPr>
      <w:r w:rsidRPr="00B331A8">
        <w:t>Training, Higher Education and Workforce Development</w:t>
      </w:r>
    </w:p>
    <w:p w14:paraId="570C559F" w14:textId="77777777" w:rsidR="00C7198A" w:rsidRDefault="00C7198A" w:rsidP="00B77A2C">
      <w:pPr>
        <w:pStyle w:val="Heading5"/>
      </w:pPr>
      <w:r>
        <w:t>Improving Free TAFE</w:t>
      </w:r>
    </w:p>
    <w:p w14:paraId="0F3DA90E" w14:textId="77777777" w:rsidR="00C7198A" w:rsidRDefault="00C7198A" w:rsidP="00B77A2C">
      <w:r w:rsidRPr="00BC3EC5">
        <w:t xml:space="preserve">Funding is provided to support sustainable TAFE operations, enabling TAFEs to respond to the Victorian Skills Plan and deliver training in priority areas, including Free TAFE and apprenticeships. This will also support TAFEs to meet additional demand for Free TAFE Early Childhood courses to expand and develop the workforce that will support the rollout of the Best Start Best Life initiative. </w:t>
      </w:r>
    </w:p>
    <w:p w14:paraId="4B8B2DF7" w14:textId="5A623DD0" w:rsidR="00C7198A" w:rsidRPr="008E694F" w:rsidRDefault="00C7198A" w:rsidP="008E694F">
      <w:pPr>
        <w:pStyle w:val="NormalWeb"/>
        <w:rPr>
          <w:rFonts w:ascii="Garamond" w:hAnsi="Garamond" w:cs="Calibri"/>
          <w:sz w:val="22"/>
          <w:szCs w:val="22"/>
        </w:rPr>
      </w:pPr>
      <w:r w:rsidRPr="008E694F">
        <w:rPr>
          <w:rFonts w:ascii="Garamond" w:hAnsi="Garamond" w:cs="Calibri"/>
          <w:sz w:val="22"/>
          <w:szCs w:val="22"/>
        </w:rPr>
        <w:t xml:space="preserve">This initiative contributes to the Department of Education and Training’s </w:t>
      </w:r>
      <w:r w:rsidR="009F52D2">
        <w:rPr>
          <w:rFonts w:ascii="Garamond" w:hAnsi="Garamond" w:cs="Calibri"/>
          <w:sz w:val="22"/>
          <w:szCs w:val="22"/>
        </w:rPr>
        <w:br/>
      </w:r>
      <w:r w:rsidRPr="008E694F">
        <w:rPr>
          <w:rFonts w:ascii="Garamond" w:hAnsi="Garamond" w:cs="Calibri"/>
          <w:sz w:val="22"/>
          <w:szCs w:val="22"/>
        </w:rPr>
        <w:t>Training, Higher Education and Workforce Development output.</w:t>
      </w:r>
    </w:p>
    <w:p w14:paraId="356F3931" w14:textId="77777777" w:rsidR="00C7198A" w:rsidRPr="00697E16" w:rsidRDefault="00C7198A" w:rsidP="003E7C2F">
      <w:pPr>
        <w:pStyle w:val="Heading5"/>
      </w:pPr>
      <w:r w:rsidRPr="00B331A8">
        <w:t>Prahran campus site purchase and master planning</w:t>
      </w:r>
    </w:p>
    <w:p w14:paraId="06F1EC30" w14:textId="77777777" w:rsidR="00C7198A" w:rsidRDefault="00C7198A" w:rsidP="003E7C2F">
      <w:r w:rsidRPr="00084E49">
        <w:t>Refer to the asset initiative for a description of this initiative</w:t>
      </w:r>
      <w:r>
        <w:t xml:space="preserve">. </w:t>
      </w:r>
    </w:p>
    <w:p w14:paraId="09FEA9AF" w14:textId="77777777" w:rsidR="00C7198A" w:rsidRDefault="00C7198A" w:rsidP="00F458AB">
      <w:pPr>
        <w:pStyle w:val="Heading20"/>
        <w:pageBreakBefore/>
      </w:pPr>
      <w:r>
        <w:lastRenderedPageBreak/>
        <w:t>Asset initiatives</w:t>
      </w:r>
    </w:p>
    <w:p w14:paraId="09C0538D" w14:textId="77777777" w:rsidR="00C7198A" w:rsidRDefault="00C7198A" w:rsidP="00F458AB">
      <w:pPr>
        <w:pStyle w:val="TableHeading"/>
      </w:pPr>
      <w:r>
        <w:t>Table A.3:</w:t>
      </w:r>
      <w:r>
        <w:tab/>
        <w:t>Asset initiatives – Department of Education and Training</w:t>
      </w:r>
      <w:r>
        <w:tab/>
        <w:t>($ million)</w:t>
      </w:r>
    </w:p>
    <w:tbl>
      <w:tblPr>
        <w:tblStyle w:val="DTFTableNumeric"/>
        <w:tblW w:w="7710" w:type="dxa"/>
        <w:tblLayout w:type="fixed"/>
        <w:tblLook w:val="06A0" w:firstRow="1" w:lastRow="0" w:firstColumn="1" w:lastColumn="0" w:noHBand="1" w:noVBand="1"/>
      </w:tblPr>
      <w:tblGrid>
        <w:gridCol w:w="3740"/>
        <w:gridCol w:w="334"/>
        <w:gridCol w:w="460"/>
        <w:gridCol w:w="794"/>
        <w:gridCol w:w="794"/>
        <w:gridCol w:w="794"/>
        <w:gridCol w:w="794"/>
      </w:tblGrid>
      <w:tr w:rsidR="00C7198A" w14:paraId="78C82DAC" w14:textId="77777777" w:rsidTr="009E18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32520BCF" w14:textId="6B9F68AA" w:rsidR="00C7198A" w:rsidRDefault="00C7198A"/>
        </w:tc>
        <w:tc>
          <w:tcPr>
            <w:tcW w:w="794" w:type="dxa"/>
            <w:gridSpan w:val="2"/>
            <w:tcBorders>
              <w:top w:val="single" w:sz="6" w:space="0" w:color="auto"/>
              <w:bottom w:val="single" w:sz="6" w:space="0" w:color="auto"/>
            </w:tcBorders>
          </w:tcPr>
          <w:p w14:paraId="109BD7E6" w14:textId="77777777" w:rsidR="00C7198A" w:rsidRDefault="00C7198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Borders>
              <w:top w:val="single" w:sz="6" w:space="0" w:color="auto"/>
              <w:bottom w:val="single" w:sz="6" w:space="0" w:color="auto"/>
            </w:tcBorders>
          </w:tcPr>
          <w:p w14:paraId="45B641E9" w14:textId="77777777" w:rsidR="00C7198A" w:rsidRDefault="00C7198A">
            <w:pPr>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Borders>
              <w:top w:val="single" w:sz="6" w:space="0" w:color="auto"/>
              <w:bottom w:val="single" w:sz="6" w:space="0" w:color="auto"/>
            </w:tcBorders>
          </w:tcPr>
          <w:p w14:paraId="7C0B59B0" w14:textId="77777777" w:rsidR="00C7198A" w:rsidRDefault="00C7198A">
            <w:pPr>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Borders>
              <w:top w:val="single" w:sz="6" w:space="0" w:color="auto"/>
              <w:bottom w:val="single" w:sz="6" w:space="0" w:color="auto"/>
            </w:tcBorders>
          </w:tcPr>
          <w:p w14:paraId="5A7CB12B" w14:textId="77777777" w:rsidR="00C7198A" w:rsidRDefault="00C7198A">
            <w:pPr>
              <w:cnfStyle w:val="100000000000" w:firstRow="1" w:lastRow="0" w:firstColumn="0" w:lastColumn="0" w:oddVBand="0" w:evenVBand="0" w:oddHBand="0" w:evenHBand="0" w:firstRowFirstColumn="0" w:firstRowLastColumn="0" w:lastRowFirstColumn="0" w:lastRowLastColumn="0"/>
            </w:pPr>
            <w:r>
              <w:t>2025</w:t>
            </w:r>
            <w:r>
              <w:noBreakHyphen/>
              <w:t>26</w:t>
            </w:r>
          </w:p>
        </w:tc>
        <w:tc>
          <w:tcPr>
            <w:tcW w:w="794" w:type="dxa"/>
            <w:tcBorders>
              <w:top w:val="single" w:sz="6" w:space="0" w:color="auto"/>
              <w:bottom w:val="single" w:sz="6" w:space="0" w:color="auto"/>
            </w:tcBorders>
          </w:tcPr>
          <w:p w14:paraId="7CA59EC0" w14:textId="77777777" w:rsidR="00C7198A" w:rsidRDefault="00C7198A">
            <w:pPr>
              <w:cnfStyle w:val="100000000000" w:firstRow="1" w:lastRow="0" w:firstColumn="0" w:lastColumn="0" w:oddVBand="0" w:evenVBand="0" w:oddHBand="0" w:evenHBand="0" w:firstRowFirstColumn="0" w:firstRowLastColumn="0" w:lastRowFirstColumn="0" w:lastRowLastColumn="0"/>
            </w:pPr>
            <w:r>
              <w:t>TEI</w:t>
            </w:r>
          </w:p>
        </w:tc>
      </w:tr>
      <w:tr w:rsidR="00C7198A" w14:paraId="197D0147" w14:textId="77777777" w:rsidTr="009E18DD">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328D1E7D" w14:textId="77777777" w:rsidR="00C7198A" w:rsidRDefault="00C7198A">
            <w:r>
              <w:rPr>
                <w:b/>
              </w:rPr>
              <w:t>Early Childhood Education</w:t>
            </w:r>
          </w:p>
        </w:tc>
        <w:tc>
          <w:tcPr>
            <w:tcW w:w="794" w:type="dxa"/>
            <w:gridSpan w:val="2"/>
            <w:tcBorders>
              <w:top w:val="single" w:sz="6" w:space="0" w:color="auto"/>
            </w:tcBorders>
          </w:tcPr>
          <w:p w14:paraId="6AD776C0"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66F39FAE"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2B41C0D6"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148F976E"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63B10796"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r>
      <w:tr w:rsidR="00C7198A" w14:paraId="24EA773A" w14:textId="77777777">
        <w:tc>
          <w:tcPr>
            <w:cnfStyle w:val="001000000000" w:firstRow="0" w:lastRow="0" w:firstColumn="1" w:lastColumn="0" w:oddVBand="0" w:evenVBand="0" w:oddHBand="0" w:evenHBand="0" w:firstRowFirstColumn="0" w:firstRowLastColumn="0" w:lastRowFirstColumn="0" w:lastRowLastColumn="0"/>
            <w:tcW w:w="3740" w:type="dxa"/>
          </w:tcPr>
          <w:p w14:paraId="6BA6B6F7" w14:textId="77777777" w:rsidR="00C7198A" w:rsidRDefault="00C7198A">
            <w:r>
              <w:t>Best Start, Best Life</w:t>
            </w:r>
          </w:p>
        </w:tc>
        <w:tc>
          <w:tcPr>
            <w:tcW w:w="794" w:type="dxa"/>
            <w:gridSpan w:val="2"/>
          </w:tcPr>
          <w:p w14:paraId="75C60814" w14:textId="77777777" w:rsidR="00C7198A" w:rsidRDefault="00C7198A">
            <w:pPr>
              <w:cnfStyle w:val="000000000000" w:firstRow="0" w:lastRow="0" w:firstColumn="0" w:lastColumn="0" w:oddVBand="0" w:evenVBand="0" w:oddHBand="0" w:evenHBand="0" w:firstRowFirstColumn="0" w:firstRowLastColumn="0" w:lastRowFirstColumn="0" w:lastRowLastColumn="0"/>
            </w:pPr>
            <w:r>
              <w:t>10.7</w:t>
            </w:r>
          </w:p>
        </w:tc>
        <w:tc>
          <w:tcPr>
            <w:tcW w:w="794" w:type="dxa"/>
          </w:tcPr>
          <w:p w14:paraId="4930EC43" w14:textId="77777777" w:rsidR="00C7198A" w:rsidRDefault="00C7198A">
            <w:pPr>
              <w:cnfStyle w:val="000000000000" w:firstRow="0" w:lastRow="0" w:firstColumn="0" w:lastColumn="0" w:oddVBand="0" w:evenVBand="0" w:oddHBand="0" w:evenHBand="0" w:firstRowFirstColumn="0" w:firstRowLastColumn="0" w:lastRowFirstColumn="0" w:lastRowLastColumn="0"/>
            </w:pPr>
            <w:r>
              <w:t>63.1</w:t>
            </w:r>
          </w:p>
        </w:tc>
        <w:tc>
          <w:tcPr>
            <w:tcW w:w="794" w:type="dxa"/>
          </w:tcPr>
          <w:p w14:paraId="74E4B010" w14:textId="77777777" w:rsidR="00C7198A" w:rsidRDefault="00C7198A">
            <w:pPr>
              <w:cnfStyle w:val="000000000000" w:firstRow="0" w:lastRow="0" w:firstColumn="0" w:lastColumn="0" w:oddVBand="0" w:evenVBand="0" w:oddHBand="0" w:evenHBand="0" w:firstRowFirstColumn="0" w:firstRowLastColumn="0" w:lastRowFirstColumn="0" w:lastRowLastColumn="0"/>
            </w:pPr>
            <w:r>
              <w:t>363.7</w:t>
            </w:r>
          </w:p>
        </w:tc>
        <w:tc>
          <w:tcPr>
            <w:tcW w:w="794" w:type="dxa"/>
          </w:tcPr>
          <w:p w14:paraId="04433AF8" w14:textId="77777777" w:rsidR="00C7198A" w:rsidRDefault="00C7198A">
            <w:pPr>
              <w:cnfStyle w:val="000000000000" w:firstRow="0" w:lastRow="0" w:firstColumn="0" w:lastColumn="0" w:oddVBand="0" w:evenVBand="0" w:oddHBand="0" w:evenHBand="0" w:firstRowFirstColumn="0" w:firstRowLastColumn="0" w:lastRowFirstColumn="0" w:lastRowLastColumn="0"/>
            </w:pPr>
            <w:r>
              <w:t>870.4</w:t>
            </w:r>
          </w:p>
        </w:tc>
        <w:tc>
          <w:tcPr>
            <w:tcW w:w="794" w:type="dxa"/>
          </w:tcPr>
          <w:p w14:paraId="2239F7F7" w14:textId="467AF472" w:rsidR="00C7198A" w:rsidRDefault="00C7198A">
            <w:pPr>
              <w:cnfStyle w:val="000000000000" w:firstRow="0" w:lastRow="0" w:firstColumn="0" w:lastColumn="0" w:oddVBand="0" w:evenVBand="0" w:oddHBand="0" w:evenHBand="0" w:firstRowFirstColumn="0" w:firstRowLastColumn="0" w:lastRowFirstColumn="0" w:lastRowLastColumn="0"/>
            </w:pPr>
            <w:r>
              <w:t>1</w:t>
            </w:r>
            <w:r w:rsidR="00C94CDC">
              <w:t xml:space="preserve"> </w:t>
            </w:r>
            <w:r>
              <w:t>308.0</w:t>
            </w:r>
          </w:p>
        </w:tc>
      </w:tr>
      <w:tr w:rsidR="00C7198A" w14:paraId="35752509" w14:textId="77777777" w:rsidTr="007E0B75">
        <w:tc>
          <w:tcPr>
            <w:cnfStyle w:val="001000000000" w:firstRow="0" w:lastRow="0" w:firstColumn="1" w:lastColumn="0" w:oddVBand="0" w:evenVBand="0" w:oddHBand="0" w:evenHBand="0" w:firstRowFirstColumn="0" w:firstRowLastColumn="0" w:lastRowFirstColumn="0" w:lastRowLastColumn="0"/>
            <w:tcW w:w="4074" w:type="dxa"/>
            <w:gridSpan w:val="2"/>
          </w:tcPr>
          <w:p w14:paraId="51ECC443" w14:textId="77777777" w:rsidR="00C7198A" w:rsidRDefault="00C7198A">
            <w:r>
              <w:rPr>
                <w:b/>
              </w:rPr>
              <w:t>Training, Higher Education and Workforce Development</w:t>
            </w:r>
          </w:p>
        </w:tc>
        <w:tc>
          <w:tcPr>
            <w:tcW w:w="460" w:type="dxa"/>
          </w:tcPr>
          <w:p w14:paraId="0332102A"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32A2DC39"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2CE73CB2"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3E1035CE"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0EED0212"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r>
      <w:tr w:rsidR="00C7198A" w14:paraId="2C874B95" w14:textId="77777777" w:rsidTr="009E18DD">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6A1AA275" w14:textId="77777777" w:rsidR="00C7198A" w:rsidRDefault="00C7198A">
            <w:r>
              <w:t>Prahran campus site purchase and master planning</w:t>
            </w:r>
          </w:p>
        </w:tc>
        <w:tc>
          <w:tcPr>
            <w:tcW w:w="794" w:type="dxa"/>
            <w:gridSpan w:val="2"/>
            <w:tcBorders>
              <w:bottom w:val="single" w:sz="6" w:space="0" w:color="auto"/>
            </w:tcBorders>
          </w:tcPr>
          <w:p w14:paraId="1AD75AB1" w14:textId="77777777" w:rsidR="00C7198A" w:rsidRDefault="00C7198A">
            <w:pPr>
              <w:cnfStyle w:val="000000000000" w:firstRow="0" w:lastRow="0" w:firstColumn="0" w:lastColumn="0" w:oddVBand="0" w:evenVBand="0" w:oddHBand="0" w:evenHBand="0" w:firstRowFirstColumn="0" w:firstRowLastColumn="0" w:lastRowFirstColumn="0" w:lastRowLastColumn="0"/>
            </w:pPr>
            <w:r>
              <w:t>142.1</w:t>
            </w:r>
          </w:p>
        </w:tc>
        <w:tc>
          <w:tcPr>
            <w:tcW w:w="794" w:type="dxa"/>
            <w:tcBorders>
              <w:bottom w:val="single" w:sz="6" w:space="0" w:color="auto"/>
            </w:tcBorders>
          </w:tcPr>
          <w:p w14:paraId="52BEF943"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036D6BB1"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17C90B71"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16C8B2FD" w14:textId="77777777" w:rsidR="00C7198A" w:rsidRDefault="00C7198A">
            <w:pPr>
              <w:cnfStyle w:val="000000000000" w:firstRow="0" w:lastRow="0" w:firstColumn="0" w:lastColumn="0" w:oddVBand="0" w:evenVBand="0" w:oddHBand="0" w:evenHBand="0" w:firstRowFirstColumn="0" w:firstRowLastColumn="0" w:lastRowFirstColumn="0" w:lastRowLastColumn="0"/>
            </w:pPr>
            <w:r>
              <w:t>142.1</w:t>
            </w:r>
          </w:p>
        </w:tc>
      </w:tr>
      <w:tr w:rsidR="00C7198A" w14:paraId="37FE694C" w14:textId="77777777" w:rsidTr="009E18DD">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5D6B6B65" w14:textId="77777777" w:rsidR="00C7198A" w:rsidRDefault="00C7198A">
            <w:r>
              <w:rPr>
                <w:b/>
              </w:rPr>
              <w:t xml:space="preserve">Total asset initiatives </w:t>
            </w:r>
            <w:r>
              <w:rPr>
                <w:b/>
                <w:vertAlign w:val="superscript"/>
              </w:rPr>
              <w:t>(a)</w:t>
            </w:r>
          </w:p>
        </w:tc>
        <w:tc>
          <w:tcPr>
            <w:tcW w:w="794" w:type="dxa"/>
            <w:gridSpan w:val="2"/>
            <w:tcBorders>
              <w:top w:val="single" w:sz="6" w:space="0" w:color="auto"/>
              <w:bottom w:val="single" w:sz="12" w:space="0" w:color="auto"/>
            </w:tcBorders>
          </w:tcPr>
          <w:p w14:paraId="7D03DA7A" w14:textId="77777777" w:rsidR="00C7198A" w:rsidRDefault="00C7198A">
            <w:pPr>
              <w:cnfStyle w:val="000000000000" w:firstRow="0" w:lastRow="0" w:firstColumn="0" w:lastColumn="0" w:oddVBand="0" w:evenVBand="0" w:oddHBand="0" w:evenHBand="0" w:firstRowFirstColumn="0" w:firstRowLastColumn="0" w:lastRowFirstColumn="0" w:lastRowLastColumn="0"/>
            </w:pPr>
            <w:r>
              <w:rPr>
                <w:b/>
              </w:rPr>
              <w:t>152.8</w:t>
            </w:r>
          </w:p>
        </w:tc>
        <w:tc>
          <w:tcPr>
            <w:tcW w:w="794" w:type="dxa"/>
            <w:tcBorders>
              <w:top w:val="single" w:sz="6" w:space="0" w:color="auto"/>
              <w:bottom w:val="single" w:sz="12" w:space="0" w:color="auto"/>
            </w:tcBorders>
          </w:tcPr>
          <w:p w14:paraId="17E183E4" w14:textId="77777777" w:rsidR="00C7198A" w:rsidRDefault="00C7198A">
            <w:pPr>
              <w:cnfStyle w:val="000000000000" w:firstRow="0" w:lastRow="0" w:firstColumn="0" w:lastColumn="0" w:oddVBand="0" w:evenVBand="0" w:oddHBand="0" w:evenHBand="0" w:firstRowFirstColumn="0" w:firstRowLastColumn="0" w:lastRowFirstColumn="0" w:lastRowLastColumn="0"/>
            </w:pPr>
            <w:r>
              <w:rPr>
                <w:b/>
              </w:rPr>
              <w:t>63.1</w:t>
            </w:r>
          </w:p>
        </w:tc>
        <w:tc>
          <w:tcPr>
            <w:tcW w:w="794" w:type="dxa"/>
            <w:tcBorders>
              <w:top w:val="single" w:sz="6" w:space="0" w:color="auto"/>
              <w:bottom w:val="single" w:sz="12" w:space="0" w:color="auto"/>
            </w:tcBorders>
          </w:tcPr>
          <w:p w14:paraId="418D8830" w14:textId="77777777" w:rsidR="00C7198A" w:rsidRDefault="00C7198A">
            <w:pPr>
              <w:cnfStyle w:val="000000000000" w:firstRow="0" w:lastRow="0" w:firstColumn="0" w:lastColumn="0" w:oddVBand="0" w:evenVBand="0" w:oddHBand="0" w:evenHBand="0" w:firstRowFirstColumn="0" w:firstRowLastColumn="0" w:lastRowFirstColumn="0" w:lastRowLastColumn="0"/>
            </w:pPr>
            <w:r>
              <w:rPr>
                <w:b/>
              </w:rPr>
              <w:t>363.7</w:t>
            </w:r>
          </w:p>
        </w:tc>
        <w:tc>
          <w:tcPr>
            <w:tcW w:w="794" w:type="dxa"/>
            <w:tcBorders>
              <w:top w:val="single" w:sz="6" w:space="0" w:color="auto"/>
              <w:bottom w:val="single" w:sz="12" w:space="0" w:color="auto"/>
            </w:tcBorders>
          </w:tcPr>
          <w:p w14:paraId="6DAE626A" w14:textId="77777777" w:rsidR="00C7198A" w:rsidRDefault="00C7198A">
            <w:pPr>
              <w:cnfStyle w:val="000000000000" w:firstRow="0" w:lastRow="0" w:firstColumn="0" w:lastColumn="0" w:oddVBand="0" w:evenVBand="0" w:oddHBand="0" w:evenHBand="0" w:firstRowFirstColumn="0" w:firstRowLastColumn="0" w:lastRowFirstColumn="0" w:lastRowLastColumn="0"/>
            </w:pPr>
            <w:r>
              <w:rPr>
                <w:b/>
              </w:rPr>
              <w:t>870.4</w:t>
            </w:r>
          </w:p>
        </w:tc>
        <w:tc>
          <w:tcPr>
            <w:tcW w:w="794" w:type="dxa"/>
            <w:tcBorders>
              <w:top w:val="single" w:sz="6" w:space="0" w:color="auto"/>
              <w:bottom w:val="single" w:sz="12" w:space="0" w:color="auto"/>
            </w:tcBorders>
          </w:tcPr>
          <w:p w14:paraId="56027990" w14:textId="7600A6A8" w:rsidR="00C7198A" w:rsidRDefault="00C7198A">
            <w:pPr>
              <w:cnfStyle w:val="000000000000" w:firstRow="0" w:lastRow="0" w:firstColumn="0" w:lastColumn="0" w:oddVBand="0" w:evenVBand="0" w:oddHBand="0" w:evenHBand="0" w:firstRowFirstColumn="0" w:firstRowLastColumn="0" w:lastRowFirstColumn="0" w:lastRowLastColumn="0"/>
            </w:pPr>
            <w:r>
              <w:rPr>
                <w:b/>
              </w:rPr>
              <w:t>1</w:t>
            </w:r>
            <w:r w:rsidR="00C94CDC">
              <w:rPr>
                <w:b/>
              </w:rPr>
              <w:t xml:space="preserve"> </w:t>
            </w:r>
            <w:r>
              <w:rPr>
                <w:b/>
              </w:rPr>
              <w:t>450.0</w:t>
            </w:r>
          </w:p>
        </w:tc>
      </w:tr>
    </w:tbl>
    <w:p w14:paraId="361A563C" w14:textId="77777777" w:rsidR="00C7198A" w:rsidRDefault="00C7198A" w:rsidP="00F458AB">
      <w:pPr>
        <w:pStyle w:val="Note"/>
      </w:pPr>
      <w:r>
        <w:t>Note:</w:t>
      </w:r>
    </w:p>
    <w:p w14:paraId="2B6B1C88" w14:textId="77777777" w:rsidR="00C7198A" w:rsidRDefault="00C7198A" w:rsidP="00F458AB">
      <w:pPr>
        <w:pStyle w:val="Note"/>
      </w:pPr>
      <w:r>
        <w:t xml:space="preserve">(a) </w:t>
      </w:r>
      <w:r>
        <w:tab/>
      </w:r>
      <w:r w:rsidRPr="00B82015">
        <w:t>Table may not add due to rounding.</w:t>
      </w:r>
      <w:r>
        <w:t xml:space="preserve"> </w:t>
      </w:r>
    </w:p>
    <w:p w14:paraId="383C71D8" w14:textId="77777777" w:rsidR="003C06B2" w:rsidRDefault="003C06B2" w:rsidP="003C06B2"/>
    <w:p w14:paraId="473253FD" w14:textId="4DAB1B20" w:rsidR="00C7198A" w:rsidRPr="0082523A" w:rsidRDefault="00C7198A" w:rsidP="003E7C2F">
      <w:pPr>
        <w:keepNext/>
        <w:tabs>
          <w:tab w:val="right" w:pos="7710"/>
        </w:tabs>
        <w:spacing w:before="180"/>
        <w:outlineLvl w:val="3"/>
        <w:rPr>
          <w:rFonts w:ascii="Calibri" w:eastAsia="Times New Roman" w:hAnsi="Calibri" w:cs="Times New Roman"/>
          <w:i/>
          <w:iCs/>
          <w:sz w:val="23"/>
          <w:szCs w:val="26"/>
        </w:rPr>
      </w:pPr>
      <w:r w:rsidRPr="0082523A">
        <w:rPr>
          <w:rFonts w:ascii="Calibri" w:eastAsia="Times New Roman" w:hAnsi="Calibri" w:cs="Times New Roman"/>
          <w:i/>
          <w:iCs/>
          <w:sz w:val="23"/>
          <w:szCs w:val="26"/>
        </w:rPr>
        <w:t>Early Childhood Education</w:t>
      </w:r>
    </w:p>
    <w:p w14:paraId="70CCEECB" w14:textId="77777777" w:rsidR="00C7198A" w:rsidRPr="0082523A" w:rsidRDefault="00C7198A" w:rsidP="003E7C2F">
      <w:pPr>
        <w:keepNext/>
        <w:tabs>
          <w:tab w:val="right" w:pos="7710"/>
        </w:tabs>
        <w:spacing w:before="180"/>
        <w:outlineLvl w:val="4"/>
        <w:rPr>
          <w:rFonts w:ascii="Calibri" w:eastAsia="Times New Roman" w:hAnsi="Calibri" w:cs="Times New Roman"/>
          <w:b/>
          <w:iCs/>
          <w:sz w:val="21"/>
          <w:szCs w:val="26"/>
        </w:rPr>
      </w:pPr>
      <w:r w:rsidRPr="0082523A">
        <w:rPr>
          <w:rFonts w:ascii="Calibri" w:eastAsia="Times New Roman" w:hAnsi="Calibri" w:cs="Times New Roman"/>
          <w:b/>
          <w:iCs/>
          <w:sz w:val="21"/>
          <w:szCs w:val="26"/>
        </w:rPr>
        <w:t>Best Start</w:t>
      </w:r>
      <w:r>
        <w:rPr>
          <w:rFonts w:ascii="Calibri" w:eastAsia="Times New Roman" w:hAnsi="Calibri" w:cs="Times New Roman"/>
          <w:b/>
          <w:iCs/>
          <w:sz w:val="21"/>
          <w:szCs w:val="26"/>
        </w:rPr>
        <w:t>,</w:t>
      </w:r>
      <w:r w:rsidRPr="0082523A">
        <w:rPr>
          <w:rFonts w:ascii="Calibri" w:eastAsia="Times New Roman" w:hAnsi="Calibri" w:cs="Times New Roman"/>
          <w:b/>
          <w:iCs/>
          <w:sz w:val="21"/>
          <w:szCs w:val="26"/>
        </w:rPr>
        <w:t xml:space="preserve"> Best Life </w:t>
      </w:r>
    </w:p>
    <w:p w14:paraId="00F1D271" w14:textId="77777777" w:rsidR="00C7198A" w:rsidRDefault="00C7198A" w:rsidP="003E7C2F">
      <w:r w:rsidRPr="003E7C2F">
        <w:t>Refer to the output initiative for a description of this initiative.</w:t>
      </w:r>
    </w:p>
    <w:p w14:paraId="5822F3B8" w14:textId="77777777" w:rsidR="00C7198A" w:rsidRDefault="00C7198A" w:rsidP="003E7C2F">
      <w:pPr>
        <w:pStyle w:val="Heading4"/>
      </w:pPr>
      <w:r w:rsidRPr="00B331A8">
        <w:t>Training, Higher Education and Workforce Development</w:t>
      </w:r>
    </w:p>
    <w:p w14:paraId="4FECBC4D" w14:textId="77777777" w:rsidR="00C7198A" w:rsidRPr="00697E16" w:rsidRDefault="00C7198A" w:rsidP="003E7C2F">
      <w:pPr>
        <w:pStyle w:val="Heading5"/>
      </w:pPr>
      <w:r w:rsidRPr="00B331A8">
        <w:t>Prahran campus site purchase and master planning</w:t>
      </w:r>
    </w:p>
    <w:p w14:paraId="4800AED6" w14:textId="77777777" w:rsidR="00C7198A" w:rsidRDefault="00C7198A" w:rsidP="003E7C2F">
      <w:r>
        <w:t xml:space="preserve">Funding is provided to purchase the Prahran campus of Swinburne University comprising three parcels of land between Chapel, High, Thomas and Green streets to continue provision of high-quality local training in Prahran as an education and arts precinct. Funding also provides for a master planning process to determine future government uses and investment in the site. </w:t>
      </w:r>
    </w:p>
    <w:p w14:paraId="5D4031EA" w14:textId="0DC30258" w:rsidR="00C7198A" w:rsidRDefault="00C7198A" w:rsidP="003E7C2F">
      <w:r>
        <w:t xml:space="preserve">This initiative contributes to the Department of Education and Training’s </w:t>
      </w:r>
      <w:r w:rsidR="00CC4889">
        <w:br/>
      </w:r>
      <w:r>
        <w:t>Training, Higher Education and Workforce Development output.</w:t>
      </w:r>
    </w:p>
    <w:p w14:paraId="02C7C69D" w14:textId="77777777" w:rsidR="00C7198A" w:rsidRDefault="00C7198A" w:rsidP="007F7047"/>
    <w:p w14:paraId="451B1807" w14:textId="77777777" w:rsidR="00C7198A" w:rsidRPr="007F7047" w:rsidRDefault="00C7198A" w:rsidP="0098419F"/>
    <w:p w14:paraId="75B094DE" w14:textId="77777777" w:rsidR="00C7198A" w:rsidRDefault="00C7198A" w:rsidP="003C06B2">
      <w:pPr>
        <w:pStyle w:val="Heading10"/>
        <w:pageBreakBefore/>
        <w:spacing w:before="180"/>
      </w:pPr>
      <w:bookmarkStart w:id="114" w:name="_Toc71814112"/>
      <w:bookmarkStart w:id="115" w:name="_Toc117586259"/>
      <w:r>
        <w:lastRenderedPageBreak/>
        <w:t>Department of Environment, Land, Water and Planning</w:t>
      </w:r>
      <w:bookmarkEnd w:id="114"/>
      <w:bookmarkEnd w:id="115"/>
    </w:p>
    <w:p w14:paraId="124BF5C0" w14:textId="77777777" w:rsidR="00C7198A" w:rsidRDefault="00C7198A" w:rsidP="007F7047">
      <w:pPr>
        <w:pStyle w:val="Heading20"/>
        <w:spacing w:before="180"/>
      </w:pPr>
      <w:r>
        <w:t>Output initiatives</w:t>
      </w:r>
    </w:p>
    <w:p w14:paraId="071F7CED" w14:textId="77777777" w:rsidR="00C7198A" w:rsidRDefault="00C7198A" w:rsidP="0035223D">
      <w:pPr>
        <w:pStyle w:val="TableHeading"/>
      </w:pPr>
      <w:r>
        <w:t>Table A.4:</w:t>
      </w:r>
      <w:r>
        <w:tab/>
        <w:t xml:space="preserve">Output initiatives – Department of Environment, Land, </w:t>
      </w:r>
      <w:r>
        <w:br/>
        <w:t xml:space="preserve">Water and Planning </w:t>
      </w:r>
      <w:r>
        <w:tab/>
        <w:t>($ million)</w:t>
      </w:r>
    </w:p>
    <w:tbl>
      <w:tblPr>
        <w:tblStyle w:val="DTFTableNumeric"/>
        <w:tblW w:w="7710" w:type="dxa"/>
        <w:tblLayout w:type="fixed"/>
        <w:tblLook w:val="06A0" w:firstRow="1" w:lastRow="0" w:firstColumn="1" w:lastColumn="0" w:noHBand="1" w:noVBand="1"/>
      </w:tblPr>
      <w:tblGrid>
        <w:gridCol w:w="4534"/>
        <w:gridCol w:w="794"/>
        <w:gridCol w:w="794"/>
        <w:gridCol w:w="794"/>
        <w:gridCol w:w="794"/>
      </w:tblGrid>
      <w:tr w:rsidR="00C7198A" w14:paraId="7844FD56" w14:textId="77777777" w:rsidTr="003B11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4" w:type="dxa"/>
          </w:tcPr>
          <w:p w14:paraId="5E085016" w14:textId="76180BDA" w:rsidR="00C7198A" w:rsidRDefault="00C7198A"/>
        </w:tc>
        <w:tc>
          <w:tcPr>
            <w:tcW w:w="794" w:type="dxa"/>
          </w:tcPr>
          <w:p w14:paraId="7FF53A79" w14:textId="77777777" w:rsidR="00C7198A" w:rsidRDefault="00C7198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7DD13607" w14:textId="77777777" w:rsidR="00C7198A" w:rsidRDefault="00C7198A">
            <w:pPr>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5E12B755" w14:textId="77777777" w:rsidR="00C7198A" w:rsidRDefault="00C7198A">
            <w:pPr>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0F101D69" w14:textId="77777777" w:rsidR="00C7198A" w:rsidRDefault="00C7198A">
            <w:pPr>
              <w:cnfStyle w:val="100000000000" w:firstRow="1" w:lastRow="0" w:firstColumn="0" w:lastColumn="0" w:oddVBand="0" w:evenVBand="0" w:oddHBand="0" w:evenHBand="0" w:firstRowFirstColumn="0" w:firstRowLastColumn="0" w:lastRowFirstColumn="0" w:lastRowLastColumn="0"/>
            </w:pPr>
            <w:r>
              <w:t>2025</w:t>
            </w:r>
            <w:r>
              <w:noBreakHyphen/>
              <w:t>26</w:t>
            </w:r>
          </w:p>
        </w:tc>
      </w:tr>
      <w:tr w:rsidR="00C7198A" w14:paraId="23E7A106" w14:textId="77777777">
        <w:tc>
          <w:tcPr>
            <w:cnfStyle w:val="001000000000" w:firstRow="0" w:lastRow="0" w:firstColumn="1" w:lastColumn="0" w:oddVBand="0" w:evenVBand="0" w:oddHBand="0" w:evenHBand="0" w:firstRowFirstColumn="0" w:firstRowLastColumn="0" w:lastRowFirstColumn="0" w:lastRowLastColumn="0"/>
            <w:tcW w:w="4534" w:type="dxa"/>
          </w:tcPr>
          <w:p w14:paraId="09B7D54A" w14:textId="77777777" w:rsidR="00C7198A" w:rsidRDefault="00C7198A">
            <w:r>
              <w:rPr>
                <w:b/>
              </w:rPr>
              <w:t>Building</w:t>
            </w:r>
          </w:p>
        </w:tc>
        <w:tc>
          <w:tcPr>
            <w:tcW w:w="794" w:type="dxa"/>
          </w:tcPr>
          <w:p w14:paraId="6C7E33E6"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4099EB5A"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6BE6ABA4"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0B53AB84"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r>
      <w:tr w:rsidR="00C7198A" w14:paraId="0D328A95" w14:textId="77777777">
        <w:tc>
          <w:tcPr>
            <w:cnfStyle w:val="001000000000" w:firstRow="0" w:lastRow="0" w:firstColumn="1" w:lastColumn="0" w:oddVBand="0" w:evenVBand="0" w:oddHBand="0" w:evenHBand="0" w:firstRowFirstColumn="0" w:firstRowLastColumn="0" w:lastRowFirstColumn="0" w:lastRowLastColumn="0"/>
            <w:tcW w:w="4534" w:type="dxa"/>
          </w:tcPr>
          <w:p w14:paraId="08193441" w14:textId="77777777" w:rsidR="00C7198A" w:rsidRDefault="00C7198A">
            <w:r>
              <w:t>Pathway to cladding remediation</w:t>
            </w:r>
          </w:p>
        </w:tc>
        <w:tc>
          <w:tcPr>
            <w:tcW w:w="794" w:type="dxa"/>
          </w:tcPr>
          <w:p w14:paraId="49F6699E" w14:textId="77777777" w:rsidR="00C7198A" w:rsidRDefault="00C7198A">
            <w:pPr>
              <w:cnfStyle w:val="000000000000" w:firstRow="0" w:lastRow="0" w:firstColumn="0" w:lastColumn="0" w:oddVBand="0" w:evenVBand="0" w:oddHBand="0" w:evenHBand="0" w:firstRowFirstColumn="0" w:firstRowLastColumn="0" w:lastRowFirstColumn="0" w:lastRowLastColumn="0"/>
            </w:pPr>
            <w:r>
              <w:t>22.4</w:t>
            </w:r>
          </w:p>
        </w:tc>
        <w:tc>
          <w:tcPr>
            <w:tcW w:w="794" w:type="dxa"/>
          </w:tcPr>
          <w:p w14:paraId="0D3EC198" w14:textId="77777777" w:rsidR="00C7198A" w:rsidRDefault="00C7198A">
            <w:pPr>
              <w:cnfStyle w:val="000000000000" w:firstRow="0" w:lastRow="0" w:firstColumn="0" w:lastColumn="0" w:oddVBand="0" w:evenVBand="0" w:oddHBand="0" w:evenHBand="0" w:firstRowFirstColumn="0" w:firstRowLastColumn="0" w:lastRowFirstColumn="0" w:lastRowLastColumn="0"/>
            </w:pPr>
            <w:r>
              <w:t>20.3</w:t>
            </w:r>
          </w:p>
        </w:tc>
        <w:tc>
          <w:tcPr>
            <w:tcW w:w="794" w:type="dxa"/>
          </w:tcPr>
          <w:p w14:paraId="3B95ACFA" w14:textId="77777777" w:rsidR="00C7198A" w:rsidRDefault="00C7198A">
            <w:pPr>
              <w:cnfStyle w:val="000000000000" w:firstRow="0" w:lastRow="0" w:firstColumn="0" w:lastColumn="0" w:oddVBand="0" w:evenVBand="0" w:oddHBand="0" w:evenHBand="0" w:firstRowFirstColumn="0" w:firstRowLastColumn="0" w:lastRowFirstColumn="0" w:lastRowLastColumn="0"/>
            </w:pPr>
            <w:r>
              <w:t>11.7</w:t>
            </w:r>
          </w:p>
        </w:tc>
        <w:tc>
          <w:tcPr>
            <w:tcW w:w="794" w:type="dxa"/>
          </w:tcPr>
          <w:p w14:paraId="7819B49B" w14:textId="77777777" w:rsidR="00C7198A" w:rsidRDefault="00C7198A">
            <w:pPr>
              <w:cnfStyle w:val="000000000000" w:firstRow="0" w:lastRow="0" w:firstColumn="0" w:lastColumn="0" w:oddVBand="0" w:evenVBand="0" w:oddHBand="0" w:evenHBand="0" w:firstRowFirstColumn="0" w:firstRowLastColumn="0" w:lastRowFirstColumn="0" w:lastRowLastColumn="0"/>
            </w:pPr>
            <w:r>
              <w:t>12.2</w:t>
            </w:r>
          </w:p>
        </w:tc>
      </w:tr>
      <w:tr w:rsidR="00C7198A" w14:paraId="397A4C9A" w14:textId="77777777">
        <w:tc>
          <w:tcPr>
            <w:cnfStyle w:val="001000000000" w:firstRow="0" w:lastRow="0" w:firstColumn="1" w:lastColumn="0" w:oddVBand="0" w:evenVBand="0" w:oddHBand="0" w:evenHBand="0" w:firstRowFirstColumn="0" w:firstRowLastColumn="0" w:lastRowFirstColumn="0" w:lastRowLastColumn="0"/>
            <w:tcW w:w="4534" w:type="dxa"/>
          </w:tcPr>
          <w:p w14:paraId="66FB3BBC" w14:textId="77777777" w:rsidR="00C7198A" w:rsidRDefault="00C7198A">
            <w:r>
              <w:rPr>
                <w:b/>
              </w:rPr>
              <w:t>Energy</w:t>
            </w:r>
          </w:p>
        </w:tc>
        <w:tc>
          <w:tcPr>
            <w:tcW w:w="794" w:type="dxa"/>
          </w:tcPr>
          <w:p w14:paraId="4F2F91AF"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6EF4C01C"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3E7AF4B3"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0E0A3AB1"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r>
      <w:tr w:rsidR="00C7198A" w14:paraId="62A3201E" w14:textId="77777777">
        <w:tc>
          <w:tcPr>
            <w:cnfStyle w:val="001000000000" w:firstRow="0" w:lastRow="0" w:firstColumn="1" w:lastColumn="0" w:oddVBand="0" w:evenVBand="0" w:oddHBand="0" w:evenHBand="0" w:firstRowFirstColumn="0" w:firstRowLastColumn="0" w:lastRowFirstColumn="0" w:lastRowLastColumn="0"/>
            <w:tcW w:w="4534" w:type="dxa"/>
          </w:tcPr>
          <w:p w14:paraId="23D9818B" w14:textId="77777777" w:rsidR="00C7198A" w:rsidRDefault="00C7198A">
            <w:r>
              <w:t>$250 Power Saving Bonus</w:t>
            </w:r>
          </w:p>
        </w:tc>
        <w:tc>
          <w:tcPr>
            <w:tcW w:w="794" w:type="dxa"/>
          </w:tcPr>
          <w:p w14:paraId="6A4B83EA" w14:textId="77777777" w:rsidR="00C7198A" w:rsidRDefault="00C7198A">
            <w:pPr>
              <w:cnfStyle w:val="000000000000" w:firstRow="0" w:lastRow="0" w:firstColumn="0" w:lastColumn="0" w:oddVBand="0" w:evenVBand="0" w:oddHBand="0" w:evenHBand="0" w:firstRowFirstColumn="0" w:firstRowLastColumn="0" w:lastRowFirstColumn="0" w:lastRowLastColumn="0"/>
            </w:pPr>
            <w:r>
              <w:t>249.9</w:t>
            </w:r>
          </w:p>
        </w:tc>
        <w:tc>
          <w:tcPr>
            <w:tcW w:w="794" w:type="dxa"/>
          </w:tcPr>
          <w:p w14:paraId="6E10A0B7"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0EF27E3A"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07E1205C"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r>
      <w:tr w:rsidR="00C7198A" w14:paraId="4D360159" w14:textId="77777777">
        <w:tc>
          <w:tcPr>
            <w:cnfStyle w:val="001000000000" w:firstRow="0" w:lastRow="0" w:firstColumn="1" w:lastColumn="0" w:oddVBand="0" w:evenVBand="0" w:oddHBand="0" w:evenHBand="0" w:firstRowFirstColumn="0" w:firstRowLastColumn="0" w:lastRowFirstColumn="0" w:lastRowLastColumn="0"/>
            <w:tcW w:w="4534" w:type="dxa"/>
          </w:tcPr>
          <w:p w14:paraId="27140FAB" w14:textId="77777777" w:rsidR="00C7198A" w:rsidRDefault="00C7198A">
            <w:r>
              <w:t>Additional resources for energy projects</w:t>
            </w:r>
          </w:p>
        </w:tc>
        <w:tc>
          <w:tcPr>
            <w:tcW w:w="794" w:type="dxa"/>
          </w:tcPr>
          <w:p w14:paraId="47A9D4C2" w14:textId="77777777" w:rsidR="00C7198A" w:rsidRDefault="00C7198A">
            <w:pPr>
              <w:cnfStyle w:val="000000000000" w:firstRow="0" w:lastRow="0" w:firstColumn="0" w:lastColumn="0" w:oddVBand="0" w:evenVBand="0" w:oddHBand="0" w:evenHBand="0" w:firstRowFirstColumn="0" w:firstRowLastColumn="0" w:lastRowFirstColumn="0" w:lastRowLastColumn="0"/>
            </w:pPr>
            <w:r>
              <w:t>2.9</w:t>
            </w:r>
          </w:p>
        </w:tc>
        <w:tc>
          <w:tcPr>
            <w:tcW w:w="794" w:type="dxa"/>
          </w:tcPr>
          <w:p w14:paraId="5953F4CF" w14:textId="77777777" w:rsidR="00C7198A" w:rsidRDefault="00C7198A">
            <w:pPr>
              <w:cnfStyle w:val="000000000000" w:firstRow="0" w:lastRow="0" w:firstColumn="0" w:lastColumn="0" w:oddVBand="0" w:evenVBand="0" w:oddHBand="0" w:evenHBand="0" w:firstRowFirstColumn="0" w:firstRowLastColumn="0" w:lastRowFirstColumn="0" w:lastRowLastColumn="0"/>
            </w:pPr>
            <w:r>
              <w:t>1.2</w:t>
            </w:r>
          </w:p>
        </w:tc>
        <w:tc>
          <w:tcPr>
            <w:tcW w:w="794" w:type="dxa"/>
          </w:tcPr>
          <w:p w14:paraId="04E39D58" w14:textId="77777777" w:rsidR="00C7198A" w:rsidRDefault="00C7198A">
            <w:pPr>
              <w:cnfStyle w:val="000000000000" w:firstRow="0" w:lastRow="0" w:firstColumn="0" w:lastColumn="0" w:oddVBand="0" w:evenVBand="0" w:oddHBand="0" w:evenHBand="0" w:firstRowFirstColumn="0" w:firstRowLastColumn="0" w:lastRowFirstColumn="0" w:lastRowLastColumn="0"/>
            </w:pPr>
            <w:r>
              <w:t>0.9</w:t>
            </w:r>
          </w:p>
        </w:tc>
        <w:tc>
          <w:tcPr>
            <w:tcW w:w="794" w:type="dxa"/>
          </w:tcPr>
          <w:p w14:paraId="2B17DAEA" w14:textId="77777777" w:rsidR="00C7198A" w:rsidRDefault="00C7198A">
            <w:pPr>
              <w:cnfStyle w:val="000000000000" w:firstRow="0" w:lastRow="0" w:firstColumn="0" w:lastColumn="0" w:oddVBand="0" w:evenVBand="0" w:oddHBand="0" w:evenHBand="0" w:firstRowFirstColumn="0" w:firstRowLastColumn="0" w:lastRowFirstColumn="0" w:lastRowLastColumn="0"/>
            </w:pPr>
            <w:r>
              <w:t>0.4</w:t>
            </w:r>
          </w:p>
        </w:tc>
      </w:tr>
      <w:tr w:rsidR="00C7198A" w14:paraId="2389B0C1" w14:textId="77777777">
        <w:tc>
          <w:tcPr>
            <w:cnfStyle w:val="001000000000" w:firstRow="0" w:lastRow="0" w:firstColumn="1" w:lastColumn="0" w:oddVBand="0" w:evenVBand="0" w:oddHBand="0" w:evenHBand="0" w:firstRowFirstColumn="0" w:firstRowLastColumn="0" w:lastRowFirstColumn="0" w:lastRowLastColumn="0"/>
            <w:tcW w:w="4534" w:type="dxa"/>
          </w:tcPr>
          <w:p w14:paraId="2BDE91F8" w14:textId="77777777" w:rsidR="00C7198A" w:rsidRDefault="00C7198A">
            <w:r>
              <w:t>Unlocking offshore wind</w:t>
            </w:r>
          </w:p>
        </w:tc>
        <w:tc>
          <w:tcPr>
            <w:tcW w:w="794" w:type="dxa"/>
          </w:tcPr>
          <w:p w14:paraId="14929A62" w14:textId="77777777" w:rsidR="00C7198A" w:rsidRDefault="00C7198A">
            <w:pPr>
              <w:cnfStyle w:val="000000000000" w:firstRow="0" w:lastRow="0" w:firstColumn="0" w:lastColumn="0" w:oddVBand="0" w:evenVBand="0" w:oddHBand="0" w:evenHBand="0" w:firstRowFirstColumn="0" w:firstRowLastColumn="0" w:lastRowFirstColumn="0" w:lastRowLastColumn="0"/>
            </w:pPr>
            <w:r>
              <w:t>33.8</w:t>
            </w:r>
          </w:p>
        </w:tc>
        <w:tc>
          <w:tcPr>
            <w:tcW w:w="794" w:type="dxa"/>
          </w:tcPr>
          <w:p w14:paraId="5739596C" w14:textId="77777777" w:rsidR="00C7198A" w:rsidRDefault="00C7198A">
            <w:pPr>
              <w:cnfStyle w:val="000000000000" w:firstRow="0" w:lastRow="0" w:firstColumn="0" w:lastColumn="0" w:oddVBand="0" w:evenVBand="0" w:oddHBand="0" w:evenHBand="0" w:firstRowFirstColumn="0" w:firstRowLastColumn="0" w:lastRowFirstColumn="0" w:lastRowLastColumn="0"/>
            </w:pPr>
            <w:r>
              <w:t>20.9</w:t>
            </w:r>
          </w:p>
        </w:tc>
        <w:tc>
          <w:tcPr>
            <w:tcW w:w="794" w:type="dxa"/>
          </w:tcPr>
          <w:p w14:paraId="4E286A70" w14:textId="77777777" w:rsidR="00C7198A" w:rsidRDefault="00C7198A">
            <w:pPr>
              <w:cnfStyle w:val="000000000000" w:firstRow="0" w:lastRow="0" w:firstColumn="0" w:lastColumn="0" w:oddVBand="0" w:evenVBand="0" w:oddHBand="0" w:evenHBand="0" w:firstRowFirstColumn="0" w:firstRowLastColumn="0" w:lastRowFirstColumn="0" w:lastRowLastColumn="0"/>
            </w:pPr>
            <w:r>
              <w:t>16.1</w:t>
            </w:r>
          </w:p>
        </w:tc>
        <w:tc>
          <w:tcPr>
            <w:tcW w:w="794" w:type="dxa"/>
          </w:tcPr>
          <w:p w14:paraId="7F881B3B" w14:textId="77777777" w:rsidR="00C7198A" w:rsidRDefault="00C7198A">
            <w:pPr>
              <w:cnfStyle w:val="000000000000" w:firstRow="0" w:lastRow="0" w:firstColumn="0" w:lastColumn="0" w:oddVBand="0" w:evenVBand="0" w:oddHBand="0" w:evenHBand="0" w:firstRowFirstColumn="0" w:firstRowLastColumn="0" w:lastRowFirstColumn="0" w:lastRowLastColumn="0"/>
            </w:pPr>
            <w:r>
              <w:t>5.0</w:t>
            </w:r>
          </w:p>
        </w:tc>
      </w:tr>
      <w:tr w:rsidR="00C7198A" w14:paraId="71AE394E" w14:textId="77777777">
        <w:tc>
          <w:tcPr>
            <w:cnfStyle w:val="001000000000" w:firstRow="0" w:lastRow="0" w:firstColumn="1" w:lastColumn="0" w:oddVBand="0" w:evenVBand="0" w:oddHBand="0" w:evenHBand="0" w:firstRowFirstColumn="0" w:firstRowLastColumn="0" w:lastRowFirstColumn="0" w:lastRowLastColumn="0"/>
            <w:tcW w:w="4534" w:type="dxa"/>
          </w:tcPr>
          <w:p w14:paraId="744E9B93" w14:textId="77777777" w:rsidR="00C7198A" w:rsidRDefault="00C7198A">
            <w:r>
              <w:t>Victorian Energy Storage Target</w:t>
            </w:r>
          </w:p>
        </w:tc>
        <w:tc>
          <w:tcPr>
            <w:tcW w:w="794" w:type="dxa"/>
          </w:tcPr>
          <w:p w14:paraId="06B350D7" w14:textId="77777777" w:rsidR="00C7198A" w:rsidRDefault="00C7198A">
            <w:pPr>
              <w:cnfStyle w:val="000000000000" w:firstRow="0" w:lastRow="0" w:firstColumn="0" w:lastColumn="0" w:oddVBand="0" w:evenVBand="0" w:oddHBand="0" w:evenHBand="0" w:firstRowFirstColumn="0" w:firstRowLastColumn="0" w:lastRowFirstColumn="0" w:lastRowLastColumn="0"/>
            </w:pPr>
            <w:r>
              <w:t>5.5</w:t>
            </w:r>
          </w:p>
        </w:tc>
        <w:tc>
          <w:tcPr>
            <w:tcW w:w="794" w:type="dxa"/>
          </w:tcPr>
          <w:p w14:paraId="2830F417"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7910E1BB"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17B0B8CC"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r>
      <w:tr w:rsidR="00C7198A" w14:paraId="08C9850C" w14:textId="77777777">
        <w:tc>
          <w:tcPr>
            <w:cnfStyle w:val="001000000000" w:firstRow="0" w:lastRow="0" w:firstColumn="1" w:lastColumn="0" w:oddVBand="0" w:evenVBand="0" w:oddHBand="0" w:evenHBand="0" w:firstRowFirstColumn="0" w:firstRowLastColumn="0" w:lastRowFirstColumn="0" w:lastRowLastColumn="0"/>
            <w:tcW w:w="4534" w:type="dxa"/>
          </w:tcPr>
          <w:p w14:paraId="43D96550" w14:textId="77777777" w:rsidR="00C7198A" w:rsidRDefault="00C7198A">
            <w:r>
              <w:t>Victorian Renewable Energy Target 2</w:t>
            </w:r>
          </w:p>
        </w:tc>
        <w:tc>
          <w:tcPr>
            <w:tcW w:w="794" w:type="dxa"/>
          </w:tcPr>
          <w:p w14:paraId="06109132" w14:textId="77777777" w:rsidR="00C7198A" w:rsidRDefault="00C7198A">
            <w:pPr>
              <w:cnfStyle w:val="000000000000" w:firstRow="0" w:lastRow="0" w:firstColumn="0" w:lastColumn="0" w:oddVBand="0" w:evenVBand="0" w:oddHBand="0" w:evenHBand="0" w:firstRowFirstColumn="0" w:firstRowLastColumn="0" w:lastRowFirstColumn="0" w:lastRowLastColumn="0"/>
            </w:pPr>
            <w:r>
              <w:t>9.5</w:t>
            </w:r>
          </w:p>
        </w:tc>
        <w:tc>
          <w:tcPr>
            <w:tcW w:w="794" w:type="dxa"/>
          </w:tcPr>
          <w:p w14:paraId="449EEA8E" w14:textId="77777777" w:rsidR="00C7198A" w:rsidRDefault="00C7198A">
            <w:pPr>
              <w:cnfStyle w:val="000000000000" w:firstRow="0" w:lastRow="0" w:firstColumn="0" w:lastColumn="0" w:oddVBand="0" w:evenVBand="0" w:oddHBand="0" w:evenHBand="0" w:firstRowFirstColumn="0" w:firstRowLastColumn="0" w:lastRowFirstColumn="0" w:lastRowLastColumn="0"/>
            </w:pPr>
            <w:r>
              <w:t>2.8</w:t>
            </w:r>
          </w:p>
        </w:tc>
        <w:tc>
          <w:tcPr>
            <w:tcW w:w="794" w:type="dxa"/>
          </w:tcPr>
          <w:p w14:paraId="1F9916B1" w14:textId="77777777" w:rsidR="00C7198A" w:rsidRDefault="00C7198A">
            <w:pPr>
              <w:cnfStyle w:val="000000000000" w:firstRow="0" w:lastRow="0" w:firstColumn="0" w:lastColumn="0" w:oddVBand="0" w:evenVBand="0" w:oddHBand="0" w:evenHBand="0" w:firstRowFirstColumn="0" w:firstRowLastColumn="0" w:lastRowFirstColumn="0" w:lastRowLastColumn="0"/>
            </w:pPr>
            <w:r>
              <w:t>2.8</w:t>
            </w:r>
          </w:p>
        </w:tc>
        <w:tc>
          <w:tcPr>
            <w:tcW w:w="794" w:type="dxa"/>
          </w:tcPr>
          <w:p w14:paraId="4F083441" w14:textId="77777777" w:rsidR="00C7198A" w:rsidRDefault="00C7198A">
            <w:pPr>
              <w:cnfStyle w:val="000000000000" w:firstRow="0" w:lastRow="0" w:firstColumn="0" w:lastColumn="0" w:oddVBand="0" w:evenVBand="0" w:oddHBand="0" w:evenHBand="0" w:firstRowFirstColumn="0" w:firstRowLastColumn="0" w:lastRowFirstColumn="0" w:lastRowLastColumn="0"/>
            </w:pPr>
            <w:r>
              <w:t>1.7</w:t>
            </w:r>
          </w:p>
        </w:tc>
      </w:tr>
      <w:tr w:rsidR="00C7198A" w14:paraId="59726A58" w14:textId="77777777">
        <w:tc>
          <w:tcPr>
            <w:cnfStyle w:val="001000000000" w:firstRow="0" w:lastRow="0" w:firstColumn="1" w:lastColumn="0" w:oddVBand="0" w:evenVBand="0" w:oddHBand="0" w:evenHBand="0" w:firstRowFirstColumn="0" w:firstRowLastColumn="0" w:lastRowFirstColumn="0" w:lastRowLastColumn="0"/>
            <w:tcW w:w="4534" w:type="dxa"/>
          </w:tcPr>
          <w:p w14:paraId="3601D242" w14:textId="77777777" w:rsidR="00C7198A" w:rsidRDefault="00C7198A">
            <w:r>
              <w:rPr>
                <w:b/>
              </w:rPr>
              <w:t>Fire and Emergency Management</w:t>
            </w:r>
          </w:p>
        </w:tc>
        <w:tc>
          <w:tcPr>
            <w:tcW w:w="794" w:type="dxa"/>
          </w:tcPr>
          <w:p w14:paraId="7EEC10F4"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41535ED2"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366973A2"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0685E36C"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r>
      <w:tr w:rsidR="00C7198A" w14:paraId="306E4D4F" w14:textId="77777777">
        <w:tc>
          <w:tcPr>
            <w:cnfStyle w:val="001000000000" w:firstRow="0" w:lastRow="0" w:firstColumn="1" w:lastColumn="0" w:oddVBand="0" w:evenVBand="0" w:oddHBand="0" w:evenHBand="0" w:firstRowFirstColumn="0" w:firstRowLastColumn="0" w:lastRowFirstColumn="0" w:lastRowLastColumn="0"/>
            <w:tcW w:w="4534" w:type="dxa"/>
          </w:tcPr>
          <w:p w14:paraId="15669015" w14:textId="77777777" w:rsidR="00C7198A" w:rsidRDefault="00C7198A">
            <w:r>
              <w:t>Aviation firefighting resources</w:t>
            </w:r>
          </w:p>
        </w:tc>
        <w:tc>
          <w:tcPr>
            <w:tcW w:w="794" w:type="dxa"/>
          </w:tcPr>
          <w:p w14:paraId="1AB22E81" w14:textId="77777777" w:rsidR="00C7198A" w:rsidRDefault="00C7198A">
            <w:pPr>
              <w:cnfStyle w:val="000000000000" w:firstRow="0" w:lastRow="0" w:firstColumn="0" w:lastColumn="0" w:oddVBand="0" w:evenVBand="0" w:oddHBand="0" w:evenHBand="0" w:firstRowFirstColumn="0" w:firstRowLastColumn="0" w:lastRowFirstColumn="0" w:lastRowLastColumn="0"/>
            </w:pPr>
            <w:r>
              <w:t>16.0</w:t>
            </w:r>
          </w:p>
        </w:tc>
        <w:tc>
          <w:tcPr>
            <w:tcW w:w="794" w:type="dxa"/>
          </w:tcPr>
          <w:p w14:paraId="40AEB92B"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0A028A34"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1E7CAFBB"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r>
      <w:tr w:rsidR="00C7198A" w14:paraId="2833E76F" w14:textId="77777777">
        <w:tc>
          <w:tcPr>
            <w:cnfStyle w:val="001000000000" w:firstRow="0" w:lastRow="0" w:firstColumn="1" w:lastColumn="0" w:oddVBand="0" w:evenVBand="0" w:oddHBand="0" w:evenHBand="0" w:firstRowFirstColumn="0" w:firstRowLastColumn="0" w:lastRowFirstColumn="0" w:lastRowLastColumn="0"/>
            <w:tcW w:w="4534" w:type="dxa"/>
          </w:tcPr>
          <w:p w14:paraId="1298A844" w14:textId="77777777" w:rsidR="00C7198A" w:rsidRDefault="00C7198A">
            <w:r>
              <w:rPr>
                <w:b/>
              </w:rPr>
              <w:t>Management of Public Land and Forests</w:t>
            </w:r>
          </w:p>
        </w:tc>
        <w:tc>
          <w:tcPr>
            <w:tcW w:w="794" w:type="dxa"/>
          </w:tcPr>
          <w:p w14:paraId="057C0702"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02258417"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744907D8"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30BEF118"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r>
      <w:tr w:rsidR="00C7198A" w14:paraId="41BF5B59" w14:textId="77777777">
        <w:tc>
          <w:tcPr>
            <w:cnfStyle w:val="001000000000" w:firstRow="0" w:lastRow="0" w:firstColumn="1" w:lastColumn="0" w:oddVBand="0" w:evenVBand="0" w:oddHBand="0" w:evenHBand="0" w:firstRowFirstColumn="0" w:firstRowLastColumn="0" w:lastRowFirstColumn="0" w:lastRowLastColumn="0"/>
            <w:tcW w:w="4534" w:type="dxa"/>
          </w:tcPr>
          <w:p w14:paraId="6A424C43" w14:textId="77777777" w:rsidR="00C7198A" w:rsidRDefault="00C7198A">
            <w:r>
              <w:t>Financial support for portfolio entities impacted by COVID</w:t>
            </w:r>
            <w:r>
              <w:noBreakHyphen/>
              <w:t>19</w:t>
            </w:r>
          </w:p>
        </w:tc>
        <w:tc>
          <w:tcPr>
            <w:tcW w:w="794" w:type="dxa"/>
          </w:tcPr>
          <w:p w14:paraId="0C74965C" w14:textId="77777777" w:rsidR="00C7198A" w:rsidRDefault="00C7198A">
            <w:pPr>
              <w:cnfStyle w:val="000000000000" w:firstRow="0" w:lastRow="0" w:firstColumn="0" w:lastColumn="0" w:oddVBand="0" w:evenVBand="0" w:oddHBand="0" w:evenHBand="0" w:firstRowFirstColumn="0" w:firstRowLastColumn="0" w:lastRowFirstColumn="0" w:lastRowLastColumn="0"/>
            </w:pPr>
            <w:r>
              <w:t>10.0</w:t>
            </w:r>
          </w:p>
        </w:tc>
        <w:tc>
          <w:tcPr>
            <w:tcW w:w="794" w:type="dxa"/>
          </w:tcPr>
          <w:p w14:paraId="6FB9101A"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29AB96A1"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36BE6898"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r>
      <w:tr w:rsidR="00C7198A" w14:paraId="29D61E72" w14:textId="77777777">
        <w:tc>
          <w:tcPr>
            <w:cnfStyle w:val="001000000000" w:firstRow="0" w:lastRow="0" w:firstColumn="1" w:lastColumn="0" w:oddVBand="0" w:evenVBand="0" w:oddHBand="0" w:evenHBand="0" w:firstRowFirstColumn="0" w:firstRowLastColumn="0" w:lastRowFirstColumn="0" w:lastRowLastColumn="0"/>
            <w:tcW w:w="4534" w:type="dxa"/>
          </w:tcPr>
          <w:p w14:paraId="65202DC9" w14:textId="77777777" w:rsidR="00C7198A" w:rsidRDefault="00C7198A">
            <w:r>
              <w:t>Joint management arrangements</w:t>
            </w:r>
          </w:p>
        </w:tc>
        <w:tc>
          <w:tcPr>
            <w:tcW w:w="794" w:type="dxa"/>
          </w:tcPr>
          <w:p w14:paraId="1E896AAA"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18CDABCA" w14:textId="77777777" w:rsidR="00C7198A" w:rsidRDefault="00C7198A">
            <w:pPr>
              <w:cnfStyle w:val="000000000000" w:firstRow="0" w:lastRow="0" w:firstColumn="0" w:lastColumn="0" w:oddVBand="0" w:evenVBand="0" w:oddHBand="0" w:evenHBand="0" w:firstRowFirstColumn="0" w:firstRowLastColumn="0" w:lastRowFirstColumn="0" w:lastRowLastColumn="0"/>
            </w:pPr>
            <w:r>
              <w:t>2.4</w:t>
            </w:r>
          </w:p>
        </w:tc>
        <w:tc>
          <w:tcPr>
            <w:tcW w:w="794" w:type="dxa"/>
          </w:tcPr>
          <w:p w14:paraId="2544286B" w14:textId="77777777" w:rsidR="00C7198A" w:rsidRDefault="00C7198A">
            <w:pPr>
              <w:cnfStyle w:val="000000000000" w:firstRow="0" w:lastRow="0" w:firstColumn="0" w:lastColumn="0" w:oddVBand="0" w:evenVBand="0" w:oddHBand="0" w:evenHBand="0" w:firstRowFirstColumn="0" w:firstRowLastColumn="0" w:lastRowFirstColumn="0" w:lastRowLastColumn="0"/>
            </w:pPr>
            <w:r>
              <w:t>2.7</w:t>
            </w:r>
          </w:p>
        </w:tc>
        <w:tc>
          <w:tcPr>
            <w:tcW w:w="794" w:type="dxa"/>
          </w:tcPr>
          <w:p w14:paraId="42CF6803" w14:textId="77777777" w:rsidR="00C7198A" w:rsidRDefault="00C7198A">
            <w:pPr>
              <w:cnfStyle w:val="000000000000" w:firstRow="0" w:lastRow="0" w:firstColumn="0" w:lastColumn="0" w:oddVBand="0" w:evenVBand="0" w:oddHBand="0" w:evenHBand="0" w:firstRowFirstColumn="0" w:firstRowLastColumn="0" w:lastRowFirstColumn="0" w:lastRowLastColumn="0"/>
            </w:pPr>
            <w:r>
              <w:t>2.9</w:t>
            </w:r>
          </w:p>
        </w:tc>
      </w:tr>
      <w:tr w:rsidR="00C7198A" w14:paraId="49B386D8" w14:textId="77777777">
        <w:tc>
          <w:tcPr>
            <w:cnfStyle w:val="001000000000" w:firstRow="0" w:lastRow="0" w:firstColumn="1" w:lastColumn="0" w:oddVBand="0" w:evenVBand="0" w:oddHBand="0" w:evenHBand="0" w:firstRowFirstColumn="0" w:firstRowLastColumn="0" w:lastRowFirstColumn="0" w:lastRowLastColumn="0"/>
            <w:tcW w:w="4534" w:type="dxa"/>
          </w:tcPr>
          <w:p w14:paraId="165ACFB6" w14:textId="77777777" w:rsidR="00C7198A" w:rsidRDefault="00C7198A">
            <w:r>
              <w:rPr>
                <w:b/>
              </w:rPr>
              <w:t>Statutory Activities and Environment Protection</w:t>
            </w:r>
          </w:p>
        </w:tc>
        <w:tc>
          <w:tcPr>
            <w:tcW w:w="794" w:type="dxa"/>
          </w:tcPr>
          <w:p w14:paraId="34DF39DB"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72BB5DFF"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1911FEDE"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626B4E9B"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r>
      <w:tr w:rsidR="00C7198A" w14:paraId="3660C11D" w14:textId="77777777" w:rsidTr="003B1179">
        <w:tc>
          <w:tcPr>
            <w:cnfStyle w:val="001000000000" w:firstRow="0" w:lastRow="0" w:firstColumn="1" w:lastColumn="0" w:oddVBand="0" w:evenVBand="0" w:oddHBand="0" w:evenHBand="0" w:firstRowFirstColumn="0" w:firstRowLastColumn="0" w:lastRowFirstColumn="0" w:lastRowLastColumn="0"/>
            <w:tcW w:w="4534" w:type="dxa"/>
            <w:tcBorders>
              <w:bottom w:val="single" w:sz="6" w:space="0" w:color="auto"/>
            </w:tcBorders>
          </w:tcPr>
          <w:p w14:paraId="0748F3F3" w14:textId="77777777" w:rsidR="00C7198A" w:rsidRDefault="00C7198A">
            <w:r>
              <w:t>Emergency animal disease preparedness</w:t>
            </w:r>
          </w:p>
        </w:tc>
        <w:tc>
          <w:tcPr>
            <w:tcW w:w="794" w:type="dxa"/>
            <w:tcBorders>
              <w:bottom w:val="single" w:sz="6" w:space="0" w:color="auto"/>
            </w:tcBorders>
          </w:tcPr>
          <w:p w14:paraId="14C35ED6" w14:textId="77777777" w:rsidR="00C7198A" w:rsidRDefault="00C7198A">
            <w:pPr>
              <w:cnfStyle w:val="000000000000" w:firstRow="0" w:lastRow="0" w:firstColumn="0" w:lastColumn="0" w:oddVBand="0" w:evenVBand="0" w:oddHBand="0" w:evenHBand="0" w:firstRowFirstColumn="0" w:firstRowLastColumn="0" w:lastRowFirstColumn="0" w:lastRowLastColumn="0"/>
            </w:pPr>
            <w:r>
              <w:t>3.2</w:t>
            </w:r>
          </w:p>
        </w:tc>
        <w:tc>
          <w:tcPr>
            <w:tcW w:w="794" w:type="dxa"/>
            <w:tcBorders>
              <w:bottom w:val="single" w:sz="6" w:space="0" w:color="auto"/>
            </w:tcBorders>
          </w:tcPr>
          <w:p w14:paraId="2619FC01"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4DE5780C"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773B3B59"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r>
      <w:tr w:rsidR="00C7198A" w14:paraId="0A2A5984" w14:textId="77777777" w:rsidTr="003B1179">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bottom w:val="single" w:sz="12" w:space="0" w:color="auto"/>
            </w:tcBorders>
          </w:tcPr>
          <w:p w14:paraId="38DD5213" w14:textId="77777777" w:rsidR="00C7198A" w:rsidRDefault="00C7198A">
            <w:r>
              <w:rPr>
                <w:b/>
              </w:rPr>
              <w:t xml:space="preserve">Total output initiatives </w:t>
            </w:r>
            <w:r>
              <w:rPr>
                <w:b/>
                <w:vertAlign w:val="superscript"/>
              </w:rPr>
              <w:t>(a)</w:t>
            </w:r>
          </w:p>
        </w:tc>
        <w:tc>
          <w:tcPr>
            <w:tcW w:w="794" w:type="dxa"/>
            <w:tcBorders>
              <w:top w:val="single" w:sz="6" w:space="0" w:color="auto"/>
              <w:bottom w:val="single" w:sz="12" w:space="0" w:color="auto"/>
            </w:tcBorders>
          </w:tcPr>
          <w:p w14:paraId="1DA262E5" w14:textId="77777777" w:rsidR="00C7198A" w:rsidRDefault="00C7198A">
            <w:pPr>
              <w:cnfStyle w:val="000000000000" w:firstRow="0" w:lastRow="0" w:firstColumn="0" w:lastColumn="0" w:oddVBand="0" w:evenVBand="0" w:oddHBand="0" w:evenHBand="0" w:firstRowFirstColumn="0" w:firstRowLastColumn="0" w:lastRowFirstColumn="0" w:lastRowLastColumn="0"/>
            </w:pPr>
            <w:r>
              <w:rPr>
                <w:b/>
              </w:rPr>
              <w:t>353.2</w:t>
            </w:r>
          </w:p>
        </w:tc>
        <w:tc>
          <w:tcPr>
            <w:tcW w:w="794" w:type="dxa"/>
            <w:tcBorders>
              <w:top w:val="single" w:sz="6" w:space="0" w:color="auto"/>
              <w:bottom w:val="single" w:sz="12" w:space="0" w:color="auto"/>
            </w:tcBorders>
          </w:tcPr>
          <w:p w14:paraId="79B8A34F" w14:textId="77777777" w:rsidR="00C7198A" w:rsidRDefault="00C7198A">
            <w:pPr>
              <w:cnfStyle w:val="000000000000" w:firstRow="0" w:lastRow="0" w:firstColumn="0" w:lastColumn="0" w:oddVBand="0" w:evenVBand="0" w:oddHBand="0" w:evenHBand="0" w:firstRowFirstColumn="0" w:firstRowLastColumn="0" w:lastRowFirstColumn="0" w:lastRowLastColumn="0"/>
            </w:pPr>
            <w:r>
              <w:rPr>
                <w:b/>
              </w:rPr>
              <w:t>47.6</w:t>
            </w:r>
          </w:p>
        </w:tc>
        <w:tc>
          <w:tcPr>
            <w:tcW w:w="794" w:type="dxa"/>
            <w:tcBorders>
              <w:top w:val="single" w:sz="6" w:space="0" w:color="auto"/>
              <w:bottom w:val="single" w:sz="12" w:space="0" w:color="auto"/>
            </w:tcBorders>
          </w:tcPr>
          <w:p w14:paraId="3B5E0FC6" w14:textId="77777777" w:rsidR="00C7198A" w:rsidRDefault="00C7198A">
            <w:pPr>
              <w:cnfStyle w:val="000000000000" w:firstRow="0" w:lastRow="0" w:firstColumn="0" w:lastColumn="0" w:oddVBand="0" w:evenVBand="0" w:oddHBand="0" w:evenHBand="0" w:firstRowFirstColumn="0" w:firstRowLastColumn="0" w:lastRowFirstColumn="0" w:lastRowLastColumn="0"/>
            </w:pPr>
            <w:r>
              <w:rPr>
                <w:b/>
              </w:rPr>
              <w:t>34.1</w:t>
            </w:r>
          </w:p>
        </w:tc>
        <w:tc>
          <w:tcPr>
            <w:tcW w:w="794" w:type="dxa"/>
            <w:tcBorders>
              <w:top w:val="single" w:sz="6" w:space="0" w:color="auto"/>
              <w:bottom w:val="single" w:sz="12" w:space="0" w:color="auto"/>
            </w:tcBorders>
          </w:tcPr>
          <w:p w14:paraId="2290055C" w14:textId="5D7F421C" w:rsidR="00C7198A" w:rsidRDefault="00C7198A">
            <w:pPr>
              <w:cnfStyle w:val="000000000000" w:firstRow="0" w:lastRow="0" w:firstColumn="0" w:lastColumn="0" w:oddVBand="0" w:evenVBand="0" w:oddHBand="0" w:evenHBand="0" w:firstRowFirstColumn="0" w:firstRowLastColumn="0" w:lastRowFirstColumn="0" w:lastRowLastColumn="0"/>
            </w:pPr>
            <w:r>
              <w:rPr>
                <w:b/>
              </w:rPr>
              <w:t>22.2</w:t>
            </w:r>
          </w:p>
        </w:tc>
      </w:tr>
    </w:tbl>
    <w:p w14:paraId="15B8CE2F" w14:textId="77777777" w:rsidR="00C7198A" w:rsidRDefault="00C7198A" w:rsidP="007F7047">
      <w:pPr>
        <w:pStyle w:val="Note"/>
      </w:pPr>
      <w:r>
        <w:t xml:space="preserve">Note: </w:t>
      </w:r>
    </w:p>
    <w:p w14:paraId="6DCAA183" w14:textId="77777777" w:rsidR="00C7198A" w:rsidRDefault="00C7198A" w:rsidP="0035223D">
      <w:pPr>
        <w:pStyle w:val="Note"/>
      </w:pPr>
      <w:r>
        <w:t xml:space="preserve">(a) </w:t>
      </w:r>
      <w:r>
        <w:tab/>
      </w:r>
      <w:r w:rsidRPr="00B82015">
        <w:t>Table may not add due to rounding.</w:t>
      </w:r>
    </w:p>
    <w:p w14:paraId="461924F1" w14:textId="77777777" w:rsidR="003C06B2" w:rsidRDefault="003C06B2" w:rsidP="003C06B2"/>
    <w:p w14:paraId="11A30086" w14:textId="6D8C9ABD" w:rsidR="00C7198A" w:rsidRDefault="00C7198A" w:rsidP="00855FC5">
      <w:pPr>
        <w:keepNext/>
        <w:tabs>
          <w:tab w:val="right" w:pos="7710"/>
        </w:tabs>
        <w:spacing w:before="180"/>
        <w:outlineLvl w:val="3"/>
      </w:pPr>
      <w:r w:rsidRPr="00855FC5">
        <w:rPr>
          <w:rFonts w:ascii="Calibri" w:eastAsia="Times New Roman" w:hAnsi="Calibri" w:cs="Times New Roman"/>
          <w:i/>
          <w:iCs/>
          <w:sz w:val="23"/>
          <w:szCs w:val="26"/>
        </w:rPr>
        <w:t>Building</w:t>
      </w:r>
    </w:p>
    <w:p w14:paraId="3557D7BE" w14:textId="77777777" w:rsidR="00C7198A" w:rsidRPr="00855FC5" w:rsidRDefault="00C7198A" w:rsidP="00855FC5">
      <w:pPr>
        <w:pStyle w:val="Heading5"/>
        <w:rPr>
          <w:b w:val="0"/>
          <w:iCs w:val="0"/>
        </w:rPr>
      </w:pPr>
      <w:r w:rsidRPr="00855FC5">
        <w:t xml:space="preserve">Pathway to cladding remediation </w:t>
      </w:r>
    </w:p>
    <w:p w14:paraId="05FC5D4F" w14:textId="77777777" w:rsidR="00C7198A" w:rsidRPr="00A7459F" w:rsidRDefault="00C7198A" w:rsidP="00BD796E">
      <w:r w:rsidRPr="00A7459F">
        <w:t xml:space="preserve">Funding is provided to continue the Cladding Rectification </w:t>
      </w:r>
      <w:r>
        <w:t>P</w:t>
      </w:r>
      <w:r w:rsidRPr="00A7459F">
        <w:t xml:space="preserve">rogram to support councils to assist owners of apartments with suspected or identified combustible cladding and to progressively hand-back to councils municipal building surveyor responsibility for inspection and assessment of buildings. </w:t>
      </w:r>
    </w:p>
    <w:p w14:paraId="3D94458A" w14:textId="77777777" w:rsidR="00C7198A" w:rsidRPr="00A7459F" w:rsidRDefault="00C7198A" w:rsidP="00BD796E">
      <w:r w:rsidRPr="00A7459F">
        <w:t xml:space="preserve">This initiative will be funded from the Cladding Rectification Levy. </w:t>
      </w:r>
    </w:p>
    <w:p w14:paraId="7C3C8E8E" w14:textId="77777777" w:rsidR="00C7198A" w:rsidRPr="00A7459F" w:rsidRDefault="00C7198A" w:rsidP="00CC4889">
      <w:pPr>
        <w:ind w:right="-16"/>
      </w:pPr>
      <w:r w:rsidRPr="00A7459F">
        <w:t>This initiative contributes to the Department of Environment, Land, Water and Planning</w:t>
      </w:r>
      <w:r>
        <w:t>’</w:t>
      </w:r>
      <w:r w:rsidRPr="00A7459F">
        <w:t>s Building output.</w:t>
      </w:r>
    </w:p>
    <w:p w14:paraId="3A35CC1B" w14:textId="77777777" w:rsidR="00C7198A" w:rsidRDefault="00C7198A" w:rsidP="00D44E78">
      <w:pPr>
        <w:pStyle w:val="Heading4"/>
        <w:pageBreakBefore/>
      </w:pPr>
      <w:r>
        <w:lastRenderedPageBreak/>
        <w:t>Energy</w:t>
      </w:r>
    </w:p>
    <w:p w14:paraId="3CE3FEA7" w14:textId="77777777" w:rsidR="00C7198A" w:rsidRPr="00855FC5" w:rsidRDefault="00C7198A" w:rsidP="00855FC5">
      <w:pPr>
        <w:pStyle w:val="Heading5"/>
        <w:rPr>
          <w:b w:val="0"/>
          <w:iCs w:val="0"/>
        </w:rPr>
      </w:pPr>
      <w:r w:rsidRPr="00855FC5">
        <w:t xml:space="preserve">$250 Power Saving Bonus </w:t>
      </w:r>
    </w:p>
    <w:p w14:paraId="11AD1427" w14:textId="77777777" w:rsidR="00C7198A" w:rsidRPr="00A7459F" w:rsidRDefault="00C7198A" w:rsidP="00855FC5">
      <w:pPr>
        <w:rPr>
          <w:b/>
          <w:iCs/>
        </w:rPr>
      </w:pPr>
      <w:r w:rsidRPr="00855FC5">
        <w:t xml:space="preserve">Additional funding is provided for the one-off $250 Power Saving Bonus announced in the </w:t>
      </w:r>
      <w:r w:rsidRPr="00F61BCC">
        <w:rPr>
          <w:i/>
          <w:iCs/>
        </w:rPr>
        <w:t>2022-23 Budget</w:t>
      </w:r>
      <w:r>
        <w:t xml:space="preserve">. </w:t>
      </w:r>
    </w:p>
    <w:p w14:paraId="37EADA96" w14:textId="77777777" w:rsidR="00C7198A" w:rsidRPr="00A7459F" w:rsidRDefault="00C7198A" w:rsidP="00CC4889">
      <w:pPr>
        <w:ind w:right="-16"/>
        <w:rPr>
          <w:b/>
          <w:iCs/>
        </w:rPr>
      </w:pPr>
      <w:r w:rsidRPr="00855FC5">
        <w:t>This initiative contributes to the Department of Environment, Land, Water and Planning</w:t>
      </w:r>
      <w:r>
        <w:t>’</w:t>
      </w:r>
      <w:r w:rsidRPr="00855FC5">
        <w:t xml:space="preserve">s Energy output. </w:t>
      </w:r>
    </w:p>
    <w:p w14:paraId="21C1CA77" w14:textId="54B7A8F1" w:rsidR="00C7198A" w:rsidRPr="0032362A" w:rsidRDefault="00C7198A" w:rsidP="0095606C">
      <w:pPr>
        <w:keepNext/>
        <w:tabs>
          <w:tab w:val="right" w:pos="7710"/>
        </w:tabs>
        <w:spacing w:before="180"/>
        <w:outlineLvl w:val="4"/>
      </w:pPr>
      <w:r w:rsidRPr="0032362A">
        <w:rPr>
          <w:rFonts w:ascii="Calibri" w:eastAsia="Times New Roman" w:hAnsi="Calibri" w:cs="Times New Roman"/>
          <w:b/>
          <w:iCs/>
          <w:sz w:val="21"/>
          <w:szCs w:val="26"/>
        </w:rPr>
        <w:t xml:space="preserve">Additional resources for energy projects </w:t>
      </w:r>
    </w:p>
    <w:p w14:paraId="37B59551" w14:textId="3EC7CA66" w:rsidR="00750191" w:rsidRPr="00A7459F" w:rsidRDefault="00750191" w:rsidP="00BD796E">
      <w:pPr>
        <w:rPr>
          <w:b/>
          <w:iCs/>
        </w:rPr>
      </w:pPr>
      <w:r w:rsidRPr="0032362A">
        <w:t>Funding is provided for technical, commercial and legal advice to progress a number of significant energy infrastructure projects in partnership with the Commonwealth</w:t>
      </w:r>
      <w:r w:rsidR="008E0E15" w:rsidRPr="0095606C">
        <w:t xml:space="preserve"> Government</w:t>
      </w:r>
      <w:r w:rsidRPr="0032362A">
        <w:t>. This includes funding for an equity contribution towards MarinusLink, a second undersea electricity connection between Tasmania and Victoria.</w:t>
      </w:r>
    </w:p>
    <w:p w14:paraId="476E0B47" w14:textId="77777777" w:rsidR="00C7198A" w:rsidRDefault="00C7198A" w:rsidP="00CC4889">
      <w:pPr>
        <w:ind w:right="-16"/>
      </w:pPr>
      <w:r w:rsidRPr="00855FC5">
        <w:t>This initiative contributes to the Department of Environment, Land, Water and Planning</w:t>
      </w:r>
      <w:r>
        <w:t>’</w:t>
      </w:r>
      <w:r w:rsidRPr="00855FC5">
        <w:t xml:space="preserve">s Energy output. </w:t>
      </w:r>
    </w:p>
    <w:p w14:paraId="63B38519" w14:textId="77777777" w:rsidR="00C7198A" w:rsidRDefault="00C7198A" w:rsidP="00855FC5">
      <w:pPr>
        <w:keepNext/>
        <w:tabs>
          <w:tab w:val="right" w:pos="7710"/>
        </w:tabs>
        <w:spacing w:before="180"/>
        <w:outlineLvl w:val="4"/>
        <w:rPr>
          <w:rFonts w:asciiTheme="majorHAnsi" w:eastAsiaTheme="majorEastAsia" w:hAnsiTheme="majorHAnsi" w:cstheme="majorBidi"/>
          <w:b/>
          <w:iCs/>
          <w:sz w:val="21"/>
          <w:szCs w:val="26"/>
        </w:rPr>
      </w:pPr>
      <w:r w:rsidRPr="00855FC5">
        <w:rPr>
          <w:rFonts w:ascii="Calibri" w:eastAsia="Times New Roman" w:hAnsi="Calibri" w:cs="Times New Roman"/>
          <w:b/>
          <w:iCs/>
          <w:sz w:val="21"/>
          <w:szCs w:val="26"/>
        </w:rPr>
        <w:t>Unlocking offshore wind</w:t>
      </w:r>
    </w:p>
    <w:p w14:paraId="7905F5E8" w14:textId="77777777" w:rsidR="00C7198A" w:rsidRPr="00A7459F" w:rsidRDefault="00C7198A" w:rsidP="00BD796E">
      <w:pPr>
        <w:rPr>
          <w:b/>
          <w:iCs/>
        </w:rPr>
      </w:pPr>
      <w:r w:rsidRPr="00855FC5">
        <w:t>Funding is provided to support the delivery of Victoria</w:t>
      </w:r>
      <w:r>
        <w:t>’</w:t>
      </w:r>
      <w:r w:rsidRPr="00855FC5">
        <w:t>s offshore wind energy generation targets, including at least 2 gigawatts</w:t>
      </w:r>
      <w:r>
        <w:t xml:space="preserve"> online</w:t>
      </w:r>
      <w:r w:rsidRPr="00855FC5">
        <w:t xml:space="preserve"> by 2032. </w:t>
      </w:r>
    </w:p>
    <w:p w14:paraId="74B7BFB6" w14:textId="77777777" w:rsidR="00C7198A" w:rsidRPr="00A7459F" w:rsidRDefault="00C7198A" w:rsidP="004321C6">
      <w:pPr>
        <w:ind w:right="-128"/>
        <w:rPr>
          <w:b/>
          <w:iCs/>
        </w:rPr>
      </w:pPr>
      <w:r w:rsidRPr="00855FC5">
        <w:t>This initiative contributes to the Department of Environment, Land, Water and Planning</w:t>
      </w:r>
      <w:r>
        <w:t>’</w:t>
      </w:r>
      <w:r w:rsidRPr="00855FC5">
        <w:t xml:space="preserve">s Energy output. </w:t>
      </w:r>
    </w:p>
    <w:p w14:paraId="4842A1D4" w14:textId="77777777" w:rsidR="00C7198A" w:rsidRPr="00855FC5" w:rsidRDefault="00C7198A" w:rsidP="00BD796E">
      <w:r w:rsidRPr="00A7459F">
        <w:t>This initiative contributes to the Department of Transport</w:t>
      </w:r>
      <w:r>
        <w:t>’</w:t>
      </w:r>
      <w:r w:rsidRPr="00A7459F">
        <w:t xml:space="preserve">s Ports and Freight output. </w:t>
      </w:r>
    </w:p>
    <w:p w14:paraId="3F470D78" w14:textId="77777777" w:rsidR="00C7198A" w:rsidRPr="00855FC5" w:rsidRDefault="00C7198A" w:rsidP="00855FC5">
      <w:pPr>
        <w:keepNext/>
        <w:tabs>
          <w:tab w:val="right" w:pos="7710"/>
        </w:tabs>
        <w:spacing w:before="180"/>
        <w:outlineLvl w:val="4"/>
        <w:rPr>
          <w:rFonts w:ascii="Calibri" w:eastAsia="Times New Roman" w:hAnsi="Calibri" w:cs="Times New Roman"/>
          <w:b/>
          <w:iCs/>
          <w:sz w:val="21"/>
          <w:szCs w:val="26"/>
        </w:rPr>
      </w:pPr>
      <w:r w:rsidRPr="00855FC5">
        <w:rPr>
          <w:rFonts w:ascii="Calibri" w:eastAsia="Times New Roman" w:hAnsi="Calibri" w:cs="Times New Roman"/>
          <w:b/>
          <w:iCs/>
          <w:sz w:val="21"/>
          <w:szCs w:val="26"/>
        </w:rPr>
        <w:t>Victorian Energy Storage Target</w:t>
      </w:r>
    </w:p>
    <w:p w14:paraId="23DC8B10" w14:textId="3A9A3317" w:rsidR="00C7198A" w:rsidRPr="00A7459F" w:rsidRDefault="00C7198A" w:rsidP="009F52D2">
      <w:pPr>
        <w:ind w:right="-170"/>
        <w:rPr>
          <w:b/>
          <w:iCs/>
        </w:rPr>
      </w:pPr>
      <w:r w:rsidRPr="00855FC5">
        <w:t>Funding is provided for the design of an energy storage mechanism to facilitate the target of</w:t>
      </w:r>
      <w:r>
        <w:t xml:space="preserve"> at least</w:t>
      </w:r>
      <w:r w:rsidRPr="00855FC5">
        <w:t xml:space="preserve"> 2.6 gigawatts of renewable energy storage capacity by 2030 and </w:t>
      </w:r>
      <w:r>
        <w:t xml:space="preserve">at least </w:t>
      </w:r>
      <w:r w:rsidRPr="00855FC5">
        <w:t>6.3</w:t>
      </w:r>
      <w:r w:rsidR="009F52D2">
        <w:t> </w:t>
      </w:r>
      <w:r w:rsidRPr="00855FC5">
        <w:t xml:space="preserve">gigawatts by 2035. This capacity will assist in the transition to clean energy. </w:t>
      </w:r>
    </w:p>
    <w:p w14:paraId="5ECFAFD0" w14:textId="77777777" w:rsidR="00C7198A" w:rsidRDefault="00C7198A" w:rsidP="00CC4889">
      <w:pPr>
        <w:ind w:right="-16"/>
      </w:pPr>
      <w:r w:rsidRPr="00A7459F">
        <w:t>This initiative contributes to the Department of Environment, Land, Water and Planning</w:t>
      </w:r>
      <w:r>
        <w:t>’</w:t>
      </w:r>
      <w:r w:rsidRPr="00A7459F">
        <w:t xml:space="preserve">s Energy output. </w:t>
      </w:r>
      <w:r w:rsidRPr="00855FC5">
        <w:t xml:space="preserve"> </w:t>
      </w:r>
    </w:p>
    <w:p w14:paraId="6098B7F2" w14:textId="77777777" w:rsidR="00C7198A" w:rsidRPr="00855FC5" w:rsidRDefault="00C7198A" w:rsidP="00030185">
      <w:pPr>
        <w:pStyle w:val="Heading5"/>
        <w:rPr>
          <w:b w:val="0"/>
          <w:iCs w:val="0"/>
        </w:rPr>
      </w:pPr>
      <w:r>
        <w:t>Victorian Renewable Energy Target 2</w:t>
      </w:r>
    </w:p>
    <w:p w14:paraId="5DD5A2A4" w14:textId="16FD8C4C" w:rsidR="00C7198A" w:rsidRPr="00A7459F" w:rsidRDefault="00C7198A" w:rsidP="009F52D2">
      <w:pPr>
        <w:ind w:right="362"/>
        <w:rPr>
          <w:b/>
          <w:iCs/>
        </w:rPr>
      </w:pPr>
      <w:r w:rsidRPr="00855FC5">
        <w:t>A second Victorian Renewable Energy Target auction (VRET2) has concluded</w:t>
      </w:r>
      <w:r>
        <w:t>,</w:t>
      </w:r>
      <w:r w:rsidRPr="00855FC5">
        <w:t xml:space="preserve"> which will deliver 623 megawatts (MW) of new renewable energy generating capacity. The six projects across Victoria will support the Government</w:t>
      </w:r>
      <w:r>
        <w:t>’</w:t>
      </w:r>
      <w:r w:rsidRPr="00855FC5">
        <w:t>s commitment to achieve 100</w:t>
      </w:r>
      <w:r w:rsidR="009F52D2">
        <w:t> </w:t>
      </w:r>
      <w:r w:rsidRPr="00855FC5">
        <w:t>per</w:t>
      </w:r>
      <w:r w:rsidR="009F52D2">
        <w:t> </w:t>
      </w:r>
      <w:r w:rsidRPr="00855FC5">
        <w:t>cent renewable electricity consumption of its operations by 2025. Funding is provided for the contract management and delivery of these significant projects.</w:t>
      </w:r>
      <w:r>
        <w:t xml:space="preserve"> </w:t>
      </w:r>
      <w:r w:rsidRPr="00F473C6">
        <w:t>Funding is also provided to enhance Victorian manufacturing capacity in readiness for future renewable energy projects.</w:t>
      </w:r>
    </w:p>
    <w:p w14:paraId="67CD64B6" w14:textId="77777777" w:rsidR="00C7198A" w:rsidRPr="00A7459F" w:rsidRDefault="00C7198A" w:rsidP="00CC4889">
      <w:pPr>
        <w:ind w:right="-16"/>
        <w:rPr>
          <w:b/>
          <w:iCs/>
        </w:rPr>
      </w:pPr>
      <w:r w:rsidRPr="00855FC5">
        <w:t>This initiative contributes to the Department of Environment, Land, Water and Planning</w:t>
      </w:r>
      <w:r>
        <w:t>’</w:t>
      </w:r>
      <w:r w:rsidRPr="00855FC5">
        <w:t xml:space="preserve">s Energy output. </w:t>
      </w:r>
    </w:p>
    <w:p w14:paraId="4D9D92FA" w14:textId="77777777" w:rsidR="00C7198A" w:rsidRDefault="00C7198A">
      <w:pPr>
        <w:pStyle w:val="Heading4"/>
      </w:pPr>
      <w:r>
        <w:lastRenderedPageBreak/>
        <w:t>Fire and Emergency Management</w:t>
      </w:r>
    </w:p>
    <w:p w14:paraId="311C5A23" w14:textId="77777777" w:rsidR="00C7198A" w:rsidRPr="00855FC5" w:rsidRDefault="00C7198A" w:rsidP="00855FC5">
      <w:pPr>
        <w:keepNext/>
        <w:tabs>
          <w:tab w:val="right" w:pos="7710"/>
        </w:tabs>
        <w:spacing w:before="180"/>
        <w:outlineLvl w:val="4"/>
        <w:rPr>
          <w:rFonts w:ascii="Calibri" w:eastAsia="Times New Roman" w:hAnsi="Calibri" w:cs="Times New Roman"/>
          <w:b/>
          <w:iCs/>
          <w:sz w:val="21"/>
          <w:szCs w:val="26"/>
        </w:rPr>
      </w:pPr>
      <w:r w:rsidRPr="00855FC5">
        <w:rPr>
          <w:rFonts w:ascii="Calibri" w:eastAsia="Times New Roman" w:hAnsi="Calibri" w:cs="Times New Roman"/>
          <w:b/>
          <w:iCs/>
          <w:sz w:val="21"/>
          <w:szCs w:val="26"/>
        </w:rPr>
        <w:t>Aviation firefighting resources</w:t>
      </w:r>
    </w:p>
    <w:p w14:paraId="27BAB7F9" w14:textId="77777777" w:rsidR="00C7198A" w:rsidRPr="00855FC5" w:rsidRDefault="00C7198A" w:rsidP="00855FC5">
      <w:pPr>
        <w:rPr>
          <w:rFonts w:ascii="Garamond" w:eastAsia="Garamond" w:hAnsi="Garamond" w:cs="Times New Roman"/>
          <w:b/>
          <w:iCs/>
        </w:rPr>
      </w:pPr>
      <w:r w:rsidRPr="00855FC5">
        <w:rPr>
          <w:rFonts w:ascii="Garamond" w:eastAsia="Garamond" w:hAnsi="Garamond" w:cs="Times New Roman"/>
        </w:rPr>
        <w:t>Funding is provided for aviation resources to support the State</w:t>
      </w:r>
      <w:r>
        <w:rPr>
          <w:rFonts w:ascii="Garamond" w:eastAsia="Garamond" w:hAnsi="Garamond" w:cs="Times New Roman"/>
        </w:rPr>
        <w:t>’</w:t>
      </w:r>
      <w:r w:rsidRPr="00855FC5">
        <w:rPr>
          <w:rFonts w:ascii="Garamond" w:eastAsia="Garamond" w:hAnsi="Garamond" w:cs="Times New Roman"/>
        </w:rPr>
        <w:t xml:space="preserve">s firefighting capability during the 2022-23 bushfire season. </w:t>
      </w:r>
    </w:p>
    <w:p w14:paraId="41309B55" w14:textId="77777777" w:rsidR="00C7198A" w:rsidRPr="00855FC5" w:rsidRDefault="00C7198A" w:rsidP="00CC4889">
      <w:pPr>
        <w:ind w:right="-16"/>
        <w:rPr>
          <w:rFonts w:ascii="Garamond" w:eastAsia="Garamond" w:hAnsi="Garamond" w:cs="Times New Roman"/>
        </w:rPr>
      </w:pPr>
      <w:r w:rsidRPr="00855FC5">
        <w:rPr>
          <w:rFonts w:ascii="Garamond" w:eastAsia="Garamond" w:hAnsi="Garamond" w:cs="Times New Roman"/>
        </w:rPr>
        <w:t>This initiative contributes to the Department of Environment, Land, Water and Planning</w:t>
      </w:r>
      <w:r>
        <w:rPr>
          <w:rFonts w:ascii="Garamond" w:eastAsia="Garamond" w:hAnsi="Garamond" w:cs="Times New Roman"/>
        </w:rPr>
        <w:t>’</w:t>
      </w:r>
      <w:r w:rsidRPr="00855FC5">
        <w:rPr>
          <w:rFonts w:ascii="Garamond" w:eastAsia="Garamond" w:hAnsi="Garamond" w:cs="Times New Roman"/>
        </w:rPr>
        <w:t>s Fire and Emergency Management output.</w:t>
      </w:r>
    </w:p>
    <w:p w14:paraId="00C3D77C" w14:textId="77777777" w:rsidR="00C7198A" w:rsidRDefault="00C7198A" w:rsidP="00033DF5">
      <w:pPr>
        <w:pStyle w:val="Heading4"/>
      </w:pPr>
      <w:r>
        <w:t xml:space="preserve">Management of Public Land and Forests </w:t>
      </w:r>
    </w:p>
    <w:p w14:paraId="742E6E16" w14:textId="77777777" w:rsidR="00C7198A" w:rsidRPr="00855FC5" w:rsidRDefault="00C7198A" w:rsidP="00855FC5">
      <w:pPr>
        <w:keepNext/>
        <w:tabs>
          <w:tab w:val="right" w:pos="7710"/>
        </w:tabs>
        <w:spacing w:before="180"/>
        <w:outlineLvl w:val="4"/>
        <w:rPr>
          <w:rFonts w:ascii="Calibri" w:eastAsia="Times New Roman" w:hAnsi="Calibri" w:cs="Times New Roman"/>
          <w:szCs w:val="26"/>
        </w:rPr>
      </w:pPr>
      <w:r w:rsidRPr="00855FC5">
        <w:rPr>
          <w:rFonts w:ascii="Calibri" w:eastAsia="Times New Roman" w:hAnsi="Calibri" w:cs="Times New Roman"/>
          <w:b/>
          <w:iCs/>
          <w:sz w:val="21"/>
          <w:szCs w:val="26"/>
        </w:rPr>
        <w:t xml:space="preserve">Financial support for </w:t>
      </w:r>
      <w:r>
        <w:rPr>
          <w:rFonts w:ascii="Calibri" w:eastAsia="Times New Roman" w:hAnsi="Calibri" w:cs="Times New Roman"/>
          <w:b/>
          <w:iCs/>
          <w:sz w:val="21"/>
          <w:szCs w:val="26"/>
        </w:rPr>
        <w:t>p</w:t>
      </w:r>
      <w:r w:rsidRPr="00855FC5">
        <w:rPr>
          <w:rFonts w:ascii="Calibri" w:eastAsia="Times New Roman" w:hAnsi="Calibri" w:cs="Times New Roman"/>
          <w:b/>
          <w:iCs/>
          <w:sz w:val="21"/>
          <w:szCs w:val="26"/>
        </w:rPr>
        <w:t>ortfolio entities impacted by COVID-19</w:t>
      </w:r>
    </w:p>
    <w:p w14:paraId="34422B1E" w14:textId="4DFD8410" w:rsidR="00C7198A" w:rsidRPr="00A7459F" w:rsidRDefault="00C7198A" w:rsidP="00855FC5">
      <w:pPr>
        <w:rPr>
          <w:i/>
          <w:iCs/>
        </w:rPr>
      </w:pPr>
      <w:r w:rsidRPr="00855FC5">
        <w:t>Funding is provided to Phillip Island Nature Park, Zoos Victoria and Alpine Resorts Victoria to assist in rebuilding revenue streams and managing supply chain costs following the COVID-19 pandemic.</w:t>
      </w:r>
    </w:p>
    <w:p w14:paraId="697CFD48" w14:textId="77777777" w:rsidR="00C7198A" w:rsidRPr="00A7459F" w:rsidRDefault="00C7198A" w:rsidP="00CC4889">
      <w:pPr>
        <w:ind w:right="-16"/>
        <w:rPr>
          <w:i/>
          <w:iCs/>
        </w:rPr>
      </w:pPr>
      <w:r w:rsidRPr="00855FC5">
        <w:t>This initiative contributes to the Department of Environment, Land, Water and Planning</w:t>
      </w:r>
      <w:r>
        <w:t>’</w:t>
      </w:r>
      <w:r w:rsidRPr="00855FC5">
        <w:t>s Management of Public Land and Forests output.</w:t>
      </w:r>
    </w:p>
    <w:p w14:paraId="7B0D95C2" w14:textId="77777777" w:rsidR="00C7198A" w:rsidRDefault="00C7198A" w:rsidP="00033DF5">
      <w:pPr>
        <w:pStyle w:val="Heading5"/>
      </w:pPr>
      <w:r w:rsidRPr="00855FC5">
        <w:rPr>
          <w:rFonts w:ascii="Calibri" w:eastAsia="Times New Roman" w:hAnsi="Calibri" w:cs="Times New Roman"/>
          <w:szCs w:val="26"/>
        </w:rPr>
        <w:t>Joint management arrangements</w:t>
      </w:r>
      <w:r>
        <w:t xml:space="preserve"> </w:t>
      </w:r>
    </w:p>
    <w:p w14:paraId="5337352D" w14:textId="77777777" w:rsidR="00C7198A" w:rsidRPr="00A7459F" w:rsidRDefault="00C7198A" w:rsidP="00855FC5">
      <w:pPr>
        <w:rPr>
          <w:i/>
          <w:iCs/>
        </w:rPr>
      </w:pPr>
      <w:r w:rsidRPr="00855FC5">
        <w:t xml:space="preserve">Funding is provided for joint management of additional Aboriginal title lands, including additional Gunaikurnai land and sea rangers.  </w:t>
      </w:r>
    </w:p>
    <w:p w14:paraId="07FFE960" w14:textId="77777777" w:rsidR="00C7198A" w:rsidRPr="00A7459F" w:rsidRDefault="00C7198A" w:rsidP="00CC4889">
      <w:pPr>
        <w:ind w:right="-16"/>
        <w:rPr>
          <w:i/>
          <w:iCs/>
        </w:rPr>
      </w:pPr>
      <w:r w:rsidRPr="00855FC5">
        <w:t>This initiative contributes to the Department of Environment, Land, Water and Planning</w:t>
      </w:r>
      <w:r>
        <w:t>’</w:t>
      </w:r>
      <w:r w:rsidRPr="00855FC5">
        <w:t>s Management of Public Land and Forests output.</w:t>
      </w:r>
    </w:p>
    <w:p w14:paraId="7FA8BC2C" w14:textId="77777777" w:rsidR="00C7198A" w:rsidRPr="00855FC5" w:rsidRDefault="00C7198A" w:rsidP="00855FC5">
      <w:pPr>
        <w:pStyle w:val="Heading4"/>
        <w:rPr>
          <w:i w:val="0"/>
          <w:iCs w:val="0"/>
        </w:rPr>
      </w:pPr>
      <w:r w:rsidRPr="00855FC5">
        <w:t>Statutory Activities and Environment Protection</w:t>
      </w:r>
    </w:p>
    <w:p w14:paraId="0747DBF3" w14:textId="77777777" w:rsidR="00C7198A" w:rsidRPr="00855FC5" w:rsidRDefault="00C7198A" w:rsidP="00033DF5">
      <w:pPr>
        <w:pStyle w:val="Heading5"/>
        <w:rPr>
          <w:rFonts w:ascii="Calibri" w:eastAsia="Times New Roman" w:hAnsi="Calibri" w:cs="Times New Roman"/>
          <w:szCs w:val="26"/>
        </w:rPr>
      </w:pPr>
      <w:r w:rsidRPr="00855FC5">
        <w:rPr>
          <w:rFonts w:ascii="Calibri" w:eastAsia="Times New Roman" w:hAnsi="Calibri" w:cs="Times New Roman"/>
          <w:szCs w:val="26"/>
        </w:rPr>
        <w:t xml:space="preserve">Emergency animal disease preparedness </w:t>
      </w:r>
    </w:p>
    <w:p w14:paraId="6ACDA568" w14:textId="77777777" w:rsidR="00C7198A" w:rsidRPr="00855FC5" w:rsidRDefault="00C7198A" w:rsidP="00855FC5">
      <w:pPr>
        <w:rPr>
          <w:rFonts w:ascii="Garamond" w:eastAsia="Garamond" w:hAnsi="Garamond" w:cs="Times New Roman"/>
        </w:rPr>
      </w:pPr>
      <w:r w:rsidRPr="00A7459F">
        <w:t>Refer to the Department of Jobs, Precincts and Regions for a description of this initiative</w:t>
      </w:r>
      <w:r>
        <w:t>.</w:t>
      </w:r>
    </w:p>
    <w:p w14:paraId="18F9548C" w14:textId="77777777" w:rsidR="00993A31" w:rsidRDefault="00993A31" w:rsidP="00993A31">
      <w:pPr>
        <w:pStyle w:val="Heading20"/>
        <w:pageBreakBefore/>
      </w:pPr>
      <w:r>
        <w:lastRenderedPageBreak/>
        <w:t>Asset initiatives</w:t>
      </w:r>
    </w:p>
    <w:p w14:paraId="302D4A04" w14:textId="0574BD34" w:rsidR="00993A31" w:rsidRDefault="00993A31" w:rsidP="00993A31">
      <w:pPr>
        <w:pStyle w:val="TableHeading"/>
      </w:pPr>
      <w:r>
        <w:t>Table A.5:</w:t>
      </w:r>
      <w:r>
        <w:tab/>
        <w:t xml:space="preserve">Asset initiatives – Department of Environment, Land, </w:t>
      </w:r>
      <w:r>
        <w:br/>
        <w:t>Water and Planning</w:t>
      </w:r>
      <w:r>
        <w:tab/>
        <w:t>($ million)</w:t>
      </w:r>
    </w:p>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993A31" w14:paraId="58874C29" w14:textId="77777777" w:rsidTr="009560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Borders>
              <w:top w:val="single" w:sz="6" w:space="0" w:color="auto"/>
              <w:bottom w:val="single" w:sz="6" w:space="0" w:color="auto"/>
            </w:tcBorders>
          </w:tcPr>
          <w:p w14:paraId="547D360C" w14:textId="77777777" w:rsidR="00993A31" w:rsidRDefault="00993A31" w:rsidP="007227EC"/>
        </w:tc>
        <w:tc>
          <w:tcPr>
            <w:tcW w:w="0" w:type="dxa"/>
            <w:tcBorders>
              <w:top w:val="single" w:sz="6" w:space="0" w:color="auto"/>
              <w:bottom w:val="single" w:sz="6" w:space="0" w:color="auto"/>
            </w:tcBorders>
          </w:tcPr>
          <w:p w14:paraId="628F45D8" w14:textId="77777777" w:rsidR="00993A31" w:rsidRDefault="00993A31" w:rsidP="007227EC">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0" w:type="dxa"/>
            <w:tcBorders>
              <w:top w:val="single" w:sz="6" w:space="0" w:color="auto"/>
              <w:bottom w:val="single" w:sz="6" w:space="0" w:color="auto"/>
            </w:tcBorders>
          </w:tcPr>
          <w:p w14:paraId="2D77675B" w14:textId="77777777" w:rsidR="00993A31" w:rsidRDefault="00993A31" w:rsidP="007227EC">
            <w:pPr>
              <w:cnfStyle w:val="100000000000" w:firstRow="1" w:lastRow="0" w:firstColumn="0" w:lastColumn="0" w:oddVBand="0" w:evenVBand="0" w:oddHBand="0" w:evenHBand="0" w:firstRowFirstColumn="0" w:firstRowLastColumn="0" w:lastRowFirstColumn="0" w:lastRowLastColumn="0"/>
            </w:pPr>
            <w:r>
              <w:t>2023</w:t>
            </w:r>
            <w:r>
              <w:noBreakHyphen/>
              <w:t>24</w:t>
            </w:r>
          </w:p>
        </w:tc>
        <w:tc>
          <w:tcPr>
            <w:tcW w:w="0" w:type="dxa"/>
            <w:tcBorders>
              <w:top w:val="single" w:sz="6" w:space="0" w:color="auto"/>
              <w:bottom w:val="single" w:sz="6" w:space="0" w:color="auto"/>
            </w:tcBorders>
          </w:tcPr>
          <w:p w14:paraId="58C4D983" w14:textId="77777777" w:rsidR="00993A31" w:rsidRDefault="00993A31" w:rsidP="007227EC">
            <w:pPr>
              <w:cnfStyle w:val="100000000000" w:firstRow="1" w:lastRow="0" w:firstColumn="0" w:lastColumn="0" w:oddVBand="0" w:evenVBand="0" w:oddHBand="0" w:evenHBand="0" w:firstRowFirstColumn="0" w:firstRowLastColumn="0" w:lastRowFirstColumn="0" w:lastRowLastColumn="0"/>
            </w:pPr>
            <w:r>
              <w:t>2024</w:t>
            </w:r>
            <w:r>
              <w:noBreakHyphen/>
              <w:t>25</w:t>
            </w:r>
          </w:p>
        </w:tc>
        <w:tc>
          <w:tcPr>
            <w:tcW w:w="0" w:type="dxa"/>
            <w:tcBorders>
              <w:top w:val="single" w:sz="6" w:space="0" w:color="auto"/>
              <w:bottom w:val="single" w:sz="6" w:space="0" w:color="auto"/>
            </w:tcBorders>
          </w:tcPr>
          <w:p w14:paraId="12D94D0F" w14:textId="77777777" w:rsidR="00993A31" w:rsidRDefault="00993A31" w:rsidP="007227EC">
            <w:pPr>
              <w:cnfStyle w:val="100000000000" w:firstRow="1" w:lastRow="0" w:firstColumn="0" w:lastColumn="0" w:oddVBand="0" w:evenVBand="0" w:oddHBand="0" w:evenHBand="0" w:firstRowFirstColumn="0" w:firstRowLastColumn="0" w:lastRowFirstColumn="0" w:lastRowLastColumn="0"/>
            </w:pPr>
            <w:r>
              <w:t>2025</w:t>
            </w:r>
            <w:r>
              <w:noBreakHyphen/>
              <w:t>26</w:t>
            </w:r>
          </w:p>
        </w:tc>
        <w:tc>
          <w:tcPr>
            <w:tcW w:w="0" w:type="dxa"/>
            <w:tcBorders>
              <w:top w:val="single" w:sz="6" w:space="0" w:color="auto"/>
              <w:bottom w:val="single" w:sz="6" w:space="0" w:color="auto"/>
            </w:tcBorders>
          </w:tcPr>
          <w:p w14:paraId="356E0374" w14:textId="77777777" w:rsidR="00993A31" w:rsidRDefault="00993A31" w:rsidP="007227EC">
            <w:pPr>
              <w:cnfStyle w:val="100000000000" w:firstRow="1" w:lastRow="0" w:firstColumn="0" w:lastColumn="0" w:oddVBand="0" w:evenVBand="0" w:oddHBand="0" w:evenHBand="0" w:firstRowFirstColumn="0" w:firstRowLastColumn="0" w:lastRowFirstColumn="0" w:lastRowLastColumn="0"/>
            </w:pPr>
            <w:r>
              <w:t>TEI</w:t>
            </w:r>
          </w:p>
        </w:tc>
      </w:tr>
      <w:tr w:rsidR="00993A31" w14:paraId="27FFACC8" w14:textId="77777777" w:rsidTr="0095606C">
        <w:tc>
          <w:tcPr>
            <w:cnfStyle w:val="001000000000" w:firstRow="0" w:lastRow="0" w:firstColumn="1" w:lastColumn="0" w:oddVBand="0" w:evenVBand="0" w:oddHBand="0" w:evenHBand="0" w:firstRowFirstColumn="0" w:firstRowLastColumn="0" w:lastRowFirstColumn="0" w:lastRowLastColumn="0"/>
            <w:tcW w:w="0" w:type="dxa"/>
            <w:tcBorders>
              <w:top w:val="single" w:sz="6" w:space="0" w:color="auto"/>
              <w:bottom w:val="nil"/>
            </w:tcBorders>
          </w:tcPr>
          <w:p w14:paraId="02C009DE" w14:textId="741567C6" w:rsidR="00993A31" w:rsidRPr="0095606C" w:rsidRDefault="00993A31" w:rsidP="00993A31">
            <w:pPr>
              <w:rPr>
                <w:b/>
              </w:rPr>
            </w:pPr>
            <w:r w:rsidRPr="0095606C">
              <w:rPr>
                <w:b/>
              </w:rPr>
              <w:t>Energy</w:t>
            </w:r>
          </w:p>
        </w:tc>
        <w:tc>
          <w:tcPr>
            <w:tcW w:w="0" w:type="dxa"/>
            <w:tcBorders>
              <w:top w:val="single" w:sz="6" w:space="0" w:color="auto"/>
              <w:bottom w:val="nil"/>
            </w:tcBorders>
          </w:tcPr>
          <w:p w14:paraId="1C47351C" w14:textId="77777777" w:rsidR="00993A31" w:rsidRDefault="00993A31" w:rsidP="007227EC">
            <w:pPr>
              <w:cnfStyle w:val="000000000000" w:firstRow="0" w:lastRow="0" w:firstColumn="0" w:lastColumn="0" w:oddVBand="0" w:evenVBand="0" w:oddHBand="0" w:evenHBand="0" w:firstRowFirstColumn="0" w:firstRowLastColumn="0" w:lastRowFirstColumn="0" w:lastRowLastColumn="0"/>
            </w:pPr>
          </w:p>
        </w:tc>
        <w:tc>
          <w:tcPr>
            <w:tcW w:w="0" w:type="dxa"/>
            <w:tcBorders>
              <w:top w:val="single" w:sz="6" w:space="0" w:color="auto"/>
              <w:bottom w:val="nil"/>
            </w:tcBorders>
          </w:tcPr>
          <w:p w14:paraId="72CD3422" w14:textId="77777777" w:rsidR="00993A31" w:rsidRDefault="00993A31" w:rsidP="007227EC">
            <w:pPr>
              <w:cnfStyle w:val="000000000000" w:firstRow="0" w:lastRow="0" w:firstColumn="0" w:lastColumn="0" w:oddVBand="0" w:evenVBand="0" w:oddHBand="0" w:evenHBand="0" w:firstRowFirstColumn="0" w:firstRowLastColumn="0" w:lastRowFirstColumn="0" w:lastRowLastColumn="0"/>
            </w:pPr>
          </w:p>
        </w:tc>
        <w:tc>
          <w:tcPr>
            <w:tcW w:w="0" w:type="dxa"/>
            <w:tcBorders>
              <w:top w:val="single" w:sz="6" w:space="0" w:color="auto"/>
              <w:bottom w:val="nil"/>
            </w:tcBorders>
          </w:tcPr>
          <w:p w14:paraId="4555FFB3" w14:textId="77777777" w:rsidR="00993A31" w:rsidRDefault="00993A31" w:rsidP="007227EC">
            <w:pPr>
              <w:cnfStyle w:val="000000000000" w:firstRow="0" w:lastRow="0" w:firstColumn="0" w:lastColumn="0" w:oddVBand="0" w:evenVBand="0" w:oddHBand="0" w:evenHBand="0" w:firstRowFirstColumn="0" w:firstRowLastColumn="0" w:lastRowFirstColumn="0" w:lastRowLastColumn="0"/>
            </w:pPr>
          </w:p>
        </w:tc>
        <w:tc>
          <w:tcPr>
            <w:tcW w:w="0" w:type="dxa"/>
            <w:tcBorders>
              <w:top w:val="single" w:sz="6" w:space="0" w:color="auto"/>
              <w:bottom w:val="nil"/>
            </w:tcBorders>
          </w:tcPr>
          <w:p w14:paraId="0F3F5FE8" w14:textId="77777777" w:rsidR="00993A31" w:rsidRDefault="00993A31" w:rsidP="007227EC">
            <w:pPr>
              <w:cnfStyle w:val="000000000000" w:firstRow="0" w:lastRow="0" w:firstColumn="0" w:lastColumn="0" w:oddVBand="0" w:evenVBand="0" w:oddHBand="0" w:evenHBand="0" w:firstRowFirstColumn="0" w:firstRowLastColumn="0" w:lastRowFirstColumn="0" w:lastRowLastColumn="0"/>
            </w:pPr>
          </w:p>
        </w:tc>
        <w:tc>
          <w:tcPr>
            <w:tcW w:w="0" w:type="dxa"/>
            <w:tcBorders>
              <w:top w:val="single" w:sz="6" w:space="0" w:color="auto"/>
              <w:bottom w:val="nil"/>
            </w:tcBorders>
          </w:tcPr>
          <w:p w14:paraId="0D4EEDA6" w14:textId="77777777" w:rsidR="00993A31" w:rsidRDefault="00993A31" w:rsidP="007227EC">
            <w:pPr>
              <w:cnfStyle w:val="000000000000" w:firstRow="0" w:lastRow="0" w:firstColumn="0" w:lastColumn="0" w:oddVBand="0" w:evenVBand="0" w:oddHBand="0" w:evenHBand="0" w:firstRowFirstColumn="0" w:firstRowLastColumn="0" w:lastRowFirstColumn="0" w:lastRowLastColumn="0"/>
            </w:pPr>
          </w:p>
        </w:tc>
      </w:tr>
      <w:tr w:rsidR="00993A31" w14:paraId="6192F8FE" w14:textId="77777777" w:rsidTr="0095606C">
        <w:tc>
          <w:tcPr>
            <w:cnfStyle w:val="001000000000" w:firstRow="0" w:lastRow="0" w:firstColumn="1" w:lastColumn="0" w:oddVBand="0" w:evenVBand="0" w:oddHBand="0" w:evenHBand="0" w:firstRowFirstColumn="0" w:firstRowLastColumn="0" w:lastRowFirstColumn="0" w:lastRowLastColumn="0"/>
            <w:tcW w:w="0" w:type="dxa"/>
            <w:tcBorders>
              <w:top w:val="nil"/>
            </w:tcBorders>
          </w:tcPr>
          <w:p w14:paraId="5981A49F" w14:textId="4D908B27" w:rsidR="00993A31" w:rsidRPr="00836D1E" w:rsidRDefault="00993A31" w:rsidP="00836D1E">
            <w:pPr>
              <w:rPr>
                <w:bCs/>
              </w:rPr>
            </w:pPr>
            <w:r w:rsidRPr="0095606C">
              <w:rPr>
                <w:bCs/>
              </w:rPr>
              <w:t>Additional resources for energy projects</w:t>
            </w:r>
          </w:p>
        </w:tc>
        <w:tc>
          <w:tcPr>
            <w:tcW w:w="0" w:type="dxa"/>
            <w:tcBorders>
              <w:top w:val="nil"/>
            </w:tcBorders>
          </w:tcPr>
          <w:p w14:paraId="5D955EE5" w14:textId="19272E35" w:rsidR="00993A31" w:rsidRDefault="00993A31" w:rsidP="007227EC">
            <w:pPr>
              <w:cnfStyle w:val="000000000000" w:firstRow="0" w:lastRow="0" w:firstColumn="0" w:lastColumn="0" w:oddVBand="0" w:evenVBand="0" w:oddHBand="0" w:evenHBand="0" w:firstRowFirstColumn="0" w:firstRowLastColumn="0" w:lastRowFirstColumn="0" w:lastRowLastColumn="0"/>
            </w:pPr>
            <w:r>
              <w:t>..</w:t>
            </w:r>
          </w:p>
        </w:tc>
        <w:tc>
          <w:tcPr>
            <w:tcW w:w="0" w:type="dxa"/>
            <w:tcBorders>
              <w:top w:val="nil"/>
            </w:tcBorders>
          </w:tcPr>
          <w:p w14:paraId="4666700D" w14:textId="0445E0BE" w:rsidR="00993A31" w:rsidRDefault="00993A31" w:rsidP="007227EC">
            <w:pPr>
              <w:cnfStyle w:val="000000000000" w:firstRow="0" w:lastRow="0" w:firstColumn="0" w:lastColumn="0" w:oddVBand="0" w:evenVBand="0" w:oddHBand="0" w:evenHBand="0" w:firstRowFirstColumn="0" w:firstRowLastColumn="0" w:lastRowFirstColumn="0" w:lastRowLastColumn="0"/>
            </w:pPr>
            <w:r>
              <w:t>..</w:t>
            </w:r>
          </w:p>
        </w:tc>
        <w:tc>
          <w:tcPr>
            <w:tcW w:w="0" w:type="dxa"/>
            <w:tcBorders>
              <w:top w:val="nil"/>
            </w:tcBorders>
          </w:tcPr>
          <w:p w14:paraId="62E57C09" w14:textId="44DC0551" w:rsidR="00993A31" w:rsidRDefault="00993A31" w:rsidP="007227EC">
            <w:pPr>
              <w:cnfStyle w:val="000000000000" w:firstRow="0" w:lastRow="0" w:firstColumn="0" w:lastColumn="0" w:oddVBand="0" w:evenVBand="0" w:oddHBand="0" w:evenHBand="0" w:firstRowFirstColumn="0" w:firstRowLastColumn="0" w:lastRowFirstColumn="0" w:lastRowLastColumn="0"/>
            </w:pPr>
            <w:r>
              <w:t>209.0</w:t>
            </w:r>
          </w:p>
        </w:tc>
        <w:tc>
          <w:tcPr>
            <w:tcW w:w="0" w:type="dxa"/>
            <w:tcBorders>
              <w:top w:val="nil"/>
            </w:tcBorders>
          </w:tcPr>
          <w:p w14:paraId="18D452E4" w14:textId="63244424" w:rsidR="00993A31" w:rsidRDefault="00993A31" w:rsidP="007227EC">
            <w:pPr>
              <w:cnfStyle w:val="000000000000" w:firstRow="0" w:lastRow="0" w:firstColumn="0" w:lastColumn="0" w:oddVBand="0" w:evenVBand="0" w:oddHBand="0" w:evenHBand="0" w:firstRowFirstColumn="0" w:firstRowLastColumn="0" w:lastRowFirstColumn="0" w:lastRowLastColumn="0"/>
            </w:pPr>
            <w:r>
              <w:t>..</w:t>
            </w:r>
          </w:p>
        </w:tc>
        <w:tc>
          <w:tcPr>
            <w:tcW w:w="0" w:type="dxa"/>
            <w:tcBorders>
              <w:top w:val="nil"/>
            </w:tcBorders>
          </w:tcPr>
          <w:p w14:paraId="247CC4B4" w14:textId="68913CE3" w:rsidR="00993A31" w:rsidRDefault="00993A31" w:rsidP="007227EC">
            <w:pPr>
              <w:cnfStyle w:val="000000000000" w:firstRow="0" w:lastRow="0" w:firstColumn="0" w:lastColumn="0" w:oddVBand="0" w:evenVBand="0" w:oddHBand="0" w:evenHBand="0" w:firstRowFirstColumn="0" w:firstRowLastColumn="0" w:lastRowFirstColumn="0" w:lastRowLastColumn="0"/>
            </w:pPr>
            <w:r>
              <w:t>209.0</w:t>
            </w:r>
          </w:p>
        </w:tc>
      </w:tr>
      <w:tr w:rsidR="00993A31" w14:paraId="795FAD0E" w14:textId="77777777" w:rsidTr="007227EC">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4E72E479" w14:textId="6EB3BD00" w:rsidR="00993A31" w:rsidRDefault="00993A31" w:rsidP="007227EC">
            <w:r>
              <w:rPr>
                <w:b/>
              </w:rPr>
              <w:t>Total asset initiatives</w:t>
            </w:r>
          </w:p>
        </w:tc>
        <w:tc>
          <w:tcPr>
            <w:tcW w:w="794" w:type="dxa"/>
            <w:tcBorders>
              <w:top w:val="single" w:sz="6" w:space="0" w:color="auto"/>
              <w:bottom w:val="single" w:sz="12" w:space="0" w:color="auto"/>
            </w:tcBorders>
          </w:tcPr>
          <w:p w14:paraId="28B3DEDC" w14:textId="546E5B36" w:rsidR="00993A31" w:rsidRDefault="00993A31" w:rsidP="007227EC">
            <w:pPr>
              <w:cnfStyle w:val="000000000000" w:firstRow="0" w:lastRow="0" w:firstColumn="0" w:lastColumn="0" w:oddVBand="0" w:evenVBand="0" w:oddHBand="0" w:evenHBand="0" w:firstRowFirstColumn="0" w:firstRowLastColumn="0" w:lastRowFirstColumn="0" w:lastRowLastColumn="0"/>
            </w:pPr>
            <w:r>
              <w:rPr>
                <w:b/>
              </w:rPr>
              <w:t>..</w:t>
            </w:r>
          </w:p>
        </w:tc>
        <w:tc>
          <w:tcPr>
            <w:tcW w:w="794" w:type="dxa"/>
            <w:tcBorders>
              <w:top w:val="single" w:sz="6" w:space="0" w:color="auto"/>
              <w:bottom w:val="single" w:sz="12" w:space="0" w:color="auto"/>
            </w:tcBorders>
          </w:tcPr>
          <w:p w14:paraId="17795CCA" w14:textId="02301FCF" w:rsidR="00993A31" w:rsidRDefault="00993A31" w:rsidP="007227EC">
            <w:pPr>
              <w:cnfStyle w:val="000000000000" w:firstRow="0" w:lastRow="0" w:firstColumn="0" w:lastColumn="0" w:oddVBand="0" w:evenVBand="0" w:oddHBand="0" w:evenHBand="0" w:firstRowFirstColumn="0" w:firstRowLastColumn="0" w:lastRowFirstColumn="0" w:lastRowLastColumn="0"/>
            </w:pPr>
            <w:r>
              <w:rPr>
                <w:b/>
              </w:rPr>
              <w:t>..</w:t>
            </w:r>
          </w:p>
        </w:tc>
        <w:tc>
          <w:tcPr>
            <w:tcW w:w="794" w:type="dxa"/>
            <w:tcBorders>
              <w:top w:val="single" w:sz="6" w:space="0" w:color="auto"/>
              <w:bottom w:val="single" w:sz="12" w:space="0" w:color="auto"/>
            </w:tcBorders>
          </w:tcPr>
          <w:p w14:paraId="25E97412" w14:textId="42E6B1FC" w:rsidR="00993A31" w:rsidRDefault="00993A31" w:rsidP="007227EC">
            <w:pPr>
              <w:cnfStyle w:val="000000000000" w:firstRow="0" w:lastRow="0" w:firstColumn="0" w:lastColumn="0" w:oddVBand="0" w:evenVBand="0" w:oddHBand="0" w:evenHBand="0" w:firstRowFirstColumn="0" w:firstRowLastColumn="0" w:lastRowFirstColumn="0" w:lastRowLastColumn="0"/>
            </w:pPr>
            <w:r>
              <w:rPr>
                <w:b/>
              </w:rPr>
              <w:t>209.0</w:t>
            </w:r>
          </w:p>
        </w:tc>
        <w:tc>
          <w:tcPr>
            <w:tcW w:w="794" w:type="dxa"/>
            <w:tcBorders>
              <w:top w:val="single" w:sz="6" w:space="0" w:color="auto"/>
              <w:bottom w:val="single" w:sz="12" w:space="0" w:color="auto"/>
            </w:tcBorders>
          </w:tcPr>
          <w:p w14:paraId="0816A358" w14:textId="58CE0418" w:rsidR="00993A31" w:rsidRDefault="00993A31" w:rsidP="007227EC">
            <w:pPr>
              <w:cnfStyle w:val="000000000000" w:firstRow="0" w:lastRow="0" w:firstColumn="0" w:lastColumn="0" w:oddVBand="0" w:evenVBand="0" w:oddHBand="0" w:evenHBand="0" w:firstRowFirstColumn="0" w:firstRowLastColumn="0" w:lastRowFirstColumn="0" w:lastRowLastColumn="0"/>
            </w:pPr>
            <w:r>
              <w:rPr>
                <w:b/>
              </w:rPr>
              <w:t>..</w:t>
            </w:r>
          </w:p>
        </w:tc>
        <w:tc>
          <w:tcPr>
            <w:tcW w:w="794" w:type="dxa"/>
            <w:tcBorders>
              <w:top w:val="single" w:sz="6" w:space="0" w:color="auto"/>
              <w:bottom w:val="single" w:sz="12" w:space="0" w:color="auto"/>
            </w:tcBorders>
          </w:tcPr>
          <w:p w14:paraId="67852169" w14:textId="02A4E8C0" w:rsidR="00993A31" w:rsidRDefault="00993A31" w:rsidP="007227EC">
            <w:pPr>
              <w:cnfStyle w:val="000000000000" w:firstRow="0" w:lastRow="0" w:firstColumn="0" w:lastColumn="0" w:oddVBand="0" w:evenVBand="0" w:oddHBand="0" w:evenHBand="0" w:firstRowFirstColumn="0" w:firstRowLastColumn="0" w:lastRowFirstColumn="0" w:lastRowLastColumn="0"/>
            </w:pPr>
            <w:r>
              <w:rPr>
                <w:b/>
              </w:rPr>
              <w:t>209.0</w:t>
            </w:r>
          </w:p>
        </w:tc>
      </w:tr>
    </w:tbl>
    <w:p w14:paraId="5156C0D3" w14:textId="77777777" w:rsidR="00993A31" w:rsidRDefault="00993A31" w:rsidP="00993A31"/>
    <w:p w14:paraId="6E4F8675" w14:textId="0DC24807" w:rsidR="00C7198A" w:rsidRPr="0032362A" w:rsidRDefault="00750191" w:rsidP="00750191">
      <w:pPr>
        <w:pStyle w:val="Heading4"/>
      </w:pPr>
      <w:r w:rsidRPr="0032362A">
        <w:t>Energy</w:t>
      </w:r>
    </w:p>
    <w:p w14:paraId="7151ECBD" w14:textId="23F8320A" w:rsidR="00750191" w:rsidRPr="0032362A" w:rsidRDefault="00750191" w:rsidP="00750191">
      <w:pPr>
        <w:keepNext/>
        <w:tabs>
          <w:tab w:val="right" w:pos="7710"/>
        </w:tabs>
        <w:spacing w:before="180"/>
        <w:outlineLvl w:val="4"/>
        <w:rPr>
          <w:rFonts w:ascii="Calibri" w:eastAsia="Times New Roman" w:hAnsi="Calibri" w:cs="Times New Roman"/>
          <w:b/>
          <w:iCs/>
          <w:sz w:val="21"/>
          <w:szCs w:val="26"/>
        </w:rPr>
      </w:pPr>
      <w:r w:rsidRPr="0032362A">
        <w:rPr>
          <w:rFonts w:ascii="Calibri" w:eastAsia="Times New Roman" w:hAnsi="Calibri" w:cs="Times New Roman"/>
          <w:b/>
          <w:iCs/>
          <w:sz w:val="21"/>
          <w:szCs w:val="26"/>
        </w:rPr>
        <w:t>Additional resources for energy projects</w:t>
      </w:r>
    </w:p>
    <w:p w14:paraId="556677E4" w14:textId="77777777" w:rsidR="00750191" w:rsidRDefault="00750191" w:rsidP="00750191">
      <w:r w:rsidRPr="0032362A">
        <w:t>Refer to the output initiative for a description of this initiative.</w:t>
      </w:r>
    </w:p>
    <w:p w14:paraId="0B293109" w14:textId="77777777" w:rsidR="00C7198A" w:rsidRDefault="00C7198A" w:rsidP="003C06B2">
      <w:pPr>
        <w:pStyle w:val="Heading10"/>
        <w:pageBreakBefore/>
      </w:pPr>
      <w:bookmarkStart w:id="116" w:name="_Toc9342181"/>
      <w:bookmarkStart w:id="117" w:name="_Toc71814113"/>
      <w:bookmarkStart w:id="118" w:name="_Toc117586260"/>
      <w:bookmarkStart w:id="119" w:name="_Hlk69132370"/>
      <w:r>
        <w:lastRenderedPageBreak/>
        <w:t>Department of</w:t>
      </w:r>
      <w:bookmarkEnd w:id="116"/>
      <w:r>
        <w:t xml:space="preserve"> Families, Fairness and </w:t>
      </w:r>
      <w:r w:rsidRPr="007076F1">
        <w:t>Housing</w:t>
      </w:r>
      <w:bookmarkEnd w:id="117"/>
      <w:bookmarkEnd w:id="118"/>
      <w:r>
        <w:t xml:space="preserve"> </w:t>
      </w:r>
    </w:p>
    <w:p w14:paraId="464AE283" w14:textId="77777777" w:rsidR="00C7198A" w:rsidRDefault="00C7198A" w:rsidP="007F7047">
      <w:pPr>
        <w:pStyle w:val="Heading20"/>
      </w:pPr>
      <w:r>
        <w:t>Output initiatives</w:t>
      </w:r>
    </w:p>
    <w:p w14:paraId="41E096ED" w14:textId="11AC8C77" w:rsidR="00C7198A" w:rsidRDefault="00C7198A" w:rsidP="0035223D">
      <w:pPr>
        <w:pStyle w:val="TableHeading"/>
      </w:pPr>
      <w:r>
        <w:t>Table A.</w:t>
      </w:r>
      <w:r w:rsidR="00993A31">
        <w:t>6</w:t>
      </w:r>
      <w:r>
        <w:t>:</w:t>
      </w:r>
      <w:r>
        <w:tab/>
        <w:t>Output initiatives – Department of Families, Fairness and Housing</w:t>
      </w:r>
      <w:r>
        <w:tab/>
        <w:t>($ million)</w:t>
      </w:r>
    </w:p>
    <w:tbl>
      <w:tblPr>
        <w:tblStyle w:val="DTFTableNumeric"/>
        <w:tblW w:w="7710" w:type="dxa"/>
        <w:tblLayout w:type="fixed"/>
        <w:tblLook w:val="06A0" w:firstRow="1" w:lastRow="0" w:firstColumn="1" w:lastColumn="0" w:noHBand="1" w:noVBand="1"/>
      </w:tblPr>
      <w:tblGrid>
        <w:gridCol w:w="4534"/>
        <w:gridCol w:w="794"/>
        <w:gridCol w:w="794"/>
        <w:gridCol w:w="794"/>
        <w:gridCol w:w="794"/>
      </w:tblGrid>
      <w:tr w:rsidR="00C7198A" w14:paraId="7BF00339" w14:textId="77777777" w:rsidTr="009D250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4" w:type="dxa"/>
          </w:tcPr>
          <w:p w14:paraId="600AEC0B" w14:textId="6FD2BFB3" w:rsidR="00C7198A" w:rsidRDefault="00C7198A"/>
        </w:tc>
        <w:tc>
          <w:tcPr>
            <w:tcW w:w="794" w:type="dxa"/>
          </w:tcPr>
          <w:p w14:paraId="1E0E5C0F" w14:textId="77777777" w:rsidR="00C7198A" w:rsidRDefault="00C7198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27EE5ACE" w14:textId="77777777" w:rsidR="00C7198A" w:rsidRDefault="00C7198A">
            <w:pPr>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7E1E62E1" w14:textId="77777777" w:rsidR="00C7198A" w:rsidRDefault="00C7198A">
            <w:pPr>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6EC44DF8" w14:textId="77777777" w:rsidR="00C7198A" w:rsidRDefault="00C7198A">
            <w:pPr>
              <w:cnfStyle w:val="100000000000" w:firstRow="1" w:lastRow="0" w:firstColumn="0" w:lastColumn="0" w:oddVBand="0" w:evenVBand="0" w:oddHBand="0" w:evenHBand="0" w:firstRowFirstColumn="0" w:firstRowLastColumn="0" w:lastRowFirstColumn="0" w:lastRowLastColumn="0"/>
            </w:pPr>
            <w:r>
              <w:t>2025</w:t>
            </w:r>
            <w:r>
              <w:noBreakHyphen/>
              <w:t>26</w:t>
            </w:r>
          </w:p>
        </w:tc>
      </w:tr>
      <w:tr w:rsidR="00C7198A" w14:paraId="51C8F2C8" w14:textId="77777777">
        <w:tc>
          <w:tcPr>
            <w:cnfStyle w:val="001000000000" w:firstRow="0" w:lastRow="0" w:firstColumn="1" w:lastColumn="0" w:oddVBand="0" w:evenVBand="0" w:oddHBand="0" w:evenHBand="0" w:firstRowFirstColumn="0" w:firstRowLastColumn="0" w:lastRowFirstColumn="0" w:lastRowLastColumn="0"/>
            <w:tcW w:w="4534" w:type="dxa"/>
          </w:tcPr>
          <w:p w14:paraId="41B8A3B5" w14:textId="77777777" w:rsidR="00C7198A" w:rsidRDefault="00C7198A">
            <w:r>
              <w:rPr>
                <w:b/>
              </w:rPr>
              <w:t>Child Protection and Family Services</w:t>
            </w:r>
          </w:p>
        </w:tc>
        <w:tc>
          <w:tcPr>
            <w:tcW w:w="794" w:type="dxa"/>
          </w:tcPr>
          <w:p w14:paraId="636D3649"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6FC87F0F"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79BF5BE8"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3D35BE0E"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r>
      <w:tr w:rsidR="00C7198A" w14:paraId="11BC2EA9" w14:textId="77777777">
        <w:tc>
          <w:tcPr>
            <w:cnfStyle w:val="001000000000" w:firstRow="0" w:lastRow="0" w:firstColumn="1" w:lastColumn="0" w:oddVBand="0" w:evenVBand="0" w:oddHBand="0" w:evenHBand="0" w:firstRowFirstColumn="0" w:firstRowLastColumn="0" w:lastRowFirstColumn="0" w:lastRowLastColumn="0"/>
            <w:tcW w:w="4534" w:type="dxa"/>
          </w:tcPr>
          <w:p w14:paraId="2516B860" w14:textId="77777777" w:rsidR="00C7198A" w:rsidRDefault="00C7198A">
            <w:r>
              <w:t>Funding for community service organisations</w:t>
            </w:r>
          </w:p>
        </w:tc>
        <w:tc>
          <w:tcPr>
            <w:tcW w:w="794" w:type="dxa"/>
          </w:tcPr>
          <w:p w14:paraId="73AC0CEB" w14:textId="77777777" w:rsidR="00C7198A" w:rsidRDefault="00C7198A">
            <w:pPr>
              <w:cnfStyle w:val="000000000000" w:firstRow="0" w:lastRow="0" w:firstColumn="0" w:lastColumn="0" w:oddVBand="0" w:evenVBand="0" w:oddHBand="0" w:evenHBand="0" w:firstRowFirstColumn="0" w:firstRowLastColumn="0" w:lastRowFirstColumn="0" w:lastRowLastColumn="0"/>
            </w:pPr>
            <w:r>
              <w:t>33.6</w:t>
            </w:r>
          </w:p>
        </w:tc>
        <w:tc>
          <w:tcPr>
            <w:tcW w:w="794" w:type="dxa"/>
          </w:tcPr>
          <w:p w14:paraId="2A788F9B"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6E29E713"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5892C5D4"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r>
      <w:tr w:rsidR="00C7198A" w14:paraId="00DCF25E" w14:textId="77777777">
        <w:tc>
          <w:tcPr>
            <w:cnfStyle w:val="001000000000" w:firstRow="0" w:lastRow="0" w:firstColumn="1" w:lastColumn="0" w:oddVBand="0" w:evenVBand="0" w:oddHBand="0" w:evenHBand="0" w:firstRowFirstColumn="0" w:firstRowLastColumn="0" w:lastRowFirstColumn="0" w:lastRowLastColumn="0"/>
            <w:tcW w:w="4534" w:type="dxa"/>
          </w:tcPr>
          <w:p w14:paraId="7B56B84C" w14:textId="77777777" w:rsidR="00C7198A" w:rsidRDefault="00C7198A">
            <w:r>
              <w:t>Integrated Client and Case Management System modernisation</w:t>
            </w:r>
          </w:p>
        </w:tc>
        <w:tc>
          <w:tcPr>
            <w:tcW w:w="794" w:type="dxa"/>
          </w:tcPr>
          <w:p w14:paraId="48E93092" w14:textId="77777777" w:rsidR="00C7198A" w:rsidRDefault="00C7198A">
            <w:pPr>
              <w:cnfStyle w:val="000000000000" w:firstRow="0" w:lastRow="0" w:firstColumn="0" w:lastColumn="0" w:oddVBand="0" w:evenVBand="0" w:oddHBand="0" w:evenHBand="0" w:firstRowFirstColumn="0" w:firstRowLastColumn="0" w:lastRowFirstColumn="0" w:lastRowLastColumn="0"/>
            </w:pPr>
            <w:r>
              <w:t>1.9</w:t>
            </w:r>
          </w:p>
        </w:tc>
        <w:tc>
          <w:tcPr>
            <w:tcW w:w="794" w:type="dxa"/>
          </w:tcPr>
          <w:p w14:paraId="34F93FB6"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590DE775"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05755224"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r>
      <w:tr w:rsidR="00C7198A" w14:paraId="7FF4D7B9" w14:textId="77777777">
        <w:tc>
          <w:tcPr>
            <w:cnfStyle w:val="001000000000" w:firstRow="0" w:lastRow="0" w:firstColumn="1" w:lastColumn="0" w:oddVBand="0" w:evenVBand="0" w:oddHBand="0" w:evenHBand="0" w:firstRowFirstColumn="0" w:firstRowLastColumn="0" w:lastRowFirstColumn="0" w:lastRowLastColumn="0"/>
            <w:tcW w:w="4534" w:type="dxa"/>
          </w:tcPr>
          <w:p w14:paraId="374AB7F9" w14:textId="77777777" w:rsidR="00C7198A" w:rsidRDefault="00C7198A">
            <w:r>
              <w:t>Victorian redress scheme for survivors of historical abuse and neglect in care</w:t>
            </w:r>
          </w:p>
        </w:tc>
        <w:tc>
          <w:tcPr>
            <w:tcW w:w="794" w:type="dxa"/>
          </w:tcPr>
          <w:p w14:paraId="48808B4C" w14:textId="77777777" w:rsidR="00C7198A" w:rsidRDefault="00C7198A">
            <w:pPr>
              <w:cnfStyle w:val="000000000000" w:firstRow="0" w:lastRow="0" w:firstColumn="0" w:lastColumn="0" w:oddVBand="0" w:evenVBand="0" w:oddHBand="0" w:evenHBand="0" w:firstRowFirstColumn="0" w:firstRowLastColumn="0" w:lastRowFirstColumn="0" w:lastRowLastColumn="0"/>
            </w:pPr>
            <w:r>
              <w:t>2.9</w:t>
            </w:r>
          </w:p>
        </w:tc>
        <w:tc>
          <w:tcPr>
            <w:tcW w:w="794" w:type="dxa"/>
          </w:tcPr>
          <w:p w14:paraId="066CBEA0"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14D9B5B4"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7F1C68FE"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r>
      <w:tr w:rsidR="00C7198A" w14:paraId="4D853518" w14:textId="77777777">
        <w:tc>
          <w:tcPr>
            <w:cnfStyle w:val="001000000000" w:firstRow="0" w:lastRow="0" w:firstColumn="1" w:lastColumn="0" w:oddVBand="0" w:evenVBand="0" w:oddHBand="0" w:evenHBand="0" w:firstRowFirstColumn="0" w:firstRowLastColumn="0" w:lastRowFirstColumn="0" w:lastRowLastColumn="0"/>
            <w:tcW w:w="4534" w:type="dxa"/>
          </w:tcPr>
          <w:p w14:paraId="6F04D35C" w14:textId="77777777" w:rsidR="00C7198A" w:rsidRDefault="00C7198A">
            <w:r>
              <w:rPr>
                <w:b/>
              </w:rPr>
              <w:t>Community Participation</w:t>
            </w:r>
          </w:p>
        </w:tc>
        <w:tc>
          <w:tcPr>
            <w:tcW w:w="794" w:type="dxa"/>
          </w:tcPr>
          <w:p w14:paraId="272D53B4"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10F0EDCB"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05DF5094"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6322EA59"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r>
      <w:tr w:rsidR="00C7198A" w14:paraId="579DF4A4" w14:textId="77777777">
        <w:tc>
          <w:tcPr>
            <w:cnfStyle w:val="001000000000" w:firstRow="0" w:lastRow="0" w:firstColumn="1" w:lastColumn="0" w:oddVBand="0" w:evenVBand="0" w:oddHBand="0" w:evenHBand="0" w:firstRowFirstColumn="0" w:firstRowLastColumn="0" w:lastRowFirstColumn="0" w:lastRowLastColumn="0"/>
            <w:tcW w:w="4534" w:type="dxa"/>
          </w:tcPr>
          <w:p w14:paraId="0A52AE9E" w14:textId="77777777" w:rsidR="00C7198A" w:rsidRDefault="00C7198A">
            <w:r>
              <w:t>Neighbourhood House Coordination Program</w:t>
            </w:r>
          </w:p>
        </w:tc>
        <w:tc>
          <w:tcPr>
            <w:tcW w:w="794" w:type="dxa"/>
          </w:tcPr>
          <w:p w14:paraId="21018F29"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53DDCE5E"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7F42C802" w14:textId="77777777" w:rsidR="00C7198A" w:rsidRDefault="00C7198A">
            <w:pPr>
              <w:cnfStyle w:val="000000000000" w:firstRow="0" w:lastRow="0" w:firstColumn="0" w:lastColumn="0" w:oddVBand="0" w:evenVBand="0" w:oddHBand="0" w:evenHBand="0" w:firstRowFirstColumn="0" w:firstRowLastColumn="0" w:lastRowFirstColumn="0" w:lastRowLastColumn="0"/>
            </w:pPr>
            <w:r>
              <w:t>6.3</w:t>
            </w:r>
          </w:p>
        </w:tc>
        <w:tc>
          <w:tcPr>
            <w:tcW w:w="794" w:type="dxa"/>
          </w:tcPr>
          <w:p w14:paraId="3FFFE917" w14:textId="77777777" w:rsidR="00C7198A" w:rsidRDefault="00C7198A">
            <w:pPr>
              <w:cnfStyle w:val="000000000000" w:firstRow="0" w:lastRow="0" w:firstColumn="0" w:lastColumn="0" w:oddVBand="0" w:evenVBand="0" w:oddHBand="0" w:evenHBand="0" w:firstRowFirstColumn="0" w:firstRowLastColumn="0" w:lastRowFirstColumn="0" w:lastRowLastColumn="0"/>
            </w:pPr>
            <w:r>
              <w:t>6.5</w:t>
            </w:r>
          </w:p>
        </w:tc>
      </w:tr>
      <w:tr w:rsidR="00C7198A" w14:paraId="2F799104" w14:textId="77777777">
        <w:tc>
          <w:tcPr>
            <w:cnfStyle w:val="001000000000" w:firstRow="0" w:lastRow="0" w:firstColumn="1" w:lastColumn="0" w:oddVBand="0" w:evenVBand="0" w:oddHBand="0" w:evenHBand="0" w:firstRowFirstColumn="0" w:firstRowLastColumn="0" w:lastRowFirstColumn="0" w:lastRowLastColumn="0"/>
            <w:tcW w:w="4534" w:type="dxa"/>
          </w:tcPr>
          <w:p w14:paraId="61BF16E3" w14:textId="77777777" w:rsidR="00C7198A" w:rsidRDefault="00C7198A">
            <w:r>
              <w:rPr>
                <w:b/>
              </w:rPr>
              <w:t>Multicultural Affairs Policy and Programs</w:t>
            </w:r>
          </w:p>
        </w:tc>
        <w:tc>
          <w:tcPr>
            <w:tcW w:w="794" w:type="dxa"/>
          </w:tcPr>
          <w:p w14:paraId="7ADDDE19"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2C9E6AE8"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547809A4"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1C16BDBC"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r>
      <w:tr w:rsidR="00C7198A" w14:paraId="479AD492" w14:textId="77777777">
        <w:tc>
          <w:tcPr>
            <w:cnfStyle w:val="001000000000" w:firstRow="0" w:lastRow="0" w:firstColumn="1" w:lastColumn="0" w:oddVBand="0" w:evenVBand="0" w:oddHBand="0" w:evenHBand="0" w:firstRowFirstColumn="0" w:firstRowLastColumn="0" w:lastRowFirstColumn="0" w:lastRowLastColumn="0"/>
            <w:tcW w:w="4534" w:type="dxa"/>
          </w:tcPr>
          <w:p w14:paraId="65BD1760" w14:textId="77777777" w:rsidR="00C7198A" w:rsidRDefault="00C7198A">
            <w:r>
              <w:t>Vietnamese Museum Australia</w:t>
            </w:r>
          </w:p>
        </w:tc>
        <w:tc>
          <w:tcPr>
            <w:tcW w:w="794" w:type="dxa"/>
          </w:tcPr>
          <w:p w14:paraId="22369E4F" w14:textId="77777777" w:rsidR="00C7198A" w:rsidRDefault="00C7198A">
            <w:pPr>
              <w:cnfStyle w:val="000000000000" w:firstRow="0" w:lastRow="0" w:firstColumn="0" w:lastColumn="0" w:oddVBand="0" w:evenVBand="0" w:oddHBand="0" w:evenHBand="0" w:firstRowFirstColumn="0" w:firstRowLastColumn="0" w:lastRowFirstColumn="0" w:lastRowLastColumn="0"/>
            </w:pPr>
            <w:r>
              <w:t>2.3</w:t>
            </w:r>
          </w:p>
        </w:tc>
        <w:tc>
          <w:tcPr>
            <w:tcW w:w="794" w:type="dxa"/>
          </w:tcPr>
          <w:p w14:paraId="24640DC6"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2D712CF0"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69D5BC04"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r>
      <w:tr w:rsidR="00C7198A" w14:paraId="165BB24F" w14:textId="77777777">
        <w:tc>
          <w:tcPr>
            <w:cnfStyle w:val="001000000000" w:firstRow="0" w:lastRow="0" w:firstColumn="1" w:lastColumn="0" w:oddVBand="0" w:evenVBand="0" w:oddHBand="0" w:evenHBand="0" w:firstRowFirstColumn="0" w:firstRowLastColumn="0" w:lastRowFirstColumn="0" w:lastRowLastColumn="0"/>
            <w:tcW w:w="4534" w:type="dxa"/>
          </w:tcPr>
          <w:p w14:paraId="19D9CD31" w14:textId="77777777" w:rsidR="00C7198A" w:rsidRDefault="00C7198A">
            <w:r>
              <w:rPr>
                <w:b/>
              </w:rPr>
              <w:t>Support to Veterans in Victoria</w:t>
            </w:r>
          </w:p>
        </w:tc>
        <w:tc>
          <w:tcPr>
            <w:tcW w:w="794" w:type="dxa"/>
          </w:tcPr>
          <w:p w14:paraId="53A196B5"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791F89A6"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49F094B9"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2D865AF2"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r>
      <w:tr w:rsidR="00C7198A" w14:paraId="3C012564" w14:textId="77777777" w:rsidTr="009D250F">
        <w:tc>
          <w:tcPr>
            <w:cnfStyle w:val="001000000000" w:firstRow="0" w:lastRow="0" w:firstColumn="1" w:lastColumn="0" w:oddVBand="0" w:evenVBand="0" w:oddHBand="0" w:evenHBand="0" w:firstRowFirstColumn="0" w:firstRowLastColumn="0" w:lastRowFirstColumn="0" w:lastRowLastColumn="0"/>
            <w:tcW w:w="4534" w:type="dxa"/>
            <w:tcBorders>
              <w:bottom w:val="single" w:sz="6" w:space="0" w:color="auto"/>
            </w:tcBorders>
          </w:tcPr>
          <w:p w14:paraId="56D4439C" w14:textId="77777777" w:rsidR="00C7198A" w:rsidRDefault="00C7198A">
            <w:r>
              <w:t>National Vietnam Veterans Museum</w:t>
            </w:r>
          </w:p>
        </w:tc>
        <w:tc>
          <w:tcPr>
            <w:tcW w:w="794" w:type="dxa"/>
            <w:tcBorders>
              <w:bottom w:val="single" w:sz="6" w:space="0" w:color="auto"/>
            </w:tcBorders>
          </w:tcPr>
          <w:p w14:paraId="28329961" w14:textId="77777777" w:rsidR="00C7198A" w:rsidRDefault="00C7198A">
            <w:pPr>
              <w:cnfStyle w:val="000000000000" w:firstRow="0" w:lastRow="0" w:firstColumn="0" w:lastColumn="0" w:oddVBand="0" w:evenVBand="0" w:oddHBand="0" w:evenHBand="0" w:firstRowFirstColumn="0" w:firstRowLastColumn="0" w:lastRowFirstColumn="0" w:lastRowLastColumn="0"/>
            </w:pPr>
            <w:r>
              <w:t>5.0</w:t>
            </w:r>
          </w:p>
        </w:tc>
        <w:tc>
          <w:tcPr>
            <w:tcW w:w="794" w:type="dxa"/>
            <w:tcBorders>
              <w:bottom w:val="single" w:sz="6" w:space="0" w:color="auto"/>
            </w:tcBorders>
          </w:tcPr>
          <w:p w14:paraId="3832F2AF" w14:textId="77777777" w:rsidR="00C7198A" w:rsidRDefault="00C7198A">
            <w:pPr>
              <w:cnfStyle w:val="000000000000" w:firstRow="0" w:lastRow="0" w:firstColumn="0" w:lastColumn="0" w:oddVBand="0" w:evenVBand="0" w:oddHBand="0" w:evenHBand="0" w:firstRowFirstColumn="0" w:firstRowLastColumn="0" w:lastRowFirstColumn="0" w:lastRowLastColumn="0"/>
            </w:pPr>
            <w:r>
              <w:t>5.0</w:t>
            </w:r>
          </w:p>
        </w:tc>
        <w:tc>
          <w:tcPr>
            <w:tcW w:w="794" w:type="dxa"/>
            <w:tcBorders>
              <w:bottom w:val="single" w:sz="6" w:space="0" w:color="auto"/>
            </w:tcBorders>
          </w:tcPr>
          <w:p w14:paraId="1594F240"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0E1E5074"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r>
      <w:tr w:rsidR="00C7198A" w14:paraId="7857D435" w14:textId="77777777" w:rsidTr="009D250F">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bottom w:val="single" w:sz="12" w:space="0" w:color="auto"/>
            </w:tcBorders>
          </w:tcPr>
          <w:p w14:paraId="13045076" w14:textId="77777777" w:rsidR="00C7198A" w:rsidRDefault="00C7198A">
            <w:r>
              <w:rPr>
                <w:b/>
              </w:rPr>
              <w:t xml:space="preserve">Total output initiatives </w:t>
            </w:r>
            <w:r>
              <w:rPr>
                <w:b/>
                <w:vertAlign w:val="superscript"/>
              </w:rPr>
              <w:t>(a)</w:t>
            </w:r>
          </w:p>
        </w:tc>
        <w:tc>
          <w:tcPr>
            <w:tcW w:w="794" w:type="dxa"/>
            <w:tcBorders>
              <w:top w:val="single" w:sz="6" w:space="0" w:color="auto"/>
              <w:bottom w:val="single" w:sz="12" w:space="0" w:color="auto"/>
            </w:tcBorders>
          </w:tcPr>
          <w:p w14:paraId="278F7E42" w14:textId="77777777" w:rsidR="00C7198A" w:rsidRDefault="00C7198A">
            <w:pPr>
              <w:cnfStyle w:val="000000000000" w:firstRow="0" w:lastRow="0" w:firstColumn="0" w:lastColumn="0" w:oddVBand="0" w:evenVBand="0" w:oddHBand="0" w:evenHBand="0" w:firstRowFirstColumn="0" w:firstRowLastColumn="0" w:lastRowFirstColumn="0" w:lastRowLastColumn="0"/>
            </w:pPr>
            <w:r>
              <w:rPr>
                <w:b/>
              </w:rPr>
              <w:t>45.7</w:t>
            </w:r>
          </w:p>
        </w:tc>
        <w:tc>
          <w:tcPr>
            <w:tcW w:w="794" w:type="dxa"/>
            <w:tcBorders>
              <w:top w:val="single" w:sz="6" w:space="0" w:color="auto"/>
              <w:bottom w:val="single" w:sz="12" w:space="0" w:color="auto"/>
            </w:tcBorders>
          </w:tcPr>
          <w:p w14:paraId="46EB7714" w14:textId="77777777" w:rsidR="00C7198A" w:rsidRDefault="00C7198A">
            <w:pPr>
              <w:cnfStyle w:val="000000000000" w:firstRow="0" w:lastRow="0" w:firstColumn="0" w:lastColumn="0" w:oddVBand="0" w:evenVBand="0" w:oddHBand="0" w:evenHBand="0" w:firstRowFirstColumn="0" w:firstRowLastColumn="0" w:lastRowFirstColumn="0" w:lastRowLastColumn="0"/>
            </w:pPr>
            <w:r>
              <w:rPr>
                <w:b/>
              </w:rPr>
              <w:t>5.0</w:t>
            </w:r>
          </w:p>
        </w:tc>
        <w:tc>
          <w:tcPr>
            <w:tcW w:w="794" w:type="dxa"/>
            <w:tcBorders>
              <w:top w:val="single" w:sz="6" w:space="0" w:color="auto"/>
              <w:bottom w:val="single" w:sz="12" w:space="0" w:color="auto"/>
            </w:tcBorders>
          </w:tcPr>
          <w:p w14:paraId="52441095" w14:textId="77777777" w:rsidR="00C7198A" w:rsidRDefault="00C7198A">
            <w:pPr>
              <w:cnfStyle w:val="000000000000" w:firstRow="0" w:lastRow="0" w:firstColumn="0" w:lastColumn="0" w:oddVBand="0" w:evenVBand="0" w:oddHBand="0" w:evenHBand="0" w:firstRowFirstColumn="0" w:firstRowLastColumn="0" w:lastRowFirstColumn="0" w:lastRowLastColumn="0"/>
            </w:pPr>
            <w:r>
              <w:rPr>
                <w:b/>
              </w:rPr>
              <w:t>6.3</w:t>
            </w:r>
          </w:p>
        </w:tc>
        <w:tc>
          <w:tcPr>
            <w:tcW w:w="794" w:type="dxa"/>
            <w:tcBorders>
              <w:top w:val="single" w:sz="6" w:space="0" w:color="auto"/>
              <w:bottom w:val="single" w:sz="12" w:space="0" w:color="auto"/>
            </w:tcBorders>
          </w:tcPr>
          <w:p w14:paraId="183D0790" w14:textId="138BA8AD" w:rsidR="00C7198A" w:rsidRDefault="00C7198A">
            <w:pPr>
              <w:cnfStyle w:val="000000000000" w:firstRow="0" w:lastRow="0" w:firstColumn="0" w:lastColumn="0" w:oddVBand="0" w:evenVBand="0" w:oddHBand="0" w:evenHBand="0" w:firstRowFirstColumn="0" w:firstRowLastColumn="0" w:lastRowFirstColumn="0" w:lastRowLastColumn="0"/>
            </w:pPr>
            <w:r>
              <w:rPr>
                <w:b/>
              </w:rPr>
              <w:t>6.5</w:t>
            </w:r>
          </w:p>
        </w:tc>
      </w:tr>
    </w:tbl>
    <w:p w14:paraId="5C74FE99" w14:textId="77777777" w:rsidR="00C7198A" w:rsidRDefault="00C7198A" w:rsidP="007F7047">
      <w:pPr>
        <w:pStyle w:val="Note"/>
      </w:pPr>
      <w:bookmarkStart w:id="120" w:name="_Toc9342186"/>
      <w:r>
        <w:t xml:space="preserve">Note: </w:t>
      </w:r>
    </w:p>
    <w:p w14:paraId="0F580B7A" w14:textId="77777777" w:rsidR="00C7198A" w:rsidRDefault="00C7198A" w:rsidP="001F0C49">
      <w:pPr>
        <w:pStyle w:val="Note"/>
      </w:pPr>
      <w:r w:rsidRPr="00B82015">
        <w:t>(</w:t>
      </w:r>
      <w:r>
        <w:t>a</w:t>
      </w:r>
      <w:r w:rsidRPr="00B82015">
        <w:t xml:space="preserve">) </w:t>
      </w:r>
      <w:r w:rsidRPr="00B82015">
        <w:tab/>
        <w:t>Table may not add due to rounding.</w:t>
      </w:r>
    </w:p>
    <w:p w14:paraId="458148D9" w14:textId="77777777" w:rsidR="003C06B2" w:rsidRDefault="003C06B2" w:rsidP="003C06B2"/>
    <w:p w14:paraId="3FBCFD45" w14:textId="4DBC226B" w:rsidR="00C7198A" w:rsidRDefault="00C7198A" w:rsidP="002933B5">
      <w:pPr>
        <w:pStyle w:val="Heading4"/>
      </w:pPr>
      <w:r w:rsidRPr="00DF121C">
        <w:t>Child Protection and Family Services</w:t>
      </w:r>
    </w:p>
    <w:p w14:paraId="504D1183" w14:textId="77777777" w:rsidR="00C7198A" w:rsidRPr="00CE6557" w:rsidRDefault="00C7198A" w:rsidP="002933B5">
      <w:pPr>
        <w:pStyle w:val="Heading5"/>
      </w:pPr>
      <w:r w:rsidRPr="00DF121C">
        <w:t>Funding for community service organisations</w:t>
      </w:r>
    </w:p>
    <w:p w14:paraId="37A5B970" w14:textId="77777777" w:rsidR="00C7198A" w:rsidRPr="007A1B3C" w:rsidRDefault="00C7198A" w:rsidP="002933B5">
      <w:r w:rsidRPr="00A3479E">
        <w:t xml:space="preserve">Additional funding is provided </w:t>
      </w:r>
      <w:r>
        <w:t>for</w:t>
      </w:r>
      <w:r w:rsidRPr="00A3479E">
        <w:t xml:space="preserve"> community service organisations that deliver social services on behalf of the Government to assist in managing the impact of recent minimum wage decisions on their operating costs</w:t>
      </w:r>
      <w:r>
        <w:t>.</w:t>
      </w:r>
    </w:p>
    <w:p w14:paraId="6BC7D846" w14:textId="77777777" w:rsidR="00C7198A" w:rsidRDefault="00C7198A" w:rsidP="002933B5">
      <w:r>
        <w:t>T</w:t>
      </w:r>
      <w:r w:rsidRPr="00B078B7">
        <w:t>his initiative contributes to the</w:t>
      </w:r>
      <w:r>
        <w:t xml:space="preserve"> Department of Families, Fairness and Housing’s:</w:t>
      </w:r>
    </w:p>
    <w:p w14:paraId="6CC0E66B" w14:textId="77777777" w:rsidR="00C7198A" w:rsidRPr="00B0276F" w:rsidRDefault="00C7198A" w:rsidP="00C7198A">
      <w:pPr>
        <w:pStyle w:val="ListBullet"/>
        <w:numPr>
          <w:ilvl w:val="0"/>
          <w:numId w:val="43"/>
        </w:numPr>
      </w:pPr>
      <w:r w:rsidRPr="00B0276F">
        <w:t>Child Protection and Family Services output</w:t>
      </w:r>
    </w:p>
    <w:p w14:paraId="3F5493C7" w14:textId="77777777" w:rsidR="00C7198A" w:rsidRPr="00B0276F" w:rsidRDefault="00C7198A" w:rsidP="00C7198A">
      <w:pPr>
        <w:pStyle w:val="ListBullet"/>
        <w:numPr>
          <w:ilvl w:val="0"/>
          <w:numId w:val="43"/>
        </w:numPr>
      </w:pPr>
      <w:r w:rsidRPr="00B0276F">
        <w:t>Concessions to Pensioners and Beneficiaries output</w:t>
      </w:r>
    </w:p>
    <w:p w14:paraId="2AB60B57" w14:textId="77777777" w:rsidR="00C7198A" w:rsidRPr="00B0276F" w:rsidRDefault="00C7198A" w:rsidP="00C7198A">
      <w:pPr>
        <w:pStyle w:val="ListBullet"/>
        <w:numPr>
          <w:ilvl w:val="0"/>
          <w:numId w:val="43"/>
        </w:numPr>
      </w:pPr>
      <w:r w:rsidRPr="00B0276F">
        <w:t>Disability Services output</w:t>
      </w:r>
    </w:p>
    <w:p w14:paraId="24DDDE7A" w14:textId="77777777" w:rsidR="00C7198A" w:rsidRPr="00B0276F" w:rsidRDefault="00C7198A" w:rsidP="00C7198A">
      <w:pPr>
        <w:pStyle w:val="ListBullet"/>
        <w:numPr>
          <w:ilvl w:val="0"/>
          <w:numId w:val="43"/>
        </w:numPr>
      </w:pPr>
      <w:r w:rsidRPr="00B0276F">
        <w:t>Family Violence Service Delivery output</w:t>
      </w:r>
    </w:p>
    <w:p w14:paraId="6EACA7F0" w14:textId="77777777" w:rsidR="00C7198A" w:rsidRPr="00B0276F" w:rsidRDefault="00C7198A" w:rsidP="00C7198A">
      <w:pPr>
        <w:pStyle w:val="ListBullet"/>
        <w:numPr>
          <w:ilvl w:val="0"/>
          <w:numId w:val="43"/>
        </w:numPr>
      </w:pPr>
      <w:r w:rsidRPr="00B0276F">
        <w:t>Housing Assistance output</w:t>
      </w:r>
    </w:p>
    <w:p w14:paraId="70B3962D" w14:textId="77777777" w:rsidR="00C7198A" w:rsidRPr="00B0276F" w:rsidRDefault="00C7198A" w:rsidP="00C7198A">
      <w:pPr>
        <w:pStyle w:val="ListBullet"/>
        <w:numPr>
          <w:ilvl w:val="0"/>
          <w:numId w:val="43"/>
        </w:numPr>
      </w:pPr>
      <w:r w:rsidRPr="00B0276F">
        <w:t>Office for Disability output</w:t>
      </w:r>
    </w:p>
    <w:p w14:paraId="34951D15" w14:textId="77777777" w:rsidR="00C7198A" w:rsidRPr="00B0276F" w:rsidRDefault="00C7198A" w:rsidP="00C7198A">
      <w:pPr>
        <w:pStyle w:val="ListBullet"/>
        <w:numPr>
          <w:ilvl w:val="0"/>
          <w:numId w:val="43"/>
        </w:numPr>
      </w:pPr>
      <w:r w:rsidRPr="00B0276F">
        <w:t>Seniors Programs and Participation output.</w:t>
      </w:r>
    </w:p>
    <w:p w14:paraId="57897549" w14:textId="77777777" w:rsidR="00C7198A" w:rsidRDefault="00C7198A" w:rsidP="00B0276F">
      <w:pPr>
        <w:keepNext/>
      </w:pPr>
      <w:r>
        <w:lastRenderedPageBreak/>
        <w:t>This initiative contributes to the Department of Health’s:</w:t>
      </w:r>
    </w:p>
    <w:p w14:paraId="4F65565F" w14:textId="77777777" w:rsidR="00C7198A" w:rsidRPr="009F3566" w:rsidRDefault="00C7198A" w:rsidP="00C7198A">
      <w:pPr>
        <w:pStyle w:val="ListBullet"/>
        <w:keepNext/>
        <w:numPr>
          <w:ilvl w:val="0"/>
          <w:numId w:val="42"/>
        </w:numPr>
        <w:ind w:left="288" w:hanging="288"/>
        <w:rPr>
          <w:rFonts w:ascii="Garamond" w:hAnsi="Garamond"/>
        </w:rPr>
      </w:pPr>
      <w:r w:rsidRPr="009F3566">
        <w:rPr>
          <w:rFonts w:ascii="Garamond" w:hAnsi="Garamond"/>
        </w:rPr>
        <w:t>Community Health Care output</w:t>
      </w:r>
    </w:p>
    <w:p w14:paraId="7DAF6714" w14:textId="77777777" w:rsidR="00C7198A" w:rsidRPr="009F3566" w:rsidRDefault="00C7198A" w:rsidP="00C7198A">
      <w:pPr>
        <w:pStyle w:val="ListBullet"/>
        <w:keepNext/>
        <w:numPr>
          <w:ilvl w:val="0"/>
          <w:numId w:val="42"/>
        </w:numPr>
        <w:ind w:left="288" w:hanging="288"/>
        <w:rPr>
          <w:rFonts w:ascii="Garamond" w:hAnsi="Garamond"/>
        </w:rPr>
      </w:pPr>
      <w:r w:rsidRPr="009F3566">
        <w:rPr>
          <w:rFonts w:ascii="Garamond" w:hAnsi="Garamond"/>
        </w:rPr>
        <w:t>Drug Treatment and Rehabilitation output</w:t>
      </w:r>
    </w:p>
    <w:p w14:paraId="4D127209" w14:textId="77777777" w:rsidR="00C7198A" w:rsidRPr="009F3566" w:rsidRDefault="00C7198A" w:rsidP="00C7198A">
      <w:pPr>
        <w:pStyle w:val="ListBullet"/>
        <w:keepNext/>
        <w:numPr>
          <w:ilvl w:val="0"/>
          <w:numId w:val="42"/>
        </w:numPr>
        <w:ind w:left="288" w:hanging="288"/>
        <w:rPr>
          <w:rFonts w:ascii="Garamond" w:hAnsi="Garamond"/>
        </w:rPr>
      </w:pPr>
      <w:r w:rsidRPr="009F3566">
        <w:rPr>
          <w:rFonts w:ascii="Garamond" w:hAnsi="Garamond"/>
        </w:rPr>
        <w:t>Health Protection output</w:t>
      </w:r>
    </w:p>
    <w:p w14:paraId="57ADA234" w14:textId="77777777" w:rsidR="00C7198A" w:rsidRPr="009F3566" w:rsidRDefault="00C7198A" w:rsidP="00C7198A">
      <w:pPr>
        <w:pStyle w:val="ListBullet"/>
        <w:keepNext/>
        <w:numPr>
          <w:ilvl w:val="0"/>
          <w:numId w:val="42"/>
        </w:numPr>
        <w:ind w:left="288" w:hanging="288"/>
        <w:rPr>
          <w:rFonts w:ascii="Garamond" w:hAnsi="Garamond"/>
        </w:rPr>
      </w:pPr>
      <w:r w:rsidRPr="009F3566">
        <w:rPr>
          <w:rFonts w:ascii="Garamond" w:hAnsi="Garamond"/>
        </w:rPr>
        <w:t>Home and Community Care Program for Younger People output</w:t>
      </w:r>
    </w:p>
    <w:p w14:paraId="3B34840D" w14:textId="77777777" w:rsidR="00C7198A" w:rsidRPr="009F3566" w:rsidRDefault="00C7198A" w:rsidP="00C7198A">
      <w:pPr>
        <w:pStyle w:val="ListBullet"/>
        <w:keepNext/>
        <w:numPr>
          <w:ilvl w:val="0"/>
          <w:numId w:val="42"/>
        </w:numPr>
        <w:ind w:left="288" w:hanging="288"/>
        <w:rPr>
          <w:rFonts w:ascii="Garamond" w:hAnsi="Garamond"/>
        </w:rPr>
      </w:pPr>
      <w:r w:rsidRPr="009F3566">
        <w:rPr>
          <w:rFonts w:ascii="Garamond" w:hAnsi="Garamond"/>
        </w:rPr>
        <w:t>Mental Health Community Support Services output</w:t>
      </w:r>
    </w:p>
    <w:p w14:paraId="68BAB46C" w14:textId="77777777" w:rsidR="00C7198A" w:rsidRPr="009F3566" w:rsidRDefault="00C7198A" w:rsidP="00C7198A">
      <w:pPr>
        <w:pStyle w:val="ListBullet"/>
        <w:keepNext/>
        <w:numPr>
          <w:ilvl w:val="0"/>
          <w:numId w:val="42"/>
        </w:numPr>
        <w:ind w:left="288" w:hanging="288"/>
        <w:rPr>
          <w:rFonts w:ascii="Garamond" w:hAnsi="Garamond"/>
        </w:rPr>
      </w:pPr>
      <w:r w:rsidRPr="009F3566">
        <w:rPr>
          <w:rFonts w:ascii="Garamond" w:hAnsi="Garamond"/>
        </w:rPr>
        <w:t>Non-Admitted Services output</w:t>
      </w:r>
    </w:p>
    <w:p w14:paraId="5DA87AEF" w14:textId="77777777" w:rsidR="00C7198A" w:rsidRPr="009F3566" w:rsidRDefault="00C7198A" w:rsidP="00C7198A">
      <w:pPr>
        <w:pStyle w:val="ListBullet"/>
        <w:keepNext/>
        <w:numPr>
          <w:ilvl w:val="0"/>
          <w:numId w:val="42"/>
        </w:numPr>
        <w:ind w:left="288" w:hanging="288"/>
        <w:rPr>
          <w:rFonts w:ascii="Garamond" w:hAnsi="Garamond"/>
        </w:rPr>
      </w:pPr>
      <w:r w:rsidRPr="009F3566">
        <w:rPr>
          <w:rFonts w:ascii="Garamond" w:hAnsi="Garamond"/>
        </w:rPr>
        <w:t>Small Rural Services – Aged Care output.</w:t>
      </w:r>
    </w:p>
    <w:p w14:paraId="23810BA7" w14:textId="77777777" w:rsidR="00C7198A" w:rsidRPr="00CE6557" w:rsidRDefault="00C7198A" w:rsidP="002933B5">
      <w:pPr>
        <w:pStyle w:val="Heading5"/>
      </w:pPr>
      <w:r>
        <w:t xml:space="preserve">Integrated Client and Case Management System modernisation </w:t>
      </w:r>
    </w:p>
    <w:p w14:paraId="28A8BD91" w14:textId="77777777" w:rsidR="00C7198A" w:rsidRPr="007A1B3C" w:rsidRDefault="00C7198A" w:rsidP="002933B5">
      <w:r>
        <w:t xml:space="preserve">Funding is provided to commence planning on a replacement for the existing Integrated Client and Case Management System. </w:t>
      </w:r>
      <w:r w:rsidRPr="00F04EDC">
        <w:t>This is part of a package of initiatives that includes upgrades to the Integrated Client and Case Management System, used by child protection practitioners and funded agencies providing out-of-home care services, to make it quicker and easier to input and access the information that is needed to make efficient decisions for children and families.</w:t>
      </w:r>
    </w:p>
    <w:p w14:paraId="6C7D2A7B" w14:textId="6A9DBA65" w:rsidR="00C7198A" w:rsidRDefault="00C7198A" w:rsidP="002933B5">
      <w:r>
        <w:t>T</w:t>
      </w:r>
      <w:r w:rsidRPr="00B078B7">
        <w:t>his initiative contributes to the</w:t>
      </w:r>
      <w:r>
        <w:t xml:space="preserve"> Department of Families, Fairness and Housing’s </w:t>
      </w:r>
      <w:r w:rsidR="00CC4889">
        <w:br/>
      </w:r>
      <w:r w:rsidRPr="00DF121C">
        <w:t xml:space="preserve">Child Protection and Family Services </w:t>
      </w:r>
      <w:r>
        <w:t>output.</w:t>
      </w:r>
    </w:p>
    <w:p w14:paraId="18D3A37A" w14:textId="77777777" w:rsidR="00C7198A" w:rsidRPr="009F3566" w:rsidRDefault="00C7198A" w:rsidP="009F3566">
      <w:pPr>
        <w:pStyle w:val="Heading5"/>
        <w:rPr>
          <w:b w:val="0"/>
          <w:iCs w:val="0"/>
        </w:rPr>
      </w:pPr>
      <w:r w:rsidRPr="009F3566">
        <w:t>Victorian redress scheme for survivors of historical abuse and neglect in care</w:t>
      </w:r>
    </w:p>
    <w:p w14:paraId="0A333D4A" w14:textId="77777777" w:rsidR="00C7198A" w:rsidRPr="009F3566" w:rsidRDefault="00C7198A" w:rsidP="00301DD3">
      <w:r w:rsidRPr="009F3566">
        <w:t xml:space="preserve">Funding is provided to establish a redress scheme for survivors of child abuse and neglect in historical institutional care. This includes support for scheme co-design, </w:t>
      </w:r>
      <w:r>
        <w:t>hardship</w:t>
      </w:r>
      <w:r w:rsidRPr="009F3566">
        <w:t xml:space="preserve"> payments</w:t>
      </w:r>
      <w:r>
        <w:t xml:space="preserve"> </w:t>
      </w:r>
      <w:r w:rsidRPr="00F04EDC">
        <w:t>and increased support services</w:t>
      </w:r>
      <w:r>
        <w:t>.</w:t>
      </w:r>
    </w:p>
    <w:p w14:paraId="6AC2FBAC" w14:textId="4004ADA0" w:rsidR="00C7198A" w:rsidRDefault="00C7198A" w:rsidP="002933B5">
      <w:r w:rsidRPr="009F3566">
        <w:t xml:space="preserve">This initiative contributes to the Department of Families, Fairness and Housing’s </w:t>
      </w:r>
      <w:r w:rsidR="00CC4889">
        <w:br/>
      </w:r>
      <w:r w:rsidRPr="009F3566">
        <w:t>Child Protection and Family Services output.</w:t>
      </w:r>
    </w:p>
    <w:p w14:paraId="553DF3BD" w14:textId="77777777" w:rsidR="00C7198A" w:rsidRDefault="00C7198A" w:rsidP="002933B5">
      <w:pPr>
        <w:pStyle w:val="Heading4"/>
      </w:pPr>
      <w:r w:rsidRPr="00DF121C">
        <w:t>Community Participation</w:t>
      </w:r>
    </w:p>
    <w:p w14:paraId="44BC75F9" w14:textId="77777777" w:rsidR="00C7198A" w:rsidRPr="00697E16" w:rsidRDefault="00C7198A" w:rsidP="002933B5">
      <w:pPr>
        <w:pStyle w:val="Heading5"/>
      </w:pPr>
      <w:r w:rsidRPr="00DF121C">
        <w:t xml:space="preserve">Neighbourhood </w:t>
      </w:r>
      <w:r>
        <w:t>H</w:t>
      </w:r>
      <w:r w:rsidRPr="00DF121C">
        <w:t xml:space="preserve">ouse </w:t>
      </w:r>
      <w:r>
        <w:t>C</w:t>
      </w:r>
      <w:r w:rsidRPr="00DF121C">
        <w:t xml:space="preserve">oordination </w:t>
      </w:r>
      <w:r>
        <w:t>P</w:t>
      </w:r>
      <w:r w:rsidRPr="00DF121C">
        <w:t>rogram</w:t>
      </w:r>
    </w:p>
    <w:p w14:paraId="0D06A2E8" w14:textId="0538FF4B" w:rsidR="00C7198A" w:rsidRPr="007A1B3C" w:rsidRDefault="00C7198A" w:rsidP="007D236E">
      <w:pPr>
        <w:ind w:right="-100"/>
      </w:pPr>
      <w:r w:rsidRPr="00DF121C">
        <w:t xml:space="preserve">Funding is provided to </w:t>
      </w:r>
      <w:r>
        <w:t>maintain</w:t>
      </w:r>
      <w:r w:rsidRPr="00DF121C">
        <w:t xml:space="preserve"> the </w:t>
      </w:r>
      <w:r>
        <w:t xml:space="preserve">current </w:t>
      </w:r>
      <w:r w:rsidRPr="00DF121C">
        <w:t>Neighbourhood House Coordination Program</w:t>
      </w:r>
      <w:r>
        <w:t xml:space="preserve">. This will </w:t>
      </w:r>
      <w:r w:rsidR="00925B88">
        <w:t xml:space="preserve">provide funding certainty, and </w:t>
      </w:r>
      <w:r>
        <w:t>support additional</w:t>
      </w:r>
      <w:r w:rsidRPr="00DF121C">
        <w:t xml:space="preserve"> coordination hours </w:t>
      </w:r>
      <w:r>
        <w:t>and Neighbourhood House Networks that facilitate regional collaboration and increase sector capacity. Neighbourhood Houses support the health and wellbeing of local communities through activities that build stronger communities and meet local needs.</w:t>
      </w:r>
    </w:p>
    <w:p w14:paraId="52A462C4" w14:textId="0A98CBCF" w:rsidR="00C7198A" w:rsidRDefault="00C7198A" w:rsidP="009F52D2">
      <w:pPr>
        <w:ind w:right="-324"/>
      </w:pPr>
      <w:r>
        <w:t xml:space="preserve">This builds upon previous funding in the </w:t>
      </w:r>
      <w:r w:rsidRPr="006C7DF5">
        <w:rPr>
          <w:i/>
          <w:iCs/>
        </w:rPr>
        <w:t>2018-19 Budget</w:t>
      </w:r>
      <w:r>
        <w:t xml:space="preserve"> which expanded the Neighbourhood</w:t>
      </w:r>
      <w:r w:rsidR="009F52D2">
        <w:t xml:space="preserve"> </w:t>
      </w:r>
      <w:r>
        <w:t xml:space="preserve">House Coordination Program.  </w:t>
      </w:r>
    </w:p>
    <w:p w14:paraId="076DD3CC" w14:textId="77777777" w:rsidR="00C7198A" w:rsidRDefault="00C7198A" w:rsidP="00F04EDC">
      <w:r>
        <w:t xml:space="preserve">The </w:t>
      </w:r>
      <w:r w:rsidRPr="006C7DF5">
        <w:rPr>
          <w:i/>
          <w:iCs/>
        </w:rPr>
        <w:t>2022-23 Budget</w:t>
      </w:r>
      <w:r>
        <w:t xml:space="preserve"> extended this funding for a further two years.</w:t>
      </w:r>
    </w:p>
    <w:p w14:paraId="1B62DD61" w14:textId="77777777" w:rsidR="00C7198A" w:rsidRDefault="00C7198A" w:rsidP="00F04EDC">
      <w:r>
        <w:t>T</w:t>
      </w:r>
      <w:r w:rsidRPr="00B078B7">
        <w:t>his initiative contributes to the</w:t>
      </w:r>
      <w:r>
        <w:t xml:space="preserve"> Department of Families, Fairness and Housing’s </w:t>
      </w:r>
      <w:r w:rsidRPr="00DF121C">
        <w:t xml:space="preserve">Community Participation </w:t>
      </w:r>
      <w:r>
        <w:t>output.</w:t>
      </w:r>
    </w:p>
    <w:p w14:paraId="3AD3826B" w14:textId="77777777" w:rsidR="00C7198A" w:rsidRDefault="00C7198A" w:rsidP="002933B5">
      <w:pPr>
        <w:pStyle w:val="Heading4"/>
      </w:pPr>
      <w:r w:rsidRPr="00DF121C">
        <w:lastRenderedPageBreak/>
        <w:t>Multicultural Affairs Policy and Programs</w:t>
      </w:r>
    </w:p>
    <w:p w14:paraId="5F3F14D7" w14:textId="77777777" w:rsidR="00C7198A" w:rsidRPr="00697E16" w:rsidRDefault="00C7198A" w:rsidP="002933B5">
      <w:pPr>
        <w:pStyle w:val="Heading5"/>
      </w:pPr>
      <w:r w:rsidRPr="00DF121C">
        <w:t xml:space="preserve">Vietnamese </w:t>
      </w:r>
      <w:r>
        <w:t>Museum Australia</w:t>
      </w:r>
    </w:p>
    <w:p w14:paraId="120F715F" w14:textId="77777777" w:rsidR="00C7198A" w:rsidRDefault="00C7198A" w:rsidP="002933B5">
      <w:r w:rsidRPr="00DF121C">
        <w:t xml:space="preserve">Additional funding </w:t>
      </w:r>
      <w:r>
        <w:t>is</w:t>
      </w:r>
      <w:r w:rsidRPr="00DF121C">
        <w:t xml:space="preserve"> provided </w:t>
      </w:r>
      <w:r>
        <w:t>for</w:t>
      </w:r>
      <w:r w:rsidRPr="00DF121C">
        <w:t xml:space="preserve"> the delivery of Stage 1 of the Vietnamese Museum Australia ahead of the 50th anniversary of the settlement of Vietnamese refugees in Australia.</w:t>
      </w:r>
    </w:p>
    <w:p w14:paraId="757D0740" w14:textId="77777777" w:rsidR="00C7198A" w:rsidRDefault="00C7198A" w:rsidP="002933B5">
      <w:r>
        <w:t>T</w:t>
      </w:r>
      <w:r w:rsidRPr="00B078B7">
        <w:t>his initiative contributes to the</w:t>
      </w:r>
      <w:r>
        <w:t xml:space="preserve"> Department of Families, Fairness and Housing’s </w:t>
      </w:r>
      <w:r w:rsidRPr="00DF121C">
        <w:t>Multicultural Affairs Policy and Programs</w:t>
      </w:r>
      <w:r>
        <w:t xml:space="preserve"> output.</w:t>
      </w:r>
    </w:p>
    <w:p w14:paraId="588C15DD" w14:textId="77777777" w:rsidR="00C7198A" w:rsidRDefault="00C7198A" w:rsidP="002933B5">
      <w:pPr>
        <w:pStyle w:val="Heading4"/>
      </w:pPr>
      <w:r w:rsidRPr="00DF121C">
        <w:t>Support to Veterans in Victoria</w:t>
      </w:r>
    </w:p>
    <w:p w14:paraId="112FA39E" w14:textId="77777777" w:rsidR="00C7198A" w:rsidRPr="00697E16" w:rsidRDefault="00C7198A" w:rsidP="002933B5">
      <w:pPr>
        <w:pStyle w:val="Heading5"/>
      </w:pPr>
      <w:r w:rsidRPr="00DF121C">
        <w:t xml:space="preserve">National Vietnam </w:t>
      </w:r>
      <w:r>
        <w:t>V</w:t>
      </w:r>
      <w:r w:rsidRPr="00DF121C">
        <w:t xml:space="preserve">eterans </w:t>
      </w:r>
      <w:r>
        <w:t>M</w:t>
      </w:r>
      <w:r w:rsidRPr="00DF121C">
        <w:t>useum</w:t>
      </w:r>
    </w:p>
    <w:p w14:paraId="6BA4A030" w14:textId="77777777" w:rsidR="00C7198A" w:rsidRDefault="00C7198A" w:rsidP="002933B5">
      <w:r w:rsidRPr="00DF121C">
        <w:t xml:space="preserve">Funding is provided </w:t>
      </w:r>
      <w:r>
        <w:t xml:space="preserve">to support </w:t>
      </w:r>
      <w:r w:rsidRPr="00DF121C">
        <w:t>the construction of a new purpose-built National Vietnam Veterans Museum. The new museum will include multimedia experiences for visitors</w:t>
      </w:r>
      <w:r>
        <w:t xml:space="preserve"> and</w:t>
      </w:r>
      <w:r w:rsidRPr="00DF121C">
        <w:t xml:space="preserve"> improved conservation systems and visitor facilities.</w:t>
      </w:r>
    </w:p>
    <w:p w14:paraId="25A24FB2" w14:textId="0E85B369" w:rsidR="00C7198A" w:rsidRDefault="00C7198A" w:rsidP="001C2726">
      <w:r>
        <w:t>T</w:t>
      </w:r>
      <w:r w:rsidRPr="00B078B7">
        <w:t>his initiative contributes to the</w:t>
      </w:r>
      <w:r>
        <w:t xml:space="preserve"> Department of Families, Fairness and Housing’s </w:t>
      </w:r>
      <w:r w:rsidR="00CC4889">
        <w:br/>
      </w:r>
      <w:r w:rsidRPr="00DF121C">
        <w:t>Support to Veterans in Victoria</w:t>
      </w:r>
      <w:r>
        <w:t xml:space="preserve"> output.</w:t>
      </w:r>
      <w:bookmarkEnd w:id="119"/>
      <w:bookmarkEnd w:id="120"/>
    </w:p>
    <w:p w14:paraId="34D29FE9" w14:textId="77777777" w:rsidR="00C7198A" w:rsidRDefault="00C7198A" w:rsidP="00C94CDC">
      <w:pPr>
        <w:pStyle w:val="Heading10"/>
        <w:pageBreakBefore/>
      </w:pPr>
      <w:bookmarkStart w:id="121" w:name="_Toc71814114"/>
      <w:bookmarkStart w:id="122" w:name="_Toc117586261"/>
      <w:r>
        <w:lastRenderedPageBreak/>
        <w:t>Department of Health</w:t>
      </w:r>
      <w:bookmarkEnd w:id="121"/>
      <w:bookmarkEnd w:id="122"/>
    </w:p>
    <w:p w14:paraId="0F4D83D1" w14:textId="77777777" w:rsidR="00C7198A" w:rsidRDefault="00C7198A" w:rsidP="009D1ED2">
      <w:pPr>
        <w:pStyle w:val="Heading20"/>
        <w:spacing w:before="180"/>
      </w:pPr>
      <w:bookmarkStart w:id="123" w:name="_Hlk68879179"/>
      <w:r>
        <w:t>Output initiatives</w:t>
      </w:r>
    </w:p>
    <w:p w14:paraId="2BC6980F" w14:textId="46C8F893" w:rsidR="00C7198A" w:rsidRDefault="00C7198A" w:rsidP="009D1ED2">
      <w:pPr>
        <w:pStyle w:val="TableHeading"/>
        <w:spacing w:before="140"/>
      </w:pPr>
      <w:r w:rsidRPr="00784CF0">
        <w:t xml:space="preserve">Table </w:t>
      </w:r>
      <w:r>
        <w:t>A.</w:t>
      </w:r>
      <w:r w:rsidR="00993A31">
        <w:t>7</w:t>
      </w:r>
      <w:r w:rsidRPr="00784CF0">
        <w:t>:</w:t>
      </w:r>
      <w:r w:rsidRPr="00784CF0">
        <w:tab/>
        <w:t>Output initiatives – Department of Health</w:t>
      </w:r>
      <w:r>
        <w:tab/>
        <w:t>($ million)</w:t>
      </w:r>
    </w:p>
    <w:tbl>
      <w:tblPr>
        <w:tblStyle w:val="DTFTableNumeric"/>
        <w:tblW w:w="7710" w:type="dxa"/>
        <w:tblLayout w:type="fixed"/>
        <w:tblLook w:val="06A0" w:firstRow="1" w:lastRow="0" w:firstColumn="1" w:lastColumn="0" w:noHBand="1" w:noVBand="1"/>
      </w:tblPr>
      <w:tblGrid>
        <w:gridCol w:w="4534"/>
        <w:gridCol w:w="794"/>
        <w:gridCol w:w="794"/>
        <w:gridCol w:w="794"/>
        <w:gridCol w:w="794"/>
      </w:tblGrid>
      <w:tr w:rsidR="00C7198A" w14:paraId="4767C58C" w14:textId="77777777" w:rsidTr="007B69A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4" w:type="dxa"/>
          </w:tcPr>
          <w:p w14:paraId="7CC43496" w14:textId="433E0B14" w:rsidR="00C7198A" w:rsidRDefault="00C7198A" w:rsidP="00253AF8"/>
        </w:tc>
        <w:tc>
          <w:tcPr>
            <w:tcW w:w="794" w:type="dxa"/>
          </w:tcPr>
          <w:p w14:paraId="0E226717" w14:textId="77777777" w:rsidR="00C7198A" w:rsidRDefault="00C7198A" w:rsidP="00253AF8">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58D995ED" w14:textId="77777777" w:rsidR="00C7198A" w:rsidRDefault="00C7198A" w:rsidP="00253AF8">
            <w:pPr>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2E598442" w14:textId="77777777" w:rsidR="00C7198A" w:rsidRDefault="00C7198A" w:rsidP="00253AF8">
            <w:pPr>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3B33A5AE" w14:textId="77777777" w:rsidR="00C7198A" w:rsidRDefault="00C7198A" w:rsidP="00253AF8">
            <w:pPr>
              <w:cnfStyle w:val="100000000000" w:firstRow="1" w:lastRow="0" w:firstColumn="0" w:lastColumn="0" w:oddVBand="0" w:evenVBand="0" w:oddHBand="0" w:evenHBand="0" w:firstRowFirstColumn="0" w:firstRowLastColumn="0" w:lastRowFirstColumn="0" w:lastRowLastColumn="0"/>
            </w:pPr>
            <w:r>
              <w:t>2025</w:t>
            </w:r>
            <w:r>
              <w:noBreakHyphen/>
              <w:t>26</w:t>
            </w:r>
          </w:p>
        </w:tc>
      </w:tr>
      <w:tr w:rsidR="00C7198A" w14:paraId="113A756B" w14:textId="77777777">
        <w:tc>
          <w:tcPr>
            <w:cnfStyle w:val="001000000000" w:firstRow="0" w:lastRow="0" w:firstColumn="1" w:lastColumn="0" w:oddVBand="0" w:evenVBand="0" w:oddHBand="0" w:evenHBand="0" w:firstRowFirstColumn="0" w:firstRowLastColumn="0" w:lastRowFirstColumn="0" w:lastRowLastColumn="0"/>
            <w:tcW w:w="4534" w:type="dxa"/>
          </w:tcPr>
          <w:p w14:paraId="731274AE" w14:textId="77777777" w:rsidR="00C7198A" w:rsidRDefault="00C7198A" w:rsidP="00253AF8">
            <w:r>
              <w:rPr>
                <w:b/>
              </w:rPr>
              <w:t>Admitted Services</w:t>
            </w:r>
          </w:p>
        </w:tc>
        <w:tc>
          <w:tcPr>
            <w:tcW w:w="794" w:type="dxa"/>
          </w:tcPr>
          <w:p w14:paraId="26133BD6"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p>
        </w:tc>
        <w:tc>
          <w:tcPr>
            <w:tcW w:w="794" w:type="dxa"/>
          </w:tcPr>
          <w:p w14:paraId="4AEB47B3"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p>
        </w:tc>
        <w:tc>
          <w:tcPr>
            <w:tcW w:w="794" w:type="dxa"/>
          </w:tcPr>
          <w:p w14:paraId="3F2A7864"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p>
        </w:tc>
        <w:tc>
          <w:tcPr>
            <w:tcW w:w="794" w:type="dxa"/>
          </w:tcPr>
          <w:p w14:paraId="5B59706A"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p>
        </w:tc>
      </w:tr>
      <w:tr w:rsidR="00C7198A" w14:paraId="359BBFA1" w14:textId="77777777">
        <w:tc>
          <w:tcPr>
            <w:cnfStyle w:val="001000000000" w:firstRow="0" w:lastRow="0" w:firstColumn="1" w:lastColumn="0" w:oddVBand="0" w:evenVBand="0" w:oddHBand="0" w:evenHBand="0" w:firstRowFirstColumn="0" w:firstRowLastColumn="0" w:lastRowFirstColumn="0" w:lastRowLastColumn="0"/>
            <w:tcW w:w="4534" w:type="dxa"/>
          </w:tcPr>
          <w:p w14:paraId="0AB7345C" w14:textId="77777777" w:rsidR="00C7198A" w:rsidRDefault="00C7198A" w:rsidP="00253AF8">
            <w:r>
              <w:t xml:space="preserve">Albury Wodonga Health Development </w:t>
            </w:r>
            <w:r>
              <w:rPr>
                <w:vertAlign w:val="superscript"/>
              </w:rPr>
              <w:t>(a)</w:t>
            </w:r>
          </w:p>
        </w:tc>
        <w:tc>
          <w:tcPr>
            <w:tcW w:w="794" w:type="dxa"/>
          </w:tcPr>
          <w:p w14:paraId="31606086"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r>
              <w:t>tbc</w:t>
            </w:r>
          </w:p>
        </w:tc>
        <w:tc>
          <w:tcPr>
            <w:tcW w:w="794" w:type="dxa"/>
          </w:tcPr>
          <w:p w14:paraId="5963C9DF"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r>
              <w:t>tbc</w:t>
            </w:r>
          </w:p>
        </w:tc>
        <w:tc>
          <w:tcPr>
            <w:tcW w:w="794" w:type="dxa"/>
          </w:tcPr>
          <w:p w14:paraId="64445E01"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r>
              <w:t>tbc</w:t>
            </w:r>
          </w:p>
        </w:tc>
        <w:tc>
          <w:tcPr>
            <w:tcW w:w="794" w:type="dxa"/>
          </w:tcPr>
          <w:p w14:paraId="2DD73F14"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r>
              <w:t>tbc</w:t>
            </w:r>
          </w:p>
        </w:tc>
      </w:tr>
      <w:tr w:rsidR="00C7198A" w14:paraId="47BA5DE2" w14:textId="77777777">
        <w:tc>
          <w:tcPr>
            <w:cnfStyle w:val="001000000000" w:firstRow="0" w:lastRow="0" w:firstColumn="1" w:lastColumn="0" w:oddVBand="0" w:evenVBand="0" w:oddHBand="0" w:evenHBand="0" w:firstRowFirstColumn="0" w:firstRowLastColumn="0" w:lastRowFirstColumn="0" w:lastRowLastColumn="0"/>
            <w:tcW w:w="4534" w:type="dxa"/>
          </w:tcPr>
          <w:p w14:paraId="33134367" w14:textId="77777777" w:rsidR="00C7198A" w:rsidRDefault="00C7198A" w:rsidP="00253AF8">
            <w:r>
              <w:t>Supporting workforce attraction and retention</w:t>
            </w:r>
          </w:p>
        </w:tc>
        <w:tc>
          <w:tcPr>
            <w:tcW w:w="794" w:type="dxa"/>
          </w:tcPr>
          <w:p w14:paraId="050D9DF0"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r>
              <w:t>380.0</w:t>
            </w:r>
          </w:p>
        </w:tc>
        <w:tc>
          <w:tcPr>
            <w:tcW w:w="794" w:type="dxa"/>
          </w:tcPr>
          <w:p w14:paraId="7670B9A8"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5D8F4815"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5CCD36C0"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r>
              <w:t>..</w:t>
            </w:r>
          </w:p>
        </w:tc>
      </w:tr>
      <w:tr w:rsidR="00C7198A" w14:paraId="0A703EA4" w14:textId="77777777">
        <w:tc>
          <w:tcPr>
            <w:cnfStyle w:val="001000000000" w:firstRow="0" w:lastRow="0" w:firstColumn="1" w:lastColumn="0" w:oddVBand="0" w:evenVBand="0" w:oddHBand="0" w:evenHBand="0" w:firstRowFirstColumn="0" w:firstRowLastColumn="0" w:lastRowFirstColumn="0" w:lastRowLastColumn="0"/>
            <w:tcW w:w="4534" w:type="dxa"/>
          </w:tcPr>
          <w:p w14:paraId="53B083C9" w14:textId="77777777" w:rsidR="00C7198A" w:rsidRDefault="00C7198A" w:rsidP="00253AF8">
            <w:r>
              <w:rPr>
                <w:b/>
              </w:rPr>
              <w:t>Ambulance Services</w:t>
            </w:r>
          </w:p>
        </w:tc>
        <w:tc>
          <w:tcPr>
            <w:tcW w:w="794" w:type="dxa"/>
          </w:tcPr>
          <w:p w14:paraId="35BCAA4F"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p>
        </w:tc>
        <w:tc>
          <w:tcPr>
            <w:tcW w:w="794" w:type="dxa"/>
          </w:tcPr>
          <w:p w14:paraId="21DE6EF2"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p>
        </w:tc>
        <w:tc>
          <w:tcPr>
            <w:tcW w:w="794" w:type="dxa"/>
          </w:tcPr>
          <w:p w14:paraId="6D52F003"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p>
        </w:tc>
        <w:tc>
          <w:tcPr>
            <w:tcW w:w="794" w:type="dxa"/>
          </w:tcPr>
          <w:p w14:paraId="21CE827A"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p>
        </w:tc>
      </w:tr>
      <w:tr w:rsidR="00C7198A" w14:paraId="1B0A9B65" w14:textId="77777777">
        <w:tc>
          <w:tcPr>
            <w:cnfStyle w:val="001000000000" w:firstRow="0" w:lastRow="0" w:firstColumn="1" w:lastColumn="0" w:oddVBand="0" w:evenVBand="0" w:oddHBand="0" w:evenHBand="0" w:firstRowFirstColumn="0" w:firstRowLastColumn="0" w:lastRowFirstColumn="0" w:lastRowLastColumn="0"/>
            <w:tcW w:w="4534" w:type="dxa"/>
          </w:tcPr>
          <w:p w14:paraId="0F1FD586" w14:textId="77777777" w:rsidR="00C7198A" w:rsidRDefault="00C7198A" w:rsidP="00253AF8">
            <w:r>
              <w:t>Improving access to emergency care</w:t>
            </w:r>
          </w:p>
        </w:tc>
        <w:tc>
          <w:tcPr>
            <w:tcW w:w="794" w:type="dxa"/>
          </w:tcPr>
          <w:p w14:paraId="534F3525"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r>
              <w:t>164.9</w:t>
            </w:r>
          </w:p>
        </w:tc>
        <w:tc>
          <w:tcPr>
            <w:tcW w:w="794" w:type="dxa"/>
          </w:tcPr>
          <w:p w14:paraId="20B6A083"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r>
              <w:t>4.8</w:t>
            </w:r>
          </w:p>
        </w:tc>
        <w:tc>
          <w:tcPr>
            <w:tcW w:w="794" w:type="dxa"/>
          </w:tcPr>
          <w:p w14:paraId="193893CA"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2A8A69D3"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r>
              <w:t>..</w:t>
            </w:r>
          </w:p>
        </w:tc>
      </w:tr>
      <w:tr w:rsidR="00C7198A" w14:paraId="1C192581" w14:textId="77777777">
        <w:tc>
          <w:tcPr>
            <w:cnfStyle w:val="001000000000" w:firstRow="0" w:lastRow="0" w:firstColumn="1" w:lastColumn="0" w:oddVBand="0" w:evenVBand="0" w:oddHBand="0" w:evenHBand="0" w:firstRowFirstColumn="0" w:firstRowLastColumn="0" w:lastRowFirstColumn="0" w:lastRowLastColumn="0"/>
            <w:tcW w:w="4534" w:type="dxa"/>
          </w:tcPr>
          <w:p w14:paraId="00F84012" w14:textId="77777777" w:rsidR="00C7198A" w:rsidRDefault="00C7198A" w:rsidP="00253AF8">
            <w:r>
              <w:rPr>
                <w:b/>
              </w:rPr>
              <w:t>Community Health Care</w:t>
            </w:r>
          </w:p>
        </w:tc>
        <w:tc>
          <w:tcPr>
            <w:tcW w:w="794" w:type="dxa"/>
          </w:tcPr>
          <w:p w14:paraId="4EBEA5DD"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p>
        </w:tc>
        <w:tc>
          <w:tcPr>
            <w:tcW w:w="794" w:type="dxa"/>
          </w:tcPr>
          <w:p w14:paraId="02EDF964"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p>
        </w:tc>
        <w:tc>
          <w:tcPr>
            <w:tcW w:w="794" w:type="dxa"/>
          </w:tcPr>
          <w:p w14:paraId="7E8511B2"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p>
        </w:tc>
        <w:tc>
          <w:tcPr>
            <w:tcW w:w="794" w:type="dxa"/>
          </w:tcPr>
          <w:p w14:paraId="5204C57D"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p>
        </w:tc>
      </w:tr>
      <w:tr w:rsidR="00C7198A" w14:paraId="465BF69A" w14:textId="77777777">
        <w:tc>
          <w:tcPr>
            <w:cnfStyle w:val="001000000000" w:firstRow="0" w:lastRow="0" w:firstColumn="1" w:lastColumn="0" w:oddVBand="0" w:evenVBand="0" w:oddHBand="0" w:evenHBand="0" w:firstRowFirstColumn="0" w:firstRowLastColumn="0" w:lastRowFirstColumn="0" w:lastRowLastColumn="0"/>
            <w:tcW w:w="4534" w:type="dxa"/>
          </w:tcPr>
          <w:p w14:paraId="0BC07838" w14:textId="77777777" w:rsidR="00C7198A" w:rsidRDefault="00C7198A" w:rsidP="00253AF8">
            <w:r>
              <w:t>Funding for community service organisations</w:t>
            </w:r>
          </w:p>
        </w:tc>
        <w:tc>
          <w:tcPr>
            <w:tcW w:w="794" w:type="dxa"/>
          </w:tcPr>
          <w:p w14:paraId="71D0B237"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r>
              <w:t>14.8</w:t>
            </w:r>
          </w:p>
        </w:tc>
        <w:tc>
          <w:tcPr>
            <w:tcW w:w="794" w:type="dxa"/>
          </w:tcPr>
          <w:p w14:paraId="6E51D8D2"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54F7DF68"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44428102"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r>
              <w:t>..</w:t>
            </w:r>
          </w:p>
        </w:tc>
      </w:tr>
      <w:tr w:rsidR="00C7198A" w14:paraId="754AC0B9" w14:textId="77777777">
        <w:tc>
          <w:tcPr>
            <w:cnfStyle w:val="001000000000" w:firstRow="0" w:lastRow="0" w:firstColumn="1" w:lastColumn="0" w:oddVBand="0" w:evenVBand="0" w:oddHBand="0" w:evenHBand="0" w:firstRowFirstColumn="0" w:firstRowLastColumn="0" w:lastRowFirstColumn="0" w:lastRowLastColumn="0"/>
            <w:tcW w:w="4534" w:type="dxa"/>
          </w:tcPr>
          <w:p w14:paraId="511059B8" w14:textId="77777777" w:rsidR="00C7198A" w:rsidRDefault="00C7198A" w:rsidP="00253AF8">
            <w:r>
              <w:rPr>
                <w:b/>
              </w:rPr>
              <w:t>Drug Treatment and Rehabilitation</w:t>
            </w:r>
          </w:p>
        </w:tc>
        <w:tc>
          <w:tcPr>
            <w:tcW w:w="794" w:type="dxa"/>
          </w:tcPr>
          <w:p w14:paraId="7B4ED7A2"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p>
        </w:tc>
        <w:tc>
          <w:tcPr>
            <w:tcW w:w="794" w:type="dxa"/>
          </w:tcPr>
          <w:p w14:paraId="1AB3625B"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p>
        </w:tc>
        <w:tc>
          <w:tcPr>
            <w:tcW w:w="794" w:type="dxa"/>
          </w:tcPr>
          <w:p w14:paraId="6ED10450"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p>
        </w:tc>
        <w:tc>
          <w:tcPr>
            <w:tcW w:w="794" w:type="dxa"/>
          </w:tcPr>
          <w:p w14:paraId="639F674C"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p>
        </w:tc>
      </w:tr>
      <w:tr w:rsidR="00C7198A" w14:paraId="443ECC42" w14:textId="77777777">
        <w:tc>
          <w:tcPr>
            <w:cnfStyle w:val="001000000000" w:firstRow="0" w:lastRow="0" w:firstColumn="1" w:lastColumn="0" w:oddVBand="0" w:evenVBand="0" w:oddHBand="0" w:evenHBand="0" w:firstRowFirstColumn="0" w:firstRowLastColumn="0" w:lastRowFirstColumn="0" w:lastRowLastColumn="0"/>
            <w:tcW w:w="4534" w:type="dxa"/>
          </w:tcPr>
          <w:p w14:paraId="4FD06B8C" w14:textId="77777777" w:rsidR="00C7198A" w:rsidRDefault="00C7198A" w:rsidP="00253AF8">
            <w:r>
              <w:t>Supporting decriminalisation of public intoxication</w:t>
            </w:r>
          </w:p>
        </w:tc>
        <w:tc>
          <w:tcPr>
            <w:tcW w:w="794" w:type="dxa"/>
          </w:tcPr>
          <w:p w14:paraId="09BABAE5"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r>
              <w:t>17.2</w:t>
            </w:r>
          </w:p>
        </w:tc>
        <w:tc>
          <w:tcPr>
            <w:tcW w:w="794" w:type="dxa"/>
          </w:tcPr>
          <w:p w14:paraId="5BA09F48"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r>
              <w:t>20.1</w:t>
            </w:r>
          </w:p>
        </w:tc>
        <w:tc>
          <w:tcPr>
            <w:tcW w:w="794" w:type="dxa"/>
          </w:tcPr>
          <w:p w14:paraId="3C0B80EC"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205DA990"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r>
              <w:t>..</w:t>
            </w:r>
          </w:p>
        </w:tc>
      </w:tr>
      <w:tr w:rsidR="00C7198A" w14:paraId="6D5628B6" w14:textId="77777777">
        <w:tc>
          <w:tcPr>
            <w:cnfStyle w:val="001000000000" w:firstRow="0" w:lastRow="0" w:firstColumn="1" w:lastColumn="0" w:oddVBand="0" w:evenVBand="0" w:oddHBand="0" w:evenHBand="0" w:firstRowFirstColumn="0" w:firstRowLastColumn="0" w:lastRowFirstColumn="0" w:lastRowLastColumn="0"/>
            <w:tcW w:w="4534" w:type="dxa"/>
          </w:tcPr>
          <w:p w14:paraId="382EDCBD" w14:textId="77777777" w:rsidR="00C7198A" w:rsidRDefault="00C7198A" w:rsidP="00253AF8">
            <w:r>
              <w:rPr>
                <w:b/>
              </w:rPr>
              <w:t>Emergency Services</w:t>
            </w:r>
          </w:p>
        </w:tc>
        <w:tc>
          <w:tcPr>
            <w:tcW w:w="794" w:type="dxa"/>
          </w:tcPr>
          <w:p w14:paraId="78D7138D"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p>
        </w:tc>
        <w:tc>
          <w:tcPr>
            <w:tcW w:w="794" w:type="dxa"/>
          </w:tcPr>
          <w:p w14:paraId="6E1600B4"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p>
        </w:tc>
        <w:tc>
          <w:tcPr>
            <w:tcW w:w="794" w:type="dxa"/>
          </w:tcPr>
          <w:p w14:paraId="5D25FC97"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p>
        </w:tc>
        <w:tc>
          <w:tcPr>
            <w:tcW w:w="794" w:type="dxa"/>
          </w:tcPr>
          <w:p w14:paraId="155808CC"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p>
        </w:tc>
      </w:tr>
      <w:tr w:rsidR="00C7198A" w14:paraId="5B916939" w14:textId="77777777">
        <w:tc>
          <w:tcPr>
            <w:cnfStyle w:val="001000000000" w:firstRow="0" w:lastRow="0" w:firstColumn="1" w:lastColumn="0" w:oddVBand="0" w:evenVBand="0" w:oddHBand="0" w:evenHBand="0" w:firstRowFirstColumn="0" w:firstRowLastColumn="0" w:lastRowFirstColumn="0" w:lastRowLastColumn="0"/>
            <w:tcW w:w="4534" w:type="dxa"/>
          </w:tcPr>
          <w:p w14:paraId="1D64CD93" w14:textId="77777777" w:rsidR="00C7198A" w:rsidRDefault="00C7198A" w:rsidP="00253AF8">
            <w:r>
              <w:t>Support for primary care to protect our hospitals</w:t>
            </w:r>
          </w:p>
        </w:tc>
        <w:tc>
          <w:tcPr>
            <w:tcW w:w="794" w:type="dxa"/>
          </w:tcPr>
          <w:p w14:paraId="3F2F32D4"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r>
              <w:t>32.5</w:t>
            </w:r>
          </w:p>
        </w:tc>
        <w:tc>
          <w:tcPr>
            <w:tcW w:w="794" w:type="dxa"/>
          </w:tcPr>
          <w:p w14:paraId="10BDD239"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r>
              <w:t>24.0</w:t>
            </w:r>
          </w:p>
        </w:tc>
        <w:tc>
          <w:tcPr>
            <w:tcW w:w="794" w:type="dxa"/>
          </w:tcPr>
          <w:p w14:paraId="5D369B10"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12E7A429"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r>
              <w:t>..</w:t>
            </w:r>
          </w:p>
        </w:tc>
      </w:tr>
      <w:tr w:rsidR="00C7198A" w14:paraId="1859570F" w14:textId="77777777">
        <w:tc>
          <w:tcPr>
            <w:cnfStyle w:val="001000000000" w:firstRow="0" w:lastRow="0" w:firstColumn="1" w:lastColumn="0" w:oddVBand="0" w:evenVBand="0" w:oddHBand="0" w:evenHBand="0" w:firstRowFirstColumn="0" w:firstRowLastColumn="0" w:lastRowFirstColumn="0" w:lastRowLastColumn="0"/>
            <w:tcW w:w="4534" w:type="dxa"/>
          </w:tcPr>
          <w:p w14:paraId="747E8F9D" w14:textId="77777777" w:rsidR="00C7198A" w:rsidRDefault="00C7198A" w:rsidP="00253AF8">
            <w:r>
              <w:rPr>
                <w:b/>
              </w:rPr>
              <w:t>Health Protection</w:t>
            </w:r>
          </w:p>
        </w:tc>
        <w:tc>
          <w:tcPr>
            <w:tcW w:w="794" w:type="dxa"/>
          </w:tcPr>
          <w:p w14:paraId="3658670F"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p>
        </w:tc>
        <w:tc>
          <w:tcPr>
            <w:tcW w:w="794" w:type="dxa"/>
          </w:tcPr>
          <w:p w14:paraId="78766903"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p>
        </w:tc>
        <w:tc>
          <w:tcPr>
            <w:tcW w:w="794" w:type="dxa"/>
          </w:tcPr>
          <w:p w14:paraId="71A78BA0"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p>
        </w:tc>
        <w:tc>
          <w:tcPr>
            <w:tcW w:w="794" w:type="dxa"/>
          </w:tcPr>
          <w:p w14:paraId="43A47CED"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p>
        </w:tc>
      </w:tr>
      <w:tr w:rsidR="00C7198A" w14:paraId="53E719A1" w14:textId="77777777">
        <w:tc>
          <w:tcPr>
            <w:cnfStyle w:val="001000000000" w:firstRow="0" w:lastRow="0" w:firstColumn="1" w:lastColumn="0" w:oddVBand="0" w:evenVBand="0" w:oddHBand="0" w:evenHBand="0" w:firstRowFirstColumn="0" w:firstRowLastColumn="0" w:lastRowFirstColumn="0" w:lastRowLastColumn="0"/>
            <w:tcW w:w="4534" w:type="dxa"/>
          </w:tcPr>
          <w:p w14:paraId="366D8E73" w14:textId="77777777" w:rsidR="00C7198A" w:rsidRDefault="00C7198A" w:rsidP="00253AF8">
            <w:r>
              <w:t>COVID</w:t>
            </w:r>
            <w:r>
              <w:noBreakHyphen/>
              <w:t xml:space="preserve">19 testing and vaccination services and engagement </w:t>
            </w:r>
            <w:r>
              <w:rPr>
                <w:vertAlign w:val="superscript"/>
              </w:rPr>
              <w:t>(b)</w:t>
            </w:r>
          </w:p>
        </w:tc>
        <w:tc>
          <w:tcPr>
            <w:tcW w:w="794" w:type="dxa"/>
          </w:tcPr>
          <w:p w14:paraId="23FEADDE"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r>
              <w:t>105.8</w:t>
            </w:r>
          </w:p>
        </w:tc>
        <w:tc>
          <w:tcPr>
            <w:tcW w:w="794" w:type="dxa"/>
          </w:tcPr>
          <w:p w14:paraId="7C60DA30"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2A9F5AA6"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3E656BD8"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r>
              <w:t>..</w:t>
            </w:r>
          </w:p>
        </w:tc>
      </w:tr>
      <w:tr w:rsidR="00C7198A" w14:paraId="17E2C3C0" w14:textId="77777777">
        <w:tc>
          <w:tcPr>
            <w:cnfStyle w:val="001000000000" w:firstRow="0" w:lastRow="0" w:firstColumn="1" w:lastColumn="0" w:oddVBand="0" w:evenVBand="0" w:oddHBand="0" w:evenHBand="0" w:firstRowFirstColumn="0" w:firstRowLastColumn="0" w:lastRowFirstColumn="0" w:lastRowLastColumn="0"/>
            <w:tcW w:w="4534" w:type="dxa"/>
          </w:tcPr>
          <w:p w14:paraId="63CF1F5C" w14:textId="77777777" w:rsidR="00C7198A" w:rsidRDefault="00C7198A" w:rsidP="00253AF8">
            <w:r>
              <w:t>Free flu vaccinations for all Victorians</w:t>
            </w:r>
          </w:p>
        </w:tc>
        <w:tc>
          <w:tcPr>
            <w:tcW w:w="794" w:type="dxa"/>
          </w:tcPr>
          <w:p w14:paraId="1BF2FF84"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r>
              <w:t>33.0</w:t>
            </w:r>
          </w:p>
        </w:tc>
        <w:tc>
          <w:tcPr>
            <w:tcW w:w="794" w:type="dxa"/>
          </w:tcPr>
          <w:p w14:paraId="54411E6E"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613933A2"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6A7EA73D"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r>
              <w:t>..</w:t>
            </w:r>
          </w:p>
        </w:tc>
      </w:tr>
      <w:tr w:rsidR="00C7198A" w14:paraId="21CE20CB" w14:textId="77777777">
        <w:tc>
          <w:tcPr>
            <w:cnfStyle w:val="001000000000" w:firstRow="0" w:lastRow="0" w:firstColumn="1" w:lastColumn="0" w:oddVBand="0" w:evenVBand="0" w:oddHBand="0" w:evenHBand="0" w:firstRowFirstColumn="0" w:firstRowLastColumn="0" w:lastRowFirstColumn="0" w:lastRowLastColumn="0"/>
            <w:tcW w:w="4534" w:type="dxa"/>
          </w:tcPr>
          <w:p w14:paraId="717C6880" w14:textId="77777777" w:rsidR="00C7198A" w:rsidRDefault="00C7198A" w:rsidP="00253AF8">
            <w:r>
              <w:t>Monkeypox vaccination program</w:t>
            </w:r>
          </w:p>
        </w:tc>
        <w:tc>
          <w:tcPr>
            <w:tcW w:w="794" w:type="dxa"/>
          </w:tcPr>
          <w:p w14:paraId="4CC1E8D7"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r>
              <w:t>7.7</w:t>
            </w:r>
          </w:p>
        </w:tc>
        <w:tc>
          <w:tcPr>
            <w:tcW w:w="794" w:type="dxa"/>
          </w:tcPr>
          <w:p w14:paraId="460E6123"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30B15E2C"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1F768B63"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r>
              <w:t>..</w:t>
            </w:r>
          </w:p>
        </w:tc>
      </w:tr>
      <w:tr w:rsidR="00C7198A" w14:paraId="04B9A7C8" w14:textId="77777777">
        <w:tc>
          <w:tcPr>
            <w:cnfStyle w:val="001000000000" w:firstRow="0" w:lastRow="0" w:firstColumn="1" w:lastColumn="0" w:oddVBand="0" w:evenVBand="0" w:oddHBand="0" w:evenHBand="0" w:firstRowFirstColumn="0" w:firstRowLastColumn="0" w:lastRowFirstColumn="0" w:lastRowLastColumn="0"/>
            <w:tcW w:w="4534" w:type="dxa"/>
          </w:tcPr>
          <w:p w14:paraId="7BCCDEB0" w14:textId="77777777" w:rsidR="00C7198A" w:rsidRDefault="00C7198A" w:rsidP="00253AF8">
            <w:r>
              <w:rPr>
                <w:b/>
              </w:rPr>
              <w:t>Health Workforce Training and Development</w:t>
            </w:r>
          </w:p>
        </w:tc>
        <w:tc>
          <w:tcPr>
            <w:tcW w:w="794" w:type="dxa"/>
          </w:tcPr>
          <w:p w14:paraId="7D88090F"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p>
        </w:tc>
        <w:tc>
          <w:tcPr>
            <w:tcW w:w="794" w:type="dxa"/>
          </w:tcPr>
          <w:p w14:paraId="66D07FDB"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p>
        </w:tc>
        <w:tc>
          <w:tcPr>
            <w:tcW w:w="794" w:type="dxa"/>
          </w:tcPr>
          <w:p w14:paraId="67C5D4B1"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p>
        </w:tc>
        <w:tc>
          <w:tcPr>
            <w:tcW w:w="794" w:type="dxa"/>
          </w:tcPr>
          <w:p w14:paraId="2B7D65DD"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p>
        </w:tc>
      </w:tr>
      <w:tr w:rsidR="00C7198A" w14:paraId="31890997" w14:textId="77777777">
        <w:tc>
          <w:tcPr>
            <w:cnfStyle w:val="001000000000" w:firstRow="0" w:lastRow="0" w:firstColumn="1" w:lastColumn="0" w:oddVBand="0" w:evenVBand="0" w:oddHBand="0" w:evenHBand="0" w:firstRowFirstColumn="0" w:firstRowLastColumn="0" w:lastRowFirstColumn="0" w:lastRowLastColumn="0"/>
            <w:tcW w:w="4534" w:type="dxa"/>
          </w:tcPr>
          <w:p w14:paraId="6166449F" w14:textId="77777777" w:rsidR="00C7198A" w:rsidRDefault="00C7198A" w:rsidP="00253AF8">
            <w:r>
              <w:t xml:space="preserve">Making it free to study nursing and midwifery </w:t>
            </w:r>
            <w:r>
              <w:rPr>
                <w:vertAlign w:val="superscript"/>
              </w:rPr>
              <w:t>(c)</w:t>
            </w:r>
          </w:p>
        </w:tc>
        <w:tc>
          <w:tcPr>
            <w:tcW w:w="794" w:type="dxa"/>
          </w:tcPr>
          <w:p w14:paraId="2B6384F8"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r>
              <w:t>44.2</w:t>
            </w:r>
          </w:p>
        </w:tc>
        <w:tc>
          <w:tcPr>
            <w:tcW w:w="794" w:type="dxa"/>
          </w:tcPr>
          <w:p w14:paraId="23F0E594"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r>
              <w:t>74.5</w:t>
            </w:r>
          </w:p>
        </w:tc>
        <w:tc>
          <w:tcPr>
            <w:tcW w:w="794" w:type="dxa"/>
          </w:tcPr>
          <w:p w14:paraId="6BA41D2E"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r>
              <w:t>43.1</w:t>
            </w:r>
          </w:p>
        </w:tc>
        <w:tc>
          <w:tcPr>
            <w:tcW w:w="794" w:type="dxa"/>
          </w:tcPr>
          <w:p w14:paraId="12005351"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r>
              <w:t>66.6</w:t>
            </w:r>
          </w:p>
        </w:tc>
      </w:tr>
      <w:tr w:rsidR="00C7198A" w14:paraId="54E94445" w14:textId="77777777">
        <w:tc>
          <w:tcPr>
            <w:cnfStyle w:val="001000000000" w:firstRow="0" w:lastRow="0" w:firstColumn="1" w:lastColumn="0" w:oddVBand="0" w:evenVBand="0" w:oddHBand="0" w:evenHBand="0" w:firstRowFirstColumn="0" w:firstRowLastColumn="0" w:lastRowFirstColumn="0" w:lastRowLastColumn="0"/>
            <w:tcW w:w="4534" w:type="dxa"/>
          </w:tcPr>
          <w:p w14:paraId="7141C46A" w14:textId="77777777" w:rsidR="00C7198A" w:rsidRDefault="00C7198A" w:rsidP="00253AF8">
            <w:r>
              <w:rPr>
                <w:b/>
              </w:rPr>
              <w:t>Maternal and Child Health and Early Parenting Services</w:t>
            </w:r>
          </w:p>
        </w:tc>
        <w:tc>
          <w:tcPr>
            <w:tcW w:w="794" w:type="dxa"/>
          </w:tcPr>
          <w:p w14:paraId="0318F931"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p>
        </w:tc>
        <w:tc>
          <w:tcPr>
            <w:tcW w:w="794" w:type="dxa"/>
          </w:tcPr>
          <w:p w14:paraId="701C88D1"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p>
        </w:tc>
        <w:tc>
          <w:tcPr>
            <w:tcW w:w="794" w:type="dxa"/>
          </w:tcPr>
          <w:p w14:paraId="11B9A6BA"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p>
        </w:tc>
        <w:tc>
          <w:tcPr>
            <w:tcW w:w="794" w:type="dxa"/>
          </w:tcPr>
          <w:p w14:paraId="1A3DEE3C"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p>
        </w:tc>
      </w:tr>
      <w:tr w:rsidR="00C7198A" w14:paraId="29AFB228" w14:textId="77777777">
        <w:tc>
          <w:tcPr>
            <w:cnfStyle w:val="001000000000" w:firstRow="0" w:lastRow="0" w:firstColumn="1" w:lastColumn="0" w:oddVBand="0" w:evenVBand="0" w:oddHBand="0" w:evenHBand="0" w:firstRowFirstColumn="0" w:firstRowLastColumn="0" w:lastRowFirstColumn="0" w:lastRowLastColumn="0"/>
            <w:tcW w:w="4534" w:type="dxa"/>
          </w:tcPr>
          <w:p w14:paraId="13ECE80E" w14:textId="77777777" w:rsidR="00C7198A" w:rsidRDefault="00C7198A" w:rsidP="00253AF8">
            <w:r>
              <w:t>Maternal and child health workforce package</w:t>
            </w:r>
          </w:p>
        </w:tc>
        <w:tc>
          <w:tcPr>
            <w:tcW w:w="794" w:type="dxa"/>
          </w:tcPr>
          <w:p w14:paraId="028F2487"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r>
              <w:t>5.3</w:t>
            </w:r>
          </w:p>
        </w:tc>
        <w:tc>
          <w:tcPr>
            <w:tcW w:w="794" w:type="dxa"/>
          </w:tcPr>
          <w:p w14:paraId="4878EE70"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r>
              <w:t>4.8</w:t>
            </w:r>
          </w:p>
        </w:tc>
        <w:tc>
          <w:tcPr>
            <w:tcW w:w="794" w:type="dxa"/>
          </w:tcPr>
          <w:p w14:paraId="62601CA6"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1C37F49B"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r>
              <w:t>..</w:t>
            </w:r>
          </w:p>
        </w:tc>
      </w:tr>
      <w:tr w:rsidR="00C7198A" w14:paraId="00DFB78D" w14:textId="77777777">
        <w:tc>
          <w:tcPr>
            <w:cnfStyle w:val="001000000000" w:firstRow="0" w:lastRow="0" w:firstColumn="1" w:lastColumn="0" w:oddVBand="0" w:evenVBand="0" w:oddHBand="0" w:evenHBand="0" w:firstRowFirstColumn="0" w:firstRowLastColumn="0" w:lastRowFirstColumn="0" w:lastRowLastColumn="0"/>
            <w:tcW w:w="4534" w:type="dxa"/>
          </w:tcPr>
          <w:p w14:paraId="545265D2" w14:textId="77777777" w:rsidR="00C7198A" w:rsidRDefault="00C7198A" w:rsidP="00253AF8">
            <w:r>
              <w:rPr>
                <w:b/>
              </w:rPr>
              <w:t>Mental Health Clinical Care</w:t>
            </w:r>
          </w:p>
        </w:tc>
        <w:tc>
          <w:tcPr>
            <w:tcW w:w="794" w:type="dxa"/>
          </w:tcPr>
          <w:p w14:paraId="78191974"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p>
        </w:tc>
        <w:tc>
          <w:tcPr>
            <w:tcW w:w="794" w:type="dxa"/>
          </w:tcPr>
          <w:p w14:paraId="75F2741E"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p>
        </w:tc>
        <w:tc>
          <w:tcPr>
            <w:tcW w:w="794" w:type="dxa"/>
          </w:tcPr>
          <w:p w14:paraId="715DA233"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p>
        </w:tc>
        <w:tc>
          <w:tcPr>
            <w:tcW w:w="794" w:type="dxa"/>
          </w:tcPr>
          <w:p w14:paraId="30246FBF"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p>
        </w:tc>
      </w:tr>
      <w:tr w:rsidR="00C7198A" w14:paraId="3A7ED176" w14:textId="77777777" w:rsidTr="007B69AB">
        <w:tc>
          <w:tcPr>
            <w:cnfStyle w:val="001000000000" w:firstRow="0" w:lastRow="0" w:firstColumn="1" w:lastColumn="0" w:oddVBand="0" w:evenVBand="0" w:oddHBand="0" w:evenHBand="0" w:firstRowFirstColumn="0" w:firstRowLastColumn="0" w:lastRowFirstColumn="0" w:lastRowLastColumn="0"/>
            <w:tcW w:w="4534" w:type="dxa"/>
            <w:tcBorders>
              <w:bottom w:val="single" w:sz="6" w:space="0" w:color="auto"/>
            </w:tcBorders>
          </w:tcPr>
          <w:p w14:paraId="21914270" w14:textId="6AB67A9F" w:rsidR="00C7198A" w:rsidRDefault="00C7198A" w:rsidP="00253AF8">
            <w:r>
              <w:t>Additional funding for community</w:t>
            </w:r>
            <w:r>
              <w:noBreakHyphen/>
              <w:t xml:space="preserve">based services and </w:t>
            </w:r>
            <w:r w:rsidR="007E0B75">
              <w:br/>
            </w:r>
            <w:r>
              <w:t>Mental Health and Wellbeing Hubs</w:t>
            </w:r>
          </w:p>
        </w:tc>
        <w:tc>
          <w:tcPr>
            <w:tcW w:w="794" w:type="dxa"/>
            <w:tcBorders>
              <w:bottom w:val="single" w:sz="6" w:space="0" w:color="auto"/>
            </w:tcBorders>
          </w:tcPr>
          <w:p w14:paraId="5CAE8E97"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r>
              <w:t>12.1</w:t>
            </w:r>
          </w:p>
        </w:tc>
        <w:tc>
          <w:tcPr>
            <w:tcW w:w="794" w:type="dxa"/>
            <w:tcBorders>
              <w:bottom w:val="single" w:sz="6" w:space="0" w:color="auto"/>
            </w:tcBorders>
          </w:tcPr>
          <w:p w14:paraId="2FA11C46"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52C66A51"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20E98ACE"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r>
              <w:t>..</w:t>
            </w:r>
          </w:p>
        </w:tc>
      </w:tr>
      <w:tr w:rsidR="00C7198A" w14:paraId="37120A09" w14:textId="77777777" w:rsidTr="007B69AB">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bottom w:val="single" w:sz="12" w:space="0" w:color="auto"/>
            </w:tcBorders>
          </w:tcPr>
          <w:p w14:paraId="2E36606E" w14:textId="77777777" w:rsidR="00C7198A" w:rsidRDefault="00C7198A" w:rsidP="00253AF8">
            <w:r>
              <w:rPr>
                <w:b/>
              </w:rPr>
              <w:t xml:space="preserve">Total output initiatives </w:t>
            </w:r>
            <w:r>
              <w:rPr>
                <w:b/>
                <w:vertAlign w:val="superscript"/>
              </w:rPr>
              <w:t>(d)</w:t>
            </w:r>
          </w:p>
        </w:tc>
        <w:tc>
          <w:tcPr>
            <w:tcW w:w="794" w:type="dxa"/>
            <w:tcBorders>
              <w:top w:val="single" w:sz="6" w:space="0" w:color="auto"/>
              <w:bottom w:val="single" w:sz="12" w:space="0" w:color="auto"/>
            </w:tcBorders>
          </w:tcPr>
          <w:p w14:paraId="771E1727" w14:textId="77777777" w:rsidR="00C7198A" w:rsidRDefault="00C7198A" w:rsidP="00253AF8">
            <w:pPr>
              <w:cnfStyle w:val="000000000000" w:firstRow="0" w:lastRow="0" w:firstColumn="0" w:lastColumn="0" w:oddVBand="0" w:evenVBand="0" w:oddHBand="0" w:evenHBand="0" w:firstRowFirstColumn="0" w:firstRowLastColumn="0" w:lastRowFirstColumn="0" w:lastRowLastColumn="0"/>
            </w:pPr>
            <w:r>
              <w:rPr>
                <w:b/>
              </w:rPr>
              <w:t>817.7</w:t>
            </w:r>
          </w:p>
        </w:tc>
        <w:tc>
          <w:tcPr>
            <w:tcW w:w="794" w:type="dxa"/>
            <w:tcBorders>
              <w:top w:val="single" w:sz="6" w:space="0" w:color="auto"/>
              <w:bottom w:val="single" w:sz="12" w:space="0" w:color="auto"/>
            </w:tcBorders>
          </w:tcPr>
          <w:p w14:paraId="586B200A" w14:textId="027D87D2" w:rsidR="00C7198A" w:rsidRDefault="00C7198A" w:rsidP="00253AF8">
            <w:pPr>
              <w:cnfStyle w:val="000000000000" w:firstRow="0" w:lastRow="0" w:firstColumn="0" w:lastColumn="0" w:oddVBand="0" w:evenVBand="0" w:oddHBand="0" w:evenHBand="0" w:firstRowFirstColumn="0" w:firstRowLastColumn="0" w:lastRowFirstColumn="0" w:lastRowLastColumn="0"/>
            </w:pPr>
            <w:r>
              <w:rPr>
                <w:b/>
              </w:rPr>
              <w:t>1</w:t>
            </w:r>
            <w:r w:rsidR="001606D1">
              <w:rPr>
                <w:b/>
              </w:rPr>
              <w:t>28</w:t>
            </w:r>
            <w:r>
              <w:rPr>
                <w:b/>
              </w:rPr>
              <w:t>.2</w:t>
            </w:r>
          </w:p>
        </w:tc>
        <w:tc>
          <w:tcPr>
            <w:tcW w:w="794" w:type="dxa"/>
            <w:tcBorders>
              <w:top w:val="single" w:sz="6" w:space="0" w:color="auto"/>
              <w:bottom w:val="single" w:sz="12" w:space="0" w:color="auto"/>
            </w:tcBorders>
          </w:tcPr>
          <w:p w14:paraId="20B8F6A0" w14:textId="620897EE" w:rsidR="00C7198A" w:rsidRDefault="001606D1" w:rsidP="00253AF8">
            <w:pPr>
              <w:cnfStyle w:val="000000000000" w:firstRow="0" w:lastRow="0" w:firstColumn="0" w:lastColumn="0" w:oddVBand="0" w:evenVBand="0" w:oddHBand="0" w:evenHBand="0" w:firstRowFirstColumn="0" w:firstRowLastColumn="0" w:lastRowFirstColumn="0" w:lastRowLastColumn="0"/>
            </w:pPr>
            <w:r>
              <w:rPr>
                <w:b/>
              </w:rPr>
              <w:t>43</w:t>
            </w:r>
            <w:r w:rsidR="00C7198A">
              <w:rPr>
                <w:b/>
              </w:rPr>
              <w:t>.</w:t>
            </w:r>
            <w:r>
              <w:rPr>
                <w:b/>
              </w:rPr>
              <w:t>1</w:t>
            </w:r>
          </w:p>
        </w:tc>
        <w:tc>
          <w:tcPr>
            <w:tcW w:w="794" w:type="dxa"/>
            <w:tcBorders>
              <w:top w:val="single" w:sz="6" w:space="0" w:color="auto"/>
              <w:bottom w:val="single" w:sz="12" w:space="0" w:color="auto"/>
            </w:tcBorders>
          </w:tcPr>
          <w:p w14:paraId="72DA2D8A" w14:textId="7EB9636B" w:rsidR="00C7198A" w:rsidRDefault="001606D1" w:rsidP="00253AF8">
            <w:pPr>
              <w:cnfStyle w:val="000000000000" w:firstRow="0" w:lastRow="0" w:firstColumn="0" w:lastColumn="0" w:oddVBand="0" w:evenVBand="0" w:oddHBand="0" w:evenHBand="0" w:firstRowFirstColumn="0" w:firstRowLastColumn="0" w:lastRowFirstColumn="0" w:lastRowLastColumn="0"/>
            </w:pPr>
            <w:r>
              <w:rPr>
                <w:b/>
              </w:rPr>
              <w:t>66</w:t>
            </w:r>
            <w:r w:rsidR="00C7198A">
              <w:rPr>
                <w:b/>
              </w:rPr>
              <w:t>.6</w:t>
            </w:r>
          </w:p>
        </w:tc>
      </w:tr>
    </w:tbl>
    <w:p w14:paraId="4A17BB55" w14:textId="77777777" w:rsidR="00C7198A" w:rsidRDefault="00C7198A" w:rsidP="007F7047">
      <w:pPr>
        <w:pStyle w:val="Note"/>
      </w:pPr>
      <w:r>
        <w:t>Notes:</w:t>
      </w:r>
    </w:p>
    <w:p w14:paraId="0B7A9156" w14:textId="77777777" w:rsidR="00C7198A" w:rsidRPr="00A95281" w:rsidRDefault="00C7198A" w:rsidP="004771E8">
      <w:pPr>
        <w:pStyle w:val="Note"/>
      </w:pPr>
      <w:r w:rsidRPr="00A95281">
        <w:t>(a)</w:t>
      </w:r>
      <w:r w:rsidRPr="00A95281">
        <w:tab/>
      </w:r>
      <w:r>
        <w:rPr>
          <w:rFonts w:ascii="Calibri-Italic" w:hAnsi="Calibri-Italic" w:cs="Calibri-Italic"/>
          <w:szCs w:val="14"/>
        </w:rPr>
        <w:t>C</w:t>
      </w:r>
      <w:r w:rsidRPr="00A95281">
        <w:rPr>
          <w:rFonts w:ascii="Calibri-Italic" w:hAnsi="Calibri-Italic" w:cs="Calibri-Italic"/>
          <w:szCs w:val="14"/>
        </w:rPr>
        <w:t>ashflows to be confirmed following the outcome of project planning</w:t>
      </w:r>
      <w:r>
        <w:rPr>
          <w:rFonts w:ascii="Calibri-Italic" w:hAnsi="Calibri-Italic" w:cs="Calibri-Italic"/>
          <w:szCs w:val="14"/>
        </w:rPr>
        <w:t xml:space="preserve">. This initiative includes funding beyond the forward estimates. </w:t>
      </w:r>
    </w:p>
    <w:p w14:paraId="78264178" w14:textId="4047C30B" w:rsidR="00C7198A" w:rsidRDefault="00C7198A" w:rsidP="004771E8">
      <w:pPr>
        <w:pStyle w:val="Note"/>
      </w:pPr>
      <w:r>
        <w:t>(b)</w:t>
      </w:r>
      <w:r w:rsidR="00B6646F">
        <w:tab/>
      </w:r>
      <w:r>
        <w:t>This initiative contributes to activity that attracts Commonwealth Government funding under the National Partnership on COVID</w:t>
      </w:r>
      <w:r>
        <w:noBreakHyphen/>
        <w:t>19 Response. Estimates of the Commonwealth Government’s contribution are included.</w:t>
      </w:r>
    </w:p>
    <w:p w14:paraId="6EAA7F65" w14:textId="77777777" w:rsidR="00C7198A" w:rsidRDefault="00C7198A" w:rsidP="004771E8">
      <w:pPr>
        <w:pStyle w:val="Note"/>
      </w:pPr>
      <w:r>
        <w:t>(c)</w:t>
      </w:r>
      <w:r>
        <w:tab/>
      </w:r>
      <w:r w:rsidRPr="004771E8">
        <w:t>Th</w:t>
      </w:r>
      <w:r>
        <w:t>is</w:t>
      </w:r>
      <w:r w:rsidRPr="004771E8">
        <w:t xml:space="preserve"> initiative contribute</w:t>
      </w:r>
      <w:r>
        <w:t>s</w:t>
      </w:r>
      <w:r w:rsidRPr="004771E8">
        <w:t xml:space="preserve"> to activity that attracts Commonwealth Government funding under the National Health Reform Agreement. Estimates of the Commonwealth Government’s contribution are included.</w:t>
      </w:r>
    </w:p>
    <w:p w14:paraId="1DE627A0" w14:textId="2927F789" w:rsidR="00C7198A" w:rsidRDefault="00C7198A" w:rsidP="00AC1DF6">
      <w:pPr>
        <w:pStyle w:val="Note"/>
        <w:ind w:left="0" w:firstLine="0"/>
      </w:pPr>
      <w:r>
        <w:t>(d)</w:t>
      </w:r>
      <w:r>
        <w:tab/>
        <w:t>Table may not add due to rounding.</w:t>
      </w:r>
      <w:r w:rsidRPr="00A95281">
        <w:t xml:space="preserve"> </w:t>
      </w:r>
      <w:r w:rsidR="001606D1" w:rsidRPr="001606D1">
        <w:t xml:space="preserve">Totals exclude estimated expenditure for initiatives with ‘tbc’. </w:t>
      </w:r>
    </w:p>
    <w:p w14:paraId="218AE830" w14:textId="77777777" w:rsidR="00C7198A" w:rsidRDefault="00C7198A" w:rsidP="00C94CDC"/>
    <w:p w14:paraId="68FA42B7" w14:textId="77777777" w:rsidR="00C7198A" w:rsidRDefault="00C7198A" w:rsidP="0029068E">
      <w:pPr>
        <w:pStyle w:val="Heading4"/>
      </w:pPr>
      <w:bookmarkStart w:id="124" w:name="_Hlk86341130"/>
      <w:r>
        <w:t>Admitted Services</w:t>
      </w:r>
    </w:p>
    <w:p w14:paraId="63DE590B" w14:textId="77777777" w:rsidR="00C7198A" w:rsidRPr="00DB7F04" w:rsidRDefault="00C7198A" w:rsidP="00DB7F04">
      <w:pPr>
        <w:pStyle w:val="Heading5"/>
        <w:spacing w:before="120"/>
      </w:pPr>
      <w:r w:rsidRPr="00DB7F04">
        <w:t xml:space="preserve">Albury Wodonga Health Development  </w:t>
      </w:r>
    </w:p>
    <w:p w14:paraId="640AF0C8" w14:textId="77777777" w:rsidR="00C7198A" w:rsidRDefault="00C7198A" w:rsidP="004C5EB5">
      <w:bookmarkStart w:id="125" w:name="_Hlk98832346"/>
      <w:r>
        <w:t xml:space="preserve">Funding is provided to construct a new clinical services tower at Albury Wodonga Health’s Albury Hospital campus to deliver new and expanded maternity, paediatrics, peri operative, intensive care, medical and surgical services. It is a joint project between the New South Wales and Victorian governments with respective funding contributions. </w:t>
      </w:r>
    </w:p>
    <w:p w14:paraId="12C4172E" w14:textId="77777777" w:rsidR="00C7198A" w:rsidRDefault="00C7198A" w:rsidP="007165CF">
      <w:pPr>
        <w:rPr>
          <w:color w:val="000000" w:themeColor="text1"/>
        </w:rPr>
      </w:pPr>
      <w:bookmarkStart w:id="126" w:name="_Hlk100607593"/>
      <w:bookmarkEnd w:id="125"/>
      <w:r>
        <w:rPr>
          <w:color w:val="000000" w:themeColor="text1"/>
        </w:rPr>
        <w:t>This initiative contributes to the Department of Health’s Admitted Services output.</w:t>
      </w:r>
      <w:bookmarkEnd w:id="126"/>
    </w:p>
    <w:p w14:paraId="07B9F01E" w14:textId="77777777" w:rsidR="00C7198A" w:rsidRPr="00DB7F04" w:rsidRDefault="00C7198A" w:rsidP="00DB7F04">
      <w:pPr>
        <w:pStyle w:val="Heading5"/>
        <w:spacing w:before="120"/>
      </w:pPr>
      <w:r w:rsidRPr="00DB7F04">
        <w:lastRenderedPageBreak/>
        <w:t xml:space="preserve">Supporting workforce attraction and retention </w:t>
      </w:r>
    </w:p>
    <w:p w14:paraId="033D6F6A" w14:textId="10B026EE" w:rsidR="00C7198A" w:rsidRDefault="00C7198A" w:rsidP="005C3D4D">
      <w:r>
        <w:t>Funding is provided to increase the capacity of the public health service workforce. This includes a Healthcare</w:t>
      </w:r>
      <w:r w:rsidR="00A81FB3">
        <w:t xml:space="preserve"> Worker</w:t>
      </w:r>
      <w:r>
        <w:t xml:space="preserve"> Winter Retention and Surge Payment and an expanded Healthcare Worker Wellbeing program. </w:t>
      </w:r>
      <w:r w:rsidRPr="005F6322">
        <w:t>Funding is also provided to implement a Local Agreement Extended Team Model Stipend.</w:t>
      </w:r>
    </w:p>
    <w:p w14:paraId="66E7F80B" w14:textId="77777777" w:rsidR="00C7198A" w:rsidRDefault="00C7198A" w:rsidP="005C3D4D">
      <w:r>
        <w:t>This initiative contributes to the Department of Health’s Admitted Services output.</w:t>
      </w:r>
    </w:p>
    <w:p w14:paraId="6C23A339" w14:textId="77777777" w:rsidR="00C7198A" w:rsidRDefault="00C7198A">
      <w:pPr>
        <w:pStyle w:val="Heading4"/>
      </w:pPr>
      <w:r>
        <w:t>Ambulance Services</w:t>
      </w:r>
    </w:p>
    <w:p w14:paraId="2E39C1C3" w14:textId="77777777" w:rsidR="00C7198A" w:rsidRPr="00DB7F04" w:rsidRDefault="00C7198A" w:rsidP="00DB7F04">
      <w:pPr>
        <w:pStyle w:val="Heading5"/>
        <w:spacing w:before="120"/>
      </w:pPr>
      <w:r w:rsidRPr="00DB7F04">
        <w:t xml:space="preserve">Improving access to emergency care </w:t>
      </w:r>
    </w:p>
    <w:p w14:paraId="78CB19A6" w14:textId="77777777" w:rsidR="00C7198A" w:rsidRPr="00720688" w:rsidRDefault="00C7198A" w:rsidP="00DB7F04">
      <w:pPr>
        <w:ind w:right="-240"/>
      </w:pPr>
      <w:r w:rsidRPr="00A519D6">
        <w:t xml:space="preserve">Funding is provided for a range of initiatives to </w:t>
      </w:r>
      <w:r>
        <w:t>support</w:t>
      </w:r>
      <w:r w:rsidRPr="00A519D6">
        <w:t xml:space="preserve"> improvements in Ambulance Victoria’s operations and ambulance response times. This includes doubling capacity and expanding </w:t>
      </w:r>
      <w:r>
        <w:t>eligibility</w:t>
      </w:r>
      <w:r w:rsidRPr="00A519D6">
        <w:t xml:space="preserve"> for the Victorian Virtual Emergency Department program, expanding Ambulance Victoria offload teams, and the development of a data dashboard to provide </w:t>
      </w:r>
      <w:r>
        <w:t>emergency department staff and paramedics</w:t>
      </w:r>
      <w:r w:rsidRPr="00A519D6">
        <w:t xml:space="preserve"> with near real-time insights into system capacity.</w:t>
      </w:r>
    </w:p>
    <w:p w14:paraId="22A3DDE8" w14:textId="77777777" w:rsidR="00C7198A" w:rsidRPr="00A519D6" w:rsidRDefault="00C7198A" w:rsidP="0029068E">
      <w:r>
        <w:t>Funding is also provided to support system wide improvements for hospitals to respond to the ongoing impacts of the COVID-19 pandemic. This includes the deployment of specialist staff across 12 hospitals to help offload, assess and treat patients faster, a new trial with select private hospitals to secure additional capacity and the establishment of two new paediatric GP respiratory clinics.</w:t>
      </w:r>
    </w:p>
    <w:p w14:paraId="0384D6A4" w14:textId="77777777" w:rsidR="00C7198A" w:rsidRPr="00A519D6" w:rsidRDefault="00C7198A" w:rsidP="00042F07">
      <w:pPr>
        <w:rPr>
          <w:i/>
          <w:iCs/>
        </w:rPr>
      </w:pPr>
      <w:r w:rsidRPr="00A519D6">
        <w:t>This initiative contributes to the Department of Health’s:</w:t>
      </w:r>
    </w:p>
    <w:p w14:paraId="1A2AFE63" w14:textId="77777777" w:rsidR="00C7198A" w:rsidRDefault="00C7198A" w:rsidP="008365A8">
      <w:pPr>
        <w:pStyle w:val="ListBullet"/>
        <w:spacing w:before="40"/>
      </w:pPr>
      <w:r>
        <w:t xml:space="preserve">Admitted Services output </w:t>
      </w:r>
    </w:p>
    <w:p w14:paraId="7E6DE744" w14:textId="77777777" w:rsidR="00C7198A" w:rsidRPr="00A519D6" w:rsidRDefault="00C7198A" w:rsidP="00A519D6">
      <w:pPr>
        <w:pStyle w:val="ListBullet"/>
        <w:spacing w:before="40"/>
      </w:pPr>
      <w:r>
        <w:t>Ambulance Services output</w:t>
      </w:r>
    </w:p>
    <w:p w14:paraId="594E0A99" w14:textId="77777777" w:rsidR="00C7198A" w:rsidRDefault="00C7198A" w:rsidP="00A519D6">
      <w:pPr>
        <w:pStyle w:val="ListBullet"/>
        <w:spacing w:before="40"/>
      </w:pPr>
      <w:r>
        <w:t>Emergency Services output.</w:t>
      </w:r>
    </w:p>
    <w:p w14:paraId="21F962D4" w14:textId="77777777" w:rsidR="00C7198A" w:rsidRDefault="00C7198A" w:rsidP="0029068E">
      <w:pPr>
        <w:pStyle w:val="Heading4"/>
      </w:pPr>
      <w:r>
        <w:t>Community Health Care</w:t>
      </w:r>
    </w:p>
    <w:p w14:paraId="77513149" w14:textId="77777777" w:rsidR="00C7198A" w:rsidRPr="00DB7F04" w:rsidRDefault="00C7198A" w:rsidP="00DB7F04">
      <w:pPr>
        <w:pStyle w:val="Heading5"/>
        <w:spacing w:before="120"/>
      </w:pPr>
      <w:r w:rsidRPr="00DB7F04">
        <w:t>Funding for community service organisations</w:t>
      </w:r>
    </w:p>
    <w:p w14:paraId="00DCA84C" w14:textId="77777777" w:rsidR="00C7198A" w:rsidRDefault="00C7198A" w:rsidP="00DB7F04">
      <w:pPr>
        <w:ind w:right="-282"/>
      </w:pPr>
      <w:r>
        <w:t>Refer to the Department of Families, Fairness and Housing for a description of this initiative.</w:t>
      </w:r>
    </w:p>
    <w:p w14:paraId="2C3118F1" w14:textId="77777777" w:rsidR="00C7198A" w:rsidRPr="00A519D6" w:rsidRDefault="00C7198A" w:rsidP="00A519D6">
      <w:pPr>
        <w:pStyle w:val="Heading4"/>
      </w:pPr>
      <w:r w:rsidRPr="00A519D6">
        <w:t xml:space="preserve">Drug Treatment and Rehabilitation </w:t>
      </w:r>
    </w:p>
    <w:p w14:paraId="7296AB44" w14:textId="77777777" w:rsidR="00C7198A" w:rsidRPr="00DB7F04" w:rsidRDefault="00C7198A" w:rsidP="00DB7F04">
      <w:pPr>
        <w:pStyle w:val="Heading5"/>
        <w:spacing w:before="120"/>
      </w:pPr>
      <w:r w:rsidRPr="00DB7F04">
        <w:t>Supporting decriminalisation of public intoxication</w:t>
      </w:r>
    </w:p>
    <w:p w14:paraId="1935539E" w14:textId="586C4867" w:rsidR="00C7198A" w:rsidRDefault="00C7198A" w:rsidP="0029068E">
      <w:r>
        <w:t>Funding is provided to further support trials to inform the development of a health-based response to public drunkenness ahead of the statewide rollout of this reform. This includes funding for four trial sites in the City of Yarra, City of Greater Dandenong, City</w:t>
      </w:r>
      <w:r w:rsidR="00CC4889">
        <w:t> </w:t>
      </w:r>
      <w:r>
        <w:t xml:space="preserve">of Greater Shepparton and Castlemaine. </w:t>
      </w:r>
    </w:p>
    <w:p w14:paraId="2DD592AA" w14:textId="77777777" w:rsidR="00C7198A" w:rsidRDefault="00C7198A" w:rsidP="0029068E">
      <w:r>
        <w:t>This initiative contributes to the Department of Health’s Drug Treatment and Rehabilitation output.</w:t>
      </w:r>
    </w:p>
    <w:p w14:paraId="75685B6C" w14:textId="77777777" w:rsidR="00C7198A" w:rsidRDefault="00C7198A" w:rsidP="00DB7F04">
      <w:pPr>
        <w:keepNext/>
      </w:pPr>
      <w:r>
        <w:t>This initiative contributes to the Department of Justice and Community Safety’s:</w:t>
      </w:r>
    </w:p>
    <w:p w14:paraId="3F882C01" w14:textId="77777777" w:rsidR="00C7198A" w:rsidRDefault="00C7198A" w:rsidP="00DF0F94">
      <w:pPr>
        <w:pStyle w:val="ListBullet"/>
        <w:spacing w:before="40"/>
      </w:pPr>
      <w:r>
        <w:t>Justice Policy, Services and Law Reform output</w:t>
      </w:r>
    </w:p>
    <w:p w14:paraId="660D003F" w14:textId="77777777" w:rsidR="00C7198A" w:rsidRDefault="00C7198A" w:rsidP="00DF0F94">
      <w:pPr>
        <w:pStyle w:val="ListBullet"/>
        <w:spacing w:before="40"/>
      </w:pPr>
      <w:r>
        <w:t>Policing and Community Safety output.</w:t>
      </w:r>
    </w:p>
    <w:p w14:paraId="1BCF6195" w14:textId="77777777" w:rsidR="00C7198A" w:rsidRDefault="00C7198A" w:rsidP="0029068E">
      <w:pPr>
        <w:pStyle w:val="Heading4"/>
      </w:pPr>
      <w:r>
        <w:lastRenderedPageBreak/>
        <w:t>Emergency Services</w:t>
      </w:r>
    </w:p>
    <w:p w14:paraId="7DDF4BCB" w14:textId="77777777" w:rsidR="00C7198A" w:rsidRDefault="00C7198A" w:rsidP="0029068E">
      <w:pPr>
        <w:pStyle w:val="Heading5"/>
      </w:pPr>
      <w:r>
        <w:t>Support for primary care to protect our hospitals</w:t>
      </w:r>
    </w:p>
    <w:p w14:paraId="7A6BB390" w14:textId="77777777" w:rsidR="00C7198A" w:rsidRDefault="00C7198A" w:rsidP="0029068E">
      <w:r w:rsidRPr="000E335D">
        <w:t>Funding is provided to support the establishment of an additional 20 Priority Primary Care Clinics in partnership with general practitioners (GPs). Services will help ease pressure on emergency departments, support patients with conditions that require an urgent response but not an emergency response</w:t>
      </w:r>
      <w:r>
        <w:t>,</w:t>
      </w:r>
      <w:r w:rsidRPr="000E335D">
        <w:t xml:space="preserve"> and offer services to reflect category 4 and 5 presentations such as simple fractures, minor burns, and mild infections. Services will operate for extended hours and patient consults will be billed</w:t>
      </w:r>
      <w:r>
        <w:t xml:space="preserve"> only</w:t>
      </w:r>
      <w:r w:rsidRPr="000E335D">
        <w:t xml:space="preserve"> to the Medical Benefits Schedule which means there is no cost to the patient. This initiative expands the investment already provided to establish and operate five new Priority Primary Care Clinics. </w:t>
      </w:r>
    </w:p>
    <w:p w14:paraId="10D48F3B" w14:textId="77777777" w:rsidR="00C7198A" w:rsidRDefault="00C7198A" w:rsidP="0029068E">
      <w:r>
        <w:t>This initiative contributes to the Department of Health’s Emergency Services output.</w:t>
      </w:r>
    </w:p>
    <w:p w14:paraId="45877DE9" w14:textId="77777777" w:rsidR="00C7198A" w:rsidRDefault="00C7198A" w:rsidP="00A519D6">
      <w:pPr>
        <w:pStyle w:val="Heading4"/>
      </w:pPr>
      <w:r w:rsidRPr="00C05A89">
        <w:t>Health Protection</w:t>
      </w:r>
    </w:p>
    <w:p w14:paraId="79F62550" w14:textId="77777777" w:rsidR="00C7198A" w:rsidRDefault="00C7198A" w:rsidP="0029068E">
      <w:pPr>
        <w:pStyle w:val="Heading5"/>
      </w:pPr>
      <w:r>
        <w:t xml:space="preserve">COVID-19 testing and vaccination services and engagement </w:t>
      </w:r>
    </w:p>
    <w:p w14:paraId="73026DD0" w14:textId="77777777" w:rsidR="00C7198A" w:rsidRDefault="00C7198A" w:rsidP="0029068E">
      <w:r>
        <w:t>Funding is provided to continue testing, pathology and vaccination services from July to December 2022, as the COVID-19 public health response moves to an ongoing public health stewardship role. Funding will also support engagement activities targeted at meeting the public health needs of Victoria’s most clinically vulnerable populations. Funding is also provided to increase mobile testing and vaccination services for vulnerable people and remote communities.</w:t>
      </w:r>
    </w:p>
    <w:p w14:paraId="3F3BB93A" w14:textId="77777777" w:rsidR="00C7198A" w:rsidRDefault="00C7198A" w:rsidP="0029068E">
      <w:r>
        <w:t>This initiative contributes to the Department of Health’s Health Protection output.</w:t>
      </w:r>
    </w:p>
    <w:p w14:paraId="713DB8DD" w14:textId="77777777" w:rsidR="00C7198A" w:rsidRDefault="00C7198A" w:rsidP="0029068E">
      <w:pPr>
        <w:pStyle w:val="Heading5"/>
      </w:pPr>
      <w:r>
        <w:t>Free flu vaccinations for all Victorians</w:t>
      </w:r>
    </w:p>
    <w:p w14:paraId="67E9EB79" w14:textId="77777777" w:rsidR="00C7198A" w:rsidRDefault="00C7198A" w:rsidP="00D37D7A">
      <w:pPr>
        <w:ind w:right="-156"/>
      </w:pPr>
      <w:r>
        <w:t>Funding is provided to support free flu vaccinations for all Victorians between 1 June and 10 July 2022. Increased flu vaccinations help people stay well and avoid more hospitalisations. Funding is also provided to support immunisation providers to roster additional staff and offer longer operating hours to meet the additional demand for flu vaccinations.</w:t>
      </w:r>
    </w:p>
    <w:p w14:paraId="13FB5E19" w14:textId="77777777" w:rsidR="00C7198A" w:rsidRDefault="00C7198A" w:rsidP="0029068E">
      <w:r>
        <w:t>This initiative contributes to the Department of Health’s Health Protection output.</w:t>
      </w:r>
    </w:p>
    <w:p w14:paraId="2D559018" w14:textId="77777777" w:rsidR="00C7198A" w:rsidRPr="00697E16" w:rsidRDefault="00C7198A" w:rsidP="00607837">
      <w:pPr>
        <w:pStyle w:val="Heading5"/>
      </w:pPr>
      <w:r>
        <w:t>Monkeypox vaccination program</w:t>
      </w:r>
    </w:p>
    <w:p w14:paraId="4685A63C" w14:textId="77777777" w:rsidR="00C7198A" w:rsidRDefault="00C7198A" w:rsidP="00607837">
      <w:r>
        <w:t xml:space="preserve">Funding is provided to implement the monkeypox vaccination program as part of the public health response to limit the spread of monkeypox. This includes purchasing vaccines, establishing vaccination hubs and outreach vaccination teams, and developing a clinical training package for monkeypox immunisation workforces. Funding is also provided to SAFEVIC for monitoring of adverse events following immunisation as required by the National Essential Partnership on Vaccines. </w:t>
      </w:r>
    </w:p>
    <w:p w14:paraId="10472A82" w14:textId="77777777" w:rsidR="00C7198A" w:rsidRDefault="00C7198A" w:rsidP="0029068E">
      <w:r>
        <w:t>T</w:t>
      </w:r>
      <w:r w:rsidRPr="00B078B7">
        <w:t>his initiative contributes to the</w:t>
      </w:r>
      <w:r>
        <w:t xml:space="preserve"> Department of Health’s Health Protection output.</w:t>
      </w:r>
    </w:p>
    <w:p w14:paraId="1536877C" w14:textId="77777777" w:rsidR="00C7198A" w:rsidRDefault="00C7198A" w:rsidP="0029068E">
      <w:pPr>
        <w:pStyle w:val="Heading4"/>
      </w:pPr>
      <w:r>
        <w:lastRenderedPageBreak/>
        <w:t>Health Workforce Training and Development</w:t>
      </w:r>
    </w:p>
    <w:p w14:paraId="67F853BF" w14:textId="77777777" w:rsidR="00C7198A" w:rsidRDefault="00C7198A" w:rsidP="0029068E">
      <w:pPr>
        <w:pStyle w:val="Heading5"/>
      </w:pPr>
      <w:r>
        <w:t>Making it free to study nursing and midwifery</w:t>
      </w:r>
    </w:p>
    <w:p w14:paraId="3CB1ACF7" w14:textId="77777777" w:rsidR="00C7198A" w:rsidRDefault="00C7198A" w:rsidP="0029068E">
      <w:r>
        <w:t>Funding is provided to grow and help retain Victoria’s nursing and midwifery workforce. This package includes undergraduate scholarships for more than 10 000 nursing or midwifery students, scholarships for postgraduate nurses to complete studies in specialty areas, training and employment of 100 new Nurse Practitioners and an expanded postgraduate midwifery incentive program.</w:t>
      </w:r>
    </w:p>
    <w:p w14:paraId="07454CC3" w14:textId="77777777" w:rsidR="00C7198A" w:rsidRDefault="00C7198A" w:rsidP="0029068E">
      <w:r>
        <w:t>This initiative contributes to the Department of Health’s Health Workforce Training and Development output.</w:t>
      </w:r>
    </w:p>
    <w:p w14:paraId="089E7DD4" w14:textId="77777777" w:rsidR="00C7198A" w:rsidRDefault="00C7198A" w:rsidP="0029068E">
      <w:pPr>
        <w:pStyle w:val="Heading4"/>
      </w:pPr>
      <w:r>
        <w:t>Maternal and Child Health and Early Parenting Services</w:t>
      </w:r>
    </w:p>
    <w:p w14:paraId="434DEF34" w14:textId="77777777" w:rsidR="00C7198A" w:rsidRDefault="00C7198A" w:rsidP="0029068E">
      <w:pPr>
        <w:pStyle w:val="Heading5"/>
      </w:pPr>
      <w:r>
        <w:t>Maternal and child health workforce package</w:t>
      </w:r>
    </w:p>
    <w:p w14:paraId="1FDE78C8" w14:textId="77777777" w:rsidR="00C7198A" w:rsidRDefault="00C7198A" w:rsidP="0029068E">
      <w:r w:rsidRPr="00DB7701">
        <w:t>Funding is provided for maternal and child health services</w:t>
      </w:r>
      <w:r>
        <w:t xml:space="preserve">, including </w:t>
      </w:r>
      <w:r w:rsidRPr="00DB7701">
        <w:t>in metropolitan growth corridors</w:t>
      </w:r>
      <w:r>
        <w:t>,</w:t>
      </w:r>
      <w:r w:rsidRPr="00DB7701">
        <w:t xml:space="preserve"> to attract </w:t>
      </w:r>
      <w:r>
        <w:t xml:space="preserve">and support new and existing workers. This includes recruitment and promotion strategies to boost workforce supply and provide additional administrative support. Funding is also provided to develop a new client health record management system for the Maternal and Child Health and Early Parenting Centre network to increase system and workforce efficiencies. </w:t>
      </w:r>
    </w:p>
    <w:p w14:paraId="34CC50CC" w14:textId="77777777" w:rsidR="00C7198A" w:rsidRDefault="00C7198A" w:rsidP="0029068E">
      <w:r>
        <w:t>This initiative contributes to the Department of Health’s Maternal and Child Health and Early Parenting Services output.</w:t>
      </w:r>
    </w:p>
    <w:p w14:paraId="1D44682B" w14:textId="77777777" w:rsidR="00C7198A" w:rsidRDefault="00C7198A" w:rsidP="0029068E">
      <w:pPr>
        <w:pStyle w:val="Heading4"/>
      </w:pPr>
      <w:r>
        <w:t>Mental Health Clinical Care</w:t>
      </w:r>
    </w:p>
    <w:p w14:paraId="645D0D17" w14:textId="77777777" w:rsidR="00C7198A" w:rsidRDefault="00C7198A" w:rsidP="0029068E">
      <w:pPr>
        <w:pStyle w:val="Heading5"/>
      </w:pPr>
      <w:r>
        <w:t>Additional funding for community-based services and Mental Health and Wellbeing Hubs</w:t>
      </w:r>
    </w:p>
    <w:p w14:paraId="60CC1288" w14:textId="77777777" w:rsidR="00C7198A" w:rsidRDefault="00C7198A" w:rsidP="0029068E">
      <w:r>
        <w:t>Funding is provided to expand services for a number of community organisations experiencing a sustained level of demand as a result of the COVID-19 pandemic.</w:t>
      </w:r>
    </w:p>
    <w:p w14:paraId="0FEFC9D2" w14:textId="77777777" w:rsidR="00C7198A" w:rsidRDefault="00C7198A" w:rsidP="0029068E">
      <w:r>
        <w:t>Funding is also provided to continue Mental Health and Wellbeing Hubs, which support Victorians with mental health or wellbeing concerns as new l</w:t>
      </w:r>
      <w:r w:rsidRPr="00DB7701">
        <w:t xml:space="preserve">ocal </w:t>
      </w:r>
      <w:r>
        <w:t>a</w:t>
      </w:r>
      <w:r w:rsidRPr="00DB7701">
        <w:t xml:space="preserve">dult and </w:t>
      </w:r>
      <w:r>
        <w:t>o</w:t>
      </w:r>
      <w:r w:rsidRPr="00DB7701">
        <w:t xml:space="preserve">lder </w:t>
      </w:r>
      <w:r>
        <w:t>a</w:t>
      </w:r>
      <w:r w:rsidRPr="00DB7701">
        <w:t xml:space="preserve">dult </w:t>
      </w:r>
      <w:r>
        <w:t>m</w:t>
      </w:r>
      <w:r w:rsidRPr="00DB7701">
        <w:t xml:space="preserve">ental </w:t>
      </w:r>
      <w:r>
        <w:t>h</w:t>
      </w:r>
      <w:r w:rsidRPr="00DB7701">
        <w:t xml:space="preserve">ealth and </w:t>
      </w:r>
      <w:r>
        <w:t>w</w:t>
      </w:r>
      <w:r w:rsidRPr="00DB7701">
        <w:t xml:space="preserve">ellbeing </w:t>
      </w:r>
      <w:r>
        <w:t>s</w:t>
      </w:r>
      <w:r w:rsidRPr="00DB7701">
        <w:t>ervices</w:t>
      </w:r>
      <w:r>
        <w:t xml:space="preserve"> are established.  </w:t>
      </w:r>
    </w:p>
    <w:p w14:paraId="7D1E2BAB" w14:textId="77777777" w:rsidR="00C7198A" w:rsidRDefault="00C7198A" w:rsidP="0029068E">
      <w:r>
        <w:t>This initiative contributes to the Department of Health’s Mental Health Clinical Care output.</w:t>
      </w:r>
    </w:p>
    <w:p w14:paraId="097E29AC" w14:textId="77777777" w:rsidR="00C7198A" w:rsidRDefault="00C7198A">
      <w:pPr>
        <w:keepLines w:val="0"/>
        <w:rPr>
          <w:rFonts w:asciiTheme="majorHAnsi" w:eastAsiaTheme="majorEastAsia" w:hAnsiTheme="majorHAnsi" w:cstheme="majorBidi"/>
          <w:b/>
          <w:sz w:val="26"/>
          <w:szCs w:val="26"/>
        </w:rPr>
      </w:pPr>
      <w:r>
        <w:br w:type="page"/>
      </w:r>
    </w:p>
    <w:bookmarkEnd w:id="124"/>
    <w:p w14:paraId="48116A59" w14:textId="77777777" w:rsidR="00C7198A" w:rsidRDefault="00C7198A" w:rsidP="007F7047">
      <w:pPr>
        <w:pStyle w:val="Heading20"/>
      </w:pPr>
      <w:r>
        <w:lastRenderedPageBreak/>
        <w:t>Asset initiatives</w:t>
      </w:r>
    </w:p>
    <w:p w14:paraId="5F29C161" w14:textId="26F4F9C5" w:rsidR="00C7198A" w:rsidRDefault="00C7198A" w:rsidP="00E844A2">
      <w:pPr>
        <w:pStyle w:val="TableHeading"/>
      </w:pPr>
      <w:r>
        <w:t>Table A.</w:t>
      </w:r>
      <w:r w:rsidR="00993A31">
        <w:t>8</w:t>
      </w:r>
      <w:r>
        <w:t>:</w:t>
      </w:r>
      <w:r>
        <w:tab/>
        <w:t>Asset initiatives – Department of Health</w:t>
      </w:r>
      <w:r>
        <w:tab/>
        <w:t>($ million)</w:t>
      </w:r>
    </w:p>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C7198A" w14:paraId="2DC57E68" w14:textId="77777777" w:rsidTr="007B69A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5FEC9967" w14:textId="197C8560" w:rsidR="00C7198A" w:rsidRDefault="00C7198A"/>
        </w:tc>
        <w:tc>
          <w:tcPr>
            <w:tcW w:w="794" w:type="dxa"/>
            <w:tcBorders>
              <w:top w:val="single" w:sz="6" w:space="0" w:color="auto"/>
              <w:bottom w:val="single" w:sz="6" w:space="0" w:color="auto"/>
            </w:tcBorders>
          </w:tcPr>
          <w:p w14:paraId="12C5E53A" w14:textId="77777777" w:rsidR="00C7198A" w:rsidRDefault="00C7198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Borders>
              <w:top w:val="single" w:sz="6" w:space="0" w:color="auto"/>
              <w:bottom w:val="single" w:sz="6" w:space="0" w:color="auto"/>
            </w:tcBorders>
          </w:tcPr>
          <w:p w14:paraId="4CF7AF9F" w14:textId="77777777" w:rsidR="00C7198A" w:rsidRDefault="00C7198A">
            <w:pPr>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Borders>
              <w:top w:val="single" w:sz="6" w:space="0" w:color="auto"/>
              <w:bottom w:val="single" w:sz="6" w:space="0" w:color="auto"/>
            </w:tcBorders>
          </w:tcPr>
          <w:p w14:paraId="55194086" w14:textId="77777777" w:rsidR="00C7198A" w:rsidRDefault="00C7198A">
            <w:pPr>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Borders>
              <w:top w:val="single" w:sz="6" w:space="0" w:color="auto"/>
              <w:bottom w:val="single" w:sz="6" w:space="0" w:color="auto"/>
            </w:tcBorders>
          </w:tcPr>
          <w:p w14:paraId="44CD45BF" w14:textId="77777777" w:rsidR="00C7198A" w:rsidRDefault="00C7198A">
            <w:pPr>
              <w:cnfStyle w:val="100000000000" w:firstRow="1" w:lastRow="0" w:firstColumn="0" w:lastColumn="0" w:oddVBand="0" w:evenVBand="0" w:oddHBand="0" w:evenHBand="0" w:firstRowFirstColumn="0" w:firstRowLastColumn="0" w:lastRowFirstColumn="0" w:lastRowLastColumn="0"/>
            </w:pPr>
            <w:r>
              <w:t>2025</w:t>
            </w:r>
            <w:r>
              <w:noBreakHyphen/>
              <w:t>26</w:t>
            </w:r>
          </w:p>
        </w:tc>
        <w:tc>
          <w:tcPr>
            <w:tcW w:w="794" w:type="dxa"/>
            <w:tcBorders>
              <w:top w:val="single" w:sz="6" w:space="0" w:color="auto"/>
              <w:bottom w:val="single" w:sz="6" w:space="0" w:color="auto"/>
            </w:tcBorders>
          </w:tcPr>
          <w:p w14:paraId="11F98DE6" w14:textId="77777777" w:rsidR="00C7198A" w:rsidRDefault="00C7198A">
            <w:pPr>
              <w:cnfStyle w:val="100000000000" w:firstRow="1" w:lastRow="0" w:firstColumn="0" w:lastColumn="0" w:oddVBand="0" w:evenVBand="0" w:oddHBand="0" w:evenHBand="0" w:firstRowFirstColumn="0" w:firstRowLastColumn="0" w:lastRowFirstColumn="0" w:lastRowLastColumn="0"/>
            </w:pPr>
            <w:r>
              <w:t>TEI</w:t>
            </w:r>
          </w:p>
        </w:tc>
      </w:tr>
      <w:tr w:rsidR="00C7198A" w14:paraId="068D9F00" w14:textId="77777777" w:rsidTr="007B69AB">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0C8F2B0F" w14:textId="77777777" w:rsidR="00C7198A" w:rsidRDefault="00C7198A">
            <w:r>
              <w:rPr>
                <w:b/>
              </w:rPr>
              <w:t>Admitted Services</w:t>
            </w:r>
          </w:p>
        </w:tc>
        <w:tc>
          <w:tcPr>
            <w:tcW w:w="794" w:type="dxa"/>
            <w:tcBorders>
              <w:top w:val="single" w:sz="6" w:space="0" w:color="auto"/>
            </w:tcBorders>
          </w:tcPr>
          <w:p w14:paraId="6B7398AB"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4CB4B721"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4BE2531D"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449B6F7A"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1A108366"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r>
      <w:tr w:rsidR="00C7198A" w14:paraId="70F6C71E" w14:textId="77777777">
        <w:tc>
          <w:tcPr>
            <w:cnfStyle w:val="001000000000" w:firstRow="0" w:lastRow="0" w:firstColumn="1" w:lastColumn="0" w:oddVBand="0" w:evenVBand="0" w:oddHBand="0" w:evenHBand="0" w:firstRowFirstColumn="0" w:firstRowLastColumn="0" w:lastRowFirstColumn="0" w:lastRowLastColumn="0"/>
            <w:tcW w:w="3740" w:type="dxa"/>
          </w:tcPr>
          <w:p w14:paraId="0219664C" w14:textId="77777777" w:rsidR="00C7198A" w:rsidRDefault="00C7198A">
            <w:r>
              <w:t xml:space="preserve">Redevelopment of Royal Melbourne Hospital and Royal Women's Hospital </w:t>
            </w:r>
            <w:r>
              <w:rPr>
                <w:vertAlign w:val="superscript"/>
              </w:rPr>
              <w:t>(a)</w:t>
            </w:r>
          </w:p>
        </w:tc>
        <w:tc>
          <w:tcPr>
            <w:tcW w:w="794" w:type="dxa"/>
          </w:tcPr>
          <w:p w14:paraId="237613EE" w14:textId="77777777" w:rsidR="00C7198A" w:rsidRDefault="00C7198A">
            <w:pPr>
              <w:cnfStyle w:val="000000000000" w:firstRow="0" w:lastRow="0" w:firstColumn="0" w:lastColumn="0" w:oddVBand="0" w:evenVBand="0" w:oddHBand="0" w:evenHBand="0" w:firstRowFirstColumn="0" w:firstRowLastColumn="0" w:lastRowFirstColumn="0" w:lastRowLastColumn="0"/>
            </w:pPr>
            <w:r>
              <w:t>7.0</w:t>
            </w:r>
          </w:p>
        </w:tc>
        <w:tc>
          <w:tcPr>
            <w:tcW w:w="794" w:type="dxa"/>
          </w:tcPr>
          <w:p w14:paraId="03E74C49" w14:textId="77777777" w:rsidR="00C7198A" w:rsidRDefault="00C7198A">
            <w:pPr>
              <w:cnfStyle w:val="000000000000" w:firstRow="0" w:lastRow="0" w:firstColumn="0" w:lastColumn="0" w:oddVBand="0" w:evenVBand="0" w:oddHBand="0" w:evenHBand="0" w:firstRowFirstColumn="0" w:firstRowLastColumn="0" w:lastRowFirstColumn="0" w:lastRowLastColumn="0"/>
            </w:pPr>
            <w:r>
              <w:t>95.8</w:t>
            </w:r>
          </w:p>
        </w:tc>
        <w:tc>
          <w:tcPr>
            <w:tcW w:w="794" w:type="dxa"/>
          </w:tcPr>
          <w:p w14:paraId="5B664730" w14:textId="77777777" w:rsidR="00C7198A" w:rsidRDefault="00C7198A">
            <w:pPr>
              <w:cnfStyle w:val="000000000000" w:firstRow="0" w:lastRow="0" w:firstColumn="0" w:lastColumn="0" w:oddVBand="0" w:evenVBand="0" w:oddHBand="0" w:evenHBand="0" w:firstRowFirstColumn="0" w:firstRowLastColumn="0" w:lastRowFirstColumn="0" w:lastRowLastColumn="0"/>
            </w:pPr>
            <w:r>
              <w:t>53.5</w:t>
            </w:r>
          </w:p>
        </w:tc>
        <w:tc>
          <w:tcPr>
            <w:tcW w:w="794" w:type="dxa"/>
          </w:tcPr>
          <w:p w14:paraId="7DC5DEE4" w14:textId="77777777" w:rsidR="00C7198A" w:rsidRDefault="00C7198A">
            <w:pPr>
              <w:cnfStyle w:val="000000000000" w:firstRow="0" w:lastRow="0" w:firstColumn="0" w:lastColumn="0" w:oddVBand="0" w:evenVBand="0" w:oddHBand="0" w:evenHBand="0" w:firstRowFirstColumn="0" w:firstRowLastColumn="0" w:lastRowFirstColumn="0" w:lastRowLastColumn="0"/>
            </w:pPr>
            <w:r>
              <w:t>141.8</w:t>
            </w:r>
          </w:p>
        </w:tc>
        <w:tc>
          <w:tcPr>
            <w:tcW w:w="794" w:type="dxa"/>
          </w:tcPr>
          <w:p w14:paraId="2B04C498" w14:textId="20742823" w:rsidR="00C7198A" w:rsidRDefault="00C7198A">
            <w:pPr>
              <w:cnfStyle w:val="000000000000" w:firstRow="0" w:lastRow="0" w:firstColumn="0" w:lastColumn="0" w:oddVBand="0" w:evenVBand="0" w:oddHBand="0" w:evenHBand="0" w:firstRowFirstColumn="0" w:firstRowLastColumn="0" w:lastRowFirstColumn="0" w:lastRowLastColumn="0"/>
            </w:pPr>
            <w:r>
              <w:t>2</w:t>
            </w:r>
            <w:r w:rsidR="007D236E">
              <w:t xml:space="preserve"> </w:t>
            </w:r>
            <w:r>
              <w:t>338.0</w:t>
            </w:r>
          </w:p>
        </w:tc>
      </w:tr>
      <w:tr w:rsidR="00C7198A" w14:paraId="2F0BA4F1" w14:textId="77777777">
        <w:tc>
          <w:tcPr>
            <w:cnfStyle w:val="001000000000" w:firstRow="0" w:lastRow="0" w:firstColumn="1" w:lastColumn="0" w:oddVBand="0" w:evenVBand="0" w:oddHBand="0" w:evenHBand="0" w:firstRowFirstColumn="0" w:firstRowLastColumn="0" w:lastRowFirstColumn="0" w:lastRowLastColumn="0"/>
            <w:tcW w:w="3740" w:type="dxa"/>
          </w:tcPr>
          <w:p w14:paraId="4641CA2D" w14:textId="77777777" w:rsidR="00C7198A" w:rsidRDefault="00C7198A">
            <w:r>
              <w:rPr>
                <w:b/>
              </w:rPr>
              <w:t>Ambulance Services</w:t>
            </w:r>
          </w:p>
        </w:tc>
        <w:tc>
          <w:tcPr>
            <w:tcW w:w="794" w:type="dxa"/>
          </w:tcPr>
          <w:p w14:paraId="64F5F8FC"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4B5DD72E"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6A14CE4F"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3B3B9B4B"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78C169FA"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r>
      <w:tr w:rsidR="00C7198A" w14:paraId="2BBE64CC" w14:textId="77777777" w:rsidTr="007B69AB">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6CC3749C" w14:textId="77777777" w:rsidR="00C7198A" w:rsidRDefault="00C7198A">
            <w:r>
              <w:t>Improving access to emergency care</w:t>
            </w:r>
          </w:p>
        </w:tc>
        <w:tc>
          <w:tcPr>
            <w:tcW w:w="794" w:type="dxa"/>
            <w:tcBorders>
              <w:bottom w:val="single" w:sz="6" w:space="0" w:color="auto"/>
            </w:tcBorders>
          </w:tcPr>
          <w:p w14:paraId="215D7451" w14:textId="77777777" w:rsidR="00C7198A" w:rsidRDefault="00C7198A">
            <w:pPr>
              <w:cnfStyle w:val="000000000000" w:firstRow="0" w:lastRow="0" w:firstColumn="0" w:lastColumn="0" w:oddVBand="0" w:evenVBand="0" w:oddHBand="0" w:evenHBand="0" w:firstRowFirstColumn="0" w:firstRowLastColumn="0" w:lastRowFirstColumn="0" w:lastRowLastColumn="0"/>
            </w:pPr>
            <w:r>
              <w:t>6.4</w:t>
            </w:r>
          </w:p>
        </w:tc>
        <w:tc>
          <w:tcPr>
            <w:tcW w:w="794" w:type="dxa"/>
            <w:tcBorders>
              <w:bottom w:val="single" w:sz="6" w:space="0" w:color="auto"/>
            </w:tcBorders>
          </w:tcPr>
          <w:p w14:paraId="194413C8"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63B796A7"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151B6AF3"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57E29D6E" w14:textId="77777777" w:rsidR="00C7198A" w:rsidRDefault="00C7198A">
            <w:pPr>
              <w:cnfStyle w:val="000000000000" w:firstRow="0" w:lastRow="0" w:firstColumn="0" w:lastColumn="0" w:oddVBand="0" w:evenVBand="0" w:oddHBand="0" w:evenHBand="0" w:firstRowFirstColumn="0" w:firstRowLastColumn="0" w:lastRowFirstColumn="0" w:lastRowLastColumn="0"/>
            </w:pPr>
            <w:r>
              <w:t>6.4</w:t>
            </w:r>
          </w:p>
        </w:tc>
      </w:tr>
      <w:tr w:rsidR="00C7198A" w14:paraId="603B00CF" w14:textId="77777777" w:rsidTr="007B69AB">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422DA5CC" w14:textId="77777777" w:rsidR="00C7198A" w:rsidRDefault="00C7198A">
            <w:r>
              <w:rPr>
                <w:b/>
              </w:rPr>
              <w:t xml:space="preserve">Total asset initiatives </w:t>
            </w:r>
            <w:r>
              <w:rPr>
                <w:b/>
                <w:vertAlign w:val="superscript"/>
              </w:rPr>
              <w:t>(b)</w:t>
            </w:r>
          </w:p>
        </w:tc>
        <w:tc>
          <w:tcPr>
            <w:tcW w:w="794" w:type="dxa"/>
            <w:tcBorders>
              <w:top w:val="single" w:sz="6" w:space="0" w:color="auto"/>
              <w:bottom w:val="single" w:sz="12" w:space="0" w:color="auto"/>
            </w:tcBorders>
          </w:tcPr>
          <w:p w14:paraId="6C3E6C15" w14:textId="77777777" w:rsidR="00C7198A" w:rsidRDefault="00C7198A">
            <w:pPr>
              <w:cnfStyle w:val="000000000000" w:firstRow="0" w:lastRow="0" w:firstColumn="0" w:lastColumn="0" w:oddVBand="0" w:evenVBand="0" w:oddHBand="0" w:evenHBand="0" w:firstRowFirstColumn="0" w:firstRowLastColumn="0" w:lastRowFirstColumn="0" w:lastRowLastColumn="0"/>
            </w:pPr>
            <w:r>
              <w:rPr>
                <w:b/>
              </w:rPr>
              <w:t>13.4</w:t>
            </w:r>
          </w:p>
        </w:tc>
        <w:tc>
          <w:tcPr>
            <w:tcW w:w="794" w:type="dxa"/>
            <w:tcBorders>
              <w:top w:val="single" w:sz="6" w:space="0" w:color="auto"/>
              <w:bottom w:val="single" w:sz="12" w:space="0" w:color="auto"/>
            </w:tcBorders>
          </w:tcPr>
          <w:p w14:paraId="31C54DD4" w14:textId="77777777" w:rsidR="00C7198A" w:rsidRDefault="00C7198A">
            <w:pPr>
              <w:cnfStyle w:val="000000000000" w:firstRow="0" w:lastRow="0" w:firstColumn="0" w:lastColumn="0" w:oddVBand="0" w:evenVBand="0" w:oddHBand="0" w:evenHBand="0" w:firstRowFirstColumn="0" w:firstRowLastColumn="0" w:lastRowFirstColumn="0" w:lastRowLastColumn="0"/>
            </w:pPr>
            <w:r>
              <w:rPr>
                <w:b/>
              </w:rPr>
              <w:t>95.8</w:t>
            </w:r>
          </w:p>
        </w:tc>
        <w:tc>
          <w:tcPr>
            <w:tcW w:w="794" w:type="dxa"/>
            <w:tcBorders>
              <w:top w:val="single" w:sz="6" w:space="0" w:color="auto"/>
              <w:bottom w:val="single" w:sz="12" w:space="0" w:color="auto"/>
            </w:tcBorders>
          </w:tcPr>
          <w:p w14:paraId="79477C94" w14:textId="77777777" w:rsidR="00C7198A" w:rsidRDefault="00C7198A">
            <w:pPr>
              <w:cnfStyle w:val="000000000000" w:firstRow="0" w:lastRow="0" w:firstColumn="0" w:lastColumn="0" w:oddVBand="0" w:evenVBand="0" w:oddHBand="0" w:evenHBand="0" w:firstRowFirstColumn="0" w:firstRowLastColumn="0" w:lastRowFirstColumn="0" w:lastRowLastColumn="0"/>
            </w:pPr>
            <w:r>
              <w:rPr>
                <w:b/>
              </w:rPr>
              <w:t>53.5</w:t>
            </w:r>
          </w:p>
        </w:tc>
        <w:tc>
          <w:tcPr>
            <w:tcW w:w="794" w:type="dxa"/>
            <w:tcBorders>
              <w:top w:val="single" w:sz="6" w:space="0" w:color="auto"/>
              <w:bottom w:val="single" w:sz="12" w:space="0" w:color="auto"/>
            </w:tcBorders>
          </w:tcPr>
          <w:p w14:paraId="46832D4E" w14:textId="77777777" w:rsidR="00C7198A" w:rsidRDefault="00C7198A">
            <w:pPr>
              <w:cnfStyle w:val="000000000000" w:firstRow="0" w:lastRow="0" w:firstColumn="0" w:lastColumn="0" w:oddVBand="0" w:evenVBand="0" w:oddHBand="0" w:evenHBand="0" w:firstRowFirstColumn="0" w:firstRowLastColumn="0" w:lastRowFirstColumn="0" w:lastRowLastColumn="0"/>
            </w:pPr>
            <w:r>
              <w:rPr>
                <w:b/>
              </w:rPr>
              <w:t>141.8</w:t>
            </w:r>
          </w:p>
        </w:tc>
        <w:tc>
          <w:tcPr>
            <w:tcW w:w="794" w:type="dxa"/>
            <w:tcBorders>
              <w:top w:val="single" w:sz="6" w:space="0" w:color="auto"/>
              <w:bottom w:val="single" w:sz="12" w:space="0" w:color="auto"/>
            </w:tcBorders>
          </w:tcPr>
          <w:p w14:paraId="316DE6C6" w14:textId="630DB8B7" w:rsidR="00C7198A" w:rsidRDefault="00C7198A">
            <w:pPr>
              <w:cnfStyle w:val="000000000000" w:firstRow="0" w:lastRow="0" w:firstColumn="0" w:lastColumn="0" w:oddVBand="0" w:evenVBand="0" w:oddHBand="0" w:evenHBand="0" w:firstRowFirstColumn="0" w:firstRowLastColumn="0" w:lastRowFirstColumn="0" w:lastRowLastColumn="0"/>
            </w:pPr>
            <w:r>
              <w:rPr>
                <w:b/>
              </w:rPr>
              <w:t>2</w:t>
            </w:r>
            <w:r w:rsidR="007D236E">
              <w:rPr>
                <w:b/>
              </w:rPr>
              <w:t xml:space="preserve"> </w:t>
            </w:r>
            <w:r>
              <w:rPr>
                <w:b/>
              </w:rPr>
              <w:t>344.5</w:t>
            </w:r>
          </w:p>
        </w:tc>
      </w:tr>
    </w:tbl>
    <w:bookmarkEnd w:id="123"/>
    <w:p w14:paraId="529AFEF5" w14:textId="77777777" w:rsidR="00C7198A" w:rsidRDefault="00C7198A" w:rsidP="00B02D4B">
      <w:pPr>
        <w:pStyle w:val="Note"/>
      </w:pPr>
      <w:r>
        <w:t>Notes:</w:t>
      </w:r>
    </w:p>
    <w:p w14:paraId="1F33DD37" w14:textId="77777777" w:rsidR="00C7198A" w:rsidRDefault="00C7198A" w:rsidP="00B02D4B">
      <w:pPr>
        <w:pStyle w:val="Note"/>
      </w:pPr>
      <w:r>
        <w:t>(a)</w:t>
      </w:r>
      <w:r>
        <w:tab/>
        <w:t>The TEI includes funding beyond 2025-26.</w:t>
      </w:r>
    </w:p>
    <w:p w14:paraId="23BA4326" w14:textId="77777777" w:rsidR="00C7198A" w:rsidRDefault="00C7198A" w:rsidP="00B02D4B">
      <w:pPr>
        <w:pStyle w:val="Note"/>
        <w:ind w:left="0" w:firstLine="0"/>
      </w:pPr>
      <w:r>
        <w:t>(b)</w:t>
      </w:r>
      <w:r>
        <w:tab/>
        <w:t>Table may not add due to rounding.</w:t>
      </w:r>
    </w:p>
    <w:p w14:paraId="02EA791F" w14:textId="77777777" w:rsidR="00C94CDC" w:rsidRDefault="00C94CDC" w:rsidP="00C94CDC"/>
    <w:p w14:paraId="3BAEDD2D" w14:textId="61F80526" w:rsidR="00C7198A" w:rsidRDefault="00C7198A" w:rsidP="00CB7AD4">
      <w:pPr>
        <w:pStyle w:val="Heading4"/>
      </w:pPr>
      <w:r>
        <w:t xml:space="preserve">Admitted Services </w:t>
      </w:r>
    </w:p>
    <w:p w14:paraId="3E67CF0E" w14:textId="77777777" w:rsidR="00C7198A" w:rsidRDefault="00C7198A" w:rsidP="00CB7AD4">
      <w:pPr>
        <w:pStyle w:val="Heading5"/>
      </w:pPr>
      <w:r>
        <w:t xml:space="preserve">Redevelopment of Royal Melbourne Hospital and Royal Women’s Hospital </w:t>
      </w:r>
    </w:p>
    <w:p w14:paraId="2F7F1F68" w14:textId="4ECB62BD" w:rsidR="00C7198A" w:rsidRDefault="00C7198A" w:rsidP="00CB7AD4">
      <w:r>
        <w:t>Funding is provided to commence redeveloping the Royal Melbourne Hospital and Royal</w:t>
      </w:r>
      <w:r w:rsidR="009F52D2">
        <w:t> </w:t>
      </w:r>
      <w:r>
        <w:t>Women’s Hospital. The initial investment will build a</w:t>
      </w:r>
      <w:r w:rsidR="001606D1">
        <w:t xml:space="preserve"> new</w:t>
      </w:r>
      <w:r>
        <w:t xml:space="preserve"> </w:t>
      </w:r>
      <w:r w:rsidR="00865346">
        <w:t>h</w:t>
      </w:r>
      <w:r>
        <w:t xml:space="preserve">ospital tower at the Arden precinct creating more than 400 beds and treatment spaces. This will provide a significant boost to women’s health services including low risk birthing, day surgery and ambulatory services. This investment will also be a catalyst to activate the Arden precinct </w:t>
      </w:r>
      <w:r w:rsidRPr="008C1D84">
        <w:t>which will be linked to the Parkville medical precinct by train stations from the Metro Tunnel.</w:t>
      </w:r>
    </w:p>
    <w:p w14:paraId="3AE4B205" w14:textId="77777777" w:rsidR="00C7198A" w:rsidRDefault="00C7198A" w:rsidP="007D236E">
      <w:r>
        <w:t xml:space="preserve">This investment will also prepare the world-renowned Parkville precinct for future redevelopment including upgrades to the Royal Melbourne Hospital and the Royal Women’s Hospital. The redeveloped Parkville site will continue to focus on emergency, trauma and acute care. </w:t>
      </w:r>
    </w:p>
    <w:p w14:paraId="728E5077" w14:textId="77777777" w:rsidR="00C7198A" w:rsidRDefault="00C7198A" w:rsidP="007D236E">
      <w:r>
        <w:t>This initiative contributes to the Department of Health’s Admitted Services output.</w:t>
      </w:r>
    </w:p>
    <w:p w14:paraId="58B1DF96" w14:textId="77777777" w:rsidR="00C7198A" w:rsidRDefault="00C7198A" w:rsidP="00CB7AD4">
      <w:pPr>
        <w:pStyle w:val="Heading4"/>
      </w:pPr>
      <w:r>
        <w:t>Ambulance Services</w:t>
      </w:r>
    </w:p>
    <w:p w14:paraId="3ADB6F29" w14:textId="77777777" w:rsidR="00C7198A" w:rsidRDefault="00C7198A" w:rsidP="00CB7AD4">
      <w:pPr>
        <w:pStyle w:val="Heading5"/>
        <w:spacing w:before="120"/>
      </w:pPr>
      <w:r>
        <w:t>Improving access to emergency care</w:t>
      </w:r>
    </w:p>
    <w:p w14:paraId="0F44406E" w14:textId="77777777" w:rsidR="00C7198A" w:rsidRDefault="00C7198A" w:rsidP="00EE46B9">
      <w:r>
        <w:t>Refer to the output initiative for a description of this initiative.</w:t>
      </w:r>
    </w:p>
    <w:p w14:paraId="486868D8" w14:textId="77777777" w:rsidR="00C7198A" w:rsidRPr="007F7047" w:rsidRDefault="00C7198A" w:rsidP="007F7047"/>
    <w:p w14:paraId="5F1F6379" w14:textId="77777777" w:rsidR="00C7198A" w:rsidRDefault="00C7198A" w:rsidP="00F90077">
      <w:pPr>
        <w:pStyle w:val="Heading10"/>
        <w:pageBreakBefore/>
      </w:pPr>
      <w:bookmarkStart w:id="127" w:name="_Toc71814115"/>
      <w:bookmarkStart w:id="128" w:name="_Toc117586262"/>
      <w:r w:rsidRPr="00F90077">
        <w:lastRenderedPageBreak/>
        <w:t>Department</w:t>
      </w:r>
      <w:r>
        <w:t xml:space="preserve"> of Jobs, Precincts and Regions</w:t>
      </w:r>
      <w:bookmarkEnd w:id="127"/>
      <w:bookmarkEnd w:id="128"/>
    </w:p>
    <w:p w14:paraId="5237F318" w14:textId="77777777" w:rsidR="00C7198A" w:rsidRDefault="00C7198A" w:rsidP="000B0726">
      <w:pPr>
        <w:pStyle w:val="Heading20"/>
        <w:spacing w:before="180"/>
      </w:pPr>
      <w:r>
        <w:t>Output initiatives</w:t>
      </w:r>
    </w:p>
    <w:p w14:paraId="4775CD44" w14:textId="7622EF9E" w:rsidR="00C7198A" w:rsidRDefault="00C7198A" w:rsidP="008E3E8A">
      <w:pPr>
        <w:pStyle w:val="TableHeading"/>
        <w:spacing w:before="200"/>
      </w:pPr>
      <w:r>
        <w:t>Table A.</w:t>
      </w:r>
      <w:r w:rsidR="00993A31">
        <w:t>9</w:t>
      </w:r>
      <w:r>
        <w:t>:</w:t>
      </w:r>
      <w:r>
        <w:tab/>
        <w:t xml:space="preserve">Output initiatives – Department of Jobs, Precincts and Regions </w:t>
      </w:r>
      <w:r>
        <w:tab/>
        <w:t>($ million)</w:t>
      </w:r>
    </w:p>
    <w:tbl>
      <w:tblPr>
        <w:tblStyle w:val="DTFTableNumeric"/>
        <w:tblW w:w="7710" w:type="dxa"/>
        <w:tblLayout w:type="fixed"/>
        <w:tblLook w:val="06A0" w:firstRow="1" w:lastRow="0" w:firstColumn="1" w:lastColumn="0" w:noHBand="1" w:noVBand="1"/>
      </w:tblPr>
      <w:tblGrid>
        <w:gridCol w:w="4534"/>
        <w:gridCol w:w="184"/>
        <w:gridCol w:w="610"/>
        <w:gridCol w:w="794"/>
        <w:gridCol w:w="794"/>
        <w:gridCol w:w="794"/>
      </w:tblGrid>
      <w:tr w:rsidR="00C7198A" w14:paraId="1AB2BFD6" w14:textId="77777777" w:rsidTr="00D420E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4" w:type="dxa"/>
          </w:tcPr>
          <w:p w14:paraId="0D50729D" w14:textId="2444C3B7" w:rsidR="00C7198A" w:rsidRDefault="00C7198A">
            <w:pPr>
              <w:spacing w:after="0"/>
            </w:pPr>
          </w:p>
        </w:tc>
        <w:tc>
          <w:tcPr>
            <w:tcW w:w="794" w:type="dxa"/>
            <w:gridSpan w:val="2"/>
          </w:tcPr>
          <w:p w14:paraId="62499A65" w14:textId="77777777" w:rsidR="00C7198A" w:rsidRDefault="00C7198A">
            <w:pPr>
              <w:spacing w:after="0"/>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3CB4F8B9" w14:textId="77777777" w:rsidR="00C7198A" w:rsidRDefault="00C7198A">
            <w:pPr>
              <w:spacing w:after="0"/>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05B6977E" w14:textId="77777777" w:rsidR="00C7198A" w:rsidRDefault="00C7198A">
            <w:pPr>
              <w:spacing w:after="0"/>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48DE7EC9" w14:textId="77777777" w:rsidR="00C7198A" w:rsidRDefault="00C7198A">
            <w:pPr>
              <w:spacing w:after="0"/>
              <w:cnfStyle w:val="100000000000" w:firstRow="1" w:lastRow="0" w:firstColumn="0" w:lastColumn="0" w:oddVBand="0" w:evenVBand="0" w:oddHBand="0" w:evenHBand="0" w:firstRowFirstColumn="0" w:firstRowLastColumn="0" w:lastRowFirstColumn="0" w:lastRowLastColumn="0"/>
            </w:pPr>
            <w:r>
              <w:t>2025</w:t>
            </w:r>
            <w:r>
              <w:noBreakHyphen/>
              <w:t>26</w:t>
            </w:r>
          </w:p>
        </w:tc>
      </w:tr>
      <w:tr w:rsidR="00C7198A" w14:paraId="3AB42DBD" w14:textId="77777777">
        <w:tc>
          <w:tcPr>
            <w:cnfStyle w:val="001000000000" w:firstRow="0" w:lastRow="0" w:firstColumn="1" w:lastColumn="0" w:oddVBand="0" w:evenVBand="0" w:oddHBand="0" w:evenHBand="0" w:firstRowFirstColumn="0" w:firstRowLastColumn="0" w:lastRowFirstColumn="0" w:lastRowLastColumn="0"/>
            <w:tcW w:w="4534" w:type="dxa"/>
          </w:tcPr>
          <w:p w14:paraId="56762DE9" w14:textId="77777777" w:rsidR="00C7198A" w:rsidRDefault="00C7198A">
            <w:pPr>
              <w:spacing w:after="0"/>
            </w:pPr>
            <w:r>
              <w:rPr>
                <w:b/>
              </w:rPr>
              <w:t>Agriculture</w:t>
            </w:r>
          </w:p>
        </w:tc>
        <w:tc>
          <w:tcPr>
            <w:tcW w:w="794" w:type="dxa"/>
            <w:gridSpan w:val="2"/>
          </w:tcPr>
          <w:p w14:paraId="0ECC3431"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4AFAE888"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16B7941B"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1BB99C76"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p>
        </w:tc>
      </w:tr>
      <w:tr w:rsidR="00C7198A" w14:paraId="39C42F4D" w14:textId="77777777">
        <w:tc>
          <w:tcPr>
            <w:cnfStyle w:val="001000000000" w:firstRow="0" w:lastRow="0" w:firstColumn="1" w:lastColumn="0" w:oddVBand="0" w:evenVBand="0" w:oddHBand="0" w:evenHBand="0" w:firstRowFirstColumn="0" w:firstRowLastColumn="0" w:lastRowFirstColumn="0" w:lastRowLastColumn="0"/>
            <w:tcW w:w="4534" w:type="dxa"/>
          </w:tcPr>
          <w:p w14:paraId="2D4B8174" w14:textId="77777777" w:rsidR="00C7198A" w:rsidRDefault="00C7198A">
            <w:pPr>
              <w:spacing w:after="0"/>
            </w:pPr>
            <w:r>
              <w:t>Emergency animal disease preparedness</w:t>
            </w:r>
          </w:p>
        </w:tc>
        <w:tc>
          <w:tcPr>
            <w:tcW w:w="794" w:type="dxa"/>
            <w:gridSpan w:val="2"/>
          </w:tcPr>
          <w:p w14:paraId="44B21828"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16.7</w:t>
            </w:r>
          </w:p>
        </w:tc>
        <w:tc>
          <w:tcPr>
            <w:tcW w:w="794" w:type="dxa"/>
          </w:tcPr>
          <w:p w14:paraId="7F558846"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5.0</w:t>
            </w:r>
          </w:p>
        </w:tc>
        <w:tc>
          <w:tcPr>
            <w:tcW w:w="794" w:type="dxa"/>
          </w:tcPr>
          <w:p w14:paraId="0F59EC27"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4.1</w:t>
            </w:r>
          </w:p>
        </w:tc>
        <w:tc>
          <w:tcPr>
            <w:tcW w:w="794" w:type="dxa"/>
          </w:tcPr>
          <w:p w14:paraId="07C55E6D"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w:t>
            </w:r>
          </w:p>
        </w:tc>
      </w:tr>
      <w:tr w:rsidR="00C7198A" w14:paraId="405E114F" w14:textId="77777777">
        <w:tc>
          <w:tcPr>
            <w:cnfStyle w:val="001000000000" w:firstRow="0" w:lastRow="0" w:firstColumn="1" w:lastColumn="0" w:oddVBand="0" w:evenVBand="0" w:oddHBand="0" w:evenHBand="0" w:firstRowFirstColumn="0" w:firstRowLastColumn="0" w:lastRowFirstColumn="0" w:lastRowLastColumn="0"/>
            <w:tcW w:w="4534" w:type="dxa"/>
          </w:tcPr>
          <w:p w14:paraId="36575D30" w14:textId="77777777" w:rsidR="00C7198A" w:rsidRDefault="00C7198A">
            <w:pPr>
              <w:spacing w:after="0"/>
            </w:pPr>
            <w:r>
              <w:t>Supporting attendance at Victoria’s agricultural shows</w:t>
            </w:r>
          </w:p>
        </w:tc>
        <w:tc>
          <w:tcPr>
            <w:tcW w:w="794" w:type="dxa"/>
            <w:gridSpan w:val="2"/>
          </w:tcPr>
          <w:p w14:paraId="509EC777"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3.5</w:t>
            </w:r>
          </w:p>
        </w:tc>
        <w:tc>
          <w:tcPr>
            <w:tcW w:w="794" w:type="dxa"/>
          </w:tcPr>
          <w:p w14:paraId="7656EF94"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Pr>
          <w:p w14:paraId="0031E852"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Pr>
          <w:p w14:paraId="15AA4677"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w:t>
            </w:r>
          </w:p>
        </w:tc>
      </w:tr>
      <w:tr w:rsidR="00C7198A" w14:paraId="22CFD7F9" w14:textId="77777777">
        <w:tc>
          <w:tcPr>
            <w:cnfStyle w:val="001000000000" w:firstRow="0" w:lastRow="0" w:firstColumn="1" w:lastColumn="0" w:oddVBand="0" w:evenVBand="0" w:oddHBand="0" w:evenHBand="0" w:firstRowFirstColumn="0" w:firstRowLastColumn="0" w:lastRowFirstColumn="0" w:lastRowLastColumn="0"/>
            <w:tcW w:w="4534" w:type="dxa"/>
          </w:tcPr>
          <w:p w14:paraId="73CACFE1" w14:textId="77777777" w:rsidR="00C7198A" w:rsidRDefault="00C7198A">
            <w:pPr>
              <w:spacing w:after="0"/>
            </w:pPr>
            <w:r>
              <w:t>Timber worker support</w:t>
            </w:r>
          </w:p>
        </w:tc>
        <w:tc>
          <w:tcPr>
            <w:tcW w:w="794" w:type="dxa"/>
            <w:gridSpan w:val="2"/>
          </w:tcPr>
          <w:p w14:paraId="4695E865"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5.0</w:t>
            </w:r>
          </w:p>
        </w:tc>
        <w:tc>
          <w:tcPr>
            <w:tcW w:w="794" w:type="dxa"/>
          </w:tcPr>
          <w:p w14:paraId="000135B3"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Pr>
          <w:p w14:paraId="4975C0AF"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Pr>
          <w:p w14:paraId="456DDD4E"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w:t>
            </w:r>
          </w:p>
        </w:tc>
      </w:tr>
      <w:tr w:rsidR="00C7198A" w14:paraId="45444186" w14:textId="77777777">
        <w:tc>
          <w:tcPr>
            <w:cnfStyle w:val="001000000000" w:firstRow="0" w:lastRow="0" w:firstColumn="1" w:lastColumn="0" w:oddVBand="0" w:evenVBand="0" w:oddHBand="0" w:evenHBand="0" w:firstRowFirstColumn="0" w:firstRowLastColumn="0" w:lastRowFirstColumn="0" w:lastRowLastColumn="0"/>
            <w:tcW w:w="4534" w:type="dxa"/>
          </w:tcPr>
          <w:p w14:paraId="1A9D2EBF" w14:textId="77777777" w:rsidR="00C7198A" w:rsidRDefault="00C7198A">
            <w:pPr>
              <w:spacing w:after="0"/>
            </w:pPr>
            <w:r>
              <w:rPr>
                <w:b/>
              </w:rPr>
              <w:t>Industry, Innovation, Medical Research and Small Business</w:t>
            </w:r>
          </w:p>
        </w:tc>
        <w:tc>
          <w:tcPr>
            <w:tcW w:w="794" w:type="dxa"/>
            <w:gridSpan w:val="2"/>
          </w:tcPr>
          <w:p w14:paraId="1B170D36"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5E629074"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064CA90E"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45FE3BAD"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p>
        </w:tc>
      </w:tr>
      <w:tr w:rsidR="00C7198A" w14:paraId="7659DED6" w14:textId="77777777">
        <w:tc>
          <w:tcPr>
            <w:cnfStyle w:val="001000000000" w:firstRow="0" w:lastRow="0" w:firstColumn="1" w:lastColumn="0" w:oddVBand="0" w:evenVBand="0" w:oddHBand="0" w:evenHBand="0" w:firstRowFirstColumn="0" w:firstRowLastColumn="0" w:lastRowFirstColumn="0" w:lastRowLastColumn="0"/>
            <w:tcW w:w="4534" w:type="dxa"/>
          </w:tcPr>
          <w:p w14:paraId="66929E2C" w14:textId="77777777" w:rsidR="00C7198A" w:rsidRDefault="00C7198A">
            <w:pPr>
              <w:spacing w:after="0"/>
            </w:pPr>
            <w:r>
              <w:t>COVID</w:t>
            </w:r>
            <w:r>
              <w:noBreakHyphen/>
              <w:t>19 business support program payments</w:t>
            </w:r>
          </w:p>
        </w:tc>
        <w:tc>
          <w:tcPr>
            <w:tcW w:w="794" w:type="dxa"/>
            <w:gridSpan w:val="2"/>
          </w:tcPr>
          <w:p w14:paraId="21CAFECA"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4.2</w:t>
            </w:r>
          </w:p>
        </w:tc>
        <w:tc>
          <w:tcPr>
            <w:tcW w:w="794" w:type="dxa"/>
          </w:tcPr>
          <w:p w14:paraId="039D4814" w14:textId="60AE0B76" w:rsidR="00C7198A" w:rsidRDefault="00573E8F">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Pr>
          <w:p w14:paraId="43E2DFB0" w14:textId="0D376918" w:rsidR="00C7198A" w:rsidRDefault="00573E8F">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Pr>
          <w:p w14:paraId="71AC3428" w14:textId="1E81BF63" w:rsidR="00C7198A" w:rsidRDefault="00573E8F">
            <w:pPr>
              <w:spacing w:after="0"/>
              <w:cnfStyle w:val="000000000000" w:firstRow="0" w:lastRow="0" w:firstColumn="0" w:lastColumn="0" w:oddVBand="0" w:evenVBand="0" w:oddHBand="0" w:evenHBand="0" w:firstRowFirstColumn="0" w:firstRowLastColumn="0" w:lastRowFirstColumn="0" w:lastRowLastColumn="0"/>
            </w:pPr>
            <w:r>
              <w:t>..</w:t>
            </w:r>
          </w:p>
        </w:tc>
      </w:tr>
      <w:tr w:rsidR="00C7198A" w14:paraId="309B4F0D" w14:textId="77777777">
        <w:tc>
          <w:tcPr>
            <w:cnfStyle w:val="001000000000" w:firstRow="0" w:lastRow="0" w:firstColumn="1" w:lastColumn="0" w:oddVBand="0" w:evenVBand="0" w:oddHBand="0" w:evenHBand="0" w:firstRowFirstColumn="0" w:firstRowLastColumn="0" w:lastRowFirstColumn="0" w:lastRowLastColumn="0"/>
            <w:tcW w:w="4534" w:type="dxa"/>
          </w:tcPr>
          <w:p w14:paraId="70C69EC4" w14:textId="77777777" w:rsidR="00C7198A" w:rsidRDefault="00C7198A">
            <w:pPr>
              <w:spacing w:after="0"/>
            </w:pPr>
            <w:r>
              <w:t xml:space="preserve">Cumming Global Centre for Pandemic Therapeutics </w:t>
            </w:r>
            <w:r>
              <w:rPr>
                <w:vertAlign w:val="superscript"/>
              </w:rPr>
              <w:t>(a)</w:t>
            </w:r>
          </w:p>
        </w:tc>
        <w:tc>
          <w:tcPr>
            <w:tcW w:w="794" w:type="dxa"/>
            <w:gridSpan w:val="2"/>
          </w:tcPr>
          <w:p w14:paraId="0EC5BC1E"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6.0</w:t>
            </w:r>
          </w:p>
        </w:tc>
        <w:tc>
          <w:tcPr>
            <w:tcW w:w="794" w:type="dxa"/>
          </w:tcPr>
          <w:p w14:paraId="52CE8890"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6.0</w:t>
            </w:r>
          </w:p>
        </w:tc>
        <w:tc>
          <w:tcPr>
            <w:tcW w:w="794" w:type="dxa"/>
          </w:tcPr>
          <w:p w14:paraId="5859E8F5"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6.0</w:t>
            </w:r>
          </w:p>
        </w:tc>
        <w:tc>
          <w:tcPr>
            <w:tcW w:w="794" w:type="dxa"/>
          </w:tcPr>
          <w:p w14:paraId="0C4AE762"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6.0</w:t>
            </w:r>
          </w:p>
        </w:tc>
      </w:tr>
      <w:tr w:rsidR="00C7198A" w14:paraId="5ADFAA35" w14:textId="77777777">
        <w:tc>
          <w:tcPr>
            <w:cnfStyle w:val="001000000000" w:firstRow="0" w:lastRow="0" w:firstColumn="1" w:lastColumn="0" w:oddVBand="0" w:evenVBand="0" w:oddHBand="0" w:evenHBand="0" w:firstRowFirstColumn="0" w:firstRowLastColumn="0" w:lastRowFirstColumn="0" w:lastRowLastColumn="0"/>
            <w:tcW w:w="4534" w:type="dxa"/>
          </w:tcPr>
          <w:p w14:paraId="51348541" w14:textId="77777777" w:rsidR="00C7198A" w:rsidRDefault="00C7198A">
            <w:pPr>
              <w:spacing w:after="0"/>
            </w:pPr>
            <w:r>
              <w:t xml:space="preserve">Victorian Land Systems Fund </w:t>
            </w:r>
            <w:r>
              <w:rPr>
                <w:vertAlign w:val="superscript"/>
              </w:rPr>
              <w:t>(b)</w:t>
            </w:r>
          </w:p>
        </w:tc>
        <w:tc>
          <w:tcPr>
            <w:tcW w:w="794" w:type="dxa"/>
            <w:gridSpan w:val="2"/>
          </w:tcPr>
          <w:p w14:paraId="66E8FF27"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3.7</w:t>
            </w:r>
          </w:p>
        </w:tc>
        <w:tc>
          <w:tcPr>
            <w:tcW w:w="794" w:type="dxa"/>
          </w:tcPr>
          <w:p w14:paraId="139174A1"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4.3</w:t>
            </w:r>
          </w:p>
        </w:tc>
        <w:tc>
          <w:tcPr>
            <w:tcW w:w="794" w:type="dxa"/>
          </w:tcPr>
          <w:p w14:paraId="4E3408D3"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Pr>
          <w:p w14:paraId="3D43534E"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w:t>
            </w:r>
          </w:p>
        </w:tc>
      </w:tr>
      <w:tr w:rsidR="00C7198A" w14:paraId="7D771746" w14:textId="77777777">
        <w:tc>
          <w:tcPr>
            <w:cnfStyle w:val="001000000000" w:firstRow="0" w:lastRow="0" w:firstColumn="1" w:lastColumn="0" w:oddVBand="0" w:evenVBand="0" w:oddHBand="0" w:evenHBand="0" w:firstRowFirstColumn="0" w:firstRowLastColumn="0" w:lastRowFirstColumn="0" w:lastRowLastColumn="0"/>
            <w:tcW w:w="4534" w:type="dxa"/>
          </w:tcPr>
          <w:p w14:paraId="5191890C" w14:textId="77777777" w:rsidR="00C7198A" w:rsidRDefault="00C7198A">
            <w:pPr>
              <w:spacing w:after="0"/>
            </w:pPr>
            <w:r>
              <w:rPr>
                <w:b/>
              </w:rPr>
              <w:t>Jobs</w:t>
            </w:r>
          </w:p>
        </w:tc>
        <w:tc>
          <w:tcPr>
            <w:tcW w:w="794" w:type="dxa"/>
            <w:gridSpan w:val="2"/>
          </w:tcPr>
          <w:p w14:paraId="57436A60"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5054B69F"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5CEED21E"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50FFB95D"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p>
        </w:tc>
      </w:tr>
      <w:tr w:rsidR="00C7198A" w14:paraId="18BFB00F" w14:textId="77777777">
        <w:tc>
          <w:tcPr>
            <w:cnfStyle w:val="001000000000" w:firstRow="0" w:lastRow="0" w:firstColumn="1" w:lastColumn="0" w:oddVBand="0" w:evenVBand="0" w:oddHBand="0" w:evenHBand="0" w:firstRowFirstColumn="0" w:firstRowLastColumn="0" w:lastRowFirstColumn="0" w:lastRowLastColumn="0"/>
            <w:tcW w:w="4534" w:type="dxa"/>
          </w:tcPr>
          <w:p w14:paraId="5CC4C73F" w14:textId="77777777" w:rsidR="00C7198A" w:rsidRDefault="00C7198A">
            <w:pPr>
              <w:spacing w:after="0"/>
            </w:pPr>
            <w:r>
              <w:t>Delivery of an expanded Victorian Visa Nomination Program</w:t>
            </w:r>
          </w:p>
        </w:tc>
        <w:tc>
          <w:tcPr>
            <w:tcW w:w="794" w:type="dxa"/>
            <w:gridSpan w:val="2"/>
          </w:tcPr>
          <w:p w14:paraId="041CAE9B"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0.8</w:t>
            </w:r>
          </w:p>
        </w:tc>
        <w:tc>
          <w:tcPr>
            <w:tcW w:w="794" w:type="dxa"/>
          </w:tcPr>
          <w:p w14:paraId="5B63274E"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Pr>
          <w:p w14:paraId="05E7C19E"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Pr>
          <w:p w14:paraId="26FB7B8E"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w:t>
            </w:r>
          </w:p>
        </w:tc>
      </w:tr>
      <w:tr w:rsidR="00C7198A" w14:paraId="6183C72A" w14:textId="77777777">
        <w:tc>
          <w:tcPr>
            <w:cnfStyle w:val="001000000000" w:firstRow="0" w:lastRow="0" w:firstColumn="1" w:lastColumn="0" w:oddVBand="0" w:evenVBand="0" w:oddHBand="0" w:evenHBand="0" w:firstRowFirstColumn="0" w:firstRowLastColumn="0" w:lastRowFirstColumn="0" w:lastRowLastColumn="0"/>
            <w:tcW w:w="4534" w:type="dxa"/>
          </w:tcPr>
          <w:p w14:paraId="0CD1EF24" w14:textId="77777777" w:rsidR="00C7198A" w:rsidRDefault="00C7198A">
            <w:pPr>
              <w:spacing w:after="0"/>
            </w:pPr>
            <w:r>
              <w:t>Extension of the Pandemic Leave Disaster Payment</w:t>
            </w:r>
          </w:p>
        </w:tc>
        <w:tc>
          <w:tcPr>
            <w:tcW w:w="794" w:type="dxa"/>
            <w:gridSpan w:val="2"/>
          </w:tcPr>
          <w:p w14:paraId="6CCFFAB0"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101.4</w:t>
            </w:r>
          </w:p>
        </w:tc>
        <w:tc>
          <w:tcPr>
            <w:tcW w:w="794" w:type="dxa"/>
          </w:tcPr>
          <w:p w14:paraId="01D11E23"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Pr>
          <w:p w14:paraId="4E7DE348"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Pr>
          <w:p w14:paraId="4E850E56"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w:t>
            </w:r>
          </w:p>
        </w:tc>
      </w:tr>
      <w:tr w:rsidR="00C7198A" w14:paraId="41395CBD" w14:textId="77777777">
        <w:tc>
          <w:tcPr>
            <w:cnfStyle w:val="001000000000" w:firstRow="0" w:lastRow="0" w:firstColumn="1" w:lastColumn="0" w:oddVBand="0" w:evenVBand="0" w:oddHBand="0" w:evenHBand="0" w:firstRowFirstColumn="0" w:firstRowLastColumn="0" w:lastRowFirstColumn="0" w:lastRowLastColumn="0"/>
            <w:tcW w:w="4534" w:type="dxa"/>
          </w:tcPr>
          <w:p w14:paraId="177C92DE" w14:textId="77777777" w:rsidR="00C7198A" w:rsidRDefault="00C7198A">
            <w:pPr>
              <w:spacing w:after="0"/>
            </w:pPr>
            <w:r>
              <w:rPr>
                <w:b/>
              </w:rPr>
              <w:t>Local Government and Suburban Development</w:t>
            </w:r>
          </w:p>
        </w:tc>
        <w:tc>
          <w:tcPr>
            <w:tcW w:w="794" w:type="dxa"/>
            <w:gridSpan w:val="2"/>
          </w:tcPr>
          <w:p w14:paraId="211B04C0"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2491F2C6"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0E1B522D"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492C3D52"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p>
        </w:tc>
      </w:tr>
      <w:tr w:rsidR="00C7198A" w14:paraId="12C0B541" w14:textId="77777777">
        <w:tc>
          <w:tcPr>
            <w:cnfStyle w:val="001000000000" w:firstRow="0" w:lastRow="0" w:firstColumn="1" w:lastColumn="0" w:oddVBand="0" w:evenVBand="0" w:oddHBand="0" w:evenHBand="0" w:firstRowFirstColumn="0" w:firstRowLastColumn="0" w:lastRowFirstColumn="0" w:lastRowLastColumn="0"/>
            <w:tcW w:w="4534" w:type="dxa"/>
          </w:tcPr>
          <w:p w14:paraId="50A7925B" w14:textId="77777777" w:rsidR="00C7198A" w:rsidRDefault="00C7198A">
            <w:pPr>
              <w:spacing w:after="0"/>
            </w:pPr>
            <w:r>
              <w:t>Digital Literacy for Seniors Program</w:t>
            </w:r>
          </w:p>
        </w:tc>
        <w:tc>
          <w:tcPr>
            <w:tcW w:w="794" w:type="dxa"/>
            <w:gridSpan w:val="2"/>
          </w:tcPr>
          <w:p w14:paraId="47A682C7"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2.0</w:t>
            </w:r>
          </w:p>
        </w:tc>
        <w:tc>
          <w:tcPr>
            <w:tcW w:w="794" w:type="dxa"/>
          </w:tcPr>
          <w:p w14:paraId="59F3DE57"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Pr>
          <w:p w14:paraId="7BA58578"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Pr>
          <w:p w14:paraId="17FE52F1"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w:t>
            </w:r>
          </w:p>
        </w:tc>
      </w:tr>
      <w:tr w:rsidR="00C7198A" w14:paraId="639991FD" w14:textId="77777777">
        <w:tc>
          <w:tcPr>
            <w:cnfStyle w:val="001000000000" w:firstRow="0" w:lastRow="0" w:firstColumn="1" w:lastColumn="0" w:oddVBand="0" w:evenVBand="0" w:oddHBand="0" w:evenHBand="0" w:firstRowFirstColumn="0" w:firstRowLastColumn="0" w:lastRowFirstColumn="0" w:lastRowLastColumn="0"/>
            <w:tcW w:w="4534" w:type="dxa"/>
          </w:tcPr>
          <w:p w14:paraId="05F63FF4" w14:textId="77777777" w:rsidR="00C7198A" w:rsidRDefault="00C7198A">
            <w:pPr>
              <w:spacing w:after="0"/>
            </w:pPr>
            <w:r>
              <w:rPr>
                <w:b/>
              </w:rPr>
              <w:t>Regional Development</w:t>
            </w:r>
          </w:p>
        </w:tc>
        <w:tc>
          <w:tcPr>
            <w:tcW w:w="794" w:type="dxa"/>
            <w:gridSpan w:val="2"/>
          </w:tcPr>
          <w:p w14:paraId="5300361A"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4A2861B4"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0A392391"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4D1617BD"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p>
        </w:tc>
      </w:tr>
      <w:tr w:rsidR="00C7198A" w14:paraId="58C2595E" w14:textId="77777777">
        <w:tc>
          <w:tcPr>
            <w:cnfStyle w:val="001000000000" w:firstRow="0" w:lastRow="0" w:firstColumn="1" w:lastColumn="0" w:oddVBand="0" w:evenVBand="0" w:oddHBand="0" w:evenHBand="0" w:firstRowFirstColumn="0" w:firstRowLastColumn="0" w:lastRowFirstColumn="0" w:lastRowLastColumn="0"/>
            <w:tcW w:w="4534" w:type="dxa"/>
          </w:tcPr>
          <w:p w14:paraId="15827912" w14:textId="77777777" w:rsidR="00C7198A" w:rsidRDefault="00C7198A">
            <w:pPr>
              <w:spacing w:after="0"/>
            </w:pPr>
            <w:r>
              <w:t>Regional Car Parks Fund additional allocation</w:t>
            </w:r>
          </w:p>
        </w:tc>
        <w:tc>
          <w:tcPr>
            <w:tcW w:w="794" w:type="dxa"/>
            <w:gridSpan w:val="2"/>
          </w:tcPr>
          <w:p w14:paraId="496B5911"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Pr>
          <w:p w14:paraId="3644BD7D"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12.2</w:t>
            </w:r>
          </w:p>
        </w:tc>
        <w:tc>
          <w:tcPr>
            <w:tcW w:w="794" w:type="dxa"/>
          </w:tcPr>
          <w:p w14:paraId="062635DC"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7.9</w:t>
            </w:r>
          </w:p>
        </w:tc>
        <w:tc>
          <w:tcPr>
            <w:tcW w:w="794" w:type="dxa"/>
          </w:tcPr>
          <w:p w14:paraId="02ECFD69"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w:t>
            </w:r>
          </w:p>
        </w:tc>
      </w:tr>
      <w:tr w:rsidR="00C7198A" w14:paraId="3F1BA799" w14:textId="77777777">
        <w:tc>
          <w:tcPr>
            <w:cnfStyle w:val="001000000000" w:firstRow="0" w:lastRow="0" w:firstColumn="1" w:lastColumn="0" w:oddVBand="0" w:evenVBand="0" w:oddHBand="0" w:evenHBand="0" w:firstRowFirstColumn="0" w:firstRowLastColumn="0" w:lastRowFirstColumn="0" w:lastRowLastColumn="0"/>
            <w:tcW w:w="4534" w:type="dxa"/>
          </w:tcPr>
          <w:p w14:paraId="32EB5C25" w14:textId="77777777" w:rsidR="00C7198A" w:rsidRDefault="00C7198A">
            <w:pPr>
              <w:spacing w:after="0"/>
            </w:pPr>
            <w:r>
              <w:rPr>
                <w:b/>
              </w:rPr>
              <w:t>Resources</w:t>
            </w:r>
          </w:p>
        </w:tc>
        <w:tc>
          <w:tcPr>
            <w:tcW w:w="794" w:type="dxa"/>
            <w:gridSpan w:val="2"/>
          </w:tcPr>
          <w:p w14:paraId="0A3ABEA0"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0AAFC909"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14C007A2"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25F18F85"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p>
        </w:tc>
      </w:tr>
      <w:tr w:rsidR="00C7198A" w14:paraId="7D38F24D" w14:textId="77777777">
        <w:tc>
          <w:tcPr>
            <w:cnfStyle w:val="001000000000" w:firstRow="0" w:lastRow="0" w:firstColumn="1" w:lastColumn="0" w:oddVBand="0" w:evenVBand="0" w:oddHBand="0" w:evenHBand="0" w:firstRowFirstColumn="0" w:firstRowLastColumn="0" w:lastRowFirstColumn="0" w:lastRowLastColumn="0"/>
            <w:tcW w:w="4534" w:type="dxa"/>
          </w:tcPr>
          <w:p w14:paraId="22F980F6" w14:textId="77777777" w:rsidR="00C7198A" w:rsidRDefault="00C7198A">
            <w:pPr>
              <w:spacing w:after="0"/>
            </w:pPr>
            <w:r>
              <w:t>Mineral licencing</w:t>
            </w:r>
          </w:p>
        </w:tc>
        <w:tc>
          <w:tcPr>
            <w:tcW w:w="794" w:type="dxa"/>
            <w:gridSpan w:val="2"/>
          </w:tcPr>
          <w:p w14:paraId="58D511D1"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1.2</w:t>
            </w:r>
          </w:p>
        </w:tc>
        <w:tc>
          <w:tcPr>
            <w:tcW w:w="794" w:type="dxa"/>
          </w:tcPr>
          <w:p w14:paraId="01195E77"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Pr>
          <w:p w14:paraId="45499F0C"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Pr>
          <w:p w14:paraId="34676275"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w:t>
            </w:r>
          </w:p>
        </w:tc>
      </w:tr>
      <w:tr w:rsidR="00C7198A" w14:paraId="5CD36BEC" w14:textId="77777777">
        <w:tc>
          <w:tcPr>
            <w:cnfStyle w:val="001000000000" w:firstRow="0" w:lastRow="0" w:firstColumn="1" w:lastColumn="0" w:oddVBand="0" w:evenVBand="0" w:oddHBand="0" w:evenHBand="0" w:firstRowFirstColumn="0" w:firstRowLastColumn="0" w:lastRowFirstColumn="0" w:lastRowLastColumn="0"/>
            <w:tcW w:w="4534" w:type="dxa"/>
          </w:tcPr>
          <w:p w14:paraId="0CB45EF9" w14:textId="77777777" w:rsidR="00C7198A" w:rsidRDefault="00C7198A">
            <w:pPr>
              <w:spacing w:after="0"/>
            </w:pPr>
            <w:r>
              <w:rPr>
                <w:b/>
              </w:rPr>
              <w:t>Sport, Recreation and Racing</w:t>
            </w:r>
          </w:p>
        </w:tc>
        <w:tc>
          <w:tcPr>
            <w:tcW w:w="794" w:type="dxa"/>
            <w:gridSpan w:val="2"/>
          </w:tcPr>
          <w:p w14:paraId="7EAC389D"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3004EE26"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4830FF3F"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1ABCECC1"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p>
        </w:tc>
      </w:tr>
      <w:tr w:rsidR="00C7198A" w14:paraId="0C8D1F99" w14:textId="77777777">
        <w:tc>
          <w:tcPr>
            <w:cnfStyle w:val="001000000000" w:firstRow="0" w:lastRow="0" w:firstColumn="1" w:lastColumn="0" w:oddVBand="0" w:evenVBand="0" w:oddHBand="0" w:evenHBand="0" w:firstRowFirstColumn="0" w:firstRowLastColumn="0" w:lastRowFirstColumn="0" w:lastRowLastColumn="0"/>
            <w:tcW w:w="4534" w:type="dxa"/>
          </w:tcPr>
          <w:p w14:paraId="35E02556" w14:textId="77777777" w:rsidR="00C7198A" w:rsidRDefault="00C7198A">
            <w:pPr>
              <w:spacing w:after="0"/>
            </w:pPr>
            <w:r>
              <w:t>MCG Great Southern Stand business case</w:t>
            </w:r>
          </w:p>
        </w:tc>
        <w:tc>
          <w:tcPr>
            <w:tcW w:w="794" w:type="dxa"/>
            <w:gridSpan w:val="2"/>
          </w:tcPr>
          <w:p w14:paraId="73051D98"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2.0</w:t>
            </w:r>
          </w:p>
        </w:tc>
        <w:tc>
          <w:tcPr>
            <w:tcW w:w="794" w:type="dxa"/>
          </w:tcPr>
          <w:p w14:paraId="264D49C1"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Pr>
          <w:p w14:paraId="7E133C90"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Pr>
          <w:p w14:paraId="43075D25"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w:t>
            </w:r>
          </w:p>
        </w:tc>
      </w:tr>
      <w:tr w:rsidR="00C7198A" w14:paraId="4ABBEF01" w14:textId="77777777">
        <w:tc>
          <w:tcPr>
            <w:cnfStyle w:val="001000000000" w:firstRow="0" w:lastRow="0" w:firstColumn="1" w:lastColumn="0" w:oddVBand="0" w:evenVBand="0" w:oddHBand="0" w:evenHBand="0" w:firstRowFirstColumn="0" w:firstRowLastColumn="0" w:lastRowFirstColumn="0" w:lastRowLastColumn="0"/>
            <w:tcW w:w="4534" w:type="dxa"/>
          </w:tcPr>
          <w:p w14:paraId="1D01EB2E" w14:textId="77777777" w:rsidR="00C7198A" w:rsidRDefault="00C7198A">
            <w:pPr>
              <w:spacing w:after="0"/>
            </w:pPr>
            <w:r>
              <w:t>Sporting trusts support</w:t>
            </w:r>
          </w:p>
        </w:tc>
        <w:tc>
          <w:tcPr>
            <w:tcW w:w="794" w:type="dxa"/>
            <w:gridSpan w:val="2"/>
          </w:tcPr>
          <w:p w14:paraId="6DA7F8D5"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5.3</w:t>
            </w:r>
          </w:p>
        </w:tc>
        <w:tc>
          <w:tcPr>
            <w:tcW w:w="794" w:type="dxa"/>
          </w:tcPr>
          <w:p w14:paraId="6001FB43"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Pr>
          <w:p w14:paraId="47112B28"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Pr>
          <w:p w14:paraId="78B173FF"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w:t>
            </w:r>
          </w:p>
        </w:tc>
      </w:tr>
      <w:tr w:rsidR="00C7198A" w14:paraId="017A26A5" w14:textId="77777777">
        <w:tc>
          <w:tcPr>
            <w:cnfStyle w:val="001000000000" w:firstRow="0" w:lastRow="0" w:firstColumn="1" w:lastColumn="0" w:oddVBand="0" w:evenVBand="0" w:oddHBand="0" w:evenHBand="0" w:firstRowFirstColumn="0" w:firstRowLastColumn="0" w:lastRowFirstColumn="0" w:lastRowLastColumn="0"/>
            <w:tcW w:w="4534" w:type="dxa"/>
          </w:tcPr>
          <w:p w14:paraId="26CCCC76" w14:textId="77777777" w:rsidR="00C7198A" w:rsidRDefault="00C7198A">
            <w:pPr>
              <w:spacing w:after="0"/>
            </w:pPr>
            <w:r>
              <w:rPr>
                <w:b/>
              </w:rPr>
              <w:t>Tourism and Major Events</w:t>
            </w:r>
          </w:p>
        </w:tc>
        <w:tc>
          <w:tcPr>
            <w:tcW w:w="794" w:type="dxa"/>
            <w:gridSpan w:val="2"/>
          </w:tcPr>
          <w:p w14:paraId="19CC8F34"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579E8A8B"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7835C95D"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427AF0F1"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p>
        </w:tc>
      </w:tr>
      <w:tr w:rsidR="00C7198A" w14:paraId="61828E7D" w14:textId="77777777">
        <w:tc>
          <w:tcPr>
            <w:cnfStyle w:val="001000000000" w:firstRow="0" w:lastRow="0" w:firstColumn="1" w:lastColumn="0" w:oddVBand="0" w:evenVBand="0" w:oddHBand="0" w:evenHBand="0" w:firstRowFirstColumn="0" w:firstRowLastColumn="0" w:lastRowFirstColumn="0" w:lastRowLastColumn="0"/>
            <w:tcW w:w="4534" w:type="dxa"/>
          </w:tcPr>
          <w:p w14:paraId="46293A4B" w14:textId="77777777" w:rsidR="00C7198A" w:rsidRDefault="00C7198A">
            <w:pPr>
              <w:spacing w:after="0"/>
            </w:pPr>
            <w:r>
              <w:t xml:space="preserve">Formula One Grand Prix </w:t>
            </w:r>
            <w:r>
              <w:rPr>
                <w:vertAlign w:val="superscript"/>
              </w:rPr>
              <w:t>(c)</w:t>
            </w:r>
          </w:p>
        </w:tc>
        <w:tc>
          <w:tcPr>
            <w:tcW w:w="794" w:type="dxa"/>
            <w:gridSpan w:val="2"/>
          </w:tcPr>
          <w:p w14:paraId="36AE2B7C"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nfp</w:t>
            </w:r>
          </w:p>
        </w:tc>
        <w:tc>
          <w:tcPr>
            <w:tcW w:w="794" w:type="dxa"/>
          </w:tcPr>
          <w:p w14:paraId="52C709FD"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nfp</w:t>
            </w:r>
          </w:p>
        </w:tc>
        <w:tc>
          <w:tcPr>
            <w:tcW w:w="794" w:type="dxa"/>
          </w:tcPr>
          <w:p w14:paraId="38D715DD"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nfp</w:t>
            </w:r>
          </w:p>
        </w:tc>
        <w:tc>
          <w:tcPr>
            <w:tcW w:w="794" w:type="dxa"/>
          </w:tcPr>
          <w:p w14:paraId="2E6E88CB"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nfp</w:t>
            </w:r>
          </w:p>
        </w:tc>
      </w:tr>
      <w:tr w:rsidR="00C7198A" w14:paraId="0EEA5BCC" w14:textId="77777777" w:rsidTr="007E0B75">
        <w:tc>
          <w:tcPr>
            <w:cnfStyle w:val="001000000000" w:firstRow="0" w:lastRow="0" w:firstColumn="1" w:lastColumn="0" w:oddVBand="0" w:evenVBand="0" w:oddHBand="0" w:evenHBand="0" w:firstRowFirstColumn="0" w:firstRowLastColumn="0" w:lastRowFirstColumn="0" w:lastRowLastColumn="0"/>
            <w:tcW w:w="4718" w:type="dxa"/>
            <w:gridSpan w:val="2"/>
            <w:tcBorders>
              <w:bottom w:val="single" w:sz="6" w:space="0" w:color="auto"/>
            </w:tcBorders>
          </w:tcPr>
          <w:p w14:paraId="68A13AD5" w14:textId="77777777" w:rsidR="00C7198A" w:rsidRDefault="00C7198A">
            <w:pPr>
              <w:spacing w:after="0"/>
            </w:pPr>
            <w:r>
              <w:t>Geelong Convention and Exhibition Centre budget and operations</w:t>
            </w:r>
          </w:p>
        </w:tc>
        <w:tc>
          <w:tcPr>
            <w:tcW w:w="610" w:type="dxa"/>
            <w:tcBorders>
              <w:bottom w:val="single" w:sz="6" w:space="0" w:color="auto"/>
            </w:tcBorders>
          </w:tcPr>
          <w:p w14:paraId="0C5AED07"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2.1</w:t>
            </w:r>
          </w:p>
        </w:tc>
        <w:tc>
          <w:tcPr>
            <w:tcW w:w="794" w:type="dxa"/>
            <w:tcBorders>
              <w:bottom w:val="single" w:sz="6" w:space="0" w:color="auto"/>
            </w:tcBorders>
          </w:tcPr>
          <w:p w14:paraId="1743CB62"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1EDE3E07"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4EFE5AB3"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t>..</w:t>
            </w:r>
          </w:p>
        </w:tc>
      </w:tr>
      <w:tr w:rsidR="00C7198A" w14:paraId="08CDE599" w14:textId="77777777" w:rsidTr="00D420EF">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bottom w:val="single" w:sz="12" w:space="0" w:color="auto"/>
            </w:tcBorders>
          </w:tcPr>
          <w:p w14:paraId="4FD0619F" w14:textId="77777777" w:rsidR="00C7198A" w:rsidRDefault="00C7198A">
            <w:pPr>
              <w:spacing w:after="0"/>
            </w:pPr>
            <w:r>
              <w:rPr>
                <w:b/>
              </w:rPr>
              <w:t xml:space="preserve">Total output initiatives </w:t>
            </w:r>
            <w:r>
              <w:rPr>
                <w:b/>
                <w:vertAlign w:val="superscript"/>
              </w:rPr>
              <w:t>(d)</w:t>
            </w:r>
          </w:p>
        </w:tc>
        <w:tc>
          <w:tcPr>
            <w:tcW w:w="794" w:type="dxa"/>
            <w:gridSpan w:val="2"/>
            <w:tcBorders>
              <w:top w:val="single" w:sz="6" w:space="0" w:color="auto"/>
              <w:bottom w:val="single" w:sz="12" w:space="0" w:color="auto"/>
            </w:tcBorders>
          </w:tcPr>
          <w:p w14:paraId="083DF9AA"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rPr>
                <w:b/>
              </w:rPr>
              <w:t>153.8</w:t>
            </w:r>
          </w:p>
        </w:tc>
        <w:tc>
          <w:tcPr>
            <w:tcW w:w="794" w:type="dxa"/>
            <w:tcBorders>
              <w:top w:val="single" w:sz="6" w:space="0" w:color="auto"/>
              <w:bottom w:val="single" w:sz="12" w:space="0" w:color="auto"/>
            </w:tcBorders>
          </w:tcPr>
          <w:p w14:paraId="4C9FAD9F"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rPr>
                <w:b/>
              </w:rPr>
              <w:t>27.4</w:t>
            </w:r>
          </w:p>
        </w:tc>
        <w:tc>
          <w:tcPr>
            <w:tcW w:w="794" w:type="dxa"/>
            <w:tcBorders>
              <w:top w:val="single" w:sz="6" w:space="0" w:color="auto"/>
              <w:bottom w:val="single" w:sz="12" w:space="0" w:color="auto"/>
            </w:tcBorders>
          </w:tcPr>
          <w:p w14:paraId="24D495D0" w14:textId="77777777" w:rsidR="00C7198A" w:rsidRDefault="00C7198A">
            <w:pPr>
              <w:spacing w:after="0"/>
              <w:cnfStyle w:val="000000000000" w:firstRow="0" w:lastRow="0" w:firstColumn="0" w:lastColumn="0" w:oddVBand="0" w:evenVBand="0" w:oddHBand="0" w:evenHBand="0" w:firstRowFirstColumn="0" w:firstRowLastColumn="0" w:lastRowFirstColumn="0" w:lastRowLastColumn="0"/>
            </w:pPr>
            <w:r>
              <w:rPr>
                <w:b/>
              </w:rPr>
              <w:t>18.0</w:t>
            </w:r>
          </w:p>
        </w:tc>
        <w:tc>
          <w:tcPr>
            <w:tcW w:w="794" w:type="dxa"/>
            <w:tcBorders>
              <w:top w:val="single" w:sz="6" w:space="0" w:color="auto"/>
              <w:bottom w:val="single" w:sz="12" w:space="0" w:color="auto"/>
            </w:tcBorders>
          </w:tcPr>
          <w:p w14:paraId="0A84195E" w14:textId="5915615B" w:rsidR="00C7198A" w:rsidRDefault="00C7198A">
            <w:pPr>
              <w:spacing w:after="0"/>
              <w:cnfStyle w:val="000000000000" w:firstRow="0" w:lastRow="0" w:firstColumn="0" w:lastColumn="0" w:oddVBand="0" w:evenVBand="0" w:oddHBand="0" w:evenHBand="0" w:firstRowFirstColumn="0" w:firstRowLastColumn="0" w:lastRowFirstColumn="0" w:lastRowLastColumn="0"/>
            </w:pPr>
            <w:r>
              <w:rPr>
                <w:b/>
              </w:rPr>
              <w:t>6.0</w:t>
            </w:r>
          </w:p>
        </w:tc>
      </w:tr>
    </w:tbl>
    <w:p w14:paraId="5DEDC5C5" w14:textId="77777777" w:rsidR="00C7198A" w:rsidRDefault="00C7198A" w:rsidP="007F7047">
      <w:pPr>
        <w:pStyle w:val="Note"/>
      </w:pPr>
      <w:r>
        <w:t xml:space="preserve">Notes: </w:t>
      </w:r>
    </w:p>
    <w:p w14:paraId="05C8F056" w14:textId="602A3929" w:rsidR="00C7198A" w:rsidRDefault="00C7198A" w:rsidP="004653B9">
      <w:pPr>
        <w:pStyle w:val="Note"/>
      </w:pPr>
      <w:r>
        <w:t>(a)</w:t>
      </w:r>
      <w:r w:rsidR="00C94CDC">
        <w:tab/>
      </w:r>
      <w:r w:rsidRPr="003268F9">
        <w:t>Additional funding of $51 million between 2026-27 and 2031-32 brings the total funding for this initiative to $75 million over 10</w:t>
      </w:r>
      <w:r w:rsidR="00C94CDC">
        <w:t> </w:t>
      </w:r>
      <w:r w:rsidRPr="003268F9">
        <w:t>years.</w:t>
      </w:r>
    </w:p>
    <w:p w14:paraId="08B8B796" w14:textId="250C4D0C" w:rsidR="00C7198A" w:rsidRDefault="00C7198A" w:rsidP="004653B9">
      <w:pPr>
        <w:pStyle w:val="Note"/>
      </w:pPr>
      <w:r>
        <w:t>(b)</w:t>
      </w:r>
      <w:r w:rsidR="00C94CDC">
        <w:tab/>
      </w:r>
      <w:r w:rsidRPr="003268F9">
        <w:t>Funding of $2.067 million in 2021-22 was also provided for this initiative, bringing the total funding for this initiative to $10 million.</w:t>
      </w:r>
    </w:p>
    <w:p w14:paraId="3167ACA4" w14:textId="7CF45513" w:rsidR="00C7198A" w:rsidRDefault="00C7198A" w:rsidP="00615081">
      <w:pPr>
        <w:pStyle w:val="Note"/>
      </w:pPr>
      <w:r>
        <w:t>(c)</w:t>
      </w:r>
      <w:r w:rsidR="00C94CDC">
        <w:tab/>
      </w:r>
      <w:r w:rsidRPr="00947F14">
        <w:t>Funding allocation is not reported at this time</w:t>
      </w:r>
      <w:r w:rsidR="00E91D91">
        <w:t xml:space="preserve"> as it includes some elements that are commercial in confidence.</w:t>
      </w:r>
    </w:p>
    <w:p w14:paraId="7156DD6D" w14:textId="599EEF00" w:rsidR="00C7198A" w:rsidRDefault="00C7198A" w:rsidP="00615081">
      <w:pPr>
        <w:pStyle w:val="Note"/>
      </w:pPr>
      <w:r>
        <w:t>(d)</w:t>
      </w:r>
      <w:r w:rsidR="00C94CDC">
        <w:tab/>
      </w:r>
      <w:r w:rsidRPr="00B82015">
        <w:t>Table may not add due to rounding.</w:t>
      </w:r>
      <w:r>
        <w:t xml:space="preserve"> </w:t>
      </w:r>
    </w:p>
    <w:p w14:paraId="2EDD49E1" w14:textId="77777777" w:rsidR="00C94CDC" w:rsidRDefault="00C94CDC" w:rsidP="00C94CDC">
      <w:bookmarkStart w:id="129" w:name="_Hlk115809184"/>
    </w:p>
    <w:p w14:paraId="2C79943D" w14:textId="78354677" w:rsidR="00C7198A" w:rsidRDefault="00C7198A" w:rsidP="00C94CDC">
      <w:pPr>
        <w:pStyle w:val="Heading4"/>
        <w:pageBreakBefore/>
        <w:spacing w:before="140"/>
      </w:pPr>
      <w:r>
        <w:lastRenderedPageBreak/>
        <w:t>Agriculture</w:t>
      </w:r>
    </w:p>
    <w:p w14:paraId="4F38A287" w14:textId="77777777" w:rsidR="00C7198A" w:rsidRPr="00C94CDC" w:rsidRDefault="00C7198A" w:rsidP="00C94CDC">
      <w:pPr>
        <w:pStyle w:val="Heading5"/>
        <w:spacing w:before="120"/>
      </w:pPr>
      <w:r w:rsidRPr="00C94CDC">
        <w:t xml:space="preserve">Emergency animal disease preparedness </w:t>
      </w:r>
    </w:p>
    <w:p w14:paraId="4AC001FD" w14:textId="77777777" w:rsidR="00C7198A" w:rsidRDefault="00C7198A" w:rsidP="000B0726">
      <w:pPr>
        <w:autoSpaceDE w:val="0"/>
        <w:autoSpaceDN w:val="0"/>
        <w:adjustRightInd w:val="0"/>
        <w:spacing w:before="80"/>
      </w:pPr>
      <w:r w:rsidRPr="00565E20">
        <w:t xml:space="preserve">Funding is provided </w:t>
      </w:r>
      <w:r>
        <w:t>to prepare for</w:t>
      </w:r>
      <w:r w:rsidRPr="00565E20">
        <w:t xml:space="preserve"> the increased risk of a significant emergency animal disease</w:t>
      </w:r>
      <w:r>
        <w:t xml:space="preserve"> entering Australia</w:t>
      </w:r>
      <w:r w:rsidRPr="00565E20">
        <w:t>, such as foot‐and‐mouth disease</w:t>
      </w:r>
      <w:r>
        <w:t xml:space="preserve"> and lumpy skin disease</w:t>
      </w:r>
      <w:r w:rsidRPr="00565E20">
        <w:t xml:space="preserve">. This includes </w:t>
      </w:r>
      <w:r w:rsidRPr="00EC530A">
        <w:t xml:space="preserve">workforce, equipment, and capability preparedness and initial capacity in the event of a major </w:t>
      </w:r>
      <w:r>
        <w:t xml:space="preserve">emergency animal disease </w:t>
      </w:r>
      <w:r w:rsidRPr="00EC530A">
        <w:t>outbreak</w:t>
      </w:r>
      <w:r>
        <w:t xml:space="preserve"> </w:t>
      </w:r>
      <w:r w:rsidRPr="00565E20">
        <w:t xml:space="preserve">response </w:t>
      </w:r>
      <w:r>
        <w:t>to mitigate the impact on Victoria’s agriculture sector.</w:t>
      </w:r>
    </w:p>
    <w:p w14:paraId="431924CC" w14:textId="24EB73EB" w:rsidR="00C7198A" w:rsidRPr="000B0726" w:rsidRDefault="00C7198A" w:rsidP="000B0726">
      <w:pPr>
        <w:spacing w:before="80"/>
      </w:pPr>
      <w:r w:rsidRPr="000B0726">
        <w:t xml:space="preserve">This initiative contributes to the Department of Jobs, Precincts and Regions’ </w:t>
      </w:r>
      <w:r w:rsidR="009F52D2">
        <w:br/>
      </w:r>
      <w:r w:rsidRPr="000B0726">
        <w:t>Agriculture output.</w:t>
      </w:r>
    </w:p>
    <w:p w14:paraId="36A57070" w14:textId="77777777" w:rsidR="00C7198A" w:rsidRPr="000B0726" w:rsidRDefault="00C7198A" w:rsidP="007D236E">
      <w:pPr>
        <w:keepNext/>
        <w:spacing w:before="80"/>
        <w:ind w:right="-100"/>
      </w:pPr>
      <w:r w:rsidRPr="000B0726">
        <w:t xml:space="preserve">This initiative contributes to the Department of Environment, Land, Water and Planning’s: </w:t>
      </w:r>
    </w:p>
    <w:p w14:paraId="03D759B9" w14:textId="77777777" w:rsidR="00C7198A" w:rsidRPr="000B0726" w:rsidRDefault="00C7198A" w:rsidP="00C7198A">
      <w:pPr>
        <w:pStyle w:val="ListBullet"/>
        <w:numPr>
          <w:ilvl w:val="0"/>
          <w:numId w:val="44"/>
        </w:numPr>
      </w:pPr>
      <w:r w:rsidRPr="000B0726">
        <w:t>Statutory Activities and Environment Protection output</w:t>
      </w:r>
    </w:p>
    <w:p w14:paraId="7799CA4C" w14:textId="77777777" w:rsidR="00C7198A" w:rsidRPr="000B0726" w:rsidRDefault="00C7198A" w:rsidP="00C7198A">
      <w:pPr>
        <w:pStyle w:val="ListBullet"/>
        <w:numPr>
          <w:ilvl w:val="0"/>
          <w:numId w:val="44"/>
        </w:numPr>
      </w:pPr>
      <w:r w:rsidRPr="000B0726">
        <w:t>Fire and Emergency Management output.</w:t>
      </w:r>
    </w:p>
    <w:bookmarkEnd w:id="129"/>
    <w:p w14:paraId="61F2B95F" w14:textId="77777777" w:rsidR="00C7198A" w:rsidRPr="00C94CDC" w:rsidRDefault="00C7198A" w:rsidP="00C94CDC">
      <w:pPr>
        <w:pStyle w:val="Heading5"/>
        <w:spacing w:before="120"/>
      </w:pPr>
      <w:r w:rsidRPr="00C94CDC">
        <w:t>Supporting attendance at Victoria’s agricultural shows</w:t>
      </w:r>
    </w:p>
    <w:p w14:paraId="37BE63C7" w14:textId="77777777" w:rsidR="00C7198A" w:rsidRDefault="00C7198A" w:rsidP="000B0726">
      <w:r>
        <w:t>Funding is provided to boost COVID-19 support and recovery by allowing children to enjoy free access to the 2022 Melbourne Royal Show and rural and regional events.</w:t>
      </w:r>
    </w:p>
    <w:p w14:paraId="1E06A336" w14:textId="77CAB2E5" w:rsidR="00C7198A" w:rsidRDefault="00C7198A" w:rsidP="000B0726">
      <w:r>
        <w:t xml:space="preserve">This initiative contributes to the Department of Jobs, Precincts and Regions’ </w:t>
      </w:r>
      <w:r w:rsidR="009F52D2">
        <w:br/>
      </w:r>
      <w:r>
        <w:t>Agriculture output.</w:t>
      </w:r>
    </w:p>
    <w:p w14:paraId="7FB000E4" w14:textId="77777777" w:rsidR="00C7198A" w:rsidRPr="00C94CDC" w:rsidRDefault="00C7198A" w:rsidP="00C94CDC">
      <w:pPr>
        <w:pStyle w:val="Heading5"/>
        <w:spacing w:before="120"/>
      </w:pPr>
      <w:r w:rsidRPr="00C94CDC">
        <w:t>Timber worker support</w:t>
      </w:r>
    </w:p>
    <w:p w14:paraId="1E1F2676" w14:textId="77777777" w:rsidR="00C7198A" w:rsidRDefault="00C7198A" w:rsidP="000B0726">
      <w:r w:rsidRPr="000A0422">
        <w:t xml:space="preserve">Funding is provided </w:t>
      </w:r>
      <w:r>
        <w:t>to</w:t>
      </w:r>
      <w:r w:rsidRPr="000A0422">
        <w:t xml:space="preserve"> </w:t>
      </w:r>
      <w:r>
        <w:t xml:space="preserve">support timber workers under the Victorian Forestry Plan. </w:t>
      </w:r>
    </w:p>
    <w:p w14:paraId="2C134B9E" w14:textId="363DE1B2" w:rsidR="00C7198A" w:rsidRDefault="00C7198A" w:rsidP="000B0726">
      <w:r>
        <w:t xml:space="preserve">This initiative contributes to the Department of Jobs, Precincts and Regions’ </w:t>
      </w:r>
      <w:r w:rsidR="009F52D2">
        <w:br/>
      </w:r>
      <w:r>
        <w:t>Agriculture output.</w:t>
      </w:r>
    </w:p>
    <w:p w14:paraId="7B48C290" w14:textId="77777777" w:rsidR="00C7198A" w:rsidRDefault="00C7198A" w:rsidP="00904830">
      <w:pPr>
        <w:pStyle w:val="Heading4"/>
        <w:spacing w:line="259" w:lineRule="auto"/>
      </w:pPr>
      <w:r>
        <w:t>Industry, Innovation, Medical Research and Small Business</w:t>
      </w:r>
    </w:p>
    <w:p w14:paraId="315D0A2C" w14:textId="77777777" w:rsidR="00C7198A" w:rsidRPr="00C94CDC" w:rsidRDefault="00C7198A" w:rsidP="00C94CDC">
      <w:pPr>
        <w:pStyle w:val="Heading5"/>
        <w:spacing w:before="120"/>
      </w:pPr>
      <w:bookmarkStart w:id="130" w:name="_Hlk115812543"/>
      <w:r w:rsidRPr="00C94CDC">
        <w:t>COVID-19 business support program payments</w:t>
      </w:r>
    </w:p>
    <w:p w14:paraId="595BF733" w14:textId="77777777" w:rsidR="00C7198A" w:rsidRDefault="00C7198A" w:rsidP="000B0726">
      <w:r>
        <w:t>Funding is provided to finalise payments relating to COVID-19 business support programs, including grants relating to the State-Commonwealth jointly funded programs.</w:t>
      </w:r>
    </w:p>
    <w:p w14:paraId="382748BA" w14:textId="7F082FB8" w:rsidR="00C7198A" w:rsidRDefault="00C7198A" w:rsidP="000B0726">
      <w:r>
        <w:t xml:space="preserve">This initiative contributes to the Department of Jobs, Precincts and Regions’ </w:t>
      </w:r>
      <w:r w:rsidR="009F52D2">
        <w:br/>
      </w:r>
      <w:r>
        <w:t>Industry, Innovation, Medical Research and Small Business output.</w:t>
      </w:r>
    </w:p>
    <w:p w14:paraId="561DE24F" w14:textId="77777777" w:rsidR="00C7198A" w:rsidRPr="00C94CDC" w:rsidRDefault="00C7198A" w:rsidP="00C94CDC">
      <w:pPr>
        <w:pStyle w:val="Heading5"/>
        <w:spacing w:before="120"/>
      </w:pPr>
      <w:r w:rsidRPr="00C94CDC">
        <w:t>Cumming Global Centre for Pandemic Therapeutics</w:t>
      </w:r>
    </w:p>
    <w:bookmarkEnd w:id="130"/>
    <w:p w14:paraId="537FC943" w14:textId="170213C9" w:rsidR="00C7198A" w:rsidRDefault="00C7198A" w:rsidP="00377F14">
      <w:pPr>
        <w:ind w:right="-128"/>
      </w:pPr>
      <w:r>
        <w:t>Funding is provided to establish the Cumming Global Centre for Pandemic Therapeutics (CGCPT), a global-scale research initiative with a mission to develop platform technologies for the rapid design, testing and scale-up of therapeutic treatments for pathogens of pandemic potential. Embedded within the Doherty Institute and located in the Melbourne Biomedical Precinct, the CGCPT will focus on breakthrough research in emerging, high</w:t>
      </w:r>
      <w:r w:rsidR="009F52D2">
        <w:t> </w:t>
      </w:r>
      <w:r>
        <w:t>potential molecular platforms, and will further strengthen Victoria’s medical research sector by attracting global talent and investment into the state.</w:t>
      </w:r>
    </w:p>
    <w:p w14:paraId="68590400" w14:textId="45BDCEED" w:rsidR="00C7198A" w:rsidRDefault="00C7198A" w:rsidP="000B0726">
      <w:r>
        <w:t xml:space="preserve">This initiative contributes to the Department of Jobs, Precincts and Regions’ </w:t>
      </w:r>
      <w:r w:rsidR="009F52D2">
        <w:br/>
      </w:r>
      <w:r>
        <w:t>Industry, Innovation, Medical Research and Small Business output.</w:t>
      </w:r>
    </w:p>
    <w:p w14:paraId="39FB6D16" w14:textId="77777777" w:rsidR="00C7198A" w:rsidRDefault="00C7198A" w:rsidP="00904830">
      <w:pPr>
        <w:pStyle w:val="Heading5"/>
        <w:spacing w:line="259" w:lineRule="auto"/>
      </w:pPr>
      <w:r>
        <w:lastRenderedPageBreak/>
        <w:t>V</w:t>
      </w:r>
      <w:r w:rsidRPr="6C7008F2">
        <w:rPr>
          <w:szCs w:val="21"/>
        </w:rPr>
        <w:t>ictorian Land Systems Fund</w:t>
      </w:r>
    </w:p>
    <w:p w14:paraId="7D94ACD8" w14:textId="77777777" w:rsidR="00C7198A" w:rsidRDefault="00C7198A" w:rsidP="00377F14">
      <w:pPr>
        <w:keepNext/>
        <w:spacing w:before="100" w:line="259" w:lineRule="auto"/>
      </w:pPr>
      <w:r>
        <w:t xml:space="preserve">Funding is provided for the Victorian Land Systems Fund, which supports supply chain partners of Hanwha Defense Australia and the broader defence supply chain in Victoria. The Supply Chain Investment Program will provide grants for investments that create jobs and stimulate industry growth and recovery within the defence industry. The Supply Chain Uplift Program will assist SMEs to access growth finance, capture industry development opportunities and resolve industry growth impediments. </w:t>
      </w:r>
    </w:p>
    <w:p w14:paraId="4BB7E217" w14:textId="72BBAD12" w:rsidR="00C7198A" w:rsidRDefault="00C7198A" w:rsidP="00B867C3">
      <w:pPr>
        <w:spacing w:before="100" w:line="259" w:lineRule="auto"/>
      </w:pPr>
      <w:r>
        <w:t xml:space="preserve">This initiative contributes to the Department of Jobs, Precincts and Regions’ </w:t>
      </w:r>
      <w:r w:rsidR="009F52D2">
        <w:br/>
      </w:r>
      <w:r>
        <w:t>Industry, Innovation, Medical Research and Small Business output.</w:t>
      </w:r>
    </w:p>
    <w:p w14:paraId="68695D80" w14:textId="77777777" w:rsidR="00C7198A" w:rsidRDefault="00C7198A" w:rsidP="00904830">
      <w:pPr>
        <w:pStyle w:val="Heading4"/>
        <w:spacing w:line="259" w:lineRule="auto"/>
      </w:pPr>
      <w:r>
        <w:t>Jobs</w:t>
      </w:r>
    </w:p>
    <w:p w14:paraId="2D34ECD7" w14:textId="77777777" w:rsidR="00C7198A" w:rsidRDefault="00C7198A" w:rsidP="00904830">
      <w:pPr>
        <w:pStyle w:val="Heading5"/>
      </w:pPr>
      <w:r>
        <w:t>Delivery of an expanded Victorian Visa Nomination Program</w:t>
      </w:r>
    </w:p>
    <w:p w14:paraId="626EB8D0" w14:textId="77777777" w:rsidR="00C7198A" w:rsidRDefault="00C7198A" w:rsidP="000B0726">
      <w:r>
        <w:t>Funding is provided to enable higher processing capacity in the Victorian Visa Nomination Program to support increased nominated skilled visa places in Victoria in 2022</w:t>
      </w:r>
      <w:r>
        <w:noBreakHyphen/>
        <w:t>23.</w:t>
      </w:r>
    </w:p>
    <w:p w14:paraId="4CB4F30E" w14:textId="77777777" w:rsidR="00C7198A" w:rsidRDefault="00C7198A" w:rsidP="000B0726">
      <w:r>
        <w:t>This initiative contributes to the Department of Jobs, Precincts and Regions’ Jobs output.</w:t>
      </w:r>
    </w:p>
    <w:p w14:paraId="54DD44B7" w14:textId="77777777" w:rsidR="00C7198A" w:rsidRDefault="00C7198A" w:rsidP="006E3B9F">
      <w:pPr>
        <w:pStyle w:val="Heading5"/>
      </w:pPr>
      <w:r w:rsidRPr="006E3B9F">
        <w:t>Extension of the Pandemic Leave Disaster Payment</w:t>
      </w:r>
    </w:p>
    <w:p w14:paraId="47A1F825" w14:textId="77777777" w:rsidR="00C7198A" w:rsidRDefault="00C7198A" w:rsidP="000B0726">
      <w:r>
        <w:t>Funding is provided for Victoria’s 50 per cent contribution to financial assistance provided through the Commonwealth-administered Pandemic Leave Disaster Payment program from 1 July 2022. This program supports workers who are unable to earn an income because they, or someone they are caring for, must self-isolate or quarantine.</w:t>
      </w:r>
    </w:p>
    <w:p w14:paraId="2BB99137" w14:textId="77777777" w:rsidR="00C7198A" w:rsidRDefault="00C7198A" w:rsidP="000B0726">
      <w:r>
        <w:t>This initiative contributes to the Department of Jobs, Precincts and Regions’ Jobs output.</w:t>
      </w:r>
    </w:p>
    <w:p w14:paraId="0904A26E" w14:textId="77777777" w:rsidR="00C7198A" w:rsidRDefault="00C7198A" w:rsidP="00904830">
      <w:pPr>
        <w:pStyle w:val="Heading4"/>
      </w:pPr>
      <w:r w:rsidRPr="00471D04">
        <w:t>Local Government and Suburban Development</w:t>
      </w:r>
    </w:p>
    <w:p w14:paraId="11D81953" w14:textId="77777777" w:rsidR="00C7198A" w:rsidRPr="00CE6557" w:rsidRDefault="00C7198A" w:rsidP="006E3B9F">
      <w:pPr>
        <w:pStyle w:val="Heading5"/>
      </w:pPr>
      <w:r w:rsidRPr="00BA5944">
        <w:t xml:space="preserve">Digital Literacy for Seniors </w:t>
      </w:r>
      <w:r w:rsidRPr="006E3B9F">
        <w:t>Program</w:t>
      </w:r>
    </w:p>
    <w:p w14:paraId="2A5043F2" w14:textId="77777777" w:rsidR="00C7198A" w:rsidRDefault="00C7198A" w:rsidP="000B0726">
      <w:r>
        <w:t>Funding is provided to support the delivery of digital training programs in Victoria’s public libraries for Victorians aged over 60 years during 2023. Grants will be made available for the resourcing and equipment required to deliver training programs.</w:t>
      </w:r>
    </w:p>
    <w:p w14:paraId="644B56A1" w14:textId="3D294152" w:rsidR="00C7198A" w:rsidRDefault="00C7198A" w:rsidP="000B0726">
      <w:r>
        <w:t xml:space="preserve">This initiative contributes to the Department of Jobs, Precincts and Regions’ </w:t>
      </w:r>
      <w:r w:rsidR="009F52D2">
        <w:br/>
      </w:r>
      <w:r>
        <w:t xml:space="preserve">Local Government and Suburban Development output. </w:t>
      </w:r>
    </w:p>
    <w:p w14:paraId="394755C6" w14:textId="77777777" w:rsidR="00C7198A" w:rsidRDefault="00C7198A" w:rsidP="00904830">
      <w:pPr>
        <w:pStyle w:val="Heading4"/>
      </w:pPr>
      <w:r>
        <w:t>Regional Development</w:t>
      </w:r>
    </w:p>
    <w:p w14:paraId="00B26D5E" w14:textId="77777777" w:rsidR="00C7198A" w:rsidRDefault="00C7198A" w:rsidP="00C87B3E">
      <w:pPr>
        <w:pStyle w:val="Heading5"/>
      </w:pPr>
      <w:r>
        <w:t>Regional Car Parks Fund additional allocation</w:t>
      </w:r>
    </w:p>
    <w:p w14:paraId="581A59DB" w14:textId="77777777" w:rsidR="00C7198A" w:rsidRDefault="00C7198A" w:rsidP="003268F9">
      <w:r>
        <w:t>Funding is provided to support the delivery of 2 000 car parking spaces in high-demand locations in regional Victoria.</w:t>
      </w:r>
    </w:p>
    <w:p w14:paraId="05F614EF" w14:textId="77777777" w:rsidR="00C7198A" w:rsidRDefault="00C7198A" w:rsidP="003268F9">
      <w:r>
        <w:t xml:space="preserve">This initiative contributes to the delivery of the Government’s election commitment as published in </w:t>
      </w:r>
      <w:r w:rsidRPr="00C87B3E">
        <w:t>Labor’s Financial Statement 2018</w:t>
      </w:r>
      <w:r>
        <w:t>.</w:t>
      </w:r>
    </w:p>
    <w:p w14:paraId="4C8DC2C1" w14:textId="1DB829D3" w:rsidR="00C7198A" w:rsidRPr="00C87B3E" w:rsidRDefault="00C7198A" w:rsidP="00C87B3E">
      <w:r>
        <w:t xml:space="preserve">This initiative contributes to the Department of Jobs, Precincts and Regions’ </w:t>
      </w:r>
      <w:r w:rsidR="009F52D2">
        <w:br/>
      </w:r>
      <w:r>
        <w:t>Regional Development output.</w:t>
      </w:r>
    </w:p>
    <w:p w14:paraId="75754D36" w14:textId="77777777" w:rsidR="00C7198A" w:rsidRDefault="00C7198A" w:rsidP="00904830">
      <w:pPr>
        <w:pStyle w:val="Heading4"/>
      </w:pPr>
      <w:r>
        <w:lastRenderedPageBreak/>
        <w:t>Resources</w:t>
      </w:r>
    </w:p>
    <w:p w14:paraId="30200E6C" w14:textId="77777777" w:rsidR="00C7198A" w:rsidRPr="006E3B9F" w:rsidRDefault="00C7198A" w:rsidP="006E3B9F">
      <w:pPr>
        <w:pStyle w:val="Heading5"/>
      </w:pPr>
      <w:r w:rsidRPr="006E3B9F">
        <w:t>Mineral licencing</w:t>
      </w:r>
    </w:p>
    <w:p w14:paraId="58D61E2C" w14:textId="77777777" w:rsidR="00C7198A" w:rsidRPr="00565E20" w:rsidRDefault="00C7198A" w:rsidP="00904830">
      <w:pPr>
        <w:autoSpaceDE w:val="0"/>
        <w:autoSpaceDN w:val="0"/>
        <w:adjustRightInd w:val="0"/>
      </w:pPr>
      <w:r>
        <w:t xml:space="preserve">Funding is provided to address the demand for mineral licencing across Victoria. These licences cover the exploration, retention, prospecting, and mining of Victorian minerals contributing to increased investment and jobs within Victoria’s resources sector.  </w:t>
      </w:r>
    </w:p>
    <w:p w14:paraId="29506F21" w14:textId="781B9FAD" w:rsidR="00C7198A" w:rsidRDefault="00C7198A" w:rsidP="00904830">
      <w:pPr>
        <w:autoSpaceDE w:val="0"/>
        <w:autoSpaceDN w:val="0"/>
        <w:adjustRightInd w:val="0"/>
      </w:pPr>
      <w:r>
        <w:t xml:space="preserve">This initiative contributes to the Department of Jobs, Precincts and Regions’ </w:t>
      </w:r>
      <w:r w:rsidR="009F52D2">
        <w:br/>
      </w:r>
      <w:r>
        <w:t>Resources output.</w:t>
      </w:r>
    </w:p>
    <w:p w14:paraId="0DC4031B" w14:textId="77777777" w:rsidR="00C7198A" w:rsidRDefault="00C7198A" w:rsidP="00904830">
      <w:pPr>
        <w:pStyle w:val="Heading4"/>
      </w:pPr>
      <w:r>
        <w:t>Sport, Recreation and Racing</w:t>
      </w:r>
    </w:p>
    <w:p w14:paraId="33B7EC8A" w14:textId="77777777" w:rsidR="00C7198A" w:rsidRPr="006E3B9F" w:rsidRDefault="00C7198A" w:rsidP="006E3B9F">
      <w:pPr>
        <w:pStyle w:val="Heading5"/>
      </w:pPr>
      <w:r w:rsidRPr="006E3B9F">
        <w:t>MCG Great Southern Stand business case</w:t>
      </w:r>
    </w:p>
    <w:p w14:paraId="31FA39C8" w14:textId="77777777" w:rsidR="00C7198A" w:rsidRPr="0094157B" w:rsidRDefault="00C7198A" w:rsidP="00904830">
      <w:pPr>
        <w:spacing w:line="259" w:lineRule="auto"/>
      </w:pPr>
      <w:r>
        <w:t xml:space="preserve">Funding is provided to </w:t>
      </w:r>
      <w:r w:rsidRPr="00E5410A">
        <w:t>support the development of a business case to consider potential redevelopment options for the MCG</w:t>
      </w:r>
      <w:r>
        <w:t>.</w:t>
      </w:r>
    </w:p>
    <w:p w14:paraId="67878AB7" w14:textId="56C9972C" w:rsidR="00C7198A" w:rsidRDefault="00C7198A" w:rsidP="00904830">
      <w:pPr>
        <w:autoSpaceDE w:val="0"/>
        <w:autoSpaceDN w:val="0"/>
        <w:adjustRightInd w:val="0"/>
      </w:pPr>
      <w:r>
        <w:t xml:space="preserve">This initiative contributes to the Department of Jobs, Precincts and Regions’ </w:t>
      </w:r>
      <w:r w:rsidR="009F52D2">
        <w:br/>
      </w:r>
      <w:r>
        <w:t>Sport, Recreation and Racing output.</w:t>
      </w:r>
    </w:p>
    <w:p w14:paraId="55E17F3F" w14:textId="77777777" w:rsidR="00C7198A" w:rsidRPr="006E3B9F" w:rsidRDefault="00C7198A" w:rsidP="006E3B9F">
      <w:pPr>
        <w:pStyle w:val="Heading5"/>
      </w:pPr>
      <w:r w:rsidRPr="006E3B9F">
        <w:t>Sporting trusts support</w:t>
      </w:r>
    </w:p>
    <w:p w14:paraId="46DB7BE3" w14:textId="77777777" w:rsidR="00C7198A" w:rsidRPr="0094157B" w:rsidRDefault="00C7198A" w:rsidP="000B0726">
      <w:r>
        <w:t>Funding is provided to support the State Sport Centres Trust and the Kardinia Park Stadium Trust to continue operations and undertake asset renewals in 2022-23.</w:t>
      </w:r>
    </w:p>
    <w:p w14:paraId="6D2C91CC" w14:textId="0EB95F69" w:rsidR="00C7198A" w:rsidRDefault="00C7198A" w:rsidP="000B0726">
      <w:r>
        <w:t xml:space="preserve">This initiative contributes to the Department of Jobs, Precincts and Regions’ </w:t>
      </w:r>
      <w:r w:rsidR="009F52D2">
        <w:br/>
      </w:r>
      <w:r>
        <w:t>Sport, Recreation and Racing output.</w:t>
      </w:r>
    </w:p>
    <w:p w14:paraId="61E2333F" w14:textId="77777777" w:rsidR="00C7198A" w:rsidRDefault="00C7198A" w:rsidP="00904830">
      <w:pPr>
        <w:pStyle w:val="Heading4"/>
        <w:spacing w:line="259" w:lineRule="auto"/>
      </w:pPr>
      <w:r>
        <w:t>Tourism and Major Events</w:t>
      </w:r>
    </w:p>
    <w:p w14:paraId="3DD4E6B5" w14:textId="77777777" w:rsidR="00C7198A" w:rsidRPr="008C6DAC" w:rsidRDefault="00C7198A" w:rsidP="001F2044">
      <w:pPr>
        <w:pStyle w:val="Heading5"/>
      </w:pPr>
      <w:r w:rsidRPr="008C6DAC">
        <w:t xml:space="preserve">Formula One Grand Prix </w:t>
      </w:r>
    </w:p>
    <w:p w14:paraId="2BA37A08" w14:textId="77777777" w:rsidR="00C7198A" w:rsidRDefault="00C7198A" w:rsidP="00DD0EDB">
      <w:r>
        <w:t>Funding is provided to secure the extension of the Australian Formula One Grand Prix in Victoria until 2035.</w:t>
      </w:r>
    </w:p>
    <w:p w14:paraId="398D5B4D" w14:textId="77777777" w:rsidR="00C7198A" w:rsidRPr="006E3B9F" w:rsidRDefault="00C7198A" w:rsidP="006E3B9F">
      <w:pPr>
        <w:pStyle w:val="Heading5"/>
      </w:pPr>
      <w:r w:rsidRPr="006E3B9F">
        <w:t>Geelong Convention and Exhibition Centre budget and operations</w:t>
      </w:r>
    </w:p>
    <w:p w14:paraId="7EF45D01" w14:textId="77777777" w:rsidR="00C7198A" w:rsidRDefault="00C7198A" w:rsidP="00904830">
      <w:pPr>
        <w:spacing w:line="259" w:lineRule="auto"/>
      </w:pPr>
      <w:r>
        <w:t>Funding is provided to the Melbourne Convention and Exhibition Trust (MCET) and the Department of Jobs, Precincts and Regions to support the future operation of the Geelong Convention and Exhibition Centre. This will support MCET to establish temporary office space in Geelong and meet other project costs, including staff recruitment.</w:t>
      </w:r>
    </w:p>
    <w:p w14:paraId="7FA0ECDD" w14:textId="788DEC40" w:rsidR="00C7198A" w:rsidRDefault="00C7198A" w:rsidP="00904830">
      <w:pPr>
        <w:spacing w:line="259" w:lineRule="auto"/>
      </w:pPr>
      <w:r>
        <w:t xml:space="preserve">This initiative contributes to the Department of Jobs, Precincts and Regions’ </w:t>
      </w:r>
      <w:r w:rsidR="009F52D2">
        <w:br/>
      </w:r>
      <w:r>
        <w:t>Tourism and Major Events output.</w:t>
      </w:r>
    </w:p>
    <w:p w14:paraId="5BABE414" w14:textId="77777777" w:rsidR="00C7198A" w:rsidRDefault="00C7198A">
      <w:pPr>
        <w:keepLines w:val="0"/>
      </w:pPr>
      <w:r>
        <w:br w:type="page"/>
      </w:r>
    </w:p>
    <w:p w14:paraId="6C59AE9A" w14:textId="77777777" w:rsidR="00C7198A" w:rsidRDefault="00C7198A" w:rsidP="00CE3D58">
      <w:pPr>
        <w:pStyle w:val="Heading20"/>
      </w:pPr>
      <w:r>
        <w:lastRenderedPageBreak/>
        <w:t xml:space="preserve">Asset </w:t>
      </w:r>
      <w:r w:rsidRPr="00CE3D58">
        <w:t>initiatives</w:t>
      </w:r>
    </w:p>
    <w:p w14:paraId="478C33E5" w14:textId="354F6A46" w:rsidR="00C7198A" w:rsidRDefault="00C7198A" w:rsidP="008E3E8A">
      <w:pPr>
        <w:pStyle w:val="TableHeading"/>
      </w:pPr>
      <w:r>
        <w:t>Table A.</w:t>
      </w:r>
      <w:r w:rsidR="00993A31">
        <w:t>10</w:t>
      </w:r>
      <w:r>
        <w:t>:</w:t>
      </w:r>
      <w:r>
        <w:tab/>
        <w:t xml:space="preserve">Asset initiatives – Department of Jobs, Precincts and Regions </w:t>
      </w:r>
      <w:r>
        <w:tab/>
        <w:t>($ million)</w:t>
      </w:r>
    </w:p>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C7198A" w14:paraId="0D4DDEAC" w14:textId="77777777" w:rsidTr="00D420E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68AFAC09" w14:textId="2BAB8023" w:rsidR="00C7198A" w:rsidRDefault="00C7198A"/>
        </w:tc>
        <w:tc>
          <w:tcPr>
            <w:tcW w:w="794" w:type="dxa"/>
            <w:tcBorders>
              <w:top w:val="single" w:sz="6" w:space="0" w:color="auto"/>
              <w:bottom w:val="single" w:sz="6" w:space="0" w:color="auto"/>
            </w:tcBorders>
          </w:tcPr>
          <w:p w14:paraId="3667B8ED" w14:textId="77777777" w:rsidR="00C7198A" w:rsidRDefault="00C7198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Borders>
              <w:top w:val="single" w:sz="6" w:space="0" w:color="auto"/>
              <w:bottom w:val="single" w:sz="6" w:space="0" w:color="auto"/>
            </w:tcBorders>
          </w:tcPr>
          <w:p w14:paraId="442E25E7" w14:textId="77777777" w:rsidR="00C7198A" w:rsidRDefault="00C7198A">
            <w:pPr>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Borders>
              <w:top w:val="single" w:sz="6" w:space="0" w:color="auto"/>
              <w:bottom w:val="single" w:sz="6" w:space="0" w:color="auto"/>
            </w:tcBorders>
          </w:tcPr>
          <w:p w14:paraId="3970E589" w14:textId="77777777" w:rsidR="00C7198A" w:rsidRDefault="00C7198A">
            <w:pPr>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Borders>
              <w:top w:val="single" w:sz="6" w:space="0" w:color="auto"/>
              <w:bottom w:val="single" w:sz="6" w:space="0" w:color="auto"/>
            </w:tcBorders>
          </w:tcPr>
          <w:p w14:paraId="3B2291B6" w14:textId="77777777" w:rsidR="00C7198A" w:rsidRDefault="00C7198A">
            <w:pPr>
              <w:cnfStyle w:val="100000000000" w:firstRow="1" w:lastRow="0" w:firstColumn="0" w:lastColumn="0" w:oddVBand="0" w:evenVBand="0" w:oddHBand="0" w:evenHBand="0" w:firstRowFirstColumn="0" w:firstRowLastColumn="0" w:lastRowFirstColumn="0" w:lastRowLastColumn="0"/>
            </w:pPr>
            <w:r>
              <w:t>2025</w:t>
            </w:r>
            <w:r>
              <w:noBreakHyphen/>
              <w:t>26</w:t>
            </w:r>
          </w:p>
        </w:tc>
        <w:tc>
          <w:tcPr>
            <w:tcW w:w="794" w:type="dxa"/>
            <w:tcBorders>
              <w:top w:val="single" w:sz="6" w:space="0" w:color="auto"/>
              <w:bottom w:val="single" w:sz="6" w:space="0" w:color="auto"/>
            </w:tcBorders>
          </w:tcPr>
          <w:p w14:paraId="383CBDE5" w14:textId="77777777" w:rsidR="00C7198A" w:rsidRDefault="00C7198A">
            <w:pPr>
              <w:cnfStyle w:val="100000000000" w:firstRow="1" w:lastRow="0" w:firstColumn="0" w:lastColumn="0" w:oddVBand="0" w:evenVBand="0" w:oddHBand="0" w:evenHBand="0" w:firstRowFirstColumn="0" w:firstRowLastColumn="0" w:lastRowFirstColumn="0" w:lastRowLastColumn="0"/>
            </w:pPr>
            <w:r>
              <w:t>TEI</w:t>
            </w:r>
          </w:p>
        </w:tc>
      </w:tr>
      <w:tr w:rsidR="00C7198A" w14:paraId="6B13CC82" w14:textId="77777777" w:rsidTr="00D420E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7F643636" w14:textId="77777777" w:rsidR="00C7198A" w:rsidRDefault="00C7198A">
            <w:r>
              <w:rPr>
                <w:b/>
              </w:rPr>
              <w:t>Agriculture</w:t>
            </w:r>
          </w:p>
        </w:tc>
        <w:tc>
          <w:tcPr>
            <w:tcW w:w="794" w:type="dxa"/>
            <w:tcBorders>
              <w:top w:val="single" w:sz="6" w:space="0" w:color="auto"/>
            </w:tcBorders>
          </w:tcPr>
          <w:p w14:paraId="4280ABA1"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5D451C9F"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F67F77F"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128EA705"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05AA232B"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r>
      <w:tr w:rsidR="00C7198A" w14:paraId="6BADCFA1" w14:textId="77777777">
        <w:tc>
          <w:tcPr>
            <w:cnfStyle w:val="001000000000" w:firstRow="0" w:lastRow="0" w:firstColumn="1" w:lastColumn="0" w:oddVBand="0" w:evenVBand="0" w:oddHBand="0" w:evenHBand="0" w:firstRowFirstColumn="0" w:firstRowLastColumn="0" w:lastRowFirstColumn="0" w:lastRowLastColumn="0"/>
            <w:tcW w:w="3740" w:type="dxa"/>
          </w:tcPr>
          <w:p w14:paraId="719997A7" w14:textId="77777777" w:rsidR="00C7198A" w:rsidRDefault="00C7198A">
            <w:r>
              <w:t>Emergency animal disease preparedness</w:t>
            </w:r>
          </w:p>
        </w:tc>
        <w:tc>
          <w:tcPr>
            <w:tcW w:w="794" w:type="dxa"/>
          </w:tcPr>
          <w:p w14:paraId="2C5BC865" w14:textId="77777777" w:rsidR="00C7198A" w:rsidRDefault="00C7198A">
            <w:pPr>
              <w:cnfStyle w:val="000000000000" w:firstRow="0" w:lastRow="0" w:firstColumn="0" w:lastColumn="0" w:oddVBand="0" w:evenVBand="0" w:oddHBand="0" w:evenHBand="0" w:firstRowFirstColumn="0" w:firstRowLastColumn="0" w:lastRowFirstColumn="0" w:lastRowLastColumn="0"/>
            </w:pPr>
            <w:r>
              <w:t>3.7</w:t>
            </w:r>
          </w:p>
        </w:tc>
        <w:tc>
          <w:tcPr>
            <w:tcW w:w="794" w:type="dxa"/>
          </w:tcPr>
          <w:p w14:paraId="5823A5BA" w14:textId="77777777" w:rsidR="00C7198A" w:rsidRDefault="00C7198A">
            <w:pPr>
              <w:cnfStyle w:val="000000000000" w:firstRow="0" w:lastRow="0" w:firstColumn="0" w:lastColumn="0" w:oddVBand="0" w:evenVBand="0" w:oddHBand="0" w:evenHBand="0" w:firstRowFirstColumn="0" w:firstRowLastColumn="0" w:lastRowFirstColumn="0" w:lastRowLastColumn="0"/>
            </w:pPr>
            <w:r>
              <w:t>0.3</w:t>
            </w:r>
          </w:p>
        </w:tc>
        <w:tc>
          <w:tcPr>
            <w:tcW w:w="794" w:type="dxa"/>
          </w:tcPr>
          <w:p w14:paraId="6A99C502"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2827C1E8"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1846B581" w14:textId="77777777" w:rsidR="00C7198A" w:rsidRDefault="00C7198A">
            <w:pPr>
              <w:cnfStyle w:val="000000000000" w:firstRow="0" w:lastRow="0" w:firstColumn="0" w:lastColumn="0" w:oddVBand="0" w:evenVBand="0" w:oddHBand="0" w:evenHBand="0" w:firstRowFirstColumn="0" w:firstRowLastColumn="0" w:lastRowFirstColumn="0" w:lastRowLastColumn="0"/>
            </w:pPr>
            <w:r>
              <w:t>4.0</w:t>
            </w:r>
          </w:p>
        </w:tc>
      </w:tr>
      <w:tr w:rsidR="00C7198A" w14:paraId="1CC4CDE6" w14:textId="77777777">
        <w:tc>
          <w:tcPr>
            <w:cnfStyle w:val="001000000000" w:firstRow="0" w:lastRow="0" w:firstColumn="1" w:lastColumn="0" w:oddVBand="0" w:evenVBand="0" w:oddHBand="0" w:evenHBand="0" w:firstRowFirstColumn="0" w:firstRowLastColumn="0" w:lastRowFirstColumn="0" w:lastRowLastColumn="0"/>
            <w:tcW w:w="3740" w:type="dxa"/>
          </w:tcPr>
          <w:p w14:paraId="0603556B" w14:textId="758B1268" w:rsidR="00C7198A" w:rsidRDefault="00C7198A">
            <w:r>
              <w:rPr>
                <w:b/>
              </w:rPr>
              <w:t xml:space="preserve">Industry, Innovation, Medical Research and </w:t>
            </w:r>
            <w:r w:rsidR="007E0B75">
              <w:rPr>
                <w:b/>
              </w:rPr>
              <w:br/>
            </w:r>
            <w:r>
              <w:rPr>
                <w:b/>
              </w:rPr>
              <w:t>Small Business</w:t>
            </w:r>
          </w:p>
        </w:tc>
        <w:tc>
          <w:tcPr>
            <w:tcW w:w="794" w:type="dxa"/>
          </w:tcPr>
          <w:p w14:paraId="48F09C26"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51A33313"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7CEB2E80"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6563D318"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41A61D74"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r>
      <w:tr w:rsidR="00C7198A" w14:paraId="03A743DA" w14:textId="77777777" w:rsidTr="00D420E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451BB377" w14:textId="6B97D09D" w:rsidR="00C7198A" w:rsidRDefault="00C7198A">
            <w:r>
              <w:t xml:space="preserve">Purchase of </w:t>
            </w:r>
            <w:r w:rsidR="00E16CD5">
              <w:t xml:space="preserve">a site on </w:t>
            </w:r>
            <w:r>
              <w:t xml:space="preserve">Poplar Road, Parkville </w:t>
            </w:r>
            <w:r>
              <w:rPr>
                <w:vertAlign w:val="superscript"/>
              </w:rPr>
              <w:t>(a)</w:t>
            </w:r>
          </w:p>
        </w:tc>
        <w:tc>
          <w:tcPr>
            <w:tcW w:w="794" w:type="dxa"/>
            <w:tcBorders>
              <w:bottom w:val="single" w:sz="6" w:space="0" w:color="auto"/>
            </w:tcBorders>
          </w:tcPr>
          <w:p w14:paraId="52C0BDF0" w14:textId="77777777" w:rsidR="00C7198A" w:rsidRDefault="00C7198A">
            <w:pPr>
              <w:cnfStyle w:val="000000000000" w:firstRow="0" w:lastRow="0" w:firstColumn="0" w:lastColumn="0" w:oddVBand="0" w:evenVBand="0" w:oddHBand="0" w:evenHBand="0" w:firstRowFirstColumn="0" w:firstRowLastColumn="0" w:lastRowFirstColumn="0" w:lastRowLastColumn="0"/>
            </w:pPr>
            <w:r>
              <w:t>tbc</w:t>
            </w:r>
          </w:p>
        </w:tc>
        <w:tc>
          <w:tcPr>
            <w:tcW w:w="794" w:type="dxa"/>
            <w:tcBorders>
              <w:bottom w:val="single" w:sz="6" w:space="0" w:color="auto"/>
            </w:tcBorders>
          </w:tcPr>
          <w:p w14:paraId="474374A2" w14:textId="77777777" w:rsidR="00C7198A" w:rsidRDefault="00C7198A">
            <w:pPr>
              <w:cnfStyle w:val="000000000000" w:firstRow="0" w:lastRow="0" w:firstColumn="0" w:lastColumn="0" w:oddVBand="0" w:evenVBand="0" w:oddHBand="0" w:evenHBand="0" w:firstRowFirstColumn="0" w:firstRowLastColumn="0" w:lastRowFirstColumn="0" w:lastRowLastColumn="0"/>
            </w:pPr>
            <w:r>
              <w:t>tbc</w:t>
            </w:r>
          </w:p>
        </w:tc>
        <w:tc>
          <w:tcPr>
            <w:tcW w:w="794" w:type="dxa"/>
            <w:tcBorders>
              <w:bottom w:val="single" w:sz="6" w:space="0" w:color="auto"/>
            </w:tcBorders>
          </w:tcPr>
          <w:p w14:paraId="01DE3988" w14:textId="77777777" w:rsidR="00C7198A" w:rsidRDefault="00C7198A">
            <w:pPr>
              <w:cnfStyle w:val="000000000000" w:firstRow="0" w:lastRow="0" w:firstColumn="0" w:lastColumn="0" w:oddVBand="0" w:evenVBand="0" w:oddHBand="0" w:evenHBand="0" w:firstRowFirstColumn="0" w:firstRowLastColumn="0" w:lastRowFirstColumn="0" w:lastRowLastColumn="0"/>
            </w:pPr>
            <w:r>
              <w:t>tbc</w:t>
            </w:r>
          </w:p>
        </w:tc>
        <w:tc>
          <w:tcPr>
            <w:tcW w:w="794" w:type="dxa"/>
            <w:tcBorders>
              <w:bottom w:val="single" w:sz="6" w:space="0" w:color="auto"/>
            </w:tcBorders>
          </w:tcPr>
          <w:p w14:paraId="4551BF3E" w14:textId="77777777" w:rsidR="00C7198A" w:rsidRDefault="00C7198A">
            <w:pPr>
              <w:cnfStyle w:val="000000000000" w:firstRow="0" w:lastRow="0" w:firstColumn="0" w:lastColumn="0" w:oddVBand="0" w:evenVBand="0" w:oddHBand="0" w:evenHBand="0" w:firstRowFirstColumn="0" w:firstRowLastColumn="0" w:lastRowFirstColumn="0" w:lastRowLastColumn="0"/>
            </w:pPr>
            <w:r>
              <w:t>tbc</w:t>
            </w:r>
          </w:p>
        </w:tc>
        <w:tc>
          <w:tcPr>
            <w:tcW w:w="794" w:type="dxa"/>
            <w:tcBorders>
              <w:bottom w:val="single" w:sz="6" w:space="0" w:color="auto"/>
            </w:tcBorders>
          </w:tcPr>
          <w:p w14:paraId="6C228723" w14:textId="77777777" w:rsidR="00C7198A" w:rsidRDefault="00C7198A">
            <w:pPr>
              <w:cnfStyle w:val="000000000000" w:firstRow="0" w:lastRow="0" w:firstColumn="0" w:lastColumn="0" w:oddVBand="0" w:evenVBand="0" w:oddHBand="0" w:evenHBand="0" w:firstRowFirstColumn="0" w:firstRowLastColumn="0" w:lastRowFirstColumn="0" w:lastRowLastColumn="0"/>
            </w:pPr>
            <w:r>
              <w:t>tbc</w:t>
            </w:r>
          </w:p>
        </w:tc>
      </w:tr>
      <w:tr w:rsidR="00C7198A" w14:paraId="152C8C39" w14:textId="77777777" w:rsidTr="00D420E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42E2B8AB" w14:textId="536BB053" w:rsidR="00C7198A" w:rsidRDefault="00C7198A">
            <w:r>
              <w:rPr>
                <w:b/>
              </w:rPr>
              <w:t>Total asset initiatives</w:t>
            </w:r>
            <w:r w:rsidR="00A81FB3">
              <w:rPr>
                <w:b/>
              </w:rPr>
              <w:t xml:space="preserve"> </w:t>
            </w:r>
            <w:r w:rsidR="00A81FB3" w:rsidRPr="004A4CE3">
              <w:rPr>
                <w:b/>
                <w:vertAlign w:val="superscript"/>
              </w:rPr>
              <w:t>(b)</w:t>
            </w:r>
          </w:p>
        </w:tc>
        <w:tc>
          <w:tcPr>
            <w:tcW w:w="794" w:type="dxa"/>
            <w:tcBorders>
              <w:top w:val="single" w:sz="6" w:space="0" w:color="auto"/>
              <w:bottom w:val="single" w:sz="12" w:space="0" w:color="auto"/>
            </w:tcBorders>
          </w:tcPr>
          <w:p w14:paraId="0ED353FD" w14:textId="77777777" w:rsidR="00C7198A" w:rsidRDefault="00C7198A">
            <w:pPr>
              <w:cnfStyle w:val="000000000000" w:firstRow="0" w:lastRow="0" w:firstColumn="0" w:lastColumn="0" w:oddVBand="0" w:evenVBand="0" w:oddHBand="0" w:evenHBand="0" w:firstRowFirstColumn="0" w:firstRowLastColumn="0" w:lastRowFirstColumn="0" w:lastRowLastColumn="0"/>
            </w:pPr>
            <w:r>
              <w:rPr>
                <w:b/>
              </w:rPr>
              <w:t>3.7</w:t>
            </w:r>
          </w:p>
        </w:tc>
        <w:tc>
          <w:tcPr>
            <w:tcW w:w="794" w:type="dxa"/>
            <w:tcBorders>
              <w:top w:val="single" w:sz="6" w:space="0" w:color="auto"/>
              <w:bottom w:val="single" w:sz="12" w:space="0" w:color="auto"/>
            </w:tcBorders>
          </w:tcPr>
          <w:p w14:paraId="5C49B88C" w14:textId="77777777" w:rsidR="00C7198A" w:rsidRDefault="00C7198A">
            <w:pPr>
              <w:cnfStyle w:val="000000000000" w:firstRow="0" w:lastRow="0" w:firstColumn="0" w:lastColumn="0" w:oddVBand="0" w:evenVBand="0" w:oddHBand="0" w:evenHBand="0" w:firstRowFirstColumn="0" w:firstRowLastColumn="0" w:lastRowFirstColumn="0" w:lastRowLastColumn="0"/>
            </w:pPr>
            <w:r>
              <w:rPr>
                <w:b/>
              </w:rPr>
              <w:t>0.3</w:t>
            </w:r>
          </w:p>
        </w:tc>
        <w:tc>
          <w:tcPr>
            <w:tcW w:w="794" w:type="dxa"/>
            <w:tcBorders>
              <w:top w:val="single" w:sz="6" w:space="0" w:color="auto"/>
              <w:bottom w:val="single" w:sz="12" w:space="0" w:color="auto"/>
            </w:tcBorders>
          </w:tcPr>
          <w:p w14:paraId="1339B013" w14:textId="77777777" w:rsidR="00C7198A" w:rsidRDefault="00C7198A">
            <w:pPr>
              <w:cnfStyle w:val="000000000000" w:firstRow="0" w:lastRow="0" w:firstColumn="0" w:lastColumn="0" w:oddVBand="0" w:evenVBand="0" w:oddHBand="0" w:evenHBand="0" w:firstRowFirstColumn="0" w:firstRowLastColumn="0" w:lastRowFirstColumn="0" w:lastRowLastColumn="0"/>
            </w:pPr>
            <w:r>
              <w:rPr>
                <w:b/>
              </w:rPr>
              <w:t>..</w:t>
            </w:r>
          </w:p>
        </w:tc>
        <w:tc>
          <w:tcPr>
            <w:tcW w:w="794" w:type="dxa"/>
            <w:tcBorders>
              <w:top w:val="single" w:sz="6" w:space="0" w:color="auto"/>
              <w:bottom w:val="single" w:sz="12" w:space="0" w:color="auto"/>
            </w:tcBorders>
          </w:tcPr>
          <w:p w14:paraId="27247AE2" w14:textId="77777777" w:rsidR="00C7198A" w:rsidRDefault="00C7198A">
            <w:pPr>
              <w:cnfStyle w:val="000000000000" w:firstRow="0" w:lastRow="0" w:firstColumn="0" w:lastColumn="0" w:oddVBand="0" w:evenVBand="0" w:oddHBand="0" w:evenHBand="0" w:firstRowFirstColumn="0" w:firstRowLastColumn="0" w:lastRowFirstColumn="0" w:lastRowLastColumn="0"/>
            </w:pPr>
            <w:r>
              <w:rPr>
                <w:b/>
              </w:rPr>
              <w:t>..</w:t>
            </w:r>
          </w:p>
        </w:tc>
        <w:tc>
          <w:tcPr>
            <w:tcW w:w="794" w:type="dxa"/>
            <w:tcBorders>
              <w:top w:val="single" w:sz="6" w:space="0" w:color="auto"/>
              <w:bottom w:val="single" w:sz="12" w:space="0" w:color="auto"/>
            </w:tcBorders>
          </w:tcPr>
          <w:p w14:paraId="3D8AE97F" w14:textId="7D150D48" w:rsidR="00C7198A" w:rsidRDefault="00C7198A">
            <w:pPr>
              <w:cnfStyle w:val="000000000000" w:firstRow="0" w:lastRow="0" w:firstColumn="0" w:lastColumn="0" w:oddVBand="0" w:evenVBand="0" w:oddHBand="0" w:evenHBand="0" w:firstRowFirstColumn="0" w:firstRowLastColumn="0" w:lastRowFirstColumn="0" w:lastRowLastColumn="0"/>
            </w:pPr>
            <w:r>
              <w:rPr>
                <w:b/>
              </w:rPr>
              <w:t>4.0</w:t>
            </w:r>
          </w:p>
        </w:tc>
      </w:tr>
    </w:tbl>
    <w:p w14:paraId="690C2D70" w14:textId="77777777" w:rsidR="00C7198A" w:rsidRDefault="00C7198A" w:rsidP="007F7047">
      <w:pPr>
        <w:pStyle w:val="Note"/>
      </w:pPr>
      <w:r>
        <w:t xml:space="preserve">Note: </w:t>
      </w:r>
    </w:p>
    <w:p w14:paraId="13380D83" w14:textId="2D51731E" w:rsidR="00C7198A" w:rsidRDefault="00C7198A" w:rsidP="006E3B9F">
      <w:pPr>
        <w:pStyle w:val="Note"/>
      </w:pPr>
      <w:r>
        <w:t>(a)</w:t>
      </w:r>
      <w:r>
        <w:tab/>
      </w:r>
      <w:r w:rsidRPr="00122612">
        <w:t>TEI and cashflows will be disclosed following the outcome of commercial negotiations.</w:t>
      </w:r>
    </w:p>
    <w:p w14:paraId="28BA104E" w14:textId="5014148F" w:rsidR="00A81FB3" w:rsidRDefault="00A81FB3" w:rsidP="006E3B9F">
      <w:pPr>
        <w:pStyle w:val="Note"/>
      </w:pPr>
      <w:r>
        <w:t>(b)</w:t>
      </w:r>
      <w:r>
        <w:tab/>
      </w:r>
      <w:r w:rsidRPr="00A81FB3">
        <w:t>Totals exclude estimated expenditure for initiatives with ‘tbc’.</w:t>
      </w:r>
    </w:p>
    <w:p w14:paraId="3DD933B7" w14:textId="77777777" w:rsidR="0062428F" w:rsidRDefault="0062428F" w:rsidP="0062428F"/>
    <w:p w14:paraId="686B1CAD" w14:textId="391A37BE" w:rsidR="00C7198A" w:rsidRDefault="00C7198A" w:rsidP="006E3B9F">
      <w:pPr>
        <w:pStyle w:val="Heading4"/>
        <w:spacing w:line="259" w:lineRule="auto"/>
      </w:pPr>
      <w:r w:rsidRPr="006E3B9F">
        <w:t xml:space="preserve">Agriculture </w:t>
      </w:r>
    </w:p>
    <w:p w14:paraId="7037FAA0" w14:textId="77777777" w:rsidR="00C7198A" w:rsidRDefault="00C7198A" w:rsidP="006E3B9F">
      <w:pPr>
        <w:pStyle w:val="Heading5"/>
      </w:pPr>
      <w:r w:rsidRPr="006E3B9F">
        <w:t xml:space="preserve">Emergency animal disease preparedness </w:t>
      </w:r>
    </w:p>
    <w:p w14:paraId="2E96CDE7" w14:textId="77777777" w:rsidR="00C7198A" w:rsidRDefault="00C7198A" w:rsidP="006E3B9F">
      <w:pPr>
        <w:spacing w:line="259" w:lineRule="auto"/>
      </w:pPr>
      <w:r w:rsidRPr="0CC15C55">
        <w:rPr>
          <w:rFonts w:ascii="Garamond" w:eastAsia="Garamond" w:hAnsi="Garamond" w:cs="Garamond"/>
        </w:rPr>
        <w:t>Refer to the output initiative for a description of this initiative</w:t>
      </w:r>
      <w:r>
        <w:rPr>
          <w:rFonts w:ascii="Garamond" w:eastAsia="Garamond" w:hAnsi="Garamond" w:cs="Garamond"/>
        </w:rPr>
        <w:t>.</w:t>
      </w:r>
    </w:p>
    <w:p w14:paraId="6A65E178" w14:textId="77777777" w:rsidR="00C7198A" w:rsidRDefault="00C7198A" w:rsidP="00904830">
      <w:pPr>
        <w:pStyle w:val="Heading4"/>
        <w:spacing w:line="259" w:lineRule="auto"/>
      </w:pPr>
      <w:r>
        <w:t>Industry, Innovation, Medical Research and Small Business</w:t>
      </w:r>
    </w:p>
    <w:p w14:paraId="6187AE87" w14:textId="3A2AFCB7" w:rsidR="00C7198A" w:rsidRPr="006E3B9F" w:rsidRDefault="00C7198A" w:rsidP="006E3B9F">
      <w:pPr>
        <w:pStyle w:val="Heading5"/>
      </w:pPr>
      <w:r w:rsidRPr="006E3B9F">
        <w:t xml:space="preserve">Purchase of </w:t>
      </w:r>
      <w:r w:rsidR="00E16CD5">
        <w:t xml:space="preserve">a site on </w:t>
      </w:r>
      <w:r w:rsidRPr="006E3B9F">
        <w:t xml:space="preserve">Poplar Road, Parkville </w:t>
      </w:r>
    </w:p>
    <w:p w14:paraId="2D3F6D80" w14:textId="1E2DBEB1" w:rsidR="00C7198A" w:rsidRPr="006E3B9F" w:rsidRDefault="00C7198A" w:rsidP="006E3B9F">
      <w:pPr>
        <w:spacing w:line="259" w:lineRule="auto"/>
        <w:rPr>
          <w:rFonts w:ascii="Garamond" w:eastAsia="Garamond" w:hAnsi="Garamond" w:cs="Garamond"/>
        </w:rPr>
      </w:pPr>
      <w:r w:rsidRPr="006E3B9F">
        <w:rPr>
          <w:rFonts w:ascii="Garamond" w:eastAsia="Garamond" w:hAnsi="Garamond" w:cs="Garamond"/>
        </w:rPr>
        <w:t xml:space="preserve">Funding </w:t>
      </w:r>
      <w:r>
        <w:rPr>
          <w:rFonts w:ascii="Garamond" w:eastAsia="Garamond" w:hAnsi="Garamond" w:cs="Garamond"/>
        </w:rPr>
        <w:t>is</w:t>
      </w:r>
      <w:r w:rsidRPr="006E3B9F">
        <w:rPr>
          <w:rFonts w:ascii="Garamond" w:eastAsia="Garamond" w:hAnsi="Garamond" w:cs="Garamond"/>
        </w:rPr>
        <w:t xml:space="preserve"> provided to purchase </w:t>
      </w:r>
      <w:r>
        <w:rPr>
          <w:rFonts w:ascii="Garamond" w:eastAsia="Garamond" w:hAnsi="Garamond" w:cs="Garamond"/>
        </w:rPr>
        <w:t>a</w:t>
      </w:r>
      <w:r w:rsidRPr="006E3B9F">
        <w:rPr>
          <w:rFonts w:ascii="Garamond" w:eastAsia="Garamond" w:hAnsi="Garamond" w:cs="Garamond"/>
        </w:rPr>
        <w:t xml:space="preserve"> site </w:t>
      </w:r>
      <w:r w:rsidR="00E16CD5">
        <w:rPr>
          <w:rFonts w:ascii="Garamond" w:eastAsia="Garamond" w:hAnsi="Garamond" w:cs="Garamond"/>
        </w:rPr>
        <w:t>on</w:t>
      </w:r>
      <w:r w:rsidRPr="006E3B9F">
        <w:rPr>
          <w:rFonts w:ascii="Garamond" w:eastAsia="Garamond" w:hAnsi="Garamond" w:cs="Garamond"/>
        </w:rPr>
        <w:t xml:space="preserve"> Poplar R</w:t>
      </w:r>
      <w:r>
        <w:rPr>
          <w:rFonts w:ascii="Garamond" w:eastAsia="Garamond" w:hAnsi="Garamond" w:cs="Garamond"/>
        </w:rPr>
        <w:t>oa</w:t>
      </w:r>
      <w:r w:rsidRPr="006E3B9F">
        <w:rPr>
          <w:rFonts w:ascii="Garamond" w:eastAsia="Garamond" w:hAnsi="Garamond" w:cs="Garamond"/>
        </w:rPr>
        <w:t>d, Parkville to continue supporting Parkville as a world</w:t>
      </w:r>
      <w:r w:rsidR="0062428F">
        <w:rPr>
          <w:rFonts w:ascii="Garamond" w:eastAsia="Garamond" w:hAnsi="Garamond" w:cs="Garamond"/>
        </w:rPr>
        <w:t>-</w:t>
      </w:r>
      <w:r w:rsidRPr="006E3B9F">
        <w:rPr>
          <w:rFonts w:ascii="Garamond" w:eastAsia="Garamond" w:hAnsi="Garamond" w:cs="Garamond"/>
        </w:rPr>
        <w:t>leading biomedical precinct.   </w:t>
      </w:r>
    </w:p>
    <w:p w14:paraId="75589606" w14:textId="77AD3A6C" w:rsidR="00C7198A" w:rsidRPr="006E3B9F" w:rsidRDefault="00C7198A" w:rsidP="006E3B9F">
      <w:pPr>
        <w:spacing w:line="259" w:lineRule="auto"/>
        <w:rPr>
          <w:rFonts w:ascii="Garamond" w:eastAsia="Garamond" w:hAnsi="Garamond" w:cs="Garamond"/>
        </w:rPr>
      </w:pPr>
      <w:r w:rsidRPr="006E3B9F">
        <w:rPr>
          <w:rFonts w:ascii="Garamond" w:eastAsia="Garamond" w:hAnsi="Garamond" w:cs="Garamond"/>
        </w:rPr>
        <w:t xml:space="preserve">This initiative contributes to the Department of Jobs, Precincts and Regions’ </w:t>
      </w:r>
      <w:r w:rsidR="009F52D2">
        <w:rPr>
          <w:rFonts w:ascii="Garamond" w:eastAsia="Garamond" w:hAnsi="Garamond" w:cs="Garamond"/>
        </w:rPr>
        <w:br/>
      </w:r>
      <w:r w:rsidRPr="006E3B9F">
        <w:rPr>
          <w:rFonts w:ascii="Garamond" w:eastAsia="Garamond" w:hAnsi="Garamond" w:cs="Garamond"/>
        </w:rPr>
        <w:t>Industry, Innovation, Medical Research and Small Business output.</w:t>
      </w:r>
      <w:r>
        <w:rPr>
          <w:rFonts w:ascii="Garamond" w:eastAsia="Garamond" w:hAnsi="Garamond" w:cs="Garamond"/>
        </w:rPr>
        <w:t xml:space="preserve"> </w:t>
      </w:r>
    </w:p>
    <w:p w14:paraId="002D16D9" w14:textId="77777777" w:rsidR="00C7198A" w:rsidRDefault="00C7198A" w:rsidP="007D236E">
      <w:pPr>
        <w:pStyle w:val="Heading10"/>
        <w:pageBreakBefore/>
      </w:pPr>
      <w:bookmarkStart w:id="131" w:name="_Toc71814116"/>
      <w:bookmarkStart w:id="132" w:name="_Toc117586263"/>
      <w:r>
        <w:lastRenderedPageBreak/>
        <w:t>Department of Justice and Community Safety</w:t>
      </w:r>
      <w:bookmarkEnd w:id="131"/>
      <w:bookmarkEnd w:id="132"/>
    </w:p>
    <w:p w14:paraId="5CD23EB3" w14:textId="77777777" w:rsidR="00C7198A" w:rsidRDefault="00C7198A" w:rsidP="007F7047">
      <w:pPr>
        <w:pStyle w:val="Heading20"/>
      </w:pPr>
      <w:r>
        <w:t>Output initiatives</w:t>
      </w:r>
    </w:p>
    <w:p w14:paraId="08BC37E4" w14:textId="42ACCC3B" w:rsidR="00C7198A" w:rsidRDefault="00C7198A" w:rsidP="00E844A2">
      <w:pPr>
        <w:pStyle w:val="TableHeading"/>
      </w:pPr>
      <w:r>
        <w:t>Table A.1</w:t>
      </w:r>
      <w:r w:rsidR="00993A31">
        <w:t>1</w:t>
      </w:r>
      <w:r>
        <w:t>:</w:t>
      </w:r>
      <w:r>
        <w:tab/>
        <w:t>Output initiatives – Department of Justice and Community Safety</w:t>
      </w:r>
      <w:r>
        <w:tab/>
        <w:t>($ million)</w:t>
      </w:r>
    </w:p>
    <w:tbl>
      <w:tblPr>
        <w:tblStyle w:val="DTFTableNumeric"/>
        <w:tblW w:w="7710" w:type="dxa"/>
        <w:tblLayout w:type="fixed"/>
        <w:tblLook w:val="06A0" w:firstRow="1" w:lastRow="0" w:firstColumn="1" w:lastColumn="0" w:noHBand="1" w:noVBand="1"/>
      </w:tblPr>
      <w:tblGrid>
        <w:gridCol w:w="4534"/>
        <w:gridCol w:w="794"/>
        <w:gridCol w:w="794"/>
        <w:gridCol w:w="794"/>
        <w:gridCol w:w="794"/>
      </w:tblGrid>
      <w:tr w:rsidR="00C7198A" w14:paraId="4804980D" w14:textId="77777777" w:rsidTr="00C76B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4" w:type="dxa"/>
          </w:tcPr>
          <w:p w14:paraId="37B8E60B" w14:textId="0749D2D0" w:rsidR="00C7198A" w:rsidRDefault="00C7198A"/>
        </w:tc>
        <w:tc>
          <w:tcPr>
            <w:tcW w:w="794" w:type="dxa"/>
          </w:tcPr>
          <w:p w14:paraId="4B5E0106" w14:textId="77777777" w:rsidR="00C7198A" w:rsidRDefault="00C7198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705A1287" w14:textId="77777777" w:rsidR="00C7198A" w:rsidRDefault="00C7198A">
            <w:pPr>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4A85AC98" w14:textId="77777777" w:rsidR="00C7198A" w:rsidRDefault="00C7198A">
            <w:pPr>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053B1E43" w14:textId="77777777" w:rsidR="00C7198A" w:rsidRDefault="00C7198A">
            <w:pPr>
              <w:cnfStyle w:val="100000000000" w:firstRow="1" w:lastRow="0" w:firstColumn="0" w:lastColumn="0" w:oddVBand="0" w:evenVBand="0" w:oddHBand="0" w:evenHBand="0" w:firstRowFirstColumn="0" w:firstRowLastColumn="0" w:lastRowFirstColumn="0" w:lastRowLastColumn="0"/>
            </w:pPr>
            <w:r>
              <w:t>2025</w:t>
            </w:r>
            <w:r>
              <w:noBreakHyphen/>
              <w:t>26</w:t>
            </w:r>
          </w:p>
        </w:tc>
      </w:tr>
      <w:tr w:rsidR="00C7198A" w14:paraId="1382694D" w14:textId="77777777">
        <w:tc>
          <w:tcPr>
            <w:cnfStyle w:val="001000000000" w:firstRow="0" w:lastRow="0" w:firstColumn="1" w:lastColumn="0" w:oddVBand="0" w:evenVBand="0" w:oddHBand="0" w:evenHBand="0" w:firstRowFirstColumn="0" w:firstRowLastColumn="0" w:lastRowFirstColumn="0" w:lastRowLastColumn="0"/>
            <w:tcW w:w="4534" w:type="dxa"/>
          </w:tcPr>
          <w:p w14:paraId="734A0EE6" w14:textId="77777777" w:rsidR="00C7198A" w:rsidRDefault="00C7198A">
            <w:r>
              <w:rPr>
                <w:b/>
              </w:rPr>
              <w:t>Community Crime Prevention</w:t>
            </w:r>
          </w:p>
        </w:tc>
        <w:tc>
          <w:tcPr>
            <w:tcW w:w="794" w:type="dxa"/>
          </w:tcPr>
          <w:p w14:paraId="7B2A8822"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29B586D9"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34030E78"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744EF10D"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r>
      <w:tr w:rsidR="00C7198A" w14:paraId="71D514B0" w14:textId="77777777">
        <w:tc>
          <w:tcPr>
            <w:cnfStyle w:val="001000000000" w:firstRow="0" w:lastRow="0" w:firstColumn="1" w:lastColumn="0" w:oddVBand="0" w:evenVBand="0" w:oddHBand="0" w:evenHBand="0" w:firstRowFirstColumn="0" w:firstRowLastColumn="0" w:lastRowFirstColumn="0" w:lastRowLastColumn="0"/>
            <w:tcW w:w="4534" w:type="dxa"/>
          </w:tcPr>
          <w:p w14:paraId="0D0E5FE7" w14:textId="0532D9E8" w:rsidR="00C7198A" w:rsidRDefault="001606D1">
            <w:r>
              <w:t>Countering violent extremism</w:t>
            </w:r>
          </w:p>
        </w:tc>
        <w:tc>
          <w:tcPr>
            <w:tcW w:w="794" w:type="dxa"/>
          </w:tcPr>
          <w:p w14:paraId="7B81EBD8" w14:textId="77777777" w:rsidR="00C7198A" w:rsidRDefault="00C7198A">
            <w:pPr>
              <w:cnfStyle w:val="000000000000" w:firstRow="0" w:lastRow="0" w:firstColumn="0" w:lastColumn="0" w:oddVBand="0" w:evenVBand="0" w:oddHBand="0" w:evenHBand="0" w:firstRowFirstColumn="0" w:firstRowLastColumn="0" w:lastRowFirstColumn="0" w:lastRowLastColumn="0"/>
            </w:pPr>
            <w:r>
              <w:t>0.3</w:t>
            </w:r>
          </w:p>
        </w:tc>
        <w:tc>
          <w:tcPr>
            <w:tcW w:w="794" w:type="dxa"/>
          </w:tcPr>
          <w:p w14:paraId="4241AFE2" w14:textId="77777777" w:rsidR="00C7198A" w:rsidRDefault="00C7198A">
            <w:pPr>
              <w:cnfStyle w:val="000000000000" w:firstRow="0" w:lastRow="0" w:firstColumn="0" w:lastColumn="0" w:oddVBand="0" w:evenVBand="0" w:oddHBand="0" w:evenHBand="0" w:firstRowFirstColumn="0" w:firstRowLastColumn="0" w:lastRowFirstColumn="0" w:lastRowLastColumn="0"/>
            </w:pPr>
            <w:r>
              <w:t>1.0</w:t>
            </w:r>
          </w:p>
        </w:tc>
        <w:tc>
          <w:tcPr>
            <w:tcW w:w="794" w:type="dxa"/>
          </w:tcPr>
          <w:p w14:paraId="6D055906"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013538EA"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r>
      <w:tr w:rsidR="00C7198A" w14:paraId="6613F9E6" w14:textId="77777777">
        <w:tc>
          <w:tcPr>
            <w:cnfStyle w:val="001000000000" w:firstRow="0" w:lastRow="0" w:firstColumn="1" w:lastColumn="0" w:oddVBand="0" w:evenVBand="0" w:oddHBand="0" w:evenHBand="0" w:firstRowFirstColumn="0" w:firstRowLastColumn="0" w:lastRowFirstColumn="0" w:lastRowLastColumn="0"/>
            <w:tcW w:w="4534" w:type="dxa"/>
          </w:tcPr>
          <w:p w14:paraId="1687A02C" w14:textId="77777777" w:rsidR="00C7198A" w:rsidRDefault="00C7198A">
            <w:r>
              <w:rPr>
                <w:b/>
              </w:rPr>
              <w:t>Emergency Management Capability</w:t>
            </w:r>
          </w:p>
        </w:tc>
        <w:tc>
          <w:tcPr>
            <w:tcW w:w="794" w:type="dxa"/>
          </w:tcPr>
          <w:p w14:paraId="6C187D24"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0285C106"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604AA8DE"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2B3D3481"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r>
      <w:tr w:rsidR="00C7198A" w14:paraId="76AAA8B2" w14:textId="77777777">
        <w:tc>
          <w:tcPr>
            <w:cnfStyle w:val="001000000000" w:firstRow="0" w:lastRow="0" w:firstColumn="1" w:lastColumn="0" w:oddVBand="0" w:evenVBand="0" w:oddHBand="0" w:evenHBand="0" w:firstRowFirstColumn="0" w:firstRowLastColumn="0" w:lastRowFirstColumn="0" w:lastRowLastColumn="0"/>
            <w:tcW w:w="4534" w:type="dxa"/>
          </w:tcPr>
          <w:p w14:paraId="2766DFDF" w14:textId="77777777" w:rsidR="00C7198A" w:rsidRDefault="00C7198A">
            <w:r>
              <w:t>Council Support Fund extension</w:t>
            </w:r>
          </w:p>
        </w:tc>
        <w:tc>
          <w:tcPr>
            <w:tcW w:w="794" w:type="dxa"/>
          </w:tcPr>
          <w:p w14:paraId="30A73665" w14:textId="77777777" w:rsidR="00C7198A" w:rsidRDefault="00C7198A">
            <w:pPr>
              <w:cnfStyle w:val="000000000000" w:firstRow="0" w:lastRow="0" w:firstColumn="0" w:lastColumn="0" w:oddVBand="0" w:evenVBand="0" w:oddHBand="0" w:evenHBand="0" w:firstRowFirstColumn="0" w:firstRowLastColumn="0" w:lastRowFirstColumn="0" w:lastRowLastColumn="0"/>
            </w:pPr>
            <w:r>
              <w:t>4.8</w:t>
            </w:r>
          </w:p>
        </w:tc>
        <w:tc>
          <w:tcPr>
            <w:tcW w:w="794" w:type="dxa"/>
          </w:tcPr>
          <w:p w14:paraId="19DE8601"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08C78884"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69CCF39C"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r>
      <w:tr w:rsidR="00C7198A" w14:paraId="72CB660E" w14:textId="77777777">
        <w:tc>
          <w:tcPr>
            <w:cnfStyle w:val="001000000000" w:firstRow="0" w:lastRow="0" w:firstColumn="1" w:lastColumn="0" w:oddVBand="0" w:evenVBand="0" w:oddHBand="0" w:evenHBand="0" w:firstRowFirstColumn="0" w:firstRowLastColumn="0" w:lastRowFirstColumn="0" w:lastRowLastColumn="0"/>
            <w:tcW w:w="4534" w:type="dxa"/>
          </w:tcPr>
          <w:p w14:paraId="0C16ACA1" w14:textId="77777777" w:rsidR="00C7198A" w:rsidRDefault="00C7198A">
            <w:r>
              <w:t>Fiskville Redress Scheme</w:t>
            </w:r>
          </w:p>
        </w:tc>
        <w:tc>
          <w:tcPr>
            <w:tcW w:w="794" w:type="dxa"/>
          </w:tcPr>
          <w:p w14:paraId="5CE9489F" w14:textId="77777777" w:rsidR="00C7198A" w:rsidRDefault="00C7198A">
            <w:pPr>
              <w:cnfStyle w:val="000000000000" w:firstRow="0" w:lastRow="0" w:firstColumn="0" w:lastColumn="0" w:oddVBand="0" w:evenVBand="0" w:oddHBand="0" w:evenHBand="0" w:firstRowFirstColumn="0" w:firstRowLastColumn="0" w:lastRowFirstColumn="0" w:lastRowLastColumn="0"/>
            </w:pPr>
            <w:r>
              <w:t>13.6</w:t>
            </w:r>
          </w:p>
        </w:tc>
        <w:tc>
          <w:tcPr>
            <w:tcW w:w="794" w:type="dxa"/>
          </w:tcPr>
          <w:p w14:paraId="7C93D513" w14:textId="77777777" w:rsidR="00C7198A" w:rsidRDefault="00C7198A">
            <w:pPr>
              <w:cnfStyle w:val="000000000000" w:firstRow="0" w:lastRow="0" w:firstColumn="0" w:lastColumn="0" w:oddVBand="0" w:evenVBand="0" w:oddHBand="0" w:evenHBand="0" w:firstRowFirstColumn="0" w:firstRowLastColumn="0" w:lastRowFirstColumn="0" w:lastRowLastColumn="0"/>
            </w:pPr>
            <w:r>
              <w:t>19.1</w:t>
            </w:r>
          </w:p>
        </w:tc>
        <w:tc>
          <w:tcPr>
            <w:tcW w:w="794" w:type="dxa"/>
          </w:tcPr>
          <w:p w14:paraId="4E622786" w14:textId="77777777" w:rsidR="00C7198A" w:rsidRDefault="00C7198A">
            <w:pPr>
              <w:cnfStyle w:val="000000000000" w:firstRow="0" w:lastRow="0" w:firstColumn="0" w:lastColumn="0" w:oddVBand="0" w:evenVBand="0" w:oddHBand="0" w:evenHBand="0" w:firstRowFirstColumn="0" w:firstRowLastColumn="0" w:lastRowFirstColumn="0" w:lastRowLastColumn="0"/>
            </w:pPr>
            <w:r>
              <w:t>14.2</w:t>
            </w:r>
          </w:p>
        </w:tc>
        <w:tc>
          <w:tcPr>
            <w:tcW w:w="794" w:type="dxa"/>
          </w:tcPr>
          <w:p w14:paraId="26930FA1" w14:textId="77777777" w:rsidR="00C7198A" w:rsidRDefault="00C7198A">
            <w:pPr>
              <w:cnfStyle w:val="000000000000" w:firstRow="0" w:lastRow="0" w:firstColumn="0" w:lastColumn="0" w:oddVBand="0" w:evenVBand="0" w:oddHBand="0" w:evenHBand="0" w:firstRowFirstColumn="0" w:firstRowLastColumn="0" w:lastRowFirstColumn="0" w:lastRowLastColumn="0"/>
            </w:pPr>
            <w:r>
              <w:t>9.8</w:t>
            </w:r>
          </w:p>
        </w:tc>
      </w:tr>
      <w:tr w:rsidR="00C7198A" w14:paraId="4C8D2871" w14:textId="77777777">
        <w:tc>
          <w:tcPr>
            <w:cnfStyle w:val="001000000000" w:firstRow="0" w:lastRow="0" w:firstColumn="1" w:lastColumn="0" w:oddVBand="0" w:evenVBand="0" w:oddHBand="0" w:evenHBand="0" w:firstRowFirstColumn="0" w:firstRowLastColumn="0" w:lastRowFirstColumn="0" w:lastRowLastColumn="0"/>
            <w:tcW w:w="4534" w:type="dxa"/>
          </w:tcPr>
          <w:p w14:paraId="00172DBC" w14:textId="77777777" w:rsidR="00C7198A" w:rsidRDefault="00C7198A">
            <w:r>
              <w:t>Flood awareness campaigns</w:t>
            </w:r>
          </w:p>
        </w:tc>
        <w:tc>
          <w:tcPr>
            <w:tcW w:w="794" w:type="dxa"/>
          </w:tcPr>
          <w:p w14:paraId="14424883" w14:textId="77777777" w:rsidR="00C7198A" w:rsidRDefault="00C7198A">
            <w:pPr>
              <w:cnfStyle w:val="000000000000" w:firstRow="0" w:lastRow="0" w:firstColumn="0" w:lastColumn="0" w:oddVBand="0" w:evenVBand="0" w:oddHBand="0" w:evenHBand="0" w:firstRowFirstColumn="0" w:firstRowLastColumn="0" w:lastRowFirstColumn="0" w:lastRowLastColumn="0"/>
            </w:pPr>
            <w:r>
              <w:t>1.0</w:t>
            </w:r>
          </w:p>
        </w:tc>
        <w:tc>
          <w:tcPr>
            <w:tcW w:w="794" w:type="dxa"/>
          </w:tcPr>
          <w:p w14:paraId="4DE47A72"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513A3907"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41AAB276"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r>
      <w:tr w:rsidR="00C7198A" w14:paraId="14BE36C4" w14:textId="77777777">
        <w:tc>
          <w:tcPr>
            <w:cnfStyle w:val="001000000000" w:firstRow="0" w:lastRow="0" w:firstColumn="1" w:lastColumn="0" w:oddVBand="0" w:evenVBand="0" w:oddHBand="0" w:evenHBand="0" w:firstRowFirstColumn="0" w:firstRowLastColumn="0" w:lastRowFirstColumn="0" w:lastRowLastColumn="0"/>
            <w:tcW w:w="4534" w:type="dxa"/>
          </w:tcPr>
          <w:p w14:paraId="5E554D24" w14:textId="77777777" w:rsidR="00C7198A" w:rsidRDefault="00C7198A">
            <w:r>
              <w:t>Natural Disaster Relief Trust Account</w:t>
            </w:r>
          </w:p>
        </w:tc>
        <w:tc>
          <w:tcPr>
            <w:tcW w:w="794" w:type="dxa"/>
          </w:tcPr>
          <w:p w14:paraId="097D52F8" w14:textId="77777777" w:rsidR="00C7198A" w:rsidRDefault="00C7198A">
            <w:pPr>
              <w:cnfStyle w:val="000000000000" w:firstRow="0" w:lastRow="0" w:firstColumn="0" w:lastColumn="0" w:oddVBand="0" w:evenVBand="0" w:oddHBand="0" w:evenHBand="0" w:firstRowFirstColumn="0" w:firstRowLastColumn="0" w:lastRowFirstColumn="0" w:lastRowLastColumn="0"/>
            </w:pPr>
            <w:r>
              <w:t>73.3</w:t>
            </w:r>
          </w:p>
        </w:tc>
        <w:tc>
          <w:tcPr>
            <w:tcW w:w="794" w:type="dxa"/>
          </w:tcPr>
          <w:p w14:paraId="27E4B55C"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0C0E45EB"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1A9D0464"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r>
      <w:tr w:rsidR="00C7198A" w14:paraId="1503CE71" w14:textId="77777777">
        <w:tc>
          <w:tcPr>
            <w:cnfStyle w:val="001000000000" w:firstRow="0" w:lastRow="0" w:firstColumn="1" w:lastColumn="0" w:oddVBand="0" w:evenVBand="0" w:oddHBand="0" w:evenHBand="0" w:firstRowFirstColumn="0" w:firstRowLastColumn="0" w:lastRowFirstColumn="0" w:lastRowLastColumn="0"/>
            <w:tcW w:w="4534" w:type="dxa"/>
          </w:tcPr>
          <w:p w14:paraId="6047A6C9" w14:textId="77777777" w:rsidR="00C7198A" w:rsidRDefault="00C7198A">
            <w:r>
              <w:t>Victorian Emergency Relief and Recovery Foundation</w:t>
            </w:r>
          </w:p>
        </w:tc>
        <w:tc>
          <w:tcPr>
            <w:tcW w:w="794" w:type="dxa"/>
          </w:tcPr>
          <w:p w14:paraId="37D665F4" w14:textId="77777777" w:rsidR="00C7198A" w:rsidRDefault="00C7198A">
            <w:pPr>
              <w:cnfStyle w:val="000000000000" w:firstRow="0" w:lastRow="0" w:firstColumn="0" w:lastColumn="0" w:oddVBand="0" w:evenVBand="0" w:oddHBand="0" w:evenHBand="0" w:firstRowFirstColumn="0" w:firstRowLastColumn="0" w:lastRowFirstColumn="0" w:lastRowLastColumn="0"/>
            </w:pPr>
            <w:r>
              <w:t>3.1</w:t>
            </w:r>
          </w:p>
        </w:tc>
        <w:tc>
          <w:tcPr>
            <w:tcW w:w="794" w:type="dxa"/>
          </w:tcPr>
          <w:p w14:paraId="371221ED"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4DAC443C"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64C2820B"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r>
      <w:tr w:rsidR="00C7198A" w14:paraId="0BA678A0" w14:textId="77777777">
        <w:tc>
          <w:tcPr>
            <w:cnfStyle w:val="001000000000" w:firstRow="0" w:lastRow="0" w:firstColumn="1" w:lastColumn="0" w:oddVBand="0" w:evenVBand="0" w:oddHBand="0" w:evenHBand="0" w:firstRowFirstColumn="0" w:firstRowLastColumn="0" w:lastRowFirstColumn="0" w:lastRowLastColumn="0"/>
            <w:tcW w:w="4534" w:type="dxa"/>
          </w:tcPr>
          <w:p w14:paraId="4E1394D9" w14:textId="77777777" w:rsidR="00C7198A" w:rsidRDefault="00C7198A">
            <w:r>
              <w:rPr>
                <w:b/>
              </w:rPr>
              <w:t>Forensic Justice Services</w:t>
            </w:r>
          </w:p>
        </w:tc>
        <w:tc>
          <w:tcPr>
            <w:tcW w:w="794" w:type="dxa"/>
          </w:tcPr>
          <w:p w14:paraId="604233D4"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66CB348A"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1CAB7AE3"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79960764"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r>
      <w:tr w:rsidR="00C7198A" w14:paraId="2801CFAF" w14:textId="77777777">
        <w:tc>
          <w:tcPr>
            <w:cnfStyle w:val="001000000000" w:firstRow="0" w:lastRow="0" w:firstColumn="1" w:lastColumn="0" w:oddVBand="0" w:evenVBand="0" w:oddHBand="0" w:evenHBand="0" w:firstRowFirstColumn="0" w:firstRowLastColumn="0" w:lastRowFirstColumn="0" w:lastRowLastColumn="0"/>
            <w:tcW w:w="4534" w:type="dxa"/>
          </w:tcPr>
          <w:p w14:paraId="0C6E37D1" w14:textId="77777777" w:rsidR="00C7198A" w:rsidRDefault="00C7198A">
            <w:r>
              <w:t>Support for victims of sexual violence</w:t>
            </w:r>
          </w:p>
        </w:tc>
        <w:tc>
          <w:tcPr>
            <w:tcW w:w="794" w:type="dxa"/>
          </w:tcPr>
          <w:p w14:paraId="7B600E69" w14:textId="77777777" w:rsidR="00C7198A" w:rsidRDefault="00C7198A">
            <w:pPr>
              <w:cnfStyle w:val="000000000000" w:firstRow="0" w:lastRow="0" w:firstColumn="0" w:lastColumn="0" w:oddVBand="0" w:evenVBand="0" w:oddHBand="0" w:evenHBand="0" w:firstRowFirstColumn="0" w:firstRowLastColumn="0" w:lastRowFirstColumn="0" w:lastRowLastColumn="0"/>
            </w:pPr>
            <w:r>
              <w:t>8.2</w:t>
            </w:r>
          </w:p>
        </w:tc>
        <w:tc>
          <w:tcPr>
            <w:tcW w:w="794" w:type="dxa"/>
          </w:tcPr>
          <w:p w14:paraId="2F15C8E8" w14:textId="77777777" w:rsidR="00C7198A" w:rsidRDefault="00C7198A">
            <w:pPr>
              <w:cnfStyle w:val="000000000000" w:firstRow="0" w:lastRow="0" w:firstColumn="0" w:lastColumn="0" w:oddVBand="0" w:evenVBand="0" w:oddHBand="0" w:evenHBand="0" w:firstRowFirstColumn="0" w:firstRowLastColumn="0" w:lastRowFirstColumn="0" w:lastRowLastColumn="0"/>
            </w:pPr>
            <w:r>
              <w:t>8.3</w:t>
            </w:r>
          </w:p>
        </w:tc>
        <w:tc>
          <w:tcPr>
            <w:tcW w:w="794" w:type="dxa"/>
          </w:tcPr>
          <w:p w14:paraId="71C9425F" w14:textId="77777777" w:rsidR="00C7198A" w:rsidRDefault="00C7198A">
            <w:pPr>
              <w:cnfStyle w:val="000000000000" w:firstRow="0" w:lastRow="0" w:firstColumn="0" w:lastColumn="0" w:oddVBand="0" w:evenVBand="0" w:oddHBand="0" w:evenHBand="0" w:firstRowFirstColumn="0" w:firstRowLastColumn="0" w:lastRowFirstColumn="0" w:lastRowLastColumn="0"/>
            </w:pPr>
            <w:r>
              <w:t>6.1</w:t>
            </w:r>
          </w:p>
        </w:tc>
        <w:tc>
          <w:tcPr>
            <w:tcW w:w="794" w:type="dxa"/>
          </w:tcPr>
          <w:p w14:paraId="51042B66" w14:textId="77777777" w:rsidR="00C7198A" w:rsidRDefault="00C7198A">
            <w:pPr>
              <w:cnfStyle w:val="000000000000" w:firstRow="0" w:lastRow="0" w:firstColumn="0" w:lastColumn="0" w:oddVBand="0" w:evenVBand="0" w:oddHBand="0" w:evenHBand="0" w:firstRowFirstColumn="0" w:firstRowLastColumn="0" w:lastRowFirstColumn="0" w:lastRowLastColumn="0"/>
            </w:pPr>
            <w:r>
              <w:t>6.2</w:t>
            </w:r>
          </w:p>
        </w:tc>
      </w:tr>
      <w:tr w:rsidR="00C7198A" w14:paraId="306C2408" w14:textId="77777777">
        <w:tc>
          <w:tcPr>
            <w:cnfStyle w:val="001000000000" w:firstRow="0" w:lastRow="0" w:firstColumn="1" w:lastColumn="0" w:oddVBand="0" w:evenVBand="0" w:oddHBand="0" w:evenHBand="0" w:firstRowFirstColumn="0" w:firstRowLastColumn="0" w:lastRowFirstColumn="0" w:lastRowLastColumn="0"/>
            <w:tcW w:w="4534" w:type="dxa"/>
          </w:tcPr>
          <w:p w14:paraId="68892811" w14:textId="77777777" w:rsidR="00C7198A" w:rsidRDefault="00C7198A">
            <w:r>
              <w:rPr>
                <w:b/>
              </w:rPr>
              <w:t>Justice Policy, Services and Law Reform</w:t>
            </w:r>
          </w:p>
        </w:tc>
        <w:tc>
          <w:tcPr>
            <w:tcW w:w="794" w:type="dxa"/>
          </w:tcPr>
          <w:p w14:paraId="70D2F68E"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68499261"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6981898C"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2986B8CC"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r>
      <w:tr w:rsidR="00C7198A" w14:paraId="7E52592D" w14:textId="77777777">
        <w:tc>
          <w:tcPr>
            <w:cnfStyle w:val="001000000000" w:firstRow="0" w:lastRow="0" w:firstColumn="1" w:lastColumn="0" w:oddVBand="0" w:evenVBand="0" w:oddHBand="0" w:evenHBand="0" w:firstRowFirstColumn="0" w:firstRowLastColumn="0" w:lastRowFirstColumn="0" w:lastRowLastColumn="0"/>
            <w:tcW w:w="4534" w:type="dxa"/>
          </w:tcPr>
          <w:p w14:paraId="3FAF0A0B" w14:textId="77777777" w:rsidR="00C7198A" w:rsidRDefault="00C7198A">
            <w:r>
              <w:t>Office of the Special Investigator</w:t>
            </w:r>
          </w:p>
        </w:tc>
        <w:tc>
          <w:tcPr>
            <w:tcW w:w="794" w:type="dxa"/>
          </w:tcPr>
          <w:p w14:paraId="3921183F"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45ABF0F8" w14:textId="77777777" w:rsidR="00C7198A" w:rsidRDefault="00C7198A">
            <w:pPr>
              <w:cnfStyle w:val="000000000000" w:firstRow="0" w:lastRow="0" w:firstColumn="0" w:lastColumn="0" w:oddVBand="0" w:evenVBand="0" w:oddHBand="0" w:evenHBand="0" w:firstRowFirstColumn="0" w:firstRowLastColumn="0" w:lastRowFirstColumn="0" w:lastRowLastColumn="0"/>
            </w:pPr>
            <w:r>
              <w:t>4.4</w:t>
            </w:r>
          </w:p>
        </w:tc>
        <w:tc>
          <w:tcPr>
            <w:tcW w:w="794" w:type="dxa"/>
          </w:tcPr>
          <w:p w14:paraId="704829E4"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1B7BFAD4"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r>
      <w:tr w:rsidR="00C7198A" w14:paraId="43005B6F" w14:textId="77777777">
        <w:tc>
          <w:tcPr>
            <w:cnfStyle w:val="001000000000" w:firstRow="0" w:lastRow="0" w:firstColumn="1" w:lastColumn="0" w:oddVBand="0" w:evenVBand="0" w:oddHBand="0" w:evenHBand="0" w:firstRowFirstColumn="0" w:firstRowLastColumn="0" w:lastRowFirstColumn="0" w:lastRowLastColumn="0"/>
            <w:tcW w:w="4534" w:type="dxa"/>
          </w:tcPr>
          <w:p w14:paraId="3833FC19" w14:textId="77777777" w:rsidR="00C7198A" w:rsidRDefault="00C7198A">
            <w:r>
              <w:t>Supporting decriminalisation of public intoxication</w:t>
            </w:r>
          </w:p>
        </w:tc>
        <w:tc>
          <w:tcPr>
            <w:tcW w:w="794" w:type="dxa"/>
          </w:tcPr>
          <w:p w14:paraId="3D5B2286" w14:textId="77777777" w:rsidR="00C7198A" w:rsidRDefault="00C7198A">
            <w:pPr>
              <w:cnfStyle w:val="000000000000" w:firstRow="0" w:lastRow="0" w:firstColumn="0" w:lastColumn="0" w:oddVBand="0" w:evenVBand="0" w:oddHBand="0" w:evenHBand="0" w:firstRowFirstColumn="0" w:firstRowLastColumn="0" w:lastRowFirstColumn="0" w:lastRowLastColumn="0"/>
            </w:pPr>
            <w:r>
              <w:t>7.3</w:t>
            </w:r>
          </w:p>
        </w:tc>
        <w:tc>
          <w:tcPr>
            <w:tcW w:w="794" w:type="dxa"/>
          </w:tcPr>
          <w:p w14:paraId="6C48478B" w14:textId="77777777" w:rsidR="00C7198A" w:rsidRDefault="00C7198A">
            <w:pPr>
              <w:cnfStyle w:val="000000000000" w:firstRow="0" w:lastRow="0" w:firstColumn="0" w:lastColumn="0" w:oddVBand="0" w:evenVBand="0" w:oddHBand="0" w:evenHBand="0" w:firstRowFirstColumn="0" w:firstRowLastColumn="0" w:lastRowFirstColumn="0" w:lastRowLastColumn="0"/>
            </w:pPr>
            <w:r>
              <w:t>5.4</w:t>
            </w:r>
          </w:p>
        </w:tc>
        <w:tc>
          <w:tcPr>
            <w:tcW w:w="794" w:type="dxa"/>
          </w:tcPr>
          <w:p w14:paraId="2BED89AC"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52C74DCC"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r>
      <w:tr w:rsidR="00C7198A" w14:paraId="166EA0C5" w14:textId="77777777">
        <w:tc>
          <w:tcPr>
            <w:cnfStyle w:val="001000000000" w:firstRow="0" w:lastRow="0" w:firstColumn="1" w:lastColumn="0" w:oddVBand="0" w:evenVBand="0" w:oddHBand="0" w:evenHBand="0" w:firstRowFirstColumn="0" w:firstRowLastColumn="0" w:lastRowFirstColumn="0" w:lastRowLastColumn="0"/>
            <w:tcW w:w="4534" w:type="dxa"/>
          </w:tcPr>
          <w:p w14:paraId="7FC0805F" w14:textId="77777777" w:rsidR="00C7198A" w:rsidRDefault="00C7198A">
            <w:r>
              <w:t>Traditional Owner Settlement Act Agreements</w:t>
            </w:r>
          </w:p>
        </w:tc>
        <w:tc>
          <w:tcPr>
            <w:tcW w:w="794" w:type="dxa"/>
          </w:tcPr>
          <w:p w14:paraId="1709AE8E" w14:textId="77777777" w:rsidR="00C7198A" w:rsidRDefault="00C7198A">
            <w:pPr>
              <w:cnfStyle w:val="000000000000" w:firstRow="0" w:lastRow="0" w:firstColumn="0" w:lastColumn="0" w:oddVBand="0" w:evenVBand="0" w:oddHBand="0" w:evenHBand="0" w:firstRowFirstColumn="0" w:firstRowLastColumn="0" w:lastRowFirstColumn="0" w:lastRowLastColumn="0"/>
            </w:pPr>
            <w:r>
              <w:t>4.1</w:t>
            </w:r>
          </w:p>
        </w:tc>
        <w:tc>
          <w:tcPr>
            <w:tcW w:w="794" w:type="dxa"/>
          </w:tcPr>
          <w:p w14:paraId="697A42BE" w14:textId="77777777" w:rsidR="00C7198A" w:rsidRDefault="00C7198A">
            <w:pPr>
              <w:cnfStyle w:val="000000000000" w:firstRow="0" w:lastRow="0" w:firstColumn="0" w:lastColumn="0" w:oddVBand="0" w:evenVBand="0" w:oddHBand="0" w:evenHBand="0" w:firstRowFirstColumn="0" w:firstRowLastColumn="0" w:lastRowFirstColumn="0" w:lastRowLastColumn="0"/>
            </w:pPr>
            <w:r>
              <w:t>14.1</w:t>
            </w:r>
          </w:p>
        </w:tc>
        <w:tc>
          <w:tcPr>
            <w:tcW w:w="794" w:type="dxa"/>
          </w:tcPr>
          <w:p w14:paraId="125F65F7" w14:textId="77777777" w:rsidR="00C7198A" w:rsidRDefault="00C7198A">
            <w:pPr>
              <w:cnfStyle w:val="000000000000" w:firstRow="0" w:lastRow="0" w:firstColumn="0" w:lastColumn="0" w:oddVBand="0" w:evenVBand="0" w:oddHBand="0" w:evenHBand="0" w:firstRowFirstColumn="0" w:firstRowLastColumn="0" w:lastRowFirstColumn="0" w:lastRowLastColumn="0"/>
            </w:pPr>
            <w:r>
              <w:t>29.1</w:t>
            </w:r>
          </w:p>
        </w:tc>
        <w:tc>
          <w:tcPr>
            <w:tcW w:w="794" w:type="dxa"/>
          </w:tcPr>
          <w:p w14:paraId="70D780A1" w14:textId="77777777" w:rsidR="00C7198A" w:rsidRDefault="00C7198A">
            <w:pPr>
              <w:cnfStyle w:val="000000000000" w:firstRow="0" w:lastRow="0" w:firstColumn="0" w:lastColumn="0" w:oddVBand="0" w:evenVBand="0" w:oddHBand="0" w:evenHBand="0" w:firstRowFirstColumn="0" w:firstRowLastColumn="0" w:lastRowFirstColumn="0" w:lastRowLastColumn="0"/>
            </w:pPr>
            <w:r>
              <w:t>16.5</w:t>
            </w:r>
          </w:p>
        </w:tc>
      </w:tr>
      <w:tr w:rsidR="00C7198A" w14:paraId="423A49B0" w14:textId="77777777">
        <w:tc>
          <w:tcPr>
            <w:cnfStyle w:val="001000000000" w:firstRow="0" w:lastRow="0" w:firstColumn="1" w:lastColumn="0" w:oddVBand="0" w:evenVBand="0" w:oddHBand="0" w:evenHBand="0" w:firstRowFirstColumn="0" w:firstRowLastColumn="0" w:lastRowFirstColumn="0" w:lastRowLastColumn="0"/>
            <w:tcW w:w="4534" w:type="dxa"/>
          </w:tcPr>
          <w:p w14:paraId="2D1A57D8" w14:textId="77777777" w:rsidR="00C7198A" w:rsidRDefault="00C7198A">
            <w:r>
              <w:rPr>
                <w:b/>
              </w:rPr>
              <w:t>Policing and Community Safety</w:t>
            </w:r>
          </w:p>
        </w:tc>
        <w:tc>
          <w:tcPr>
            <w:tcW w:w="794" w:type="dxa"/>
          </w:tcPr>
          <w:p w14:paraId="66A8CEBC"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750FF742"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008D8D93"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517CF7C6"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r>
      <w:tr w:rsidR="00C7198A" w14:paraId="163FBA8D" w14:textId="77777777" w:rsidTr="00C76B0B">
        <w:tc>
          <w:tcPr>
            <w:cnfStyle w:val="001000000000" w:firstRow="0" w:lastRow="0" w:firstColumn="1" w:lastColumn="0" w:oddVBand="0" w:evenVBand="0" w:oddHBand="0" w:evenHBand="0" w:firstRowFirstColumn="0" w:firstRowLastColumn="0" w:lastRowFirstColumn="0" w:lastRowLastColumn="0"/>
            <w:tcW w:w="4534" w:type="dxa"/>
            <w:tcBorders>
              <w:bottom w:val="single" w:sz="6" w:space="0" w:color="auto"/>
            </w:tcBorders>
          </w:tcPr>
          <w:p w14:paraId="5129B350" w14:textId="77777777" w:rsidR="00C7198A" w:rsidRDefault="00C7198A">
            <w:r>
              <w:t>Service Delivery Transformation Program</w:t>
            </w:r>
          </w:p>
        </w:tc>
        <w:tc>
          <w:tcPr>
            <w:tcW w:w="794" w:type="dxa"/>
            <w:tcBorders>
              <w:bottom w:val="single" w:sz="6" w:space="0" w:color="auto"/>
            </w:tcBorders>
          </w:tcPr>
          <w:p w14:paraId="47D0DDC0" w14:textId="77777777" w:rsidR="00C7198A" w:rsidRDefault="00C7198A">
            <w:pPr>
              <w:cnfStyle w:val="000000000000" w:firstRow="0" w:lastRow="0" w:firstColumn="0" w:lastColumn="0" w:oddVBand="0" w:evenVBand="0" w:oddHBand="0" w:evenHBand="0" w:firstRowFirstColumn="0" w:firstRowLastColumn="0" w:lastRowFirstColumn="0" w:lastRowLastColumn="0"/>
            </w:pPr>
            <w:r>
              <w:t>3.8</w:t>
            </w:r>
          </w:p>
        </w:tc>
        <w:tc>
          <w:tcPr>
            <w:tcW w:w="794" w:type="dxa"/>
            <w:tcBorders>
              <w:bottom w:val="single" w:sz="6" w:space="0" w:color="auto"/>
            </w:tcBorders>
          </w:tcPr>
          <w:p w14:paraId="32D7F8D9" w14:textId="77777777" w:rsidR="00C7198A" w:rsidRDefault="00C7198A">
            <w:pPr>
              <w:cnfStyle w:val="000000000000" w:firstRow="0" w:lastRow="0" w:firstColumn="0" w:lastColumn="0" w:oddVBand="0" w:evenVBand="0" w:oddHBand="0" w:evenHBand="0" w:firstRowFirstColumn="0" w:firstRowLastColumn="0" w:lastRowFirstColumn="0" w:lastRowLastColumn="0"/>
            </w:pPr>
            <w:r>
              <w:t>3.9</w:t>
            </w:r>
          </w:p>
        </w:tc>
        <w:tc>
          <w:tcPr>
            <w:tcW w:w="794" w:type="dxa"/>
            <w:tcBorders>
              <w:bottom w:val="single" w:sz="6" w:space="0" w:color="auto"/>
            </w:tcBorders>
          </w:tcPr>
          <w:p w14:paraId="22727E77" w14:textId="77777777" w:rsidR="00C7198A" w:rsidRDefault="00C7198A">
            <w:pPr>
              <w:cnfStyle w:val="000000000000" w:firstRow="0" w:lastRow="0" w:firstColumn="0" w:lastColumn="0" w:oddVBand="0" w:evenVBand="0" w:oddHBand="0" w:evenHBand="0" w:firstRowFirstColumn="0" w:firstRowLastColumn="0" w:lastRowFirstColumn="0" w:lastRowLastColumn="0"/>
            </w:pPr>
            <w:r>
              <w:t>4.0</w:t>
            </w:r>
          </w:p>
        </w:tc>
        <w:tc>
          <w:tcPr>
            <w:tcW w:w="794" w:type="dxa"/>
            <w:tcBorders>
              <w:bottom w:val="single" w:sz="6" w:space="0" w:color="auto"/>
            </w:tcBorders>
          </w:tcPr>
          <w:p w14:paraId="1D6A68B5" w14:textId="77777777" w:rsidR="00C7198A" w:rsidRDefault="00C7198A">
            <w:pPr>
              <w:cnfStyle w:val="000000000000" w:firstRow="0" w:lastRow="0" w:firstColumn="0" w:lastColumn="0" w:oddVBand="0" w:evenVBand="0" w:oddHBand="0" w:evenHBand="0" w:firstRowFirstColumn="0" w:firstRowLastColumn="0" w:lastRowFirstColumn="0" w:lastRowLastColumn="0"/>
            </w:pPr>
            <w:r>
              <w:t>4.0</w:t>
            </w:r>
          </w:p>
        </w:tc>
      </w:tr>
      <w:tr w:rsidR="00C7198A" w14:paraId="27B1E192" w14:textId="77777777" w:rsidTr="00C76B0B">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bottom w:val="single" w:sz="12" w:space="0" w:color="auto"/>
            </w:tcBorders>
          </w:tcPr>
          <w:p w14:paraId="25E4820D" w14:textId="77777777" w:rsidR="00C7198A" w:rsidRDefault="00C7198A">
            <w:r>
              <w:rPr>
                <w:b/>
              </w:rPr>
              <w:t xml:space="preserve">Total output initiatives </w:t>
            </w:r>
            <w:r>
              <w:rPr>
                <w:b/>
                <w:vertAlign w:val="superscript"/>
              </w:rPr>
              <w:t>(a)</w:t>
            </w:r>
          </w:p>
        </w:tc>
        <w:tc>
          <w:tcPr>
            <w:tcW w:w="794" w:type="dxa"/>
            <w:tcBorders>
              <w:top w:val="single" w:sz="6" w:space="0" w:color="auto"/>
              <w:bottom w:val="single" w:sz="12" w:space="0" w:color="auto"/>
            </w:tcBorders>
          </w:tcPr>
          <w:p w14:paraId="4A5DE37F" w14:textId="77777777" w:rsidR="00C7198A" w:rsidRDefault="00C7198A">
            <w:pPr>
              <w:cnfStyle w:val="000000000000" w:firstRow="0" w:lastRow="0" w:firstColumn="0" w:lastColumn="0" w:oddVBand="0" w:evenVBand="0" w:oddHBand="0" w:evenHBand="0" w:firstRowFirstColumn="0" w:firstRowLastColumn="0" w:lastRowFirstColumn="0" w:lastRowLastColumn="0"/>
            </w:pPr>
            <w:r>
              <w:rPr>
                <w:b/>
              </w:rPr>
              <w:t>119.4</w:t>
            </w:r>
          </w:p>
        </w:tc>
        <w:tc>
          <w:tcPr>
            <w:tcW w:w="794" w:type="dxa"/>
            <w:tcBorders>
              <w:top w:val="single" w:sz="6" w:space="0" w:color="auto"/>
              <w:bottom w:val="single" w:sz="12" w:space="0" w:color="auto"/>
            </w:tcBorders>
          </w:tcPr>
          <w:p w14:paraId="0EED5083" w14:textId="77777777" w:rsidR="00C7198A" w:rsidRDefault="00C7198A">
            <w:pPr>
              <w:cnfStyle w:val="000000000000" w:firstRow="0" w:lastRow="0" w:firstColumn="0" w:lastColumn="0" w:oddVBand="0" w:evenVBand="0" w:oddHBand="0" w:evenHBand="0" w:firstRowFirstColumn="0" w:firstRowLastColumn="0" w:lastRowFirstColumn="0" w:lastRowLastColumn="0"/>
            </w:pPr>
            <w:r>
              <w:rPr>
                <w:b/>
              </w:rPr>
              <w:t>56.1</w:t>
            </w:r>
          </w:p>
        </w:tc>
        <w:tc>
          <w:tcPr>
            <w:tcW w:w="794" w:type="dxa"/>
            <w:tcBorders>
              <w:top w:val="single" w:sz="6" w:space="0" w:color="auto"/>
              <w:bottom w:val="single" w:sz="12" w:space="0" w:color="auto"/>
            </w:tcBorders>
          </w:tcPr>
          <w:p w14:paraId="41366F1B" w14:textId="77777777" w:rsidR="00C7198A" w:rsidRDefault="00C7198A">
            <w:pPr>
              <w:cnfStyle w:val="000000000000" w:firstRow="0" w:lastRow="0" w:firstColumn="0" w:lastColumn="0" w:oddVBand="0" w:evenVBand="0" w:oddHBand="0" w:evenHBand="0" w:firstRowFirstColumn="0" w:firstRowLastColumn="0" w:lastRowFirstColumn="0" w:lastRowLastColumn="0"/>
            </w:pPr>
            <w:r>
              <w:rPr>
                <w:b/>
              </w:rPr>
              <w:t>53.4</w:t>
            </w:r>
          </w:p>
        </w:tc>
        <w:tc>
          <w:tcPr>
            <w:tcW w:w="794" w:type="dxa"/>
            <w:tcBorders>
              <w:top w:val="single" w:sz="6" w:space="0" w:color="auto"/>
              <w:bottom w:val="single" w:sz="12" w:space="0" w:color="auto"/>
            </w:tcBorders>
          </w:tcPr>
          <w:p w14:paraId="60513D84" w14:textId="6D5F97A7" w:rsidR="00C7198A" w:rsidRDefault="00C7198A">
            <w:pPr>
              <w:cnfStyle w:val="000000000000" w:firstRow="0" w:lastRow="0" w:firstColumn="0" w:lastColumn="0" w:oddVBand="0" w:evenVBand="0" w:oddHBand="0" w:evenHBand="0" w:firstRowFirstColumn="0" w:firstRowLastColumn="0" w:lastRowFirstColumn="0" w:lastRowLastColumn="0"/>
            </w:pPr>
            <w:r>
              <w:rPr>
                <w:b/>
              </w:rPr>
              <w:t>36.5</w:t>
            </w:r>
          </w:p>
        </w:tc>
      </w:tr>
    </w:tbl>
    <w:p w14:paraId="6E27781A" w14:textId="77777777" w:rsidR="00C7198A" w:rsidRDefault="00C7198A" w:rsidP="007F7047">
      <w:pPr>
        <w:pStyle w:val="Note"/>
      </w:pPr>
      <w:r>
        <w:t xml:space="preserve">Note: </w:t>
      </w:r>
    </w:p>
    <w:p w14:paraId="7B376405" w14:textId="77777777" w:rsidR="00C7198A" w:rsidRDefault="00C7198A" w:rsidP="001F0C49">
      <w:pPr>
        <w:pStyle w:val="Note"/>
      </w:pPr>
      <w:bookmarkStart w:id="133" w:name="_Hlk70453127"/>
      <w:r>
        <w:t>(a)</w:t>
      </w:r>
      <w:r>
        <w:tab/>
      </w:r>
      <w:r w:rsidRPr="00B82015">
        <w:t>Table may not add due to rounding.</w:t>
      </w:r>
    </w:p>
    <w:p w14:paraId="65EB2F58" w14:textId="77777777" w:rsidR="0062428F" w:rsidRDefault="0062428F" w:rsidP="0062428F">
      <w:bookmarkStart w:id="134" w:name="_Hlk115358447"/>
      <w:bookmarkStart w:id="135" w:name="_Hlk68427809"/>
      <w:bookmarkStart w:id="136" w:name="_Hlk68162235"/>
      <w:bookmarkEnd w:id="133"/>
    </w:p>
    <w:p w14:paraId="17050749" w14:textId="5A5E1226" w:rsidR="00C7198A" w:rsidRDefault="00C7198A" w:rsidP="00AE6D55">
      <w:pPr>
        <w:pStyle w:val="Heading4"/>
      </w:pPr>
      <w:r w:rsidRPr="007637FC">
        <w:t>Community Crime Prevention</w:t>
      </w:r>
    </w:p>
    <w:bookmarkEnd w:id="134"/>
    <w:p w14:paraId="36F52B8D" w14:textId="0DFF96F8" w:rsidR="00C7198A" w:rsidRPr="00697E16" w:rsidRDefault="001606D1" w:rsidP="00AE6D55">
      <w:pPr>
        <w:pStyle w:val="Heading5"/>
      </w:pPr>
      <w:r>
        <w:t>Countering violent</w:t>
      </w:r>
      <w:r w:rsidRPr="00346AAB">
        <w:t xml:space="preserve"> </w:t>
      </w:r>
      <w:r w:rsidR="00C7198A" w:rsidRPr="00346AAB">
        <w:t xml:space="preserve">extremism </w:t>
      </w:r>
    </w:p>
    <w:p w14:paraId="76948441" w14:textId="77777777" w:rsidR="00C7198A" w:rsidRPr="001B3428" w:rsidRDefault="00C7198A" w:rsidP="00AE6D55">
      <w:r>
        <w:t xml:space="preserve">Funding is provided to continue programs to counter violent extremism. </w:t>
      </w:r>
    </w:p>
    <w:p w14:paraId="3AA2AF1E" w14:textId="77777777" w:rsidR="00C7198A" w:rsidRDefault="00C7198A" w:rsidP="00AE6D55">
      <w:r>
        <w:t>T</w:t>
      </w:r>
      <w:r w:rsidRPr="00B078B7">
        <w:t>his initiative contributes to the</w:t>
      </w:r>
      <w:r>
        <w:t xml:space="preserve"> Department of Justice and Community Safety’s </w:t>
      </w:r>
      <w:r w:rsidRPr="007637FC">
        <w:t>Community Crime Prevention</w:t>
      </w:r>
      <w:r>
        <w:t xml:space="preserve"> output.</w:t>
      </w:r>
    </w:p>
    <w:p w14:paraId="0E24F555" w14:textId="77777777" w:rsidR="00C7198A" w:rsidRDefault="00C7198A" w:rsidP="00AE6D55">
      <w:pPr>
        <w:pStyle w:val="Heading4"/>
      </w:pPr>
      <w:r>
        <w:t>Emergency Management Capability</w:t>
      </w:r>
    </w:p>
    <w:p w14:paraId="3AE472C7" w14:textId="77777777" w:rsidR="00C7198A" w:rsidRPr="00697E16" w:rsidRDefault="00C7198A" w:rsidP="00AE6D55">
      <w:pPr>
        <w:pStyle w:val="Heading5"/>
      </w:pPr>
      <w:r>
        <w:t>Council Support Fund extension</w:t>
      </w:r>
    </w:p>
    <w:p w14:paraId="69141F45" w14:textId="77777777" w:rsidR="00C7198A" w:rsidRDefault="00C7198A" w:rsidP="00AE6D55">
      <w:r>
        <w:t>Funding is provided to extend the Council Support Fund to address ongoing recovery needs in communities affected by the June 2021 flood and storm event.</w:t>
      </w:r>
    </w:p>
    <w:p w14:paraId="4400983F" w14:textId="77777777" w:rsidR="00C7198A" w:rsidRDefault="00C7198A" w:rsidP="00AE6D55">
      <w:r>
        <w:t>T</w:t>
      </w:r>
      <w:r w:rsidRPr="00B078B7">
        <w:t>his initiative contributes to the</w:t>
      </w:r>
      <w:r>
        <w:t xml:space="preserve"> Department of Justice and Community Safety’s Emergency Management Capability output.</w:t>
      </w:r>
    </w:p>
    <w:p w14:paraId="65DD7E3A" w14:textId="77777777" w:rsidR="00C7198A" w:rsidRPr="00697E16" w:rsidRDefault="00C7198A" w:rsidP="00AE6D55">
      <w:pPr>
        <w:pStyle w:val="Heading5"/>
      </w:pPr>
      <w:r>
        <w:lastRenderedPageBreak/>
        <w:t>Fiskville Redress Scheme</w:t>
      </w:r>
    </w:p>
    <w:p w14:paraId="7D407300" w14:textId="77777777" w:rsidR="00C7198A" w:rsidRDefault="00C7198A" w:rsidP="00AE6D55">
      <w:r>
        <w:t>Funding is provided for a redress scheme for people affected by activities at the former Fiskville Training College site between 1971 and 2015. The scheme includes financial redress, access to health services and the opportunity to participate in conferences with the Country Fire Authority.</w:t>
      </w:r>
    </w:p>
    <w:p w14:paraId="2C88B17A" w14:textId="77777777" w:rsidR="00C7198A" w:rsidRDefault="00C7198A" w:rsidP="00AE6D55">
      <w:r>
        <w:t>T</w:t>
      </w:r>
      <w:r w:rsidRPr="00B078B7">
        <w:t>his initiative contributes to the</w:t>
      </w:r>
      <w:r>
        <w:t xml:space="preserve"> Department of Justice and Community Safety’s Emergency Management Capability output.</w:t>
      </w:r>
    </w:p>
    <w:p w14:paraId="130D4D25" w14:textId="77777777" w:rsidR="00C7198A" w:rsidRDefault="00C7198A" w:rsidP="00E149A8">
      <w:pPr>
        <w:pStyle w:val="Heading5"/>
      </w:pPr>
      <w:r>
        <w:t>Flood awareness campaigns</w:t>
      </w:r>
    </w:p>
    <w:p w14:paraId="00554449" w14:textId="77777777" w:rsidR="00C7198A" w:rsidRDefault="00C7198A" w:rsidP="00E149A8">
      <w:r>
        <w:t>Funding is provided for public awareness media campaigns to mitigate flash or riverine flooding forecasted for late spring and over the 2022-23 summer period.</w:t>
      </w:r>
    </w:p>
    <w:p w14:paraId="62294EB4" w14:textId="77777777" w:rsidR="00C7198A" w:rsidRDefault="00C7198A" w:rsidP="00E149A8">
      <w:r>
        <w:t>This initiative contributes to the Department of Justice and Community Safety’s Emergency Management Capability output.</w:t>
      </w:r>
    </w:p>
    <w:p w14:paraId="65BD3358" w14:textId="77777777" w:rsidR="00C7198A" w:rsidRPr="00697E16" w:rsidRDefault="00C7198A" w:rsidP="00AE6D55">
      <w:pPr>
        <w:pStyle w:val="Heading5"/>
      </w:pPr>
      <w:r>
        <w:t>Natural Disaster Relief Trust Account</w:t>
      </w:r>
    </w:p>
    <w:p w14:paraId="2667AB09" w14:textId="77777777" w:rsidR="00C7198A" w:rsidRDefault="00C7198A" w:rsidP="00AE6D55">
      <w:r>
        <w:t>Funding is provided to meet commitments from claims arising from Commonwealth registered natural disaster events, including the June 2021 flood and storm event.</w:t>
      </w:r>
    </w:p>
    <w:p w14:paraId="7219399B" w14:textId="77777777" w:rsidR="00C7198A" w:rsidRDefault="00C7198A" w:rsidP="00AE6D55">
      <w:r>
        <w:t>T</w:t>
      </w:r>
      <w:r w:rsidRPr="00B078B7">
        <w:t>his initiative contributes to the</w:t>
      </w:r>
      <w:r>
        <w:t xml:space="preserve"> Department of Justice and Community Safety’s Emergency Management Capability output.</w:t>
      </w:r>
    </w:p>
    <w:p w14:paraId="4CC3D822" w14:textId="77777777" w:rsidR="00C7198A" w:rsidRPr="00697E16" w:rsidRDefault="00C7198A" w:rsidP="00AE6D55">
      <w:pPr>
        <w:pStyle w:val="Heading5"/>
      </w:pPr>
      <w:r>
        <w:t>Victorian Emergency Relief and Recovery Foundation</w:t>
      </w:r>
    </w:p>
    <w:p w14:paraId="10476EB1" w14:textId="77777777" w:rsidR="00C7198A" w:rsidRDefault="00C7198A" w:rsidP="00AE6D55">
      <w:r>
        <w:t>Funding is provided to establish the Victorian Emergency Relief and Recovery Foundation to manage the</w:t>
      </w:r>
      <w:r w:rsidRPr="005F256E">
        <w:t xml:space="preserve"> distribution of public d</w:t>
      </w:r>
      <w:r>
        <w:t>onations</w:t>
      </w:r>
      <w:r w:rsidRPr="005F256E">
        <w:t xml:space="preserve"> </w:t>
      </w:r>
      <w:r>
        <w:t>to communities and individuals requiring</w:t>
      </w:r>
      <w:r w:rsidRPr="005F256E">
        <w:t xml:space="preserve"> </w:t>
      </w:r>
      <w:r>
        <w:t>support following future emergency events.</w:t>
      </w:r>
    </w:p>
    <w:p w14:paraId="1F6E23B7" w14:textId="77777777" w:rsidR="00C7198A" w:rsidRDefault="00C7198A" w:rsidP="00AE6D55">
      <w:r>
        <w:t>T</w:t>
      </w:r>
      <w:r w:rsidRPr="00B078B7">
        <w:t>his initiative contributes to the</w:t>
      </w:r>
      <w:r>
        <w:t xml:space="preserve"> Department of Justice and Community Safety’s Emergency Management Capability output.</w:t>
      </w:r>
    </w:p>
    <w:p w14:paraId="5F5CEBC9" w14:textId="77777777" w:rsidR="00C7198A" w:rsidRDefault="00C7198A" w:rsidP="00AE6D55">
      <w:pPr>
        <w:pStyle w:val="Heading4"/>
      </w:pPr>
      <w:r>
        <w:t xml:space="preserve">Forensic Justice Services </w:t>
      </w:r>
    </w:p>
    <w:p w14:paraId="0ACE62BA" w14:textId="77777777" w:rsidR="00C7198A" w:rsidRDefault="00C7198A" w:rsidP="00AE6D55">
      <w:pPr>
        <w:pStyle w:val="Heading5"/>
      </w:pPr>
      <w:r>
        <w:t xml:space="preserve">Support for victims of sexual violence </w:t>
      </w:r>
    </w:p>
    <w:p w14:paraId="2AAE31D8" w14:textId="77777777" w:rsidR="00C7198A" w:rsidRDefault="00C7198A" w:rsidP="00AE6D55">
      <w:pPr>
        <w:rPr>
          <w:rFonts w:ascii="Garamond" w:hAnsi="Garamond"/>
        </w:rPr>
      </w:pPr>
      <w:r>
        <w:rPr>
          <w:rFonts w:ascii="Garamond" w:hAnsi="Garamond"/>
        </w:rPr>
        <w:t xml:space="preserve">Funding is provided to the Victorian Institute of Forensic Medicine to deliver clinical forensic medicine functions that support better outcomes for victims of sexual violence. This includes additional forensic nurses and doctors to implement a new service delivery model that improves victims’ experience. </w:t>
      </w:r>
    </w:p>
    <w:p w14:paraId="77BAEEC0" w14:textId="4BA74615" w:rsidR="00C7198A" w:rsidRDefault="00C7198A" w:rsidP="00AE6D55">
      <w:pPr>
        <w:rPr>
          <w:rFonts w:ascii="Garamond" w:hAnsi="Garamond"/>
        </w:rPr>
      </w:pPr>
      <w:r>
        <w:rPr>
          <w:rFonts w:ascii="Garamond" w:hAnsi="Garamond"/>
        </w:rPr>
        <w:t xml:space="preserve">This initiative contributes to the Department of Justice and Community Safety’s </w:t>
      </w:r>
      <w:r w:rsidR="009F52D2">
        <w:rPr>
          <w:rFonts w:ascii="Garamond" w:hAnsi="Garamond"/>
        </w:rPr>
        <w:br/>
      </w:r>
      <w:r>
        <w:rPr>
          <w:rFonts w:ascii="Garamond" w:hAnsi="Garamond"/>
        </w:rPr>
        <w:t>Forensic Justice Services output.</w:t>
      </w:r>
    </w:p>
    <w:p w14:paraId="5966404C" w14:textId="77777777" w:rsidR="00C7198A" w:rsidRDefault="00C7198A" w:rsidP="00AE6D55">
      <w:pPr>
        <w:pStyle w:val="Heading4"/>
      </w:pPr>
      <w:r>
        <w:lastRenderedPageBreak/>
        <w:t>Justice Policy, Services and Law Reform</w:t>
      </w:r>
    </w:p>
    <w:p w14:paraId="42BD89E3" w14:textId="77777777" w:rsidR="00C7198A" w:rsidRPr="00697E16" w:rsidRDefault="00C7198A" w:rsidP="00AE6D55">
      <w:pPr>
        <w:pStyle w:val="Heading5"/>
      </w:pPr>
      <w:r>
        <w:t>Office of the Special Investigator</w:t>
      </w:r>
    </w:p>
    <w:p w14:paraId="7C5FA0FA" w14:textId="77777777" w:rsidR="00C7198A" w:rsidRPr="00767C36" w:rsidRDefault="00C7198A" w:rsidP="009719D9">
      <w:pPr>
        <w:keepNext/>
        <w:rPr>
          <w:rFonts w:ascii="Garamond" w:hAnsi="Garamond"/>
        </w:rPr>
      </w:pPr>
      <w:r w:rsidRPr="00767C36">
        <w:rPr>
          <w:rFonts w:ascii="Garamond" w:hAnsi="Garamond"/>
        </w:rPr>
        <w:t xml:space="preserve">Funding is provided to support </w:t>
      </w:r>
      <w:r>
        <w:rPr>
          <w:rFonts w:ascii="Garamond" w:hAnsi="Garamond"/>
        </w:rPr>
        <w:t>key</w:t>
      </w:r>
      <w:r w:rsidRPr="00767C36">
        <w:rPr>
          <w:rFonts w:ascii="Garamond" w:hAnsi="Garamond"/>
        </w:rPr>
        <w:t xml:space="preserve"> functions of the Office of the Special Investigator, which is an independent statutory body established as a result of recommendations of the Royal Commission into the Management of Police Informants</w:t>
      </w:r>
      <w:r>
        <w:rPr>
          <w:rFonts w:ascii="Garamond" w:hAnsi="Garamond"/>
        </w:rPr>
        <w:t>.</w:t>
      </w:r>
    </w:p>
    <w:p w14:paraId="7BAF9D03" w14:textId="6B386F6A" w:rsidR="00C7198A" w:rsidRDefault="00C7198A" w:rsidP="00AE6D55">
      <w:r>
        <w:t>T</w:t>
      </w:r>
      <w:r w:rsidRPr="00B078B7">
        <w:t>his initiative contributes to the</w:t>
      </w:r>
      <w:r>
        <w:t xml:space="preserve"> Department of Justice and Community Safety’s </w:t>
      </w:r>
      <w:r w:rsidR="009F52D2">
        <w:br/>
      </w:r>
      <w:r>
        <w:t>Justice Policy, Services and Law Reform output.</w:t>
      </w:r>
    </w:p>
    <w:p w14:paraId="1B278895" w14:textId="77777777" w:rsidR="00C7198A" w:rsidRDefault="00C7198A" w:rsidP="00E149A8">
      <w:pPr>
        <w:pStyle w:val="Heading5"/>
      </w:pPr>
      <w:r>
        <w:t>Supporting decriminalisation of public intoxication</w:t>
      </w:r>
    </w:p>
    <w:p w14:paraId="56AF85C8" w14:textId="77777777" w:rsidR="00C7198A" w:rsidRPr="0099071A" w:rsidRDefault="00C7198A" w:rsidP="00E149A8">
      <w:pPr>
        <w:pStyle w:val="Heading5"/>
        <w:rPr>
          <w:rFonts w:asciiTheme="minorHAnsi" w:eastAsiaTheme="minorHAnsi" w:hAnsiTheme="minorHAnsi" w:cstheme="minorBidi"/>
          <w:b w:val="0"/>
          <w:iCs w:val="0"/>
          <w:sz w:val="22"/>
          <w:szCs w:val="22"/>
        </w:rPr>
      </w:pPr>
      <w:r w:rsidRPr="0099071A">
        <w:rPr>
          <w:rFonts w:asciiTheme="minorHAnsi" w:eastAsiaTheme="minorHAnsi" w:hAnsiTheme="minorHAnsi" w:cstheme="minorBidi"/>
          <w:b w:val="0"/>
          <w:iCs w:val="0"/>
          <w:sz w:val="22"/>
          <w:szCs w:val="22"/>
        </w:rPr>
        <w:t xml:space="preserve">Refer to the Department of </w:t>
      </w:r>
      <w:r>
        <w:rPr>
          <w:rFonts w:asciiTheme="minorHAnsi" w:eastAsiaTheme="minorHAnsi" w:hAnsiTheme="minorHAnsi" w:cstheme="minorBidi"/>
          <w:b w:val="0"/>
          <w:iCs w:val="0"/>
          <w:sz w:val="22"/>
          <w:szCs w:val="22"/>
        </w:rPr>
        <w:t>Health</w:t>
      </w:r>
      <w:r w:rsidRPr="0099071A">
        <w:rPr>
          <w:rFonts w:asciiTheme="minorHAnsi" w:eastAsiaTheme="minorHAnsi" w:hAnsiTheme="minorHAnsi" w:cstheme="minorBidi"/>
          <w:b w:val="0"/>
          <w:iCs w:val="0"/>
          <w:sz w:val="22"/>
          <w:szCs w:val="22"/>
        </w:rPr>
        <w:t xml:space="preserve"> for a description of this initiative. </w:t>
      </w:r>
    </w:p>
    <w:p w14:paraId="26AC38B4" w14:textId="77777777" w:rsidR="00C7198A" w:rsidRDefault="00C7198A" w:rsidP="00E149A8">
      <w:pPr>
        <w:pStyle w:val="Heading5"/>
      </w:pPr>
      <w:r>
        <w:t>Traditional Owner Settlement Act Agreements</w:t>
      </w:r>
    </w:p>
    <w:p w14:paraId="38080C36" w14:textId="77777777" w:rsidR="00C7198A" w:rsidRDefault="00C7198A" w:rsidP="00E149A8">
      <w:r>
        <w:t xml:space="preserve">Funding is provided for interim settlement packages with several Traditional Owner groups, together with other initiatives, under the </w:t>
      </w:r>
      <w:r>
        <w:rPr>
          <w:i/>
          <w:iCs/>
        </w:rPr>
        <w:t>Traditional Owner Settlement Act 2010</w:t>
      </w:r>
      <w:r w:rsidRPr="001B3428">
        <w:t xml:space="preserve"> </w:t>
      </w:r>
      <w:r>
        <w:t xml:space="preserve">(Vic) </w:t>
      </w:r>
      <w:r w:rsidRPr="001B3428">
        <w:t>(the</w:t>
      </w:r>
      <w:r>
        <w:t> </w:t>
      </w:r>
      <w:r w:rsidRPr="001B3428">
        <w:t>Act).</w:t>
      </w:r>
      <w:r>
        <w:t xml:space="preserve"> Agreements under the Act advance positive and progressive relationships with Victorian Traditional Owners towards Aboriginal self-determination.</w:t>
      </w:r>
    </w:p>
    <w:p w14:paraId="27C93DA6" w14:textId="6F1722E7" w:rsidR="00C7198A" w:rsidRPr="00432766" w:rsidRDefault="00C7198A" w:rsidP="00E149A8">
      <w:r>
        <w:t xml:space="preserve">This initiative contributes to the Department of Justice and Community Safety’s </w:t>
      </w:r>
      <w:r w:rsidR="009F52D2">
        <w:br/>
      </w:r>
      <w:r>
        <w:t>Justice Policy, Services and Law Reform output.</w:t>
      </w:r>
    </w:p>
    <w:p w14:paraId="6E4ECE76" w14:textId="77777777" w:rsidR="00C7198A" w:rsidRDefault="00C7198A" w:rsidP="00AE6D55">
      <w:pPr>
        <w:pStyle w:val="Heading4"/>
      </w:pPr>
      <w:r>
        <w:t>Policing and Community Safety</w:t>
      </w:r>
    </w:p>
    <w:p w14:paraId="605377CE" w14:textId="77777777" w:rsidR="00C7198A" w:rsidRPr="00697E16" w:rsidRDefault="00C7198A" w:rsidP="00AE6D55">
      <w:pPr>
        <w:pStyle w:val="Heading5"/>
      </w:pPr>
      <w:r>
        <w:t>Service Delivery Transformation Program</w:t>
      </w:r>
    </w:p>
    <w:p w14:paraId="7D280C3F" w14:textId="77777777" w:rsidR="00C7198A" w:rsidRDefault="00C7198A" w:rsidP="00AE6D55">
      <w:r>
        <w:t>Funding is provided to Victoria Police for a program of works to improve and modernise the policing service delivery model.</w:t>
      </w:r>
    </w:p>
    <w:p w14:paraId="046ADB1B" w14:textId="65A2D93F" w:rsidR="00C7198A" w:rsidRDefault="00C7198A" w:rsidP="00AE6D55">
      <w:r>
        <w:t>T</w:t>
      </w:r>
      <w:r w:rsidRPr="00B078B7">
        <w:t>his initiative contributes to the</w:t>
      </w:r>
      <w:r>
        <w:t xml:space="preserve"> Department of Justice and Community Safety’s </w:t>
      </w:r>
      <w:r w:rsidR="009F52D2">
        <w:br/>
      </w:r>
      <w:r>
        <w:t>Policing and Community Safety output.</w:t>
      </w:r>
    </w:p>
    <w:p w14:paraId="126444FF" w14:textId="77777777" w:rsidR="00C7198A" w:rsidRDefault="00C7198A" w:rsidP="00AE6D55"/>
    <w:p w14:paraId="2BB7A83B" w14:textId="77777777" w:rsidR="00C7198A" w:rsidRDefault="00C7198A" w:rsidP="00A461CE"/>
    <w:p w14:paraId="62DB5CC7" w14:textId="77777777" w:rsidR="00C7198A" w:rsidRDefault="00C7198A" w:rsidP="0062428F">
      <w:pPr>
        <w:pStyle w:val="Heading10"/>
        <w:pageBreakBefore/>
      </w:pPr>
      <w:bookmarkStart w:id="137" w:name="_Toc71814117"/>
      <w:bookmarkStart w:id="138" w:name="_Toc117586264"/>
      <w:bookmarkEnd w:id="135"/>
      <w:bookmarkEnd w:id="136"/>
      <w:r>
        <w:lastRenderedPageBreak/>
        <w:t>Department of Premier and Cabinet</w:t>
      </w:r>
      <w:bookmarkEnd w:id="137"/>
      <w:bookmarkEnd w:id="138"/>
    </w:p>
    <w:p w14:paraId="14831E47" w14:textId="77777777" w:rsidR="00C7198A" w:rsidRDefault="00C7198A" w:rsidP="00AC5CCE">
      <w:pPr>
        <w:pStyle w:val="Heading20"/>
      </w:pPr>
      <w:r>
        <w:t>Output initiatives</w:t>
      </w:r>
    </w:p>
    <w:p w14:paraId="052D576C" w14:textId="7A23D43D" w:rsidR="00C7198A" w:rsidRDefault="00C7198A" w:rsidP="000F4312">
      <w:pPr>
        <w:pStyle w:val="TableHeading"/>
      </w:pPr>
      <w:r>
        <w:t>Table A.1</w:t>
      </w:r>
      <w:r w:rsidR="00993A31">
        <w:t>2</w:t>
      </w:r>
      <w:r>
        <w:t>:</w:t>
      </w:r>
      <w:r>
        <w:tab/>
        <w:t>Output initiatives – Department of Premier and Cabinet</w:t>
      </w:r>
      <w:r>
        <w:tab/>
        <w:t>($ million)</w:t>
      </w:r>
    </w:p>
    <w:tbl>
      <w:tblPr>
        <w:tblStyle w:val="DTFTableNumeric"/>
        <w:tblW w:w="7710" w:type="dxa"/>
        <w:tblLayout w:type="fixed"/>
        <w:tblLook w:val="06A0" w:firstRow="1" w:lastRow="0" w:firstColumn="1" w:lastColumn="0" w:noHBand="1" w:noVBand="1"/>
      </w:tblPr>
      <w:tblGrid>
        <w:gridCol w:w="4534"/>
        <w:gridCol w:w="794"/>
        <w:gridCol w:w="794"/>
        <w:gridCol w:w="794"/>
        <w:gridCol w:w="794"/>
      </w:tblGrid>
      <w:tr w:rsidR="00C7198A" w14:paraId="0B2920E5" w14:textId="77777777" w:rsidTr="0052536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4" w:type="dxa"/>
          </w:tcPr>
          <w:p w14:paraId="377F849B" w14:textId="65B623AE" w:rsidR="00C7198A" w:rsidRDefault="00C7198A"/>
        </w:tc>
        <w:tc>
          <w:tcPr>
            <w:tcW w:w="794" w:type="dxa"/>
          </w:tcPr>
          <w:p w14:paraId="320EF4E4" w14:textId="77777777" w:rsidR="00C7198A" w:rsidRDefault="00C7198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02D5ACB8" w14:textId="77777777" w:rsidR="00C7198A" w:rsidRDefault="00C7198A">
            <w:pPr>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5A4FB2CF" w14:textId="77777777" w:rsidR="00C7198A" w:rsidRDefault="00C7198A">
            <w:pPr>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3E8B903C" w14:textId="77777777" w:rsidR="00C7198A" w:rsidRDefault="00C7198A">
            <w:pPr>
              <w:cnfStyle w:val="100000000000" w:firstRow="1" w:lastRow="0" w:firstColumn="0" w:lastColumn="0" w:oddVBand="0" w:evenVBand="0" w:oddHBand="0" w:evenHBand="0" w:firstRowFirstColumn="0" w:firstRowLastColumn="0" w:lastRowFirstColumn="0" w:lastRowLastColumn="0"/>
            </w:pPr>
            <w:r>
              <w:t>2025</w:t>
            </w:r>
            <w:r>
              <w:noBreakHyphen/>
              <w:t>26</w:t>
            </w:r>
          </w:p>
        </w:tc>
      </w:tr>
      <w:tr w:rsidR="00C7198A" w14:paraId="45FC9D0B" w14:textId="77777777">
        <w:tc>
          <w:tcPr>
            <w:cnfStyle w:val="001000000000" w:firstRow="0" w:lastRow="0" w:firstColumn="1" w:lastColumn="0" w:oddVBand="0" w:evenVBand="0" w:oddHBand="0" w:evenHBand="0" w:firstRowFirstColumn="0" w:firstRowLastColumn="0" w:lastRowFirstColumn="0" w:lastRowLastColumn="0"/>
            <w:tcW w:w="4534" w:type="dxa"/>
          </w:tcPr>
          <w:p w14:paraId="43DFB587" w14:textId="77777777" w:rsidR="00C7198A" w:rsidRDefault="00C7198A">
            <w:r>
              <w:rPr>
                <w:b/>
              </w:rPr>
              <w:t>Economic Policy and Advice</w:t>
            </w:r>
          </w:p>
        </w:tc>
        <w:tc>
          <w:tcPr>
            <w:tcW w:w="794" w:type="dxa"/>
          </w:tcPr>
          <w:p w14:paraId="7843C8B1"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5B772789"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053488B7"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4B6D9511"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r>
      <w:tr w:rsidR="00C7198A" w14:paraId="5E18250C" w14:textId="77777777">
        <w:tc>
          <w:tcPr>
            <w:cnfStyle w:val="001000000000" w:firstRow="0" w:lastRow="0" w:firstColumn="1" w:lastColumn="0" w:oddVBand="0" w:evenVBand="0" w:oddHBand="0" w:evenHBand="0" w:firstRowFirstColumn="0" w:firstRowLastColumn="0" w:lastRowFirstColumn="0" w:lastRowLastColumn="0"/>
            <w:tcW w:w="4534" w:type="dxa"/>
          </w:tcPr>
          <w:p w14:paraId="0721901B" w14:textId="77777777" w:rsidR="00C7198A" w:rsidRDefault="00C7198A">
            <w:r>
              <w:t>Commonwealth Games</w:t>
            </w:r>
          </w:p>
        </w:tc>
        <w:tc>
          <w:tcPr>
            <w:tcW w:w="794" w:type="dxa"/>
          </w:tcPr>
          <w:p w14:paraId="2DA21EDF" w14:textId="77777777" w:rsidR="00C7198A" w:rsidRDefault="00C7198A">
            <w:pPr>
              <w:cnfStyle w:val="000000000000" w:firstRow="0" w:lastRow="0" w:firstColumn="0" w:lastColumn="0" w:oddVBand="0" w:evenVBand="0" w:oddHBand="0" w:evenHBand="0" w:firstRowFirstColumn="0" w:firstRowLastColumn="0" w:lastRowFirstColumn="0" w:lastRowLastColumn="0"/>
            </w:pPr>
            <w:r>
              <w:t>0.5</w:t>
            </w:r>
          </w:p>
        </w:tc>
        <w:tc>
          <w:tcPr>
            <w:tcW w:w="794" w:type="dxa"/>
          </w:tcPr>
          <w:p w14:paraId="3F871A4B"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3D087B73"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0974BA34"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r>
      <w:tr w:rsidR="00C7198A" w14:paraId="04B10BEE" w14:textId="77777777">
        <w:tc>
          <w:tcPr>
            <w:cnfStyle w:val="001000000000" w:firstRow="0" w:lastRow="0" w:firstColumn="1" w:lastColumn="0" w:oddVBand="0" w:evenVBand="0" w:oddHBand="0" w:evenHBand="0" w:firstRowFirstColumn="0" w:firstRowLastColumn="0" w:lastRowFirstColumn="0" w:lastRowLastColumn="0"/>
            <w:tcW w:w="4534" w:type="dxa"/>
          </w:tcPr>
          <w:p w14:paraId="5F521420" w14:textId="77777777" w:rsidR="00C7198A" w:rsidRDefault="00C7198A">
            <w:r>
              <w:rPr>
                <w:b/>
              </w:rPr>
              <w:t>Public Sector Administration Advice and Support</w:t>
            </w:r>
          </w:p>
        </w:tc>
        <w:tc>
          <w:tcPr>
            <w:tcW w:w="794" w:type="dxa"/>
          </w:tcPr>
          <w:p w14:paraId="6ADAF680"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6D2F7566"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50B7AF48"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31CC4648"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r>
      <w:tr w:rsidR="00C7198A" w14:paraId="1BA744A4" w14:textId="77777777">
        <w:tc>
          <w:tcPr>
            <w:cnfStyle w:val="001000000000" w:firstRow="0" w:lastRow="0" w:firstColumn="1" w:lastColumn="0" w:oddVBand="0" w:evenVBand="0" w:oddHBand="0" w:evenHBand="0" w:firstRowFirstColumn="0" w:firstRowLastColumn="0" w:lastRowFirstColumn="0" w:lastRowLastColumn="0"/>
            <w:tcW w:w="4534" w:type="dxa"/>
          </w:tcPr>
          <w:p w14:paraId="17235FC9" w14:textId="77777777" w:rsidR="00C7198A" w:rsidRDefault="00C7198A">
            <w:r>
              <w:t>Parliamentary standards and integrity reforms</w:t>
            </w:r>
          </w:p>
        </w:tc>
        <w:tc>
          <w:tcPr>
            <w:tcW w:w="794" w:type="dxa"/>
          </w:tcPr>
          <w:p w14:paraId="431E6FF2" w14:textId="77777777" w:rsidR="00C7198A" w:rsidRDefault="00C7198A">
            <w:pPr>
              <w:cnfStyle w:val="000000000000" w:firstRow="0" w:lastRow="0" w:firstColumn="0" w:lastColumn="0" w:oddVBand="0" w:evenVBand="0" w:oddHBand="0" w:evenHBand="0" w:firstRowFirstColumn="0" w:firstRowLastColumn="0" w:lastRowFirstColumn="0" w:lastRowLastColumn="0"/>
            </w:pPr>
            <w:r>
              <w:t>1.4</w:t>
            </w:r>
          </w:p>
        </w:tc>
        <w:tc>
          <w:tcPr>
            <w:tcW w:w="794" w:type="dxa"/>
          </w:tcPr>
          <w:p w14:paraId="01B96D29" w14:textId="77777777" w:rsidR="00C7198A" w:rsidRDefault="00C7198A">
            <w:pPr>
              <w:cnfStyle w:val="000000000000" w:firstRow="0" w:lastRow="0" w:firstColumn="0" w:lastColumn="0" w:oddVBand="0" w:evenVBand="0" w:oddHBand="0" w:evenHBand="0" w:firstRowFirstColumn="0" w:firstRowLastColumn="0" w:lastRowFirstColumn="0" w:lastRowLastColumn="0"/>
            </w:pPr>
            <w:r>
              <w:t>1.5</w:t>
            </w:r>
          </w:p>
        </w:tc>
        <w:tc>
          <w:tcPr>
            <w:tcW w:w="794" w:type="dxa"/>
          </w:tcPr>
          <w:p w14:paraId="419D73FE"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5077B6A9"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r>
      <w:tr w:rsidR="00C7198A" w14:paraId="54E6CD9B" w14:textId="77777777">
        <w:tc>
          <w:tcPr>
            <w:cnfStyle w:val="001000000000" w:firstRow="0" w:lastRow="0" w:firstColumn="1" w:lastColumn="0" w:oddVBand="0" w:evenVBand="0" w:oddHBand="0" w:evenHBand="0" w:firstRowFirstColumn="0" w:firstRowLastColumn="0" w:lastRowFirstColumn="0" w:lastRowLastColumn="0"/>
            <w:tcW w:w="4534" w:type="dxa"/>
          </w:tcPr>
          <w:p w14:paraId="7B0119D9" w14:textId="77777777" w:rsidR="00C7198A" w:rsidRDefault="00C7198A">
            <w:r>
              <w:rPr>
                <w:b/>
              </w:rPr>
              <w:t>Social Policy and Intergovernmental Relations</w:t>
            </w:r>
          </w:p>
        </w:tc>
        <w:tc>
          <w:tcPr>
            <w:tcW w:w="794" w:type="dxa"/>
          </w:tcPr>
          <w:p w14:paraId="7449849A"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43710201"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6166B628"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3C66F58C"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r>
      <w:tr w:rsidR="00C7198A" w14:paraId="414025EA" w14:textId="77777777">
        <w:tc>
          <w:tcPr>
            <w:cnfStyle w:val="001000000000" w:firstRow="0" w:lastRow="0" w:firstColumn="1" w:lastColumn="0" w:oddVBand="0" w:evenVBand="0" w:oddHBand="0" w:evenHBand="0" w:firstRowFirstColumn="0" w:firstRowLastColumn="0" w:lastRowFirstColumn="0" w:lastRowLastColumn="0"/>
            <w:tcW w:w="4534" w:type="dxa"/>
          </w:tcPr>
          <w:p w14:paraId="356A93AB" w14:textId="77777777" w:rsidR="00C7198A" w:rsidRDefault="00C7198A">
            <w:r>
              <w:t>Donation for the Ukraine Crisis Appeal</w:t>
            </w:r>
          </w:p>
        </w:tc>
        <w:tc>
          <w:tcPr>
            <w:tcW w:w="794" w:type="dxa"/>
          </w:tcPr>
          <w:p w14:paraId="54AFD139" w14:textId="77777777" w:rsidR="00C7198A" w:rsidRDefault="00C7198A">
            <w:pPr>
              <w:cnfStyle w:val="000000000000" w:firstRow="0" w:lastRow="0" w:firstColumn="0" w:lastColumn="0" w:oddVBand="0" w:evenVBand="0" w:oddHBand="0" w:evenHBand="0" w:firstRowFirstColumn="0" w:firstRowLastColumn="0" w:lastRowFirstColumn="0" w:lastRowLastColumn="0"/>
            </w:pPr>
            <w:r>
              <w:t>0.5</w:t>
            </w:r>
          </w:p>
        </w:tc>
        <w:tc>
          <w:tcPr>
            <w:tcW w:w="794" w:type="dxa"/>
          </w:tcPr>
          <w:p w14:paraId="77FA6A32"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5CC8EEFB"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238505E7"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r>
      <w:tr w:rsidR="00C7198A" w14:paraId="1A50BB5F" w14:textId="77777777">
        <w:tc>
          <w:tcPr>
            <w:cnfStyle w:val="001000000000" w:firstRow="0" w:lastRow="0" w:firstColumn="1" w:lastColumn="0" w:oddVBand="0" w:evenVBand="0" w:oddHBand="0" w:evenHBand="0" w:firstRowFirstColumn="0" w:firstRowLastColumn="0" w:lastRowFirstColumn="0" w:lastRowLastColumn="0"/>
            <w:tcW w:w="4534" w:type="dxa"/>
          </w:tcPr>
          <w:p w14:paraId="54FB6849" w14:textId="77777777" w:rsidR="00C7198A" w:rsidRDefault="00C7198A">
            <w:r>
              <w:rPr>
                <w:b/>
              </w:rPr>
              <w:t>Traditional Owner Engagement and Cultural Heritage Management Programs</w:t>
            </w:r>
          </w:p>
        </w:tc>
        <w:tc>
          <w:tcPr>
            <w:tcW w:w="794" w:type="dxa"/>
          </w:tcPr>
          <w:p w14:paraId="4BDC9009"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678E891A"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622E907F"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2F6A411D"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r>
      <w:tr w:rsidR="00C7198A" w14:paraId="4470DF61" w14:textId="77777777" w:rsidTr="00525365">
        <w:tc>
          <w:tcPr>
            <w:cnfStyle w:val="001000000000" w:firstRow="0" w:lastRow="0" w:firstColumn="1" w:lastColumn="0" w:oddVBand="0" w:evenVBand="0" w:oddHBand="0" w:evenHBand="0" w:firstRowFirstColumn="0" w:firstRowLastColumn="0" w:lastRowFirstColumn="0" w:lastRowLastColumn="0"/>
            <w:tcW w:w="4534" w:type="dxa"/>
            <w:tcBorders>
              <w:bottom w:val="single" w:sz="6" w:space="0" w:color="auto"/>
            </w:tcBorders>
          </w:tcPr>
          <w:p w14:paraId="2630EA14" w14:textId="77777777" w:rsidR="00C7198A" w:rsidRDefault="00C7198A">
            <w:r>
              <w:t>Munarra Centre for Regional Excellence project funding</w:t>
            </w:r>
          </w:p>
        </w:tc>
        <w:tc>
          <w:tcPr>
            <w:tcW w:w="794" w:type="dxa"/>
            <w:tcBorders>
              <w:bottom w:val="single" w:sz="6" w:space="0" w:color="auto"/>
            </w:tcBorders>
          </w:tcPr>
          <w:p w14:paraId="3D90CE71" w14:textId="77777777" w:rsidR="00C7198A" w:rsidRDefault="00C7198A">
            <w:pPr>
              <w:cnfStyle w:val="000000000000" w:firstRow="0" w:lastRow="0" w:firstColumn="0" w:lastColumn="0" w:oddVBand="0" w:evenVBand="0" w:oddHBand="0" w:evenHBand="0" w:firstRowFirstColumn="0" w:firstRowLastColumn="0" w:lastRowFirstColumn="0" w:lastRowLastColumn="0"/>
            </w:pPr>
            <w:r>
              <w:t>7.3</w:t>
            </w:r>
          </w:p>
        </w:tc>
        <w:tc>
          <w:tcPr>
            <w:tcW w:w="794" w:type="dxa"/>
            <w:tcBorders>
              <w:bottom w:val="single" w:sz="6" w:space="0" w:color="auto"/>
            </w:tcBorders>
          </w:tcPr>
          <w:p w14:paraId="774CA255"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51FC9C8D"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630EA8DC"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r>
      <w:tr w:rsidR="00C7198A" w14:paraId="0F7351A3" w14:textId="77777777" w:rsidTr="00525365">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bottom w:val="single" w:sz="12" w:space="0" w:color="auto"/>
            </w:tcBorders>
          </w:tcPr>
          <w:p w14:paraId="393675D0" w14:textId="77777777" w:rsidR="00C7198A" w:rsidRDefault="00C7198A">
            <w:r>
              <w:rPr>
                <w:b/>
              </w:rPr>
              <w:t xml:space="preserve">Total output initiatives </w:t>
            </w:r>
            <w:r>
              <w:rPr>
                <w:b/>
                <w:vertAlign w:val="superscript"/>
              </w:rPr>
              <w:t>(a)</w:t>
            </w:r>
          </w:p>
        </w:tc>
        <w:tc>
          <w:tcPr>
            <w:tcW w:w="794" w:type="dxa"/>
            <w:tcBorders>
              <w:top w:val="single" w:sz="6" w:space="0" w:color="auto"/>
              <w:bottom w:val="single" w:sz="12" w:space="0" w:color="auto"/>
            </w:tcBorders>
          </w:tcPr>
          <w:p w14:paraId="795283C7" w14:textId="77777777" w:rsidR="00C7198A" w:rsidRDefault="00C7198A">
            <w:pPr>
              <w:cnfStyle w:val="000000000000" w:firstRow="0" w:lastRow="0" w:firstColumn="0" w:lastColumn="0" w:oddVBand="0" w:evenVBand="0" w:oddHBand="0" w:evenHBand="0" w:firstRowFirstColumn="0" w:firstRowLastColumn="0" w:lastRowFirstColumn="0" w:lastRowLastColumn="0"/>
            </w:pPr>
            <w:r>
              <w:rPr>
                <w:b/>
              </w:rPr>
              <w:t>9.7</w:t>
            </w:r>
          </w:p>
        </w:tc>
        <w:tc>
          <w:tcPr>
            <w:tcW w:w="794" w:type="dxa"/>
            <w:tcBorders>
              <w:top w:val="single" w:sz="6" w:space="0" w:color="auto"/>
              <w:bottom w:val="single" w:sz="12" w:space="0" w:color="auto"/>
            </w:tcBorders>
          </w:tcPr>
          <w:p w14:paraId="6D96539D" w14:textId="77777777" w:rsidR="00C7198A" w:rsidRDefault="00C7198A">
            <w:pPr>
              <w:cnfStyle w:val="000000000000" w:firstRow="0" w:lastRow="0" w:firstColumn="0" w:lastColumn="0" w:oddVBand="0" w:evenVBand="0" w:oddHBand="0" w:evenHBand="0" w:firstRowFirstColumn="0" w:firstRowLastColumn="0" w:lastRowFirstColumn="0" w:lastRowLastColumn="0"/>
            </w:pPr>
            <w:r>
              <w:rPr>
                <w:b/>
              </w:rPr>
              <w:t>1.5</w:t>
            </w:r>
          </w:p>
        </w:tc>
        <w:tc>
          <w:tcPr>
            <w:tcW w:w="794" w:type="dxa"/>
            <w:tcBorders>
              <w:top w:val="single" w:sz="6" w:space="0" w:color="auto"/>
              <w:bottom w:val="single" w:sz="12" w:space="0" w:color="auto"/>
            </w:tcBorders>
          </w:tcPr>
          <w:p w14:paraId="3B12A4A6" w14:textId="77777777" w:rsidR="00C7198A" w:rsidRDefault="00C7198A">
            <w:pPr>
              <w:cnfStyle w:val="000000000000" w:firstRow="0" w:lastRow="0" w:firstColumn="0" w:lastColumn="0" w:oddVBand="0" w:evenVBand="0" w:oddHBand="0" w:evenHBand="0" w:firstRowFirstColumn="0" w:firstRowLastColumn="0" w:lastRowFirstColumn="0" w:lastRowLastColumn="0"/>
            </w:pPr>
            <w:r>
              <w:rPr>
                <w:b/>
              </w:rPr>
              <w:t>..</w:t>
            </w:r>
          </w:p>
        </w:tc>
        <w:tc>
          <w:tcPr>
            <w:tcW w:w="794" w:type="dxa"/>
            <w:tcBorders>
              <w:top w:val="single" w:sz="6" w:space="0" w:color="auto"/>
              <w:bottom w:val="single" w:sz="12" w:space="0" w:color="auto"/>
            </w:tcBorders>
          </w:tcPr>
          <w:p w14:paraId="55433C76" w14:textId="362933D4" w:rsidR="00C7198A" w:rsidRDefault="00C7198A">
            <w:pPr>
              <w:cnfStyle w:val="000000000000" w:firstRow="0" w:lastRow="0" w:firstColumn="0" w:lastColumn="0" w:oddVBand="0" w:evenVBand="0" w:oddHBand="0" w:evenHBand="0" w:firstRowFirstColumn="0" w:firstRowLastColumn="0" w:lastRowFirstColumn="0" w:lastRowLastColumn="0"/>
            </w:pPr>
            <w:r>
              <w:rPr>
                <w:b/>
              </w:rPr>
              <w:t>..</w:t>
            </w:r>
          </w:p>
        </w:tc>
      </w:tr>
    </w:tbl>
    <w:p w14:paraId="560F9ABA" w14:textId="77777777" w:rsidR="00C7198A" w:rsidRDefault="00C7198A" w:rsidP="003D5DD5">
      <w:pPr>
        <w:pStyle w:val="Note"/>
      </w:pPr>
      <w:r>
        <w:t>Note:</w:t>
      </w:r>
    </w:p>
    <w:p w14:paraId="2FAFBA79" w14:textId="77777777" w:rsidR="00C7198A" w:rsidRDefault="00C7198A" w:rsidP="003D5DD5">
      <w:pPr>
        <w:pStyle w:val="Note"/>
      </w:pPr>
      <w:r>
        <w:t>(a)</w:t>
      </w:r>
      <w:r>
        <w:tab/>
      </w:r>
      <w:r w:rsidRPr="00B82015">
        <w:t>Table may not add due to rounding.</w:t>
      </w:r>
    </w:p>
    <w:p w14:paraId="220746E1" w14:textId="77777777" w:rsidR="0062428F" w:rsidRDefault="0062428F" w:rsidP="0062428F"/>
    <w:p w14:paraId="039172D3" w14:textId="42390F28" w:rsidR="00C7198A" w:rsidRPr="00D571FB" w:rsidRDefault="00C7198A" w:rsidP="009E307F">
      <w:pPr>
        <w:pStyle w:val="Heading4"/>
      </w:pPr>
      <w:r>
        <w:t>Economic Policy and Advice</w:t>
      </w:r>
    </w:p>
    <w:p w14:paraId="7DEECB56" w14:textId="77777777" w:rsidR="00C7198A" w:rsidRPr="00FC1856" w:rsidRDefault="00C7198A" w:rsidP="00FC1856">
      <w:pPr>
        <w:pStyle w:val="Heading5"/>
      </w:pPr>
      <w:r w:rsidRPr="00934F93">
        <w:t>Commonwealth Games</w:t>
      </w:r>
      <w:r>
        <w:t xml:space="preserve"> </w:t>
      </w:r>
    </w:p>
    <w:p w14:paraId="4CFB9568" w14:textId="77777777" w:rsidR="00C7198A" w:rsidRDefault="00C7198A" w:rsidP="003A00B0">
      <w:r>
        <w:t>Refer to the Department of Treasury and Finance for a description of this initiative.</w:t>
      </w:r>
    </w:p>
    <w:p w14:paraId="6A9F97A9" w14:textId="77777777" w:rsidR="00C7198A" w:rsidRDefault="00C7198A" w:rsidP="009E307F">
      <w:pPr>
        <w:pStyle w:val="Heading4"/>
      </w:pPr>
      <w:r w:rsidRPr="00D95168">
        <w:t>Public Sector Administration Advice and Support</w:t>
      </w:r>
    </w:p>
    <w:p w14:paraId="078A2948" w14:textId="77777777" w:rsidR="00C7198A" w:rsidRDefault="00C7198A" w:rsidP="009E307F">
      <w:pPr>
        <w:pStyle w:val="Heading5"/>
      </w:pPr>
      <w:r w:rsidRPr="00D95168">
        <w:t>Parliamentary standards and integrity reforms</w:t>
      </w:r>
    </w:p>
    <w:p w14:paraId="5A5E5E6F" w14:textId="77777777" w:rsidR="00C7198A" w:rsidRDefault="00C7198A" w:rsidP="009E307F">
      <w:r>
        <w:t xml:space="preserve">Funding is provided to progress parliamentary integrity reforms, including examining pathways to strengthen confidence in public institutions, and consultation with the Parliament, Victorian Electoral Commission, Victoria Ombudsman and the Independent Broad-based Anti-corruption Commission. </w:t>
      </w:r>
    </w:p>
    <w:p w14:paraId="7159B9C3" w14:textId="77777777" w:rsidR="00C7198A" w:rsidRPr="00D95168" w:rsidRDefault="00C7198A" w:rsidP="009E307F">
      <w:r>
        <w:t>This initiative contributes to the Department of Premier and Cabinet’s Public Sector Administration Advice and Support output.</w:t>
      </w:r>
    </w:p>
    <w:p w14:paraId="1A386E32" w14:textId="77777777" w:rsidR="00C7198A" w:rsidRDefault="00C7198A" w:rsidP="009E307F">
      <w:pPr>
        <w:pStyle w:val="Heading4"/>
      </w:pPr>
      <w:r w:rsidRPr="00223F88">
        <w:t>Social Policy and Intergovernmental Relations</w:t>
      </w:r>
    </w:p>
    <w:p w14:paraId="01E82D7D" w14:textId="77777777" w:rsidR="00C7198A" w:rsidRPr="00CE6557" w:rsidRDefault="00C7198A" w:rsidP="009E307F">
      <w:pPr>
        <w:pStyle w:val="Heading5"/>
      </w:pPr>
      <w:r>
        <w:t>Donation for the Ukraine Crisis Appeal</w:t>
      </w:r>
    </w:p>
    <w:p w14:paraId="4325C62A" w14:textId="77777777" w:rsidR="00C7198A" w:rsidRDefault="00C7198A" w:rsidP="009E307F">
      <w:r>
        <w:t xml:space="preserve">Funding is provided for a donation to the Ukraine Crisis Appeal to support ongoing humanitarian efforts in the country, including the rebuilding of critical infrastructure. The donation will complement the Government’s ongoing assistance to the local Ukrainian community. </w:t>
      </w:r>
    </w:p>
    <w:p w14:paraId="1B30041E" w14:textId="77777777" w:rsidR="00C7198A" w:rsidRDefault="00C7198A" w:rsidP="009E307F">
      <w:r>
        <w:t>This initiative contributes to the Department of Premier and Cabinet’s Social Policy and Intergovernmental Relations output.</w:t>
      </w:r>
    </w:p>
    <w:p w14:paraId="1C1AA8A0" w14:textId="77777777" w:rsidR="00C7198A" w:rsidRDefault="00C7198A" w:rsidP="009E307F">
      <w:pPr>
        <w:pStyle w:val="Heading4"/>
      </w:pPr>
      <w:r w:rsidRPr="00DE597B">
        <w:lastRenderedPageBreak/>
        <w:t xml:space="preserve">Traditional </w:t>
      </w:r>
      <w:r>
        <w:t>O</w:t>
      </w:r>
      <w:r w:rsidRPr="00DE597B">
        <w:t xml:space="preserve">wner </w:t>
      </w:r>
      <w:r>
        <w:t>E</w:t>
      </w:r>
      <w:r w:rsidRPr="00DE597B">
        <w:t xml:space="preserve">ngagement and </w:t>
      </w:r>
      <w:r>
        <w:t>C</w:t>
      </w:r>
      <w:r w:rsidRPr="00DE597B">
        <w:t xml:space="preserve">ultural </w:t>
      </w:r>
      <w:r>
        <w:t>H</w:t>
      </w:r>
      <w:r w:rsidRPr="00DE597B">
        <w:t xml:space="preserve">eritage </w:t>
      </w:r>
      <w:r>
        <w:t>M</w:t>
      </w:r>
      <w:r w:rsidRPr="00DE597B">
        <w:t xml:space="preserve">anagement </w:t>
      </w:r>
      <w:r>
        <w:t>P</w:t>
      </w:r>
      <w:r w:rsidRPr="00DE597B">
        <w:t>rograms</w:t>
      </w:r>
    </w:p>
    <w:p w14:paraId="45C3BEAB" w14:textId="77777777" w:rsidR="00C7198A" w:rsidRDefault="00C7198A" w:rsidP="00FC1856">
      <w:pPr>
        <w:pStyle w:val="Heading5"/>
      </w:pPr>
      <w:r w:rsidRPr="00DE597B">
        <w:t>Munarra Centre for Regional Excellence project funding</w:t>
      </w:r>
    </w:p>
    <w:p w14:paraId="017676F9" w14:textId="77777777" w:rsidR="00C7198A" w:rsidRDefault="00C7198A" w:rsidP="00FC1856">
      <w:r>
        <w:t>Funding is provided to complete the establishment of a new education, sporting, cultural and community centre for local Aboriginal people in Shepparton.</w:t>
      </w:r>
    </w:p>
    <w:p w14:paraId="38BEE18F" w14:textId="77777777" w:rsidR="00C7198A" w:rsidRDefault="00C7198A" w:rsidP="009E307F">
      <w:r>
        <w:t>This initiative contributes to the Department of Premier and Cabinet’s Traditional Owner Engagement and Cultural Heritage Management Programs output.</w:t>
      </w:r>
    </w:p>
    <w:p w14:paraId="0DE00026" w14:textId="77777777" w:rsidR="00C7198A" w:rsidRPr="007F7047" w:rsidRDefault="00C7198A" w:rsidP="003D5DD5">
      <w:pPr>
        <w:keepLines w:val="0"/>
      </w:pPr>
    </w:p>
    <w:p w14:paraId="046424AA" w14:textId="77777777" w:rsidR="00C7198A" w:rsidRDefault="00C7198A" w:rsidP="0062428F">
      <w:pPr>
        <w:pStyle w:val="Heading10"/>
        <w:pageBreakBefore/>
      </w:pPr>
      <w:bookmarkStart w:id="139" w:name="_Toc71814118"/>
      <w:bookmarkStart w:id="140" w:name="_Toc117586265"/>
      <w:r>
        <w:lastRenderedPageBreak/>
        <w:t>Department of Transport</w:t>
      </w:r>
      <w:bookmarkEnd w:id="139"/>
      <w:bookmarkEnd w:id="140"/>
    </w:p>
    <w:p w14:paraId="10DF5385" w14:textId="77777777" w:rsidR="00C7198A" w:rsidRPr="00330023" w:rsidRDefault="00C7198A" w:rsidP="007F7047">
      <w:pPr>
        <w:pStyle w:val="Heading20"/>
      </w:pPr>
      <w:r>
        <w:t>Output initiatives</w:t>
      </w:r>
    </w:p>
    <w:p w14:paraId="6293D869" w14:textId="4B921C13" w:rsidR="00C7198A" w:rsidRDefault="00C7198A" w:rsidP="00E844A2">
      <w:pPr>
        <w:pStyle w:val="TableHeading"/>
      </w:pPr>
      <w:r>
        <w:t>Table A.1</w:t>
      </w:r>
      <w:r w:rsidR="00993A31">
        <w:t>3</w:t>
      </w:r>
      <w:r>
        <w:t>:</w:t>
      </w:r>
      <w:r>
        <w:tab/>
        <w:t>Output initiatives – Department of Transport</w:t>
      </w:r>
      <w:r>
        <w:tab/>
        <w:t>($ million)</w:t>
      </w:r>
    </w:p>
    <w:tbl>
      <w:tblPr>
        <w:tblStyle w:val="DTFTableNumeric"/>
        <w:tblW w:w="7710" w:type="dxa"/>
        <w:tblLayout w:type="fixed"/>
        <w:tblLook w:val="06A0" w:firstRow="1" w:lastRow="0" w:firstColumn="1" w:lastColumn="0" w:noHBand="1" w:noVBand="1"/>
      </w:tblPr>
      <w:tblGrid>
        <w:gridCol w:w="4534"/>
        <w:gridCol w:w="794"/>
        <w:gridCol w:w="794"/>
        <w:gridCol w:w="794"/>
        <w:gridCol w:w="794"/>
      </w:tblGrid>
      <w:tr w:rsidR="00C7198A" w14:paraId="21C1624A" w14:textId="77777777" w:rsidTr="00F8244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4" w:type="dxa"/>
          </w:tcPr>
          <w:p w14:paraId="5CE20C77" w14:textId="3335F5FF" w:rsidR="00C7198A" w:rsidRDefault="00C7198A"/>
        </w:tc>
        <w:tc>
          <w:tcPr>
            <w:tcW w:w="794" w:type="dxa"/>
          </w:tcPr>
          <w:p w14:paraId="670518DB" w14:textId="77777777" w:rsidR="00C7198A" w:rsidRDefault="00C7198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49976B6A" w14:textId="77777777" w:rsidR="00C7198A" w:rsidRDefault="00C7198A">
            <w:pPr>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5100A3E3" w14:textId="77777777" w:rsidR="00C7198A" w:rsidRDefault="00C7198A">
            <w:pPr>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209C2843" w14:textId="77777777" w:rsidR="00C7198A" w:rsidRDefault="00C7198A">
            <w:pPr>
              <w:cnfStyle w:val="100000000000" w:firstRow="1" w:lastRow="0" w:firstColumn="0" w:lastColumn="0" w:oddVBand="0" w:evenVBand="0" w:oddHBand="0" w:evenHBand="0" w:firstRowFirstColumn="0" w:firstRowLastColumn="0" w:lastRowFirstColumn="0" w:lastRowLastColumn="0"/>
            </w:pPr>
            <w:r>
              <w:t>2025</w:t>
            </w:r>
            <w:r>
              <w:noBreakHyphen/>
              <w:t>26</w:t>
            </w:r>
          </w:p>
        </w:tc>
      </w:tr>
      <w:tr w:rsidR="00C7198A" w14:paraId="04CEE45A" w14:textId="77777777">
        <w:tc>
          <w:tcPr>
            <w:cnfStyle w:val="001000000000" w:firstRow="0" w:lastRow="0" w:firstColumn="1" w:lastColumn="0" w:oddVBand="0" w:evenVBand="0" w:oddHBand="0" w:evenHBand="0" w:firstRowFirstColumn="0" w:firstRowLastColumn="0" w:lastRowFirstColumn="0" w:lastRowLastColumn="0"/>
            <w:tcW w:w="4534" w:type="dxa"/>
          </w:tcPr>
          <w:p w14:paraId="12E48375" w14:textId="77777777" w:rsidR="00C7198A" w:rsidRDefault="00C7198A">
            <w:r>
              <w:rPr>
                <w:b/>
              </w:rPr>
              <w:t>Ports and Freight</w:t>
            </w:r>
          </w:p>
        </w:tc>
        <w:tc>
          <w:tcPr>
            <w:tcW w:w="794" w:type="dxa"/>
          </w:tcPr>
          <w:p w14:paraId="6393D96C"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3A08EDBC"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0395158D"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096863F2"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r>
      <w:tr w:rsidR="00C7198A" w14:paraId="3F5DCF18" w14:textId="77777777">
        <w:tc>
          <w:tcPr>
            <w:cnfStyle w:val="001000000000" w:firstRow="0" w:lastRow="0" w:firstColumn="1" w:lastColumn="0" w:oddVBand="0" w:evenVBand="0" w:oddHBand="0" w:evenHBand="0" w:firstRowFirstColumn="0" w:firstRowLastColumn="0" w:lastRowFirstColumn="0" w:lastRowLastColumn="0"/>
            <w:tcW w:w="4534" w:type="dxa"/>
          </w:tcPr>
          <w:p w14:paraId="101B1555" w14:textId="77777777" w:rsidR="00C7198A" w:rsidRDefault="00C7198A">
            <w:r>
              <w:t>Unlocking offshore wind</w:t>
            </w:r>
          </w:p>
        </w:tc>
        <w:tc>
          <w:tcPr>
            <w:tcW w:w="794" w:type="dxa"/>
          </w:tcPr>
          <w:p w14:paraId="7A0E200A" w14:textId="77777777" w:rsidR="00C7198A" w:rsidRDefault="00C7198A">
            <w:pPr>
              <w:cnfStyle w:val="000000000000" w:firstRow="0" w:lastRow="0" w:firstColumn="0" w:lastColumn="0" w:oddVBand="0" w:evenVBand="0" w:oddHBand="0" w:evenHBand="0" w:firstRowFirstColumn="0" w:firstRowLastColumn="0" w:lastRowFirstColumn="0" w:lastRowLastColumn="0"/>
            </w:pPr>
            <w:r>
              <w:t>8.0</w:t>
            </w:r>
          </w:p>
        </w:tc>
        <w:tc>
          <w:tcPr>
            <w:tcW w:w="794" w:type="dxa"/>
          </w:tcPr>
          <w:p w14:paraId="0AF00863"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357E6F0B"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4E76D1DC"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r>
      <w:tr w:rsidR="00C7198A" w14:paraId="55F69AD4" w14:textId="77777777">
        <w:tc>
          <w:tcPr>
            <w:cnfStyle w:val="001000000000" w:firstRow="0" w:lastRow="0" w:firstColumn="1" w:lastColumn="0" w:oddVBand="0" w:evenVBand="0" w:oddHBand="0" w:evenHBand="0" w:firstRowFirstColumn="0" w:firstRowLastColumn="0" w:lastRowFirstColumn="0" w:lastRowLastColumn="0"/>
            <w:tcW w:w="4534" w:type="dxa"/>
          </w:tcPr>
          <w:p w14:paraId="0CDEB452" w14:textId="77777777" w:rsidR="00C7198A" w:rsidRDefault="00C7198A">
            <w:r>
              <w:rPr>
                <w:b/>
              </w:rPr>
              <w:t>Regulation of Commercial Passenger Vehicle Services</w:t>
            </w:r>
          </w:p>
        </w:tc>
        <w:tc>
          <w:tcPr>
            <w:tcW w:w="794" w:type="dxa"/>
          </w:tcPr>
          <w:p w14:paraId="56B87725"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7DBF999C"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3A74E757"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31DBBD36"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r>
      <w:tr w:rsidR="00C7198A" w14:paraId="57308ED9" w14:textId="77777777">
        <w:tc>
          <w:tcPr>
            <w:cnfStyle w:val="001000000000" w:firstRow="0" w:lastRow="0" w:firstColumn="1" w:lastColumn="0" w:oddVBand="0" w:evenVBand="0" w:oddHBand="0" w:evenHBand="0" w:firstRowFirstColumn="0" w:firstRowLastColumn="0" w:lastRowFirstColumn="0" w:lastRowLastColumn="0"/>
            <w:tcW w:w="4534" w:type="dxa"/>
          </w:tcPr>
          <w:p w14:paraId="709EAB87" w14:textId="77777777" w:rsidR="00C7198A" w:rsidRDefault="00C7198A">
            <w:r>
              <w:t>Multi Purpose Taxi Program</w:t>
            </w:r>
          </w:p>
        </w:tc>
        <w:tc>
          <w:tcPr>
            <w:tcW w:w="794" w:type="dxa"/>
          </w:tcPr>
          <w:p w14:paraId="12274532" w14:textId="77777777" w:rsidR="00C7198A" w:rsidRDefault="00C7198A">
            <w:pPr>
              <w:cnfStyle w:val="000000000000" w:firstRow="0" w:lastRow="0" w:firstColumn="0" w:lastColumn="0" w:oddVBand="0" w:evenVBand="0" w:oddHBand="0" w:evenHBand="0" w:firstRowFirstColumn="0" w:firstRowLastColumn="0" w:lastRowFirstColumn="0" w:lastRowLastColumn="0"/>
            </w:pPr>
            <w:r>
              <w:t>5.5</w:t>
            </w:r>
          </w:p>
        </w:tc>
        <w:tc>
          <w:tcPr>
            <w:tcW w:w="794" w:type="dxa"/>
          </w:tcPr>
          <w:p w14:paraId="0796390E"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29176FCE"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032901A3"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r>
      <w:tr w:rsidR="00C7198A" w14:paraId="6CA90246" w14:textId="77777777">
        <w:tc>
          <w:tcPr>
            <w:cnfStyle w:val="001000000000" w:firstRow="0" w:lastRow="0" w:firstColumn="1" w:lastColumn="0" w:oddVBand="0" w:evenVBand="0" w:oddHBand="0" w:evenHBand="0" w:firstRowFirstColumn="0" w:firstRowLastColumn="0" w:lastRowFirstColumn="0" w:lastRowLastColumn="0"/>
            <w:tcW w:w="4534" w:type="dxa"/>
          </w:tcPr>
          <w:p w14:paraId="7CE5035B" w14:textId="77777777" w:rsidR="00C7198A" w:rsidRDefault="00C7198A">
            <w:r>
              <w:rPr>
                <w:b/>
              </w:rPr>
              <w:t>Sustainably managed fish and boating resources</w:t>
            </w:r>
          </w:p>
        </w:tc>
        <w:tc>
          <w:tcPr>
            <w:tcW w:w="794" w:type="dxa"/>
          </w:tcPr>
          <w:p w14:paraId="78BEB9CF"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47EB2EDD"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2471A715"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37239F74"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r>
      <w:tr w:rsidR="00C7198A" w14:paraId="4C2C0C97" w14:textId="77777777">
        <w:tc>
          <w:tcPr>
            <w:cnfStyle w:val="001000000000" w:firstRow="0" w:lastRow="0" w:firstColumn="1" w:lastColumn="0" w:oddVBand="0" w:evenVBand="0" w:oddHBand="0" w:evenHBand="0" w:firstRowFirstColumn="0" w:firstRowLastColumn="0" w:lastRowFirstColumn="0" w:lastRowLastColumn="0"/>
            <w:tcW w:w="4534" w:type="dxa"/>
          </w:tcPr>
          <w:p w14:paraId="2AC92F2B" w14:textId="77777777" w:rsidR="00C7198A" w:rsidRDefault="00C7198A">
            <w:r>
              <w:t>Better Boating Fund</w:t>
            </w:r>
          </w:p>
        </w:tc>
        <w:tc>
          <w:tcPr>
            <w:tcW w:w="794" w:type="dxa"/>
          </w:tcPr>
          <w:p w14:paraId="0323424B" w14:textId="77777777" w:rsidR="00C7198A" w:rsidRDefault="00C7198A">
            <w:pPr>
              <w:cnfStyle w:val="000000000000" w:firstRow="0" w:lastRow="0" w:firstColumn="0" w:lastColumn="0" w:oddVBand="0" w:evenVBand="0" w:oddHBand="0" w:evenHBand="0" w:firstRowFirstColumn="0" w:firstRowLastColumn="0" w:lastRowFirstColumn="0" w:lastRowLastColumn="0"/>
            </w:pPr>
            <w:r>
              <w:t>0.3</w:t>
            </w:r>
          </w:p>
        </w:tc>
        <w:tc>
          <w:tcPr>
            <w:tcW w:w="794" w:type="dxa"/>
          </w:tcPr>
          <w:p w14:paraId="7AB2D72A"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39F54EA3"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12D68EAC"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r>
      <w:tr w:rsidR="00C7198A" w14:paraId="1B68977E" w14:textId="77777777">
        <w:tc>
          <w:tcPr>
            <w:cnfStyle w:val="001000000000" w:firstRow="0" w:lastRow="0" w:firstColumn="1" w:lastColumn="0" w:oddVBand="0" w:evenVBand="0" w:oddHBand="0" w:evenHBand="0" w:firstRowFirstColumn="0" w:firstRowLastColumn="0" w:lastRowFirstColumn="0" w:lastRowLastColumn="0"/>
            <w:tcW w:w="4534" w:type="dxa"/>
          </w:tcPr>
          <w:p w14:paraId="50EBC7DC" w14:textId="77777777" w:rsidR="00C7198A" w:rsidRDefault="00C7198A">
            <w:r>
              <w:rPr>
                <w:b/>
              </w:rPr>
              <w:t>Train Services</w:t>
            </w:r>
          </w:p>
        </w:tc>
        <w:tc>
          <w:tcPr>
            <w:tcW w:w="794" w:type="dxa"/>
          </w:tcPr>
          <w:p w14:paraId="005F15F2"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5AD9A247"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6A3374EE"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5319AF58"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r>
      <w:tr w:rsidR="00C7198A" w14:paraId="213C3D7F" w14:textId="77777777">
        <w:tc>
          <w:tcPr>
            <w:cnfStyle w:val="001000000000" w:firstRow="0" w:lastRow="0" w:firstColumn="1" w:lastColumn="0" w:oddVBand="0" w:evenVBand="0" w:oddHBand="0" w:evenHBand="0" w:firstRowFirstColumn="0" w:firstRowLastColumn="0" w:lastRowFirstColumn="0" w:lastRowLastColumn="0"/>
            <w:tcW w:w="4534" w:type="dxa"/>
          </w:tcPr>
          <w:p w14:paraId="16886C0E" w14:textId="77777777" w:rsidR="00C7198A" w:rsidRDefault="00C7198A">
            <w:r>
              <w:t>Regional Rail Services</w:t>
            </w:r>
          </w:p>
        </w:tc>
        <w:tc>
          <w:tcPr>
            <w:tcW w:w="794" w:type="dxa"/>
          </w:tcPr>
          <w:p w14:paraId="0AA6202B" w14:textId="77777777" w:rsidR="00C7198A" w:rsidRDefault="00C7198A">
            <w:pPr>
              <w:cnfStyle w:val="000000000000" w:firstRow="0" w:lastRow="0" w:firstColumn="0" w:lastColumn="0" w:oddVBand="0" w:evenVBand="0" w:oddHBand="0" w:evenHBand="0" w:firstRowFirstColumn="0" w:firstRowLastColumn="0" w:lastRowFirstColumn="0" w:lastRowLastColumn="0"/>
            </w:pPr>
            <w:r>
              <w:t>6.9</w:t>
            </w:r>
          </w:p>
        </w:tc>
        <w:tc>
          <w:tcPr>
            <w:tcW w:w="794" w:type="dxa"/>
          </w:tcPr>
          <w:p w14:paraId="222CC540" w14:textId="77777777" w:rsidR="00C7198A" w:rsidRDefault="00C7198A">
            <w:pPr>
              <w:cnfStyle w:val="000000000000" w:firstRow="0" w:lastRow="0" w:firstColumn="0" w:lastColumn="0" w:oddVBand="0" w:evenVBand="0" w:oddHBand="0" w:evenHBand="0" w:firstRowFirstColumn="0" w:firstRowLastColumn="0" w:lastRowFirstColumn="0" w:lastRowLastColumn="0"/>
            </w:pPr>
            <w:r>
              <w:t>9.4</w:t>
            </w:r>
          </w:p>
        </w:tc>
        <w:tc>
          <w:tcPr>
            <w:tcW w:w="794" w:type="dxa"/>
          </w:tcPr>
          <w:p w14:paraId="2A97E17F"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1FB29649"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r>
      <w:tr w:rsidR="00C7198A" w14:paraId="168C02D6" w14:textId="77777777">
        <w:tc>
          <w:tcPr>
            <w:cnfStyle w:val="001000000000" w:firstRow="0" w:lastRow="0" w:firstColumn="1" w:lastColumn="0" w:oddVBand="0" w:evenVBand="0" w:oddHBand="0" w:evenHBand="0" w:firstRowFirstColumn="0" w:firstRowLastColumn="0" w:lastRowFirstColumn="0" w:lastRowLastColumn="0"/>
            <w:tcW w:w="4534" w:type="dxa"/>
          </w:tcPr>
          <w:p w14:paraId="1F0FF5D9" w14:textId="77777777" w:rsidR="00C7198A" w:rsidRDefault="00C7198A">
            <w:r>
              <w:t>Unlocking Capacity on the Metro Rail Network</w:t>
            </w:r>
          </w:p>
        </w:tc>
        <w:tc>
          <w:tcPr>
            <w:tcW w:w="794" w:type="dxa"/>
          </w:tcPr>
          <w:p w14:paraId="42574EF6" w14:textId="77777777" w:rsidR="00C7198A" w:rsidRDefault="00C7198A">
            <w:pPr>
              <w:cnfStyle w:val="000000000000" w:firstRow="0" w:lastRow="0" w:firstColumn="0" w:lastColumn="0" w:oddVBand="0" w:evenVBand="0" w:oddHBand="0" w:evenHBand="0" w:firstRowFirstColumn="0" w:firstRowLastColumn="0" w:lastRowFirstColumn="0" w:lastRowLastColumn="0"/>
            </w:pPr>
            <w:r>
              <w:t>11.5</w:t>
            </w:r>
          </w:p>
        </w:tc>
        <w:tc>
          <w:tcPr>
            <w:tcW w:w="794" w:type="dxa"/>
          </w:tcPr>
          <w:p w14:paraId="2A7D17FF" w14:textId="77777777" w:rsidR="00C7198A" w:rsidRDefault="00C7198A">
            <w:pPr>
              <w:cnfStyle w:val="000000000000" w:firstRow="0" w:lastRow="0" w:firstColumn="0" w:lastColumn="0" w:oddVBand="0" w:evenVBand="0" w:oddHBand="0" w:evenHBand="0" w:firstRowFirstColumn="0" w:firstRowLastColumn="0" w:lastRowFirstColumn="0" w:lastRowLastColumn="0"/>
            </w:pPr>
            <w:r>
              <w:t>13.5</w:t>
            </w:r>
          </w:p>
        </w:tc>
        <w:tc>
          <w:tcPr>
            <w:tcW w:w="794" w:type="dxa"/>
          </w:tcPr>
          <w:p w14:paraId="1C0E694E"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6FEA9CBD"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r>
      <w:tr w:rsidR="00C7198A" w14:paraId="1EAF4404" w14:textId="77777777">
        <w:tc>
          <w:tcPr>
            <w:cnfStyle w:val="001000000000" w:firstRow="0" w:lastRow="0" w:firstColumn="1" w:lastColumn="0" w:oddVBand="0" w:evenVBand="0" w:oddHBand="0" w:evenHBand="0" w:firstRowFirstColumn="0" w:firstRowLastColumn="0" w:lastRowFirstColumn="0" w:lastRowLastColumn="0"/>
            <w:tcW w:w="4534" w:type="dxa"/>
          </w:tcPr>
          <w:p w14:paraId="14558F1B" w14:textId="77777777" w:rsidR="00C7198A" w:rsidRDefault="00C7198A">
            <w:r>
              <w:rPr>
                <w:b/>
              </w:rPr>
              <w:t>Transport Infrastructure</w:t>
            </w:r>
          </w:p>
        </w:tc>
        <w:tc>
          <w:tcPr>
            <w:tcW w:w="794" w:type="dxa"/>
          </w:tcPr>
          <w:p w14:paraId="315FBD9A"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40F978AA"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3D96E2AE"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60830DA4"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r>
      <w:tr w:rsidR="00C7198A" w14:paraId="1CC035C8" w14:textId="77777777">
        <w:tc>
          <w:tcPr>
            <w:cnfStyle w:val="001000000000" w:firstRow="0" w:lastRow="0" w:firstColumn="1" w:lastColumn="0" w:oddVBand="0" w:evenVBand="0" w:oddHBand="0" w:evenHBand="0" w:firstRowFirstColumn="0" w:firstRowLastColumn="0" w:lastRowFirstColumn="0" w:lastRowLastColumn="0"/>
            <w:tcW w:w="4534" w:type="dxa"/>
          </w:tcPr>
          <w:p w14:paraId="44D11576" w14:textId="77777777" w:rsidR="00C7198A" w:rsidRDefault="00C7198A">
            <w:r>
              <w:t xml:space="preserve">Ballarat station upgrade </w:t>
            </w:r>
            <w:r>
              <w:rPr>
                <w:vertAlign w:val="superscript"/>
              </w:rPr>
              <w:t>(a)</w:t>
            </w:r>
          </w:p>
        </w:tc>
        <w:tc>
          <w:tcPr>
            <w:tcW w:w="794" w:type="dxa"/>
          </w:tcPr>
          <w:p w14:paraId="243118B3"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0A8D53C9"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6AD407CE"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633C561B" w14:textId="77777777" w:rsidR="00C7198A" w:rsidRDefault="00C7198A">
            <w:pPr>
              <w:cnfStyle w:val="000000000000" w:firstRow="0" w:lastRow="0" w:firstColumn="0" w:lastColumn="0" w:oddVBand="0" w:evenVBand="0" w:oddHBand="0" w:evenHBand="0" w:firstRowFirstColumn="0" w:firstRowLastColumn="0" w:lastRowFirstColumn="0" w:lastRowLastColumn="0"/>
            </w:pPr>
            <w:r>
              <w:t>0.6</w:t>
            </w:r>
          </w:p>
        </w:tc>
      </w:tr>
      <w:tr w:rsidR="00C7198A" w14:paraId="3E6908D6" w14:textId="77777777" w:rsidTr="00F82442">
        <w:tc>
          <w:tcPr>
            <w:cnfStyle w:val="001000000000" w:firstRow="0" w:lastRow="0" w:firstColumn="1" w:lastColumn="0" w:oddVBand="0" w:evenVBand="0" w:oddHBand="0" w:evenHBand="0" w:firstRowFirstColumn="0" w:firstRowLastColumn="0" w:lastRowFirstColumn="0" w:lastRowLastColumn="0"/>
            <w:tcW w:w="4534" w:type="dxa"/>
            <w:tcBorders>
              <w:bottom w:val="single" w:sz="6" w:space="0" w:color="auto"/>
            </w:tcBorders>
          </w:tcPr>
          <w:p w14:paraId="14DC09AF" w14:textId="77777777" w:rsidR="00C7198A" w:rsidRDefault="00C7198A">
            <w:r>
              <w:t>New Tarneit railway station</w:t>
            </w:r>
          </w:p>
        </w:tc>
        <w:tc>
          <w:tcPr>
            <w:tcW w:w="794" w:type="dxa"/>
            <w:tcBorders>
              <w:bottom w:val="single" w:sz="6" w:space="0" w:color="auto"/>
            </w:tcBorders>
          </w:tcPr>
          <w:p w14:paraId="586C31C0" w14:textId="77777777" w:rsidR="00C7198A" w:rsidRDefault="00C7198A">
            <w:pPr>
              <w:cnfStyle w:val="000000000000" w:firstRow="0" w:lastRow="0" w:firstColumn="0" w:lastColumn="0" w:oddVBand="0" w:evenVBand="0" w:oddHBand="0" w:evenHBand="0" w:firstRowFirstColumn="0" w:firstRowLastColumn="0" w:lastRowFirstColumn="0" w:lastRowLastColumn="0"/>
            </w:pPr>
            <w:r>
              <w:t>2.5</w:t>
            </w:r>
          </w:p>
        </w:tc>
        <w:tc>
          <w:tcPr>
            <w:tcW w:w="794" w:type="dxa"/>
            <w:tcBorders>
              <w:bottom w:val="single" w:sz="6" w:space="0" w:color="auto"/>
            </w:tcBorders>
          </w:tcPr>
          <w:p w14:paraId="49BD6EE9" w14:textId="77777777" w:rsidR="00C7198A" w:rsidRDefault="00C7198A">
            <w:pPr>
              <w:cnfStyle w:val="000000000000" w:firstRow="0" w:lastRow="0" w:firstColumn="0" w:lastColumn="0" w:oddVBand="0" w:evenVBand="0" w:oddHBand="0" w:evenHBand="0" w:firstRowFirstColumn="0" w:firstRowLastColumn="0" w:lastRowFirstColumn="0" w:lastRowLastColumn="0"/>
            </w:pPr>
            <w:r>
              <w:t>2.5</w:t>
            </w:r>
          </w:p>
        </w:tc>
        <w:tc>
          <w:tcPr>
            <w:tcW w:w="794" w:type="dxa"/>
            <w:tcBorders>
              <w:bottom w:val="single" w:sz="6" w:space="0" w:color="auto"/>
            </w:tcBorders>
          </w:tcPr>
          <w:p w14:paraId="0354CA86"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66EA1D0A"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r>
      <w:tr w:rsidR="00C7198A" w14:paraId="0D13016D" w14:textId="77777777" w:rsidTr="00F82442">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bottom w:val="single" w:sz="12" w:space="0" w:color="auto"/>
            </w:tcBorders>
          </w:tcPr>
          <w:p w14:paraId="5E84E26A" w14:textId="77777777" w:rsidR="00C7198A" w:rsidRDefault="00C7198A">
            <w:r>
              <w:rPr>
                <w:b/>
              </w:rPr>
              <w:t xml:space="preserve">Total output initiatives </w:t>
            </w:r>
            <w:r>
              <w:rPr>
                <w:b/>
                <w:vertAlign w:val="superscript"/>
              </w:rPr>
              <w:t>(b)</w:t>
            </w:r>
          </w:p>
        </w:tc>
        <w:tc>
          <w:tcPr>
            <w:tcW w:w="794" w:type="dxa"/>
            <w:tcBorders>
              <w:top w:val="single" w:sz="6" w:space="0" w:color="auto"/>
              <w:bottom w:val="single" w:sz="12" w:space="0" w:color="auto"/>
            </w:tcBorders>
          </w:tcPr>
          <w:p w14:paraId="2AEEF332" w14:textId="77777777" w:rsidR="00C7198A" w:rsidRDefault="00C7198A">
            <w:pPr>
              <w:cnfStyle w:val="000000000000" w:firstRow="0" w:lastRow="0" w:firstColumn="0" w:lastColumn="0" w:oddVBand="0" w:evenVBand="0" w:oddHBand="0" w:evenHBand="0" w:firstRowFirstColumn="0" w:firstRowLastColumn="0" w:lastRowFirstColumn="0" w:lastRowLastColumn="0"/>
            </w:pPr>
            <w:r>
              <w:rPr>
                <w:b/>
              </w:rPr>
              <w:t>34.6</w:t>
            </w:r>
          </w:p>
        </w:tc>
        <w:tc>
          <w:tcPr>
            <w:tcW w:w="794" w:type="dxa"/>
            <w:tcBorders>
              <w:top w:val="single" w:sz="6" w:space="0" w:color="auto"/>
              <w:bottom w:val="single" w:sz="12" w:space="0" w:color="auto"/>
            </w:tcBorders>
          </w:tcPr>
          <w:p w14:paraId="2BF49437" w14:textId="77777777" w:rsidR="00C7198A" w:rsidRDefault="00C7198A">
            <w:pPr>
              <w:cnfStyle w:val="000000000000" w:firstRow="0" w:lastRow="0" w:firstColumn="0" w:lastColumn="0" w:oddVBand="0" w:evenVBand="0" w:oddHBand="0" w:evenHBand="0" w:firstRowFirstColumn="0" w:firstRowLastColumn="0" w:lastRowFirstColumn="0" w:lastRowLastColumn="0"/>
            </w:pPr>
            <w:r>
              <w:rPr>
                <w:b/>
              </w:rPr>
              <w:t>25.4</w:t>
            </w:r>
          </w:p>
        </w:tc>
        <w:tc>
          <w:tcPr>
            <w:tcW w:w="794" w:type="dxa"/>
            <w:tcBorders>
              <w:top w:val="single" w:sz="6" w:space="0" w:color="auto"/>
              <w:bottom w:val="single" w:sz="12" w:space="0" w:color="auto"/>
            </w:tcBorders>
          </w:tcPr>
          <w:p w14:paraId="60E6CDA8" w14:textId="77777777" w:rsidR="00C7198A" w:rsidRDefault="00C7198A">
            <w:pPr>
              <w:cnfStyle w:val="000000000000" w:firstRow="0" w:lastRow="0" w:firstColumn="0" w:lastColumn="0" w:oddVBand="0" w:evenVBand="0" w:oddHBand="0" w:evenHBand="0" w:firstRowFirstColumn="0" w:firstRowLastColumn="0" w:lastRowFirstColumn="0" w:lastRowLastColumn="0"/>
            </w:pPr>
            <w:r>
              <w:rPr>
                <w:b/>
              </w:rPr>
              <w:t>..</w:t>
            </w:r>
          </w:p>
        </w:tc>
        <w:tc>
          <w:tcPr>
            <w:tcW w:w="794" w:type="dxa"/>
            <w:tcBorders>
              <w:top w:val="single" w:sz="6" w:space="0" w:color="auto"/>
              <w:bottom w:val="single" w:sz="12" w:space="0" w:color="auto"/>
            </w:tcBorders>
          </w:tcPr>
          <w:p w14:paraId="116C9168" w14:textId="1783B7FC" w:rsidR="00C7198A" w:rsidRDefault="00C7198A">
            <w:pPr>
              <w:cnfStyle w:val="000000000000" w:firstRow="0" w:lastRow="0" w:firstColumn="0" w:lastColumn="0" w:oddVBand="0" w:evenVBand="0" w:oddHBand="0" w:evenHBand="0" w:firstRowFirstColumn="0" w:firstRowLastColumn="0" w:lastRowFirstColumn="0" w:lastRowLastColumn="0"/>
            </w:pPr>
            <w:r>
              <w:rPr>
                <w:b/>
              </w:rPr>
              <w:t>0.6</w:t>
            </w:r>
          </w:p>
        </w:tc>
      </w:tr>
    </w:tbl>
    <w:p w14:paraId="2D2A6061" w14:textId="77777777" w:rsidR="00C7198A" w:rsidRDefault="00C7198A" w:rsidP="007F7047">
      <w:pPr>
        <w:pStyle w:val="Note"/>
      </w:pPr>
      <w:r>
        <w:t xml:space="preserve">Notes: </w:t>
      </w:r>
    </w:p>
    <w:p w14:paraId="4DC04267" w14:textId="77777777" w:rsidR="00C7198A" w:rsidRDefault="00C7198A" w:rsidP="00DA74B0">
      <w:pPr>
        <w:pStyle w:val="Note"/>
      </w:pPr>
      <w:r>
        <w:t>(a)</w:t>
      </w:r>
      <w:r>
        <w:tab/>
      </w:r>
      <w:r w:rsidRPr="00AF054F">
        <w:t>Excludes $1.245 million in funding for financial year 2026-27 and $1.287 million in funding ongoing from financial year 2027-28.</w:t>
      </w:r>
    </w:p>
    <w:p w14:paraId="63C04919" w14:textId="38B18086" w:rsidR="00C7198A" w:rsidRDefault="00C7198A" w:rsidP="00AF054F">
      <w:pPr>
        <w:pStyle w:val="Note"/>
      </w:pPr>
      <w:r>
        <w:t>(b)</w:t>
      </w:r>
      <w:r w:rsidR="007F4FF1">
        <w:tab/>
      </w:r>
      <w:r>
        <w:t>Table may not add due to rounding.</w:t>
      </w:r>
    </w:p>
    <w:p w14:paraId="346287F1" w14:textId="77777777" w:rsidR="0062428F" w:rsidRDefault="0062428F" w:rsidP="0062428F"/>
    <w:p w14:paraId="62C1428F" w14:textId="11318907" w:rsidR="00C7198A" w:rsidRDefault="00C7198A" w:rsidP="0096491F">
      <w:pPr>
        <w:pStyle w:val="Heading4"/>
      </w:pPr>
      <w:r>
        <w:t>Ports and Freight</w:t>
      </w:r>
    </w:p>
    <w:p w14:paraId="2B23592B" w14:textId="77777777" w:rsidR="00C7198A" w:rsidRDefault="00C7198A" w:rsidP="0096491F">
      <w:pPr>
        <w:pStyle w:val="Heading5"/>
      </w:pPr>
      <w:r>
        <w:t>Unlocking offshore wind</w:t>
      </w:r>
    </w:p>
    <w:p w14:paraId="06208BB5" w14:textId="77777777" w:rsidR="00C7198A" w:rsidRPr="00CD186A" w:rsidRDefault="00C7198A" w:rsidP="00CD186A">
      <w:pPr>
        <w:pStyle w:val="Heading5"/>
        <w:rPr>
          <w:rFonts w:asciiTheme="minorHAnsi" w:eastAsiaTheme="minorHAnsi" w:hAnsiTheme="minorHAnsi" w:cstheme="minorBidi"/>
          <w:iCs w:val="0"/>
          <w:sz w:val="22"/>
          <w:szCs w:val="22"/>
        </w:rPr>
      </w:pPr>
      <w:r w:rsidRPr="00CB533B">
        <w:rPr>
          <w:rFonts w:asciiTheme="minorHAnsi" w:eastAsiaTheme="minorHAnsi" w:hAnsiTheme="minorHAnsi" w:cstheme="minorBidi"/>
          <w:b w:val="0"/>
          <w:iCs w:val="0"/>
          <w:sz w:val="22"/>
          <w:szCs w:val="22"/>
        </w:rPr>
        <w:t>Refer to the Department of Environment, Land, Water and Planning for a description of this initiative.</w:t>
      </w:r>
    </w:p>
    <w:p w14:paraId="299C645D" w14:textId="77777777" w:rsidR="00C7198A" w:rsidRDefault="00C7198A" w:rsidP="00AF054F">
      <w:pPr>
        <w:pStyle w:val="Heading4"/>
      </w:pPr>
      <w:r w:rsidRPr="00AF054F">
        <w:t>Regulation of Commercial Passenger Vehicle Services</w:t>
      </w:r>
    </w:p>
    <w:p w14:paraId="6FC313CE" w14:textId="77777777" w:rsidR="00C7198A" w:rsidRDefault="00C7198A" w:rsidP="00AF054F">
      <w:pPr>
        <w:pStyle w:val="Heading5"/>
      </w:pPr>
      <w:r>
        <w:t>Multi Purpose Taxi Program</w:t>
      </w:r>
    </w:p>
    <w:p w14:paraId="29DBC5BD" w14:textId="77777777" w:rsidR="00C7198A" w:rsidRDefault="00C7198A" w:rsidP="00AF054F">
      <w:r>
        <w:t>Funding is provided to increase the Multi Purpose Taxi Program (MPTP) lifting fee for wheelchair accessible vehicles (WAVs) to further incentivise the supply of wheelchair accessible vehicles and improve the availability of WAV services for MPTP members with mobility needs.</w:t>
      </w:r>
    </w:p>
    <w:p w14:paraId="6F3DBFE5" w14:textId="77777777" w:rsidR="00C7198A" w:rsidRDefault="00C7198A" w:rsidP="00AF054F">
      <w:r>
        <w:t>This initiative contributes to the Department of Transport’s Regulation of Commercial Passenger Vehicle Services output.</w:t>
      </w:r>
    </w:p>
    <w:p w14:paraId="2EF7A509" w14:textId="77777777" w:rsidR="00C7198A" w:rsidRDefault="00C7198A" w:rsidP="00AF054F">
      <w:pPr>
        <w:pStyle w:val="Heading4"/>
      </w:pPr>
      <w:bookmarkStart w:id="141" w:name="_Hlk116050591"/>
      <w:r w:rsidRPr="00AF054F">
        <w:lastRenderedPageBreak/>
        <w:t>Sustainably managed fish and boating resources</w:t>
      </w:r>
    </w:p>
    <w:bookmarkEnd w:id="141"/>
    <w:p w14:paraId="6D831306" w14:textId="77777777" w:rsidR="00C7198A" w:rsidRPr="00AF054F" w:rsidRDefault="00C7198A" w:rsidP="00AF054F">
      <w:pPr>
        <w:pStyle w:val="Heading5"/>
      </w:pPr>
      <w:r w:rsidRPr="00AF054F">
        <w:t xml:space="preserve">Better Boating Fund </w:t>
      </w:r>
    </w:p>
    <w:p w14:paraId="587DB554" w14:textId="77777777" w:rsidR="00C7198A" w:rsidRDefault="00C7198A" w:rsidP="004B1321">
      <w:pPr>
        <w:keepNext/>
      </w:pPr>
      <w:r>
        <w:t xml:space="preserve">Funding is provided to supplement the Better Boating Fund in 2022-23 to meet the Government’s commitment that every cent of revenue from marine licences and vessel registration fees is spent on boating safety and facilities. </w:t>
      </w:r>
    </w:p>
    <w:p w14:paraId="69A243EF" w14:textId="77777777" w:rsidR="00C7198A" w:rsidRDefault="00C7198A" w:rsidP="00AF054F">
      <w:r>
        <w:t xml:space="preserve">This initiative contributes to the Department of Transport’s </w:t>
      </w:r>
      <w:bookmarkStart w:id="142" w:name="_Hlk116050626"/>
      <w:r>
        <w:t xml:space="preserve">Sustainably Managed Fish and Boating Resources </w:t>
      </w:r>
      <w:bookmarkEnd w:id="142"/>
      <w:r>
        <w:t>output.</w:t>
      </w:r>
    </w:p>
    <w:p w14:paraId="111521A9" w14:textId="77777777" w:rsidR="00C7198A" w:rsidRDefault="00C7198A" w:rsidP="00AF054F">
      <w:pPr>
        <w:pStyle w:val="Heading4"/>
      </w:pPr>
      <w:r>
        <w:t>Train Services</w:t>
      </w:r>
    </w:p>
    <w:p w14:paraId="72B91134" w14:textId="77777777" w:rsidR="00C7198A" w:rsidRDefault="00C7198A" w:rsidP="00AF054F">
      <w:pPr>
        <w:pStyle w:val="Heading5"/>
      </w:pPr>
      <w:r>
        <w:t>Regional Rail Services</w:t>
      </w:r>
    </w:p>
    <w:p w14:paraId="40D5FCAA" w14:textId="77777777" w:rsidR="00C7198A" w:rsidRDefault="00C7198A" w:rsidP="00AF054F">
      <w:r>
        <w:t>Funding is provided for additional regional train services following the completion of enabling infrastructure works as part of the Regional Rail Revival.</w:t>
      </w:r>
    </w:p>
    <w:p w14:paraId="6C4ADA80" w14:textId="77777777" w:rsidR="00C7198A" w:rsidRDefault="00C7198A" w:rsidP="00AF054F">
      <w:r>
        <w:t>This initiative contributes to the Department of Transport’s:</w:t>
      </w:r>
    </w:p>
    <w:p w14:paraId="0EAD4B0D" w14:textId="77777777" w:rsidR="00C7198A" w:rsidRDefault="00C7198A" w:rsidP="00AF054F">
      <w:pPr>
        <w:pStyle w:val="ListBullet"/>
      </w:pPr>
      <w:r>
        <w:t>Bus Services – Statewide output</w:t>
      </w:r>
    </w:p>
    <w:p w14:paraId="2924F097" w14:textId="77777777" w:rsidR="00C7198A" w:rsidRDefault="00C7198A" w:rsidP="00AF054F">
      <w:pPr>
        <w:pStyle w:val="ListBullet"/>
      </w:pPr>
      <w:r>
        <w:t>Train Services – Metropolitan output</w:t>
      </w:r>
    </w:p>
    <w:p w14:paraId="092E938C" w14:textId="77777777" w:rsidR="00C7198A" w:rsidRDefault="00C7198A" w:rsidP="00AF054F">
      <w:pPr>
        <w:pStyle w:val="ListBullet"/>
      </w:pPr>
      <w:r>
        <w:t>Train Services – Regional output</w:t>
      </w:r>
    </w:p>
    <w:p w14:paraId="5ADF084C" w14:textId="77777777" w:rsidR="00C7198A" w:rsidRDefault="00C7198A" w:rsidP="00AF054F">
      <w:pPr>
        <w:pStyle w:val="ListBullet"/>
      </w:pPr>
      <w:r>
        <w:t>Train Services – Statewide output.</w:t>
      </w:r>
    </w:p>
    <w:p w14:paraId="394E2C6B" w14:textId="77777777" w:rsidR="00C7198A" w:rsidRDefault="00C7198A" w:rsidP="00AF054F">
      <w:pPr>
        <w:pStyle w:val="Heading5"/>
      </w:pPr>
      <w:r>
        <w:t>Unlocking Capacity on the Metro Rail Network</w:t>
      </w:r>
    </w:p>
    <w:p w14:paraId="070AD26D" w14:textId="77777777" w:rsidR="00C7198A" w:rsidRDefault="00C7198A" w:rsidP="00AF054F">
      <w:r>
        <w:t xml:space="preserve">Funding is provided to undertake detailed planning and development for future upgrades of the Upfield and Craigieburn lines and the metropolitan rail network’s inner area traction power system. </w:t>
      </w:r>
    </w:p>
    <w:p w14:paraId="45375300" w14:textId="0C9C73EB" w:rsidR="00C7198A" w:rsidRDefault="00C7198A" w:rsidP="00AF054F">
      <w:r>
        <w:t>This initiative contributes to the Department of Transport’s:</w:t>
      </w:r>
    </w:p>
    <w:p w14:paraId="7677F1B3" w14:textId="77777777" w:rsidR="00C7198A" w:rsidRDefault="00C7198A" w:rsidP="00AF054F">
      <w:pPr>
        <w:pStyle w:val="ListBullet"/>
      </w:pPr>
      <w:r>
        <w:t>Train Services – Metropolitan output</w:t>
      </w:r>
    </w:p>
    <w:p w14:paraId="728063E6" w14:textId="77777777" w:rsidR="00C7198A" w:rsidRDefault="00C7198A" w:rsidP="00AF054F">
      <w:pPr>
        <w:pStyle w:val="ListBullet"/>
      </w:pPr>
      <w:r>
        <w:t>Transport Infrastructure output.</w:t>
      </w:r>
    </w:p>
    <w:p w14:paraId="428562C5" w14:textId="77777777" w:rsidR="00C7198A" w:rsidRDefault="00C7198A" w:rsidP="00AF054F">
      <w:pPr>
        <w:pStyle w:val="Heading4"/>
      </w:pPr>
      <w:r>
        <w:t>Transport Infrastructure</w:t>
      </w:r>
    </w:p>
    <w:p w14:paraId="122AEEEB" w14:textId="77777777" w:rsidR="00C7198A" w:rsidRPr="00AF054F" w:rsidRDefault="00C7198A" w:rsidP="00AF054F">
      <w:pPr>
        <w:pStyle w:val="Heading5"/>
      </w:pPr>
      <w:r w:rsidRPr="00AF054F">
        <w:t>Ballarat station upgrade</w:t>
      </w:r>
    </w:p>
    <w:p w14:paraId="141C6E90" w14:textId="77777777" w:rsidR="00C7198A" w:rsidRDefault="00C7198A" w:rsidP="00AF054F">
      <w:r>
        <w:t>Refer to the asset initiative for a description of this initiative.</w:t>
      </w:r>
    </w:p>
    <w:p w14:paraId="21CA3ED7" w14:textId="77777777" w:rsidR="00C7198A" w:rsidRDefault="00C7198A" w:rsidP="00AF054F">
      <w:pPr>
        <w:pStyle w:val="Heading5"/>
      </w:pPr>
      <w:r>
        <w:t>New Tarneit railway station</w:t>
      </w:r>
    </w:p>
    <w:p w14:paraId="66D97E3E" w14:textId="77777777" w:rsidR="00C7198A" w:rsidRDefault="00C7198A" w:rsidP="00AF054F">
      <w:r>
        <w:t>Refer to the asset initiative for a description of this initiative.</w:t>
      </w:r>
    </w:p>
    <w:p w14:paraId="40CCFCF2" w14:textId="77777777" w:rsidR="00C7198A" w:rsidRDefault="00C7198A">
      <w:pPr>
        <w:keepLines w:val="0"/>
      </w:pPr>
      <w:r>
        <w:br w:type="page"/>
      </w:r>
    </w:p>
    <w:p w14:paraId="1310A363" w14:textId="77777777" w:rsidR="00C7198A" w:rsidRDefault="00C7198A" w:rsidP="007F7047">
      <w:pPr>
        <w:pStyle w:val="Heading20"/>
      </w:pPr>
      <w:r>
        <w:lastRenderedPageBreak/>
        <w:t>Asset initiatives</w:t>
      </w:r>
    </w:p>
    <w:p w14:paraId="0058CDC8" w14:textId="3F4BDEBE" w:rsidR="00C7198A" w:rsidRDefault="00C7198A" w:rsidP="00E844A2">
      <w:pPr>
        <w:pStyle w:val="TableHeading"/>
        <w:spacing w:before="140"/>
      </w:pPr>
      <w:r>
        <w:t>Table A.1</w:t>
      </w:r>
      <w:r w:rsidR="00993A31">
        <w:t>4</w:t>
      </w:r>
      <w:r>
        <w:t>:</w:t>
      </w:r>
      <w:r>
        <w:tab/>
        <w:t>Asset initiatives – Department of Transport</w:t>
      </w:r>
      <w:r>
        <w:tab/>
        <w:t>($ million)</w:t>
      </w:r>
    </w:p>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C7198A" w14:paraId="3FA298D6" w14:textId="77777777" w:rsidTr="00F8244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69DB29B3" w14:textId="63EBEDCA" w:rsidR="00C7198A" w:rsidRDefault="00C7198A"/>
        </w:tc>
        <w:tc>
          <w:tcPr>
            <w:tcW w:w="794" w:type="dxa"/>
            <w:tcBorders>
              <w:top w:val="single" w:sz="6" w:space="0" w:color="auto"/>
              <w:bottom w:val="single" w:sz="6" w:space="0" w:color="auto"/>
            </w:tcBorders>
          </w:tcPr>
          <w:p w14:paraId="17DBB324" w14:textId="77777777" w:rsidR="00C7198A" w:rsidRDefault="00C7198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Borders>
              <w:top w:val="single" w:sz="6" w:space="0" w:color="auto"/>
              <w:bottom w:val="single" w:sz="6" w:space="0" w:color="auto"/>
            </w:tcBorders>
          </w:tcPr>
          <w:p w14:paraId="62741849" w14:textId="77777777" w:rsidR="00C7198A" w:rsidRDefault="00C7198A">
            <w:pPr>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Borders>
              <w:top w:val="single" w:sz="6" w:space="0" w:color="auto"/>
              <w:bottom w:val="single" w:sz="6" w:space="0" w:color="auto"/>
            </w:tcBorders>
          </w:tcPr>
          <w:p w14:paraId="1AD488CE" w14:textId="77777777" w:rsidR="00C7198A" w:rsidRDefault="00C7198A">
            <w:pPr>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Borders>
              <w:top w:val="single" w:sz="6" w:space="0" w:color="auto"/>
              <w:bottom w:val="single" w:sz="6" w:space="0" w:color="auto"/>
            </w:tcBorders>
          </w:tcPr>
          <w:p w14:paraId="669109F8" w14:textId="77777777" w:rsidR="00C7198A" w:rsidRDefault="00C7198A">
            <w:pPr>
              <w:cnfStyle w:val="100000000000" w:firstRow="1" w:lastRow="0" w:firstColumn="0" w:lastColumn="0" w:oddVBand="0" w:evenVBand="0" w:oddHBand="0" w:evenHBand="0" w:firstRowFirstColumn="0" w:firstRowLastColumn="0" w:lastRowFirstColumn="0" w:lastRowLastColumn="0"/>
            </w:pPr>
            <w:r>
              <w:t>2025</w:t>
            </w:r>
            <w:r>
              <w:noBreakHyphen/>
              <w:t>26</w:t>
            </w:r>
          </w:p>
        </w:tc>
        <w:tc>
          <w:tcPr>
            <w:tcW w:w="794" w:type="dxa"/>
            <w:tcBorders>
              <w:top w:val="single" w:sz="6" w:space="0" w:color="auto"/>
              <w:bottom w:val="single" w:sz="6" w:space="0" w:color="auto"/>
            </w:tcBorders>
          </w:tcPr>
          <w:p w14:paraId="653865B4" w14:textId="77777777" w:rsidR="00C7198A" w:rsidRDefault="00C7198A">
            <w:pPr>
              <w:cnfStyle w:val="100000000000" w:firstRow="1" w:lastRow="0" w:firstColumn="0" w:lastColumn="0" w:oddVBand="0" w:evenVBand="0" w:oddHBand="0" w:evenHBand="0" w:firstRowFirstColumn="0" w:firstRowLastColumn="0" w:lastRowFirstColumn="0" w:lastRowLastColumn="0"/>
            </w:pPr>
            <w:r>
              <w:t>TEI</w:t>
            </w:r>
          </w:p>
        </w:tc>
      </w:tr>
      <w:tr w:rsidR="00C7198A" w14:paraId="6B69FD19" w14:textId="77777777" w:rsidTr="00F82442">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5BCE198A" w14:textId="77777777" w:rsidR="00C7198A" w:rsidRDefault="00C7198A">
            <w:r>
              <w:rPr>
                <w:b/>
              </w:rPr>
              <w:t>Road Operations</w:t>
            </w:r>
          </w:p>
        </w:tc>
        <w:tc>
          <w:tcPr>
            <w:tcW w:w="794" w:type="dxa"/>
            <w:tcBorders>
              <w:top w:val="single" w:sz="6" w:space="0" w:color="auto"/>
            </w:tcBorders>
          </w:tcPr>
          <w:p w14:paraId="0CB6AE22"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57431083"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42DD5A57"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40DF92E6"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5C134C7B"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r>
      <w:tr w:rsidR="00C7198A" w14:paraId="4D075AFD" w14:textId="77777777">
        <w:tc>
          <w:tcPr>
            <w:cnfStyle w:val="001000000000" w:firstRow="0" w:lastRow="0" w:firstColumn="1" w:lastColumn="0" w:oddVBand="0" w:evenVBand="0" w:oddHBand="0" w:evenHBand="0" w:firstRowFirstColumn="0" w:firstRowLastColumn="0" w:lastRowFirstColumn="0" w:lastRowLastColumn="0"/>
            <w:tcW w:w="3740" w:type="dxa"/>
          </w:tcPr>
          <w:p w14:paraId="5C1F8FEE" w14:textId="77777777" w:rsidR="00C7198A" w:rsidRDefault="00C7198A">
            <w:r>
              <w:t xml:space="preserve">Ison Road – Rail Overpass </w:t>
            </w:r>
            <w:r>
              <w:rPr>
                <w:vertAlign w:val="superscript"/>
              </w:rPr>
              <w:t>(a)</w:t>
            </w:r>
          </w:p>
        </w:tc>
        <w:tc>
          <w:tcPr>
            <w:tcW w:w="794" w:type="dxa"/>
          </w:tcPr>
          <w:p w14:paraId="41E1945F" w14:textId="77777777" w:rsidR="00C7198A" w:rsidRDefault="00C7198A">
            <w:pPr>
              <w:cnfStyle w:val="000000000000" w:firstRow="0" w:lastRow="0" w:firstColumn="0" w:lastColumn="0" w:oddVBand="0" w:evenVBand="0" w:oddHBand="0" w:evenHBand="0" w:firstRowFirstColumn="0" w:firstRowLastColumn="0" w:lastRowFirstColumn="0" w:lastRowLastColumn="0"/>
            </w:pPr>
            <w:r>
              <w:t>25.6</w:t>
            </w:r>
          </w:p>
        </w:tc>
        <w:tc>
          <w:tcPr>
            <w:tcW w:w="794" w:type="dxa"/>
          </w:tcPr>
          <w:p w14:paraId="0605E478" w14:textId="77777777" w:rsidR="00C7198A" w:rsidRDefault="00C7198A">
            <w:pPr>
              <w:cnfStyle w:val="000000000000" w:firstRow="0" w:lastRow="0" w:firstColumn="0" w:lastColumn="0" w:oddVBand="0" w:evenVBand="0" w:oddHBand="0" w:evenHBand="0" w:firstRowFirstColumn="0" w:firstRowLastColumn="0" w:lastRowFirstColumn="0" w:lastRowLastColumn="0"/>
            </w:pPr>
            <w:r>
              <w:t>42.0</w:t>
            </w:r>
          </w:p>
        </w:tc>
        <w:tc>
          <w:tcPr>
            <w:tcW w:w="794" w:type="dxa"/>
          </w:tcPr>
          <w:p w14:paraId="2B1A8EE9" w14:textId="77777777" w:rsidR="00C7198A" w:rsidRDefault="00C7198A">
            <w:pPr>
              <w:cnfStyle w:val="000000000000" w:firstRow="0" w:lastRow="0" w:firstColumn="0" w:lastColumn="0" w:oddVBand="0" w:evenVBand="0" w:oddHBand="0" w:evenHBand="0" w:firstRowFirstColumn="0" w:firstRowLastColumn="0" w:lastRowFirstColumn="0" w:lastRowLastColumn="0"/>
            </w:pPr>
            <w:r>
              <w:t>34.9</w:t>
            </w:r>
          </w:p>
        </w:tc>
        <w:tc>
          <w:tcPr>
            <w:tcW w:w="794" w:type="dxa"/>
          </w:tcPr>
          <w:p w14:paraId="34E946C7" w14:textId="77777777" w:rsidR="00C7198A" w:rsidRDefault="00C7198A">
            <w:pPr>
              <w:cnfStyle w:val="000000000000" w:firstRow="0" w:lastRow="0" w:firstColumn="0" w:lastColumn="0" w:oddVBand="0" w:evenVBand="0" w:oddHBand="0" w:evenHBand="0" w:firstRowFirstColumn="0" w:firstRowLastColumn="0" w:lastRowFirstColumn="0" w:lastRowLastColumn="0"/>
            </w:pPr>
            <w:r>
              <w:t>0.5</w:t>
            </w:r>
          </w:p>
        </w:tc>
        <w:tc>
          <w:tcPr>
            <w:tcW w:w="794" w:type="dxa"/>
          </w:tcPr>
          <w:p w14:paraId="744D1ABB" w14:textId="77777777" w:rsidR="00C7198A" w:rsidRDefault="00C7198A">
            <w:pPr>
              <w:cnfStyle w:val="000000000000" w:firstRow="0" w:lastRow="0" w:firstColumn="0" w:lastColumn="0" w:oddVBand="0" w:evenVBand="0" w:oddHBand="0" w:evenHBand="0" w:firstRowFirstColumn="0" w:firstRowLastColumn="0" w:lastRowFirstColumn="0" w:lastRowLastColumn="0"/>
            </w:pPr>
            <w:r>
              <w:t>103.6</w:t>
            </w:r>
          </w:p>
        </w:tc>
      </w:tr>
      <w:tr w:rsidR="00C7198A" w14:paraId="0D779281" w14:textId="77777777">
        <w:tc>
          <w:tcPr>
            <w:cnfStyle w:val="001000000000" w:firstRow="0" w:lastRow="0" w:firstColumn="1" w:lastColumn="0" w:oddVBand="0" w:evenVBand="0" w:oddHBand="0" w:evenHBand="0" w:firstRowFirstColumn="0" w:firstRowLastColumn="0" w:lastRowFirstColumn="0" w:lastRowLastColumn="0"/>
            <w:tcW w:w="3740" w:type="dxa"/>
          </w:tcPr>
          <w:p w14:paraId="2E3A7AD9" w14:textId="77777777" w:rsidR="00C7198A" w:rsidRDefault="00C7198A">
            <w:r>
              <w:rPr>
                <w:b/>
              </w:rPr>
              <w:t>Transport Infrastructure</w:t>
            </w:r>
          </w:p>
        </w:tc>
        <w:tc>
          <w:tcPr>
            <w:tcW w:w="794" w:type="dxa"/>
          </w:tcPr>
          <w:p w14:paraId="14878FA1"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2F9DE131"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56D4D623"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3E27E58A"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1B9DBD65"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r>
      <w:tr w:rsidR="00C7198A" w14:paraId="79E0C77F" w14:textId="77777777">
        <w:tc>
          <w:tcPr>
            <w:cnfStyle w:val="001000000000" w:firstRow="0" w:lastRow="0" w:firstColumn="1" w:lastColumn="0" w:oddVBand="0" w:evenVBand="0" w:oddHBand="0" w:evenHBand="0" w:firstRowFirstColumn="0" w:firstRowLastColumn="0" w:lastRowFirstColumn="0" w:lastRowLastColumn="0"/>
            <w:tcW w:w="3740" w:type="dxa"/>
          </w:tcPr>
          <w:p w14:paraId="3F3C04ED" w14:textId="77777777" w:rsidR="00C7198A" w:rsidRDefault="00C7198A">
            <w:r>
              <w:t>Albion station upgrade</w:t>
            </w:r>
          </w:p>
        </w:tc>
        <w:tc>
          <w:tcPr>
            <w:tcW w:w="794" w:type="dxa"/>
          </w:tcPr>
          <w:p w14:paraId="7C95DC6C" w14:textId="77777777" w:rsidR="00C7198A" w:rsidRDefault="00C7198A">
            <w:pPr>
              <w:cnfStyle w:val="000000000000" w:firstRow="0" w:lastRow="0" w:firstColumn="0" w:lastColumn="0" w:oddVBand="0" w:evenVBand="0" w:oddHBand="0" w:evenHBand="0" w:firstRowFirstColumn="0" w:firstRowLastColumn="0" w:lastRowFirstColumn="0" w:lastRowLastColumn="0"/>
            </w:pPr>
            <w:r>
              <w:t>3.0</w:t>
            </w:r>
          </w:p>
        </w:tc>
        <w:tc>
          <w:tcPr>
            <w:tcW w:w="794" w:type="dxa"/>
          </w:tcPr>
          <w:p w14:paraId="1C3623C2" w14:textId="77777777" w:rsidR="00C7198A" w:rsidRDefault="00C7198A">
            <w:pPr>
              <w:cnfStyle w:val="000000000000" w:firstRow="0" w:lastRow="0" w:firstColumn="0" w:lastColumn="0" w:oddVBand="0" w:evenVBand="0" w:oddHBand="0" w:evenHBand="0" w:firstRowFirstColumn="0" w:firstRowLastColumn="0" w:lastRowFirstColumn="0" w:lastRowLastColumn="0"/>
            </w:pPr>
            <w:r>
              <w:t>30.8</w:t>
            </w:r>
          </w:p>
        </w:tc>
        <w:tc>
          <w:tcPr>
            <w:tcW w:w="794" w:type="dxa"/>
          </w:tcPr>
          <w:p w14:paraId="64067B27" w14:textId="77777777" w:rsidR="00C7198A" w:rsidRDefault="00C7198A">
            <w:pPr>
              <w:cnfStyle w:val="000000000000" w:firstRow="0" w:lastRow="0" w:firstColumn="0" w:lastColumn="0" w:oddVBand="0" w:evenVBand="0" w:oddHBand="0" w:evenHBand="0" w:firstRowFirstColumn="0" w:firstRowLastColumn="0" w:lastRowFirstColumn="0" w:lastRowLastColumn="0"/>
            </w:pPr>
            <w:r>
              <w:t>30.8</w:t>
            </w:r>
          </w:p>
        </w:tc>
        <w:tc>
          <w:tcPr>
            <w:tcW w:w="794" w:type="dxa"/>
          </w:tcPr>
          <w:p w14:paraId="67AF716A" w14:textId="77777777" w:rsidR="00C7198A" w:rsidRDefault="00C7198A">
            <w:pPr>
              <w:cnfStyle w:val="000000000000" w:firstRow="0" w:lastRow="0" w:firstColumn="0" w:lastColumn="0" w:oddVBand="0" w:evenVBand="0" w:oddHBand="0" w:evenHBand="0" w:firstRowFirstColumn="0" w:firstRowLastColumn="0" w:lastRowFirstColumn="0" w:lastRowLastColumn="0"/>
            </w:pPr>
            <w:r>
              <w:t>15.4</w:t>
            </w:r>
          </w:p>
        </w:tc>
        <w:tc>
          <w:tcPr>
            <w:tcW w:w="794" w:type="dxa"/>
          </w:tcPr>
          <w:p w14:paraId="509EDF13" w14:textId="77777777" w:rsidR="00C7198A" w:rsidRDefault="00C7198A">
            <w:pPr>
              <w:cnfStyle w:val="000000000000" w:firstRow="0" w:lastRow="0" w:firstColumn="0" w:lastColumn="0" w:oddVBand="0" w:evenVBand="0" w:oddHBand="0" w:evenHBand="0" w:firstRowFirstColumn="0" w:firstRowLastColumn="0" w:lastRowFirstColumn="0" w:lastRowLastColumn="0"/>
            </w:pPr>
            <w:r>
              <w:t>80.0</w:t>
            </w:r>
          </w:p>
        </w:tc>
      </w:tr>
      <w:tr w:rsidR="00C7198A" w14:paraId="445E28AB" w14:textId="77777777">
        <w:tc>
          <w:tcPr>
            <w:cnfStyle w:val="001000000000" w:firstRow="0" w:lastRow="0" w:firstColumn="1" w:lastColumn="0" w:oddVBand="0" w:evenVBand="0" w:oddHBand="0" w:evenHBand="0" w:firstRowFirstColumn="0" w:firstRowLastColumn="0" w:lastRowFirstColumn="0" w:lastRowLastColumn="0"/>
            <w:tcW w:w="3740" w:type="dxa"/>
          </w:tcPr>
          <w:p w14:paraId="3F524D0C" w14:textId="77777777" w:rsidR="00C7198A" w:rsidRDefault="00C7198A">
            <w:r>
              <w:t>Ballarat station upgrade</w:t>
            </w:r>
          </w:p>
        </w:tc>
        <w:tc>
          <w:tcPr>
            <w:tcW w:w="794" w:type="dxa"/>
          </w:tcPr>
          <w:p w14:paraId="53628D37" w14:textId="77777777" w:rsidR="00C7198A" w:rsidRDefault="00C7198A">
            <w:pPr>
              <w:cnfStyle w:val="000000000000" w:firstRow="0" w:lastRow="0" w:firstColumn="0" w:lastColumn="0" w:oddVBand="0" w:evenVBand="0" w:oddHBand="0" w:evenHBand="0" w:firstRowFirstColumn="0" w:firstRowLastColumn="0" w:lastRowFirstColumn="0" w:lastRowLastColumn="0"/>
            </w:pPr>
            <w:r>
              <w:t>3.2</w:t>
            </w:r>
          </w:p>
        </w:tc>
        <w:tc>
          <w:tcPr>
            <w:tcW w:w="794" w:type="dxa"/>
          </w:tcPr>
          <w:p w14:paraId="06D0583E" w14:textId="77777777" w:rsidR="00C7198A" w:rsidRDefault="00C7198A">
            <w:pPr>
              <w:cnfStyle w:val="000000000000" w:firstRow="0" w:lastRow="0" w:firstColumn="0" w:lastColumn="0" w:oddVBand="0" w:evenVBand="0" w:oddHBand="0" w:evenHBand="0" w:firstRowFirstColumn="0" w:firstRowLastColumn="0" w:lastRowFirstColumn="0" w:lastRowLastColumn="0"/>
            </w:pPr>
            <w:r>
              <w:t>25.0</w:t>
            </w:r>
          </w:p>
        </w:tc>
        <w:tc>
          <w:tcPr>
            <w:tcW w:w="794" w:type="dxa"/>
          </w:tcPr>
          <w:p w14:paraId="01D5ED29" w14:textId="77777777" w:rsidR="00C7198A" w:rsidRDefault="00C7198A">
            <w:pPr>
              <w:cnfStyle w:val="000000000000" w:firstRow="0" w:lastRow="0" w:firstColumn="0" w:lastColumn="0" w:oddVBand="0" w:evenVBand="0" w:oddHBand="0" w:evenHBand="0" w:firstRowFirstColumn="0" w:firstRowLastColumn="0" w:lastRowFirstColumn="0" w:lastRowLastColumn="0"/>
            </w:pPr>
            <w:r>
              <w:t>18.5</w:t>
            </w:r>
          </w:p>
        </w:tc>
        <w:tc>
          <w:tcPr>
            <w:tcW w:w="794" w:type="dxa"/>
          </w:tcPr>
          <w:p w14:paraId="06F7FEF0" w14:textId="77777777" w:rsidR="00C7198A" w:rsidRDefault="00C7198A">
            <w:pPr>
              <w:cnfStyle w:val="000000000000" w:firstRow="0" w:lastRow="0" w:firstColumn="0" w:lastColumn="0" w:oddVBand="0" w:evenVBand="0" w:oddHBand="0" w:evenHBand="0" w:firstRowFirstColumn="0" w:firstRowLastColumn="0" w:lastRowFirstColumn="0" w:lastRowLastColumn="0"/>
            </w:pPr>
            <w:r>
              <w:t>2.5</w:t>
            </w:r>
          </w:p>
        </w:tc>
        <w:tc>
          <w:tcPr>
            <w:tcW w:w="794" w:type="dxa"/>
          </w:tcPr>
          <w:p w14:paraId="72FBE3C6" w14:textId="77777777" w:rsidR="00C7198A" w:rsidRDefault="00C7198A">
            <w:pPr>
              <w:cnfStyle w:val="000000000000" w:firstRow="0" w:lastRow="0" w:firstColumn="0" w:lastColumn="0" w:oddVBand="0" w:evenVBand="0" w:oddHBand="0" w:evenHBand="0" w:firstRowFirstColumn="0" w:firstRowLastColumn="0" w:lastRowFirstColumn="0" w:lastRowLastColumn="0"/>
            </w:pPr>
            <w:r>
              <w:t>49.2</w:t>
            </w:r>
          </w:p>
        </w:tc>
      </w:tr>
      <w:tr w:rsidR="00C7198A" w14:paraId="4B938BFC" w14:textId="77777777">
        <w:tc>
          <w:tcPr>
            <w:cnfStyle w:val="001000000000" w:firstRow="0" w:lastRow="0" w:firstColumn="1" w:lastColumn="0" w:oddVBand="0" w:evenVBand="0" w:oddHBand="0" w:evenHBand="0" w:firstRowFirstColumn="0" w:firstRowLastColumn="0" w:lastRowFirstColumn="0" w:lastRowLastColumn="0"/>
            <w:tcW w:w="3740" w:type="dxa"/>
          </w:tcPr>
          <w:p w14:paraId="6B4AFB84" w14:textId="77777777" w:rsidR="00C7198A" w:rsidRDefault="00C7198A">
            <w:r>
              <w:t>COVID</w:t>
            </w:r>
            <w:r>
              <w:noBreakHyphen/>
              <w:t>19 impacts on major projects</w:t>
            </w:r>
          </w:p>
        </w:tc>
        <w:tc>
          <w:tcPr>
            <w:tcW w:w="794" w:type="dxa"/>
          </w:tcPr>
          <w:p w14:paraId="369FD729" w14:textId="77777777" w:rsidR="00C7198A" w:rsidRDefault="00C7198A">
            <w:pPr>
              <w:cnfStyle w:val="000000000000" w:firstRow="0" w:lastRow="0" w:firstColumn="0" w:lastColumn="0" w:oddVBand="0" w:evenVBand="0" w:oddHBand="0" w:evenHBand="0" w:firstRowFirstColumn="0" w:firstRowLastColumn="0" w:lastRowFirstColumn="0" w:lastRowLastColumn="0"/>
            </w:pPr>
            <w:r>
              <w:t>240.0</w:t>
            </w:r>
          </w:p>
        </w:tc>
        <w:tc>
          <w:tcPr>
            <w:tcW w:w="794" w:type="dxa"/>
          </w:tcPr>
          <w:p w14:paraId="2D0E226D"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124B83F8"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761288CC"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4016F3CB" w14:textId="77777777" w:rsidR="00C7198A" w:rsidRDefault="00C7198A">
            <w:pPr>
              <w:cnfStyle w:val="000000000000" w:firstRow="0" w:lastRow="0" w:firstColumn="0" w:lastColumn="0" w:oddVBand="0" w:evenVBand="0" w:oddHBand="0" w:evenHBand="0" w:firstRowFirstColumn="0" w:firstRowLastColumn="0" w:lastRowFirstColumn="0" w:lastRowLastColumn="0"/>
            </w:pPr>
            <w:r>
              <w:t>240.0</w:t>
            </w:r>
          </w:p>
        </w:tc>
      </w:tr>
      <w:tr w:rsidR="00C7198A" w14:paraId="17DCBFFA" w14:textId="77777777">
        <w:tc>
          <w:tcPr>
            <w:cnfStyle w:val="001000000000" w:firstRow="0" w:lastRow="0" w:firstColumn="1" w:lastColumn="0" w:oddVBand="0" w:evenVBand="0" w:oddHBand="0" w:evenHBand="0" w:firstRowFirstColumn="0" w:firstRowLastColumn="0" w:lastRowFirstColumn="0" w:lastRowLastColumn="0"/>
            <w:tcW w:w="3740" w:type="dxa"/>
          </w:tcPr>
          <w:p w14:paraId="766E2932" w14:textId="77777777" w:rsidR="00C7198A" w:rsidRDefault="00C7198A">
            <w:r>
              <w:t>Kananook stage 2</w:t>
            </w:r>
            <w:r>
              <w:rPr>
                <w:vertAlign w:val="superscript"/>
              </w:rPr>
              <w:t xml:space="preserve"> (b)</w:t>
            </w:r>
          </w:p>
        </w:tc>
        <w:tc>
          <w:tcPr>
            <w:tcW w:w="794" w:type="dxa"/>
          </w:tcPr>
          <w:p w14:paraId="7B2F5D85" w14:textId="77777777" w:rsidR="00C7198A" w:rsidRDefault="00C7198A">
            <w:pPr>
              <w:cnfStyle w:val="000000000000" w:firstRow="0" w:lastRow="0" w:firstColumn="0" w:lastColumn="0" w:oddVBand="0" w:evenVBand="0" w:oddHBand="0" w:evenHBand="0" w:firstRowFirstColumn="0" w:firstRowLastColumn="0" w:lastRowFirstColumn="0" w:lastRowLastColumn="0"/>
            </w:pPr>
            <w:r>
              <w:t>12.6</w:t>
            </w:r>
          </w:p>
        </w:tc>
        <w:tc>
          <w:tcPr>
            <w:tcW w:w="794" w:type="dxa"/>
          </w:tcPr>
          <w:p w14:paraId="6323A8FB"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6A169426"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7F3E7661"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1A505BC1" w14:textId="77777777" w:rsidR="00C7198A" w:rsidRDefault="00C7198A">
            <w:pPr>
              <w:cnfStyle w:val="000000000000" w:firstRow="0" w:lastRow="0" w:firstColumn="0" w:lastColumn="0" w:oddVBand="0" w:evenVBand="0" w:oddHBand="0" w:evenHBand="0" w:firstRowFirstColumn="0" w:firstRowLastColumn="0" w:lastRowFirstColumn="0" w:lastRowLastColumn="0"/>
            </w:pPr>
            <w:r>
              <w:t>tbc</w:t>
            </w:r>
          </w:p>
        </w:tc>
      </w:tr>
      <w:tr w:rsidR="00C7198A" w14:paraId="699FCEF3" w14:textId="77777777">
        <w:tc>
          <w:tcPr>
            <w:cnfStyle w:val="001000000000" w:firstRow="0" w:lastRow="0" w:firstColumn="1" w:lastColumn="0" w:oddVBand="0" w:evenVBand="0" w:oddHBand="0" w:evenHBand="0" w:firstRowFirstColumn="0" w:firstRowLastColumn="0" w:lastRowFirstColumn="0" w:lastRowLastColumn="0"/>
            <w:tcW w:w="3740" w:type="dxa"/>
          </w:tcPr>
          <w:p w14:paraId="0ABD8A87" w14:textId="77777777" w:rsidR="00C7198A" w:rsidRDefault="00C7198A">
            <w:r>
              <w:t>New Tarneit railway station</w:t>
            </w:r>
          </w:p>
        </w:tc>
        <w:tc>
          <w:tcPr>
            <w:tcW w:w="794" w:type="dxa"/>
          </w:tcPr>
          <w:p w14:paraId="24781311" w14:textId="77777777" w:rsidR="00C7198A" w:rsidRDefault="00C7198A">
            <w:pPr>
              <w:cnfStyle w:val="000000000000" w:firstRow="0" w:lastRow="0" w:firstColumn="0" w:lastColumn="0" w:oddVBand="0" w:evenVBand="0" w:oddHBand="0" w:evenHBand="0" w:firstRowFirstColumn="0" w:firstRowLastColumn="0" w:lastRowFirstColumn="0" w:lastRowLastColumn="0"/>
            </w:pPr>
            <w:r>
              <w:t>4.3</w:t>
            </w:r>
          </w:p>
        </w:tc>
        <w:tc>
          <w:tcPr>
            <w:tcW w:w="794" w:type="dxa"/>
          </w:tcPr>
          <w:p w14:paraId="2D804B98" w14:textId="77777777" w:rsidR="00C7198A" w:rsidRDefault="00C7198A">
            <w:pPr>
              <w:cnfStyle w:val="000000000000" w:firstRow="0" w:lastRow="0" w:firstColumn="0" w:lastColumn="0" w:oddVBand="0" w:evenVBand="0" w:oddHBand="0" w:evenHBand="0" w:firstRowFirstColumn="0" w:firstRowLastColumn="0" w:lastRowFirstColumn="0" w:lastRowLastColumn="0"/>
            </w:pPr>
            <w:r>
              <w:t>20.0</w:t>
            </w:r>
          </w:p>
        </w:tc>
        <w:tc>
          <w:tcPr>
            <w:tcW w:w="794" w:type="dxa"/>
          </w:tcPr>
          <w:p w14:paraId="2DE0C695" w14:textId="77777777" w:rsidR="00C7198A" w:rsidRDefault="00C7198A">
            <w:pPr>
              <w:cnfStyle w:val="000000000000" w:firstRow="0" w:lastRow="0" w:firstColumn="0" w:lastColumn="0" w:oddVBand="0" w:evenVBand="0" w:oddHBand="0" w:evenHBand="0" w:firstRowFirstColumn="0" w:firstRowLastColumn="0" w:lastRowFirstColumn="0" w:lastRowLastColumn="0"/>
            </w:pPr>
            <w:r>
              <w:t>52.6</w:t>
            </w:r>
          </w:p>
        </w:tc>
        <w:tc>
          <w:tcPr>
            <w:tcW w:w="794" w:type="dxa"/>
          </w:tcPr>
          <w:p w14:paraId="232F1D18" w14:textId="77777777" w:rsidR="00C7198A" w:rsidRDefault="00C7198A">
            <w:pPr>
              <w:cnfStyle w:val="000000000000" w:firstRow="0" w:lastRow="0" w:firstColumn="0" w:lastColumn="0" w:oddVBand="0" w:evenVBand="0" w:oddHBand="0" w:evenHBand="0" w:firstRowFirstColumn="0" w:firstRowLastColumn="0" w:lastRowFirstColumn="0" w:lastRowLastColumn="0"/>
            </w:pPr>
            <w:r>
              <w:t>47.1</w:t>
            </w:r>
          </w:p>
        </w:tc>
        <w:tc>
          <w:tcPr>
            <w:tcW w:w="794" w:type="dxa"/>
          </w:tcPr>
          <w:p w14:paraId="617BE8D3" w14:textId="77777777" w:rsidR="00C7198A" w:rsidRDefault="00C7198A">
            <w:pPr>
              <w:cnfStyle w:val="000000000000" w:firstRow="0" w:lastRow="0" w:firstColumn="0" w:lastColumn="0" w:oddVBand="0" w:evenVBand="0" w:oddHBand="0" w:evenHBand="0" w:firstRowFirstColumn="0" w:firstRowLastColumn="0" w:lastRowFirstColumn="0" w:lastRowLastColumn="0"/>
            </w:pPr>
            <w:r>
              <w:t>124.0</w:t>
            </w:r>
          </w:p>
        </w:tc>
      </w:tr>
      <w:tr w:rsidR="00C7198A" w14:paraId="578F881A" w14:textId="77777777">
        <w:tc>
          <w:tcPr>
            <w:cnfStyle w:val="001000000000" w:firstRow="0" w:lastRow="0" w:firstColumn="1" w:lastColumn="0" w:oddVBand="0" w:evenVBand="0" w:oddHBand="0" w:evenHBand="0" w:firstRowFirstColumn="0" w:firstRowLastColumn="0" w:lastRowFirstColumn="0" w:lastRowLastColumn="0"/>
            <w:tcW w:w="3740" w:type="dxa"/>
          </w:tcPr>
          <w:p w14:paraId="32D33A7D" w14:textId="77777777" w:rsidR="00C7198A" w:rsidRDefault="00C7198A">
            <w:r>
              <w:t xml:space="preserve">South Dynon train maintenance facility stage 2 development </w:t>
            </w:r>
            <w:r>
              <w:rPr>
                <w:vertAlign w:val="superscript"/>
              </w:rPr>
              <w:t>(c)</w:t>
            </w:r>
          </w:p>
        </w:tc>
        <w:tc>
          <w:tcPr>
            <w:tcW w:w="794" w:type="dxa"/>
          </w:tcPr>
          <w:p w14:paraId="6C778AB3" w14:textId="77777777" w:rsidR="00C7198A" w:rsidRDefault="00C7198A">
            <w:pPr>
              <w:cnfStyle w:val="000000000000" w:firstRow="0" w:lastRow="0" w:firstColumn="0" w:lastColumn="0" w:oddVBand="0" w:evenVBand="0" w:oddHBand="0" w:evenHBand="0" w:firstRowFirstColumn="0" w:firstRowLastColumn="0" w:lastRowFirstColumn="0" w:lastRowLastColumn="0"/>
            </w:pPr>
            <w:r>
              <w:t>10.2</w:t>
            </w:r>
          </w:p>
        </w:tc>
        <w:tc>
          <w:tcPr>
            <w:tcW w:w="794" w:type="dxa"/>
          </w:tcPr>
          <w:p w14:paraId="4110E532"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403585DB"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605D0277"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6B347C40" w14:textId="77777777" w:rsidR="00C7198A" w:rsidRDefault="00C7198A">
            <w:pPr>
              <w:cnfStyle w:val="000000000000" w:firstRow="0" w:lastRow="0" w:firstColumn="0" w:lastColumn="0" w:oddVBand="0" w:evenVBand="0" w:oddHBand="0" w:evenHBand="0" w:firstRowFirstColumn="0" w:firstRowLastColumn="0" w:lastRowFirstColumn="0" w:lastRowLastColumn="0"/>
            </w:pPr>
            <w:r>
              <w:t>tbc</w:t>
            </w:r>
          </w:p>
        </w:tc>
      </w:tr>
      <w:tr w:rsidR="00C7198A" w14:paraId="1AF96C4E" w14:textId="77777777" w:rsidTr="00F82442">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38653A2B" w14:textId="77777777" w:rsidR="00C7198A" w:rsidRDefault="00C7198A">
            <w:r>
              <w:t>Twenty</w:t>
            </w:r>
            <w:r>
              <w:noBreakHyphen/>
              <w:t>five more level crossing removals by 2030</w:t>
            </w:r>
            <w:r>
              <w:rPr>
                <w:vertAlign w:val="superscript"/>
              </w:rPr>
              <w:t xml:space="preserve"> (d)</w:t>
            </w:r>
          </w:p>
        </w:tc>
        <w:tc>
          <w:tcPr>
            <w:tcW w:w="794" w:type="dxa"/>
            <w:tcBorders>
              <w:bottom w:val="single" w:sz="6" w:space="0" w:color="auto"/>
            </w:tcBorders>
          </w:tcPr>
          <w:p w14:paraId="1E754C9B" w14:textId="77777777" w:rsidR="00C7198A" w:rsidRDefault="00C7198A">
            <w:pPr>
              <w:cnfStyle w:val="000000000000" w:firstRow="0" w:lastRow="0" w:firstColumn="0" w:lastColumn="0" w:oddVBand="0" w:evenVBand="0" w:oddHBand="0" w:evenHBand="0" w:firstRowFirstColumn="0" w:firstRowLastColumn="0" w:lastRowFirstColumn="0" w:lastRowLastColumn="0"/>
            </w:pPr>
            <w:r>
              <w:t>tbc</w:t>
            </w:r>
          </w:p>
        </w:tc>
        <w:tc>
          <w:tcPr>
            <w:tcW w:w="794" w:type="dxa"/>
            <w:tcBorders>
              <w:bottom w:val="single" w:sz="6" w:space="0" w:color="auto"/>
            </w:tcBorders>
          </w:tcPr>
          <w:p w14:paraId="150886A4" w14:textId="77777777" w:rsidR="00C7198A" w:rsidRDefault="00C7198A">
            <w:pPr>
              <w:cnfStyle w:val="000000000000" w:firstRow="0" w:lastRow="0" w:firstColumn="0" w:lastColumn="0" w:oddVBand="0" w:evenVBand="0" w:oddHBand="0" w:evenHBand="0" w:firstRowFirstColumn="0" w:firstRowLastColumn="0" w:lastRowFirstColumn="0" w:lastRowLastColumn="0"/>
            </w:pPr>
            <w:r>
              <w:t>tbc</w:t>
            </w:r>
          </w:p>
        </w:tc>
        <w:tc>
          <w:tcPr>
            <w:tcW w:w="794" w:type="dxa"/>
            <w:tcBorders>
              <w:bottom w:val="single" w:sz="6" w:space="0" w:color="auto"/>
            </w:tcBorders>
          </w:tcPr>
          <w:p w14:paraId="0321FB21" w14:textId="77777777" w:rsidR="00C7198A" w:rsidRDefault="00C7198A">
            <w:pPr>
              <w:cnfStyle w:val="000000000000" w:firstRow="0" w:lastRow="0" w:firstColumn="0" w:lastColumn="0" w:oddVBand="0" w:evenVBand="0" w:oddHBand="0" w:evenHBand="0" w:firstRowFirstColumn="0" w:firstRowLastColumn="0" w:lastRowFirstColumn="0" w:lastRowLastColumn="0"/>
            </w:pPr>
            <w:r>
              <w:t>tbc</w:t>
            </w:r>
          </w:p>
        </w:tc>
        <w:tc>
          <w:tcPr>
            <w:tcW w:w="794" w:type="dxa"/>
            <w:tcBorders>
              <w:bottom w:val="single" w:sz="6" w:space="0" w:color="auto"/>
            </w:tcBorders>
          </w:tcPr>
          <w:p w14:paraId="49ABC148" w14:textId="77777777" w:rsidR="00C7198A" w:rsidRDefault="00C7198A">
            <w:pPr>
              <w:cnfStyle w:val="000000000000" w:firstRow="0" w:lastRow="0" w:firstColumn="0" w:lastColumn="0" w:oddVBand="0" w:evenVBand="0" w:oddHBand="0" w:evenHBand="0" w:firstRowFirstColumn="0" w:firstRowLastColumn="0" w:lastRowFirstColumn="0" w:lastRowLastColumn="0"/>
            </w:pPr>
            <w:r>
              <w:t>tbc</w:t>
            </w:r>
          </w:p>
        </w:tc>
        <w:tc>
          <w:tcPr>
            <w:tcW w:w="794" w:type="dxa"/>
            <w:tcBorders>
              <w:bottom w:val="single" w:sz="6" w:space="0" w:color="auto"/>
            </w:tcBorders>
          </w:tcPr>
          <w:p w14:paraId="5D22CC03" w14:textId="77777777" w:rsidR="00C7198A" w:rsidRDefault="00C7198A">
            <w:pPr>
              <w:cnfStyle w:val="000000000000" w:firstRow="0" w:lastRow="0" w:firstColumn="0" w:lastColumn="0" w:oddVBand="0" w:evenVBand="0" w:oddHBand="0" w:evenHBand="0" w:firstRowFirstColumn="0" w:firstRowLastColumn="0" w:lastRowFirstColumn="0" w:lastRowLastColumn="0"/>
            </w:pPr>
            <w:r>
              <w:t>6522.1</w:t>
            </w:r>
          </w:p>
        </w:tc>
      </w:tr>
      <w:tr w:rsidR="00C7198A" w14:paraId="4D5D094D" w14:textId="77777777" w:rsidTr="00F82442">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6DBC9E50" w14:textId="77777777" w:rsidR="00C7198A" w:rsidRDefault="00C7198A">
            <w:r>
              <w:rPr>
                <w:b/>
              </w:rPr>
              <w:t xml:space="preserve">Total asset initiatives </w:t>
            </w:r>
            <w:r>
              <w:rPr>
                <w:b/>
                <w:vertAlign w:val="superscript"/>
              </w:rPr>
              <w:t>(e)</w:t>
            </w:r>
          </w:p>
        </w:tc>
        <w:tc>
          <w:tcPr>
            <w:tcW w:w="794" w:type="dxa"/>
            <w:tcBorders>
              <w:top w:val="single" w:sz="6" w:space="0" w:color="auto"/>
              <w:bottom w:val="single" w:sz="12" w:space="0" w:color="auto"/>
            </w:tcBorders>
          </w:tcPr>
          <w:p w14:paraId="781242D1" w14:textId="77777777" w:rsidR="00C7198A" w:rsidRDefault="00C7198A">
            <w:pPr>
              <w:cnfStyle w:val="000000000000" w:firstRow="0" w:lastRow="0" w:firstColumn="0" w:lastColumn="0" w:oddVBand="0" w:evenVBand="0" w:oddHBand="0" w:evenHBand="0" w:firstRowFirstColumn="0" w:firstRowLastColumn="0" w:lastRowFirstColumn="0" w:lastRowLastColumn="0"/>
            </w:pPr>
            <w:r>
              <w:rPr>
                <w:b/>
              </w:rPr>
              <w:t>298.8</w:t>
            </w:r>
          </w:p>
        </w:tc>
        <w:tc>
          <w:tcPr>
            <w:tcW w:w="794" w:type="dxa"/>
            <w:tcBorders>
              <w:top w:val="single" w:sz="6" w:space="0" w:color="auto"/>
              <w:bottom w:val="single" w:sz="12" w:space="0" w:color="auto"/>
            </w:tcBorders>
          </w:tcPr>
          <w:p w14:paraId="6F9A5185" w14:textId="77777777" w:rsidR="00C7198A" w:rsidRDefault="00C7198A">
            <w:pPr>
              <w:cnfStyle w:val="000000000000" w:firstRow="0" w:lastRow="0" w:firstColumn="0" w:lastColumn="0" w:oddVBand="0" w:evenVBand="0" w:oddHBand="0" w:evenHBand="0" w:firstRowFirstColumn="0" w:firstRowLastColumn="0" w:lastRowFirstColumn="0" w:lastRowLastColumn="0"/>
            </w:pPr>
            <w:r>
              <w:rPr>
                <w:b/>
              </w:rPr>
              <w:t>117.8</w:t>
            </w:r>
          </w:p>
        </w:tc>
        <w:tc>
          <w:tcPr>
            <w:tcW w:w="794" w:type="dxa"/>
            <w:tcBorders>
              <w:top w:val="single" w:sz="6" w:space="0" w:color="auto"/>
              <w:bottom w:val="single" w:sz="12" w:space="0" w:color="auto"/>
            </w:tcBorders>
          </w:tcPr>
          <w:p w14:paraId="0E36566D" w14:textId="77777777" w:rsidR="00C7198A" w:rsidRDefault="00C7198A">
            <w:pPr>
              <w:cnfStyle w:val="000000000000" w:firstRow="0" w:lastRow="0" w:firstColumn="0" w:lastColumn="0" w:oddVBand="0" w:evenVBand="0" w:oddHBand="0" w:evenHBand="0" w:firstRowFirstColumn="0" w:firstRowLastColumn="0" w:lastRowFirstColumn="0" w:lastRowLastColumn="0"/>
            </w:pPr>
            <w:r>
              <w:rPr>
                <w:b/>
              </w:rPr>
              <w:t>136.8</w:t>
            </w:r>
          </w:p>
        </w:tc>
        <w:tc>
          <w:tcPr>
            <w:tcW w:w="794" w:type="dxa"/>
            <w:tcBorders>
              <w:top w:val="single" w:sz="6" w:space="0" w:color="auto"/>
              <w:bottom w:val="single" w:sz="12" w:space="0" w:color="auto"/>
            </w:tcBorders>
          </w:tcPr>
          <w:p w14:paraId="559E57DB" w14:textId="77777777" w:rsidR="00C7198A" w:rsidRDefault="00C7198A">
            <w:pPr>
              <w:cnfStyle w:val="000000000000" w:firstRow="0" w:lastRow="0" w:firstColumn="0" w:lastColumn="0" w:oddVBand="0" w:evenVBand="0" w:oddHBand="0" w:evenHBand="0" w:firstRowFirstColumn="0" w:firstRowLastColumn="0" w:lastRowFirstColumn="0" w:lastRowLastColumn="0"/>
            </w:pPr>
            <w:r>
              <w:rPr>
                <w:b/>
              </w:rPr>
              <w:t>65.5</w:t>
            </w:r>
          </w:p>
        </w:tc>
        <w:tc>
          <w:tcPr>
            <w:tcW w:w="794" w:type="dxa"/>
            <w:tcBorders>
              <w:top w:val="single" w:sz="6" w:space="0" w:color="auto"/>
              <w:bottom w:val="single" w:sz="12" w:space="0" w:color="auto"/>
            </w:tcBorders>
          </w:tcPr>
          <w:p w14:paraId="369D589B" w14:textId="382AFB00" w:rsidR="00C7198A" w:rsidRDefault="00C7198A">
            <w:pPr>
              <w:cnfStyle w:val="000000000000" w:firstRow="0" w:lastRow="0" w:firstColumn="0" w:lastColumn="0" w:oddVBand="0" w:evenVBand="0" w:oddHBand="0" w:evenHBand="0" w:firstRowFirstColumn="0" w:firstRowLastColumn="0" w:lastRowFirstColumn="0" w:lastRowLastColumn="0"/>
            </w:pPr>
            <w:r>
              <w:rPr>
                <w:b/>
              </w:rPr>
              <w:t>7118.9</w:t>
            </w:r>
          </w:p>
        </w:tc>
      </w:tr>
    </w:tbl>
    <w:p w14:paraId="053AA465" w14:textId="77777777" w:rsidR="00C7198A" w:rsidRDefault="00C7198A" w:rsidP="007F7047">
      <w:pPr>
        <w:pStyle w:val="Note"/>
      </w:pPr>
      <w:r>
        <w:t xml:space="preserve">Notes: </w:t>
      </w:r>
    </w:p>
    <w:p w14:paraId="35C16CDE" w14:textId="77777777" w:rsidR="00C7198A" w:rsidRDefault="00C7198A" w:rsidP="00AF054F">
      <w:pPr>
        <w:pStyle w:val="Note"/>
      </w:pPr>
      <w:r>
        <w:t>(a)</w:t>
      </w:r>
      <w:r>
        <w:tab/>
        <w:t>The TEI includes funding beyond 2025-26. The TEI includes $56.9 million in Commonwealth Government funding.</w:t>
      </w:r>
    </w:p>
    <w:p w14:paraId="587A40A3" w14:textId="77777777" w:rsidR="00C7198A" w:rsidRDefault="00C7198A" w:rsidP="00F33390">
      <w:pPr>
        <w:pStyle w:val="Note"/>
      </w:pPr>
      <w:r>
        <w:t>(b)</w:t>
      </w:r>
      <w:r>
        <w:tab/>
        <w:t>The Government has committed $12.6 million for initial detailed design, planning and early works. The TEI and estimated completion date will be disclosed following funding consideration of future works packages.</w:t>
      </w:r>
    </w:p>
    <w:p w14:paraId="650E8BB3" w14:textId="77777777" w:rsidR="00C7198A" w:rsidRDefault="00C7198A" w:rsidP="00AF054F">
      <w:pPr>
        <w:pStyle w:val="Note"/>
      </w:pPr>
      <w:r>
        <w:t>(c)</w:t>
      </w:r>
      <w:r>
        <w:tab/>
        <w:t>The Government has committed $10.2 million for design and development work. The TEI and estimated completion date will be disclosed following funding consideration of future works packages.</w:t>
      </w:r>
    </w:p>
    <w:p w14:paraId="7A122DBD" w14:textId="77777777" w:rsidR="00C7198A" w:rsidRDefault="00C7198A" w:rsidP="00AF054F">
      <w:pPr>
        <w:pStyle w:val="Note"/>
      </w:pPr>
      <w:r>
        <w:t>(d)</w:t>
      </w:r>
      <w:r>
        <w:tab/>
        <w:t>Cashflows to be confirmed following confirmation of final designs and the delivery profile of the program.</w:t>
      </w:r>
    </w:p>
    <w:p w14:paraId="26719217" w14:textId="77777777" w:rsidR="00C7198A" w:rsidRDefault="00C7198A" w:rsidP="00AF054F">
      <w:pPr>
        <w:pStyle w:val="Note"/>
      </w:pPr>
      <w:r>
        <w:t>(e)</w:t>
      </w:r>
      <w:r>
        <w:tab/>
        <w:t xml:space="preserve">Table may not add due to rounding. </w:t>
      </w:r>
      <w:r w:rsidRPr="000A1147">
        <w:t>Totals exclude estimated expenditure for initiatives with a ‘tbc’</w:t>
      </w:r>
      <w:r>
        <w:t xml:space="preserve">. </w:t>
      </w:r>
    </w:p>
    <w:p w14:paraId="6750EF2D" w14:textId="77777777" w:rsidR="0062428F" w:rsidRDefault="0062428F" w:rsidP="0062428F"/>
    <w:p w14:paraId="6DFE3B84" w14:textId="57B21EB5" w:rsidR="00C7198A" w:rsidRDefault="00C7198A" w:rsidP="00AF054F">
      <w:pPr>
        <w:pStyle w:val="Heading4"/>
      </w:pPr>
      <w:r>
        <w:t>Road Operations</w:t>
      </w:r>
    </w:p>
    <w:p w14:paraId="4D3E3BE0" w14:textId="77777777" w:rsidR="00C7198A" w:rsidRDefault="00C7198A" w:rsidP="00AF054F">
      <w:pPr>
        <w:pStyle w:val="Heading5"/>
      </w:pPr>
      <w:r>
        <w:t xml:space="preserve">Ison Road </w:t>
      </w:r>
      <w:r>
        <w:rPr>
          <w:rFonts w:ascii="Segoe UI" w:hAnsi="Segoe UI" w:cs="Segoe UI"/>
          <w:color w:val="000000"/>
          <w:sz w:val="20"/>
          <w:szCs w:val="20"/>
        </w:rPr>
        <w:t>–</w:t>
      </w:r>
      <w:r>
        <w:t xml:space="preserve"> Rail Overpass</w:t>
      </w:r>
    </w:p>
    <w:p w14:paraId="678BE334" w14:textId="77777777" w:rsidR="00C7198A" w:rsidRDefault="00C7198A" w:rsidP="00AF054F">
      <w:r>
        <w:t>Funding is provided for the construction of a bridge over the Geelong-Melbourne rail line to connect Ison Road through Wyndham West to the Princes Freeway corridor. Once completed, this will allow for direct travel between developing residential areas in Melbourne’s west and employment and education precincts. This initiative is supported by co-funding from the Commonwealth Government.</w:t>
      </w:r>
    </w:p>
    <w:p w14:paraId="7C983221" w14:textId="77777777" w:rsidR="00C7198A" w:rsidRDefault="00C7198A" w:rsidP="00AF054F">
      <w:r>
        <w:t>This initiative contributes to the Department of Transport’s Road Operations output.</w:t>
      </w:r>
    </w:p>
    <w:p w14:paraId="75C81FEF" w14:textId="77777777" w:rsidR="00C7198A" w:rsidRDefault="00C7198A" w:rsidP="00AF054F">
      <w:pPr>
        <w:pStyle w:val="Heading4"/>
      </w:pPr>
      <w:r>
        <w:t>Transport Infrastructure</w:t>
      </w:r>
    </w:p>
    <w:p w14:paraId="197E0F15" w14:textId="77777777" w:rsidR="00C7198A" w:rsidRDefault="00C7198A" w:rsidP="00253AF8">
      <w:pPr>
        <w:pStyle w:val="Heading5"/>
      </w:pPr>
      <w:bookmarkStart w:id="143" w:name="_Hlk116050664"/>
      <w:r>
        <w:t>Albion station upgrade</w:t>
      </w:r>
    </w:p>
    <w:bookmarkEnd w:id="143"/>
    <w:p w14:paraId="14156AD4" w14:textId="77777777" w:rsidR="00C7198A" w:rsidRDefault="00C7198A" w:rsidP="00AF054F">
      <w:r>
        <w:t>Funding is provided to undertake detailed design, planning and delivery of works to upgrade Albion station. The upgrade is expected to support compliance with the Disability Standard for Accessible Public Transport and improve the station’s amenity for commuters.</w:t>
      </w:r>
    </w:p>
    <w:p w14:paraId="14B00476" w14:textId="6917ACAD" w:rsidR="00C7198A" w:rsidRDefault="00C7198A" w:rsidP="00AF054F">
      <w:r>
        <w:t>This initiative contributes to the Department of Transport’s:</w:t>
      </w:r>
    </w:p>
    <w:p w14:paraId="3FA7D43F" w14:textId="77777777" w:rsidR="00C7198A" w:rsidRDefault="00C7198A" w:rsidP="00AF054F">
      <w:pPr>
        <w:pStyle w:val="ListBullet"/>
      </w:pPr>
      <w:r>
        <w:t>Train Services – Metropolitan output</w:t>
      </w:r>
    </w:p>
    <w:p w14:paraId="24864344" w14:textId="77777777" w:rsidR="00C7198A" w:rsidRDefault="00C7198A" w:rsidP="00AF054F">
      <w:pPr>
        <w:pStyle w:val="ListBullet"/>
      </w:pPr>
      <w:r>
        <w:t>Transport Infrastructure output.</w:t>
      </w:r>
    </w:p>
    <w:p w14:paraId="4DCF3B07" w14:textId="77777777" w:rsidR="00C7198A" w:rsidRPr="00253AF8" w:rsidRDefault="00C7198A" w:rsidP="00253AF8">
      <w:pPr>
        <w:pStyle w:val="Heading5"/>
      </w:pPr>
      <w:r w:rsidRPr="00253AF8">
        <w:lastRenderedPageBreak/>
        <w:t xml:space="preserve">Ballarat station upgrade </w:t>
      </w:r>
    </w:p>
    <w:p w14:paraId="221865A5" w14:textId="77777777" w:rsidR="00C7198A" w:rsidRDefault="00C7198A" w:rsidP="00AF054F">
      <w:r>
        <w:t xml:space="preserve">Funding is provided for accessibility, safety and amenity upgrades at Ballarat station.  </w:t>
      </w:r>
    </w:p>
    <w:p w14:paraId="1D002636" w14:textId="77777777" w:rsidR="00C7198A" w:rsidRDefault="00C7198A" w:rsidP="00AF054F">
      <w:r>
        <w:t xml:space="preserve">This initiative contributes to the Department of Transport’s: </w:t>
      </w:r>
    </w:p>
    <w:p w14:paraId="29C6B318" w14:textId="77777777" w:rsidR="00C7198A" w:rsidRDefault="00C7198A" w:rsidP="004B1321">
      <w:pPr>
        <w:pStyle w:val="ListBullet"/>
        <w:spacing w:before="40"/>
      </w:pPr>
      <w:r>
        <w:t>Train Services - Regional output</w:t>
      </w:r>
    </w:p>
    <w:p w14:paraId="46D17284" w14:textId="77777777" w:rsidR="00C7198A" w:rsidRDefault="00C7198A" w:rsidP="004B1321">
      <w:pPr>
        <w:pStyle w:val="ListBullet"/>
        <w:spacing w:before="40"/>
      </w:pPr>
      <w:r>
        <w:t>Transport Infrastructure output.</w:t>
      </w:r>
    </w:p>
    <w:p w14:paraId="6C2300C6" w14:textId="77777777" w:rsidR="00C7198A" w:rsidRPr="00253AF8" w:rsidRDefault="00C7198A" w:rsidP="00253AF8">
      <w:pPr>
        <w:pStyle w:val="Heading5"/>
      </w:pPr>
      <w:r w:rsidRPr="00253AF8">
        <w:t>COVID-19 impacts on major projects</w:t>
      </w:r>
    </w:p>
    <w:p w14:paraId="15E1AF6F" w14:textId="4470C0B3" w:rsidR="00C7198A" w:rsidRDefault="00C7198A" w:rsidP="00AF054F">
      <w:r>
        <w:t>Funding is provided for the Metro Tunnel Project following the impacts of COVID-19 for the period until 30 June 2022. The project has experienced financial impacts as a result of COVID-19, including additional site costs for the resequencing of work</w:t>
      </w:r>
      <w:r w:rsidR="00E91D91">
        <w:t>.</w:t>
      </w:r>
    </w:p>
    <w:p w14:paraId="0E13E069" w14:textId="77777777" w:rsidR="00C7198A" w:rsidRDefault="00C7198A" w:rsidP="00AF054F">
      <w:r>
        <w:t>This initiative contributes to the Department of Transport’s:</w:t>
      </w:r>
    </w:p>
    <w:p w14:paraId="2B94E0A1" w14:textId="77777777" w:rsidR="00C7198A" w:rsidRDefault="00C7198A" w:rsidP="00B033E0">
      <w:pPr>
        <w:pStyle w:val="ListBullet"/>
        <w:spacing w:before="40"/>
      </w:pPr>
      <w:r>
        <w:t>Train Services – Metropolitan output</w:t>
      </w:r>
    </w:p>
    <w:p w14:paraId="097A5B15" w14:textId="77777777" w:rsidR="00C7198A" w:rsidRDefault="00C7198A" w:rsidP="00B033E0">
      <w:pPr>
        <w:pStyle w:val="ListBullet"/>
        <w:spacing w:before="40"/>
      </w:pPr>
      <w:r>
        <w:t>Transport Infrastructure output.</w:t>
      </w:r>
    </w:p>
    <w:p w14:paraId="3604D8E5" w14:textId="77777777" w:rsidR="00C7198A" w:rsidRPr="00253AF8" w:rsidRDefault="00C7198A" w:rsidP="00253AF8">
      <w:pPr>
        <w:pStyle w:val="Heading5"/>
      </w:pPr>
      <w:r w:rsidRPr="00253AF8">
        <w:t>Kananook stage 2</w:t>
      </w:r>
    </w:p>
    <w:p w14:paraId="73019FBB" w14:textId="77777777" w:rsidR="00C7198A" w:rsidRDefault="00C7198A" w:rsidP="00AF054F">
      <w:r w:rsidRPr="00AF054F">
        <w:t xml:space="preserve">Funding is provided to undertake initial detailed design, planning and early works to deliver additional stabling and </w:t>
      </w:r>
      <w:r>
        <w:t>related infrastructure</w:t>
      </w:r>
      <w:r w:rsidRPr="00AF054F">
        <w:t xml:space="preserve"> to support service capacity and resilience across the metropolitan network</w:t>
      </w:r>
      <w:r>
        <w:t>.</w:t>
      </w:r>
    </w:p>
    <w:p w14:paraId="2059C145" w14:textId="77777777" w:rsidR="00C7198A" w:rsidRDefault="00C7198A" w:rsidP="00AF054F">
      <w:pPr>
        <w:pStyle w:val="ListBullet"/>
        <w:numPr>
          <w:ilvl w:val="0"/>
          <w:numId w:val="0"/>
        </w:numPr>
      </w:pPr>
      <w:r>
        <w:t>This initiative contributes to the Department of Transport’s:</w:t>
      </w:r>
    </w:p>
    <w:p w14:paraId="2E58431E" w14:textId="77777777" w:rsidR="00C7198A" w:rsidRDefault="00C7198A" w:rsidP="004B1321">
      <w:pPr>
        <w:pStyle w:val="ListBullet"/>
        <w:spacing w:before="40"/>
      </w:pPr>
      <w:r>
        <w:t>Train Services – Metropolitan output</w:t>
      </w:r>
    </w:p>
    <w:p w14:paraId="0B13A194" w14:textId="77777777" w:rsidR="00C7198A" w:rsidRDefault="00C7198A" w:rsidP="004B1321">
      <w:pPr>
        <w:pStyle w:val="ListBullet"/>
        <w:spacing w:before="40"/>
      </w:pPr>
      <w:r>
        <w:t>Transport Infrastructure output.</w:t>
      </w:r>
    </w:p>
    <w:p w14:paraId="0B2A6FC7" w14:textId="77777777" w:rsidR="00C7198A" w:rsidRPr="00253AF8" w:rsidRDefault="00C7198A" w:rsidP="00253AF8">
      <w:pPr>
        <w:pStyle w:val="Heading5"/>
      </w:pPr>
      <w:r w:rsidRPr="00253AF8">
        <w:t>New Tarneit railway station</w:t>
      </w:r>
    </w:p>
    <w:p w14:paraId="760EE3EE" w14:textId="44DE9ED9" w:rsidR="00C7198A" w:rsidRDefault="00C7198A" w:rsidP="00AF054F">
      <w:r>
        <w:t>Funding is provided to construct a new train station at Davis Road, Tarneit. Funding is also provided to commence planning for additional station</w:t>
      </w:r>
      <w:r w:rsidR="00A93A47">
        <w:t xml:space="preserve">s including </w:t>
      </w:r>
      <w:r>
        <w:t>at Doherty</w:t>
      </w:r>
      <w:r w:rsidR="00EC5703">
        <w:t>s</w:t>
      </w:r>
      <w:r>
        <w:t xml:space="preserve"> Road, Truganina. This initiative will service growing demand in Melbourne’s west.</w:t>
      </w:r>
    </w:p>
    <w:p w14:paraId="344B1BF8" w14:textId="77777777" w:rsidR="00C7198A" w:rsidRDefault="00C7198A" w:rsidP="00AF054F">
      <w:r>
        <w:t xml:space="preserve">This initiative contributes to the Department of Transport’s: </w:t>
      </w:r>
    </w:p>
    <w:p w14:paraId="407CD255" w14:textId="77777777" w:rsidR="00C7198A" w:rsidRDefault="00C7198A" w:rsidP="004B1321">
      <w:pPr>
        <w:pStyle w:val="ListBullet"/>
        <w:spacing w:before="40"/>
      </w:pPr>
      <w:r>
        <w:t>Train Services – Regional output</w:t>
      </w:r>
    </w:p>
    <w:p w14:paraId="0F9DED89" w14:textId="77777777" w:rsidR="00C7198A" w:rsidRDefault="00C7198A" w:rsidP="004B1321">
      <w:pPr>
        <w:pStyle w:val="ListBullet"/>
        <w:spacing w:before="40"/>
      </w:pPr>
      <w:r>
        <w:t>Transport Infrastructure output.</w:t>
      </w:r>
    </w:p>
    <w:p w14:paraId="38AE4E67" w14:textId="77777777" w:rsidR="00C7198A" w:rsidRPr="00253AF8" w:rsidRDefault="00C7198A" w:rsidP="00253AF8">
      <w:pPr>
        <w:pStyle w:val="Heading5"/>
      </w:pPr>
      <w:r w:rsidRPr="00253AF8">
        <w:t>South Dynon train maintenance facility stage 2 development</w:t>
      </w:r>
    </w:p>
    <w:p w14:paraId="120290A6" w14:textId="77777777" w:rsidR="00C7198A" w:rsidRDefault="00C7198A" w:rsidP="00AF054F">
      <w:r>
        <w:t>Funding is provided to undertake design and development work to further upgrade the South Dynon train maintenance facility to support additional maintenance capacity for the regional VLocity fleet.</w:t>
      </w:r>
    </w:p>
    <w:p w14:paraId="0773F1DF" w14:textId="77777777" w:rsidR="00C7198A" w:rsidRDefault="00C7198A" w:rsidP="00AF054F">
      <w:pPr>
        <w:pStyle w:val="ListBullet"/>
        <w:numPr>
          <w:ilvl w:val="0"/>
          <w:numId w:val="0"/>
        </w:numPr>
      </w:pPr>
      <w:r>
        <w:t>This initiative contributes to the Department of Transport’s:</w:t>
      </w:r>
    </w:p>
    <w:p w14:paraId="0612A905" w14:textId="77777777" w:rsidR="00C7198A" w:rsidRDefault="00C7198A" w:rsidP="004B1321">
      <w:pPr>
        <w:pStyle w:val="ListBullet"/>
        <w:spacing w:before="40"/>
      </w:pPr>
      <w:r>
        <w:t>Train Services – Regional output</w:t>
      </w:r>
    </w:p>
    <w:p w14:paraId="14EAD05A" w14:textId="77777777" w:rsidR="00C7198A" w:rsidRDefault="00C7198A" w:rsidP="004B1321">
      <w:pPr>
        <w:pStyle w:val="ListBullet"/>
        <w:spacing w:before="40"/>
      </w:pPr>
      <w:r>
        <w:t>Transport Infrastructure output.</w:t>
      </w:r>
    </w:p>
    <w:p w14:paraId="0F47D4A1" w14:textId="77777777" w:rsidR="00C7198A" w:rsidRDefault="00C7198A" w:rsidP="00253AF8">
      <w:pPr>
        <w:pStyle w:val="Heading5"/>
      </w:pPr>
      <w:r>
        <w:lastRenderedPageBreak/>
        <w:t>Twenty-five more level crossing removals by 2030</w:t>
      </w:r>
    </w:p>
    <w:p w14:paraId="51B4E659" w14:textId="77777777" w:rsidR="00C7198A" w:rsidRDefault="00C7198A" w:rsidP="009402B0">
      <w:r w:rsidRPr="00AF054F">
        <w:t xml:space="preserve">A program of </w:t>
      </w:r>
      <w:r>
        <w:t>25</w:t>
      </w:r>
      <w:r w:rsidRPr="00AF054F">
        <w:t xml:space="preserve"> additional level crossing removals will build upon the Government’s existing commitment to remove 85 dangerous and congested level crossings in Victoria. These additional level crossing removals will improve travel time, enhance safety and create more accessible communities</w:t>
      </w:r>
      <w:r>
        <w:t>.</w:t>
      </w:r>
    </w:p>
    <w:p w14:paraId="23F5D793" w14:textId="77777777" w:rsidR="00C7198A" w:rsidRDefault="00C7198A" w:rsidP="00AF054F">
      <w:pPr>
        <w:pStyle w:val="ListBullet"/>
        <w:numPr>
          <w:ilvl w:val="0"/>
          <w:numId w:val="0"/>
        </w:numPr>
      </w:pPr>
      <w:r>
        <w:t>This initiative contributes to the Department of Transport’s:</w:t>
      </w:r>
    </w:p>
    <w:p w14:paraId="295BE3D1" w14:textId="77777777" w:rsidR="00C7198A" w:rsidRDefault="00C7198A" w:rsidP="004B1321">
      <w:pPr>
        <w:pStyle w:val="ListBullet"/>
        <w:spacing w:before="40"/>
      </w:pPr>
      <w:r>
        <w:t>Road Operations output</w:t>
      </w:r>
    </w:p>
    <w:p w14:paraId="453F925B" w14:textId="77777777" w:rsidR="00C7198A" w:rsidRDefault="00C7198A" w:rsidP="004B1321">
      <w:pPr>
        <w:pStyle w:val="ListBullet"/>
        <w:spacing w:before="40"/>
      </w:pPr>
      <w:r>
        <w:t>Train Services – Metropolitan output</w:t>
      </w:r>
    </w:p>
    <w:p w14:paraId="32DE8733" w14:textId="77777777" w:rsidR="00C7198A" w:rsidRPr="007F7047" w:rsidRDefault="00C7198A" w:rsidP="004B1321">
      <w:pPr>
        <w:pStyle w:val="ListBullet"/>
        <w:spacing w:before="40"/>
      </w:pPr>
      <w:r>
        <w:t>Transport Infrastructure output.</w:t>
      </w:r>
    </w:p>
    <w:p w14:paraId="6B92FE16" w14:textId="77777777" w:rsidR="00C7198A" w:rsidRDefault="00C7198A" w:rsidP="0062428F">
      <w:pPr>
        <w:pStyle w:val="Heading10"/>
        <w:pageBreakBefore/>
      </w:pPr>
      <w:bookmarkStart w:id="144" w:name="_Toc71814119"/>
      <w:bookmarkStart w:id="145" w:name="_Toc117586266"/>
      <w:r>
        <w:lastRenderedPageBreak/>
        <w:t>Department of Treasury and Finance</w:t>
      </w:r>
      <w:bookmarkEnd w:id="144"/>
      <w:bookmarkEnd w:id="145"/>
    </w:p>
    <w:p w14:paraId="012A92B9" w14:textId="77777777" w:rsidR="00C7198A" w:rsidRDefault="00C7198A" w:rsidP="00227C67">
      <w:pPr>
        <w:pStyle w:val="Heading20"/>
      </w:pPr>
      <w:r>
        <w:t>Output initiatives</w:t>
      </w:r>
    </w:p>
    <w:p w14:paraId="594B7914" w14:textId="5CACF0B2" w:rsidR="00C7198A" w:rsidRDefault="00C7198A" w:rsidP="00E844A2">
      <w:pPr>
        <w:pStyle w:val="TableHeading"/>
      </w:pPr>
      <w:r>
        <w:t>Table A.1</w:t>
      </w:r>
      <w:r w:rsidR="00993A31">
        <w:t>5</w:t>
      </w:r>
      <w:r>
        <w:t>:</w:t>
      </w:r>
      <w:r>
        <w:tab/>
        <w:t>Output initiatives – Department of Treasury and Finance</w:t>
      </w:r>
      <w:r>
        <w:tab/>
        <w:t>($ million)</w:t>
      </w:r>
    </w:p>
    <w:tbl>
      <w:tblPr>
        <w:tblStyle w:val="DTFTableNumeric"/>
        <w:tblW w:w="7710" w:type="dxa"/>
        <w:tblLayout w:type="fixed"/>
        <w:tblLook w:val="06A0" w:firstRow="1" w:lastRow="0" w:firstColumn="1" w:lastColumn="0" w:noHBand="1" w:noVBand="1"/>
      </w:tblPr>
      <w:tblGrid>
        <w:gridCol w:w="4534"/>
        <w:gridCol w:w="794"/>
        <w:gridCol w:w="794"/>
        <w:gridCol w:w="794"/>
        <w:gridCol w:w="794"/>
      </w:tblGrid>
      <w:tr w:rsidR="00C7198A" w14:paraId="2A438BBC" w14:textId="77777777" w:rsidTr="007870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4" w:type="dxa"/>
          </w:tcPr>
          <w:p w14:paraId="3F70E51C" w14:textId="56CBE627" w:rsidR="00C7198A" w:rsidRDefault="00C7198A"/>
        </w:tc>
        <w:tc>
          <w:tcPr>
            <w:tcW w:w="794" w:type="dxa"/>
          </w:tcPr>
          <w:p w14:paraId="6912373D" w14:textId="77777777" w:rsidR="00C7198A" w:rsidRDefault="00C7198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7ADE17B7" w14:textId="77777777" w:rsidR="00C7198A" w:rsidRDefault="00C7198A">
            <w:pPr>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3540D1A6" w14:textId="77777777" w:rsidR="00C7198A" w:rsidRDefault="00C7198A">
            <w:pPr>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12B7A50C" w14:textId="77777777" w:rsidR="00C7198A" w:rsidRDefault="00C7198A">
            <w:pPr>
              <w:cnfStyle w:val="100000000000" w:firstRow="1" w:lastRow="0" w:firstColumn="0" w:lastColumn="0" w:oddVBand="0" w:evenVBand="0" w:oddHBand="0" w:evenHBand="0" w:firstRowFirstColumn="0" w:firstRowLastColumn="0" w:lastRowFirstColumn="0" w:lastRowLastColumn="0"/>
            </w:pPr>
            <w:r>
              <w:t>2025</w:t>
            </w:r>
            <w:r>
              <w:noBreakHyphen/>
              <w:t>26</w:t>
            </w:r>
          </w:p>
        </w:tc>
      </w:tr>
      <w:tr w:rsidR="00C7198A" w14:paraId="595E7B99" w14:textId="77777777">
        <w:tc>
          <w:tcPr>
            <w:cnfStyle w:val="001000000000" w:firstRow="0" w:lastRow="0" w:firstColumn="1" w:lastColumn="0" w:oddVBand="0" w:evenVBand="0" w:oddHBand="0" w:evenHBand="0" w:firstRowFirstColumn="0" w:firstRowLastColumn="0" w:lastRowFirstColumn="0" w:lastRowLastColumn="0"/>
            <w:tcW w:w="4534" w:type="dxa"/>
          </w:tcPr>
          <w:p w14:paraId="7C5484FC" w14:textId="77777777" w:rsidR="00C7198A" w:rsidRDefault="00C7198A">
            <w:r>
              <w:rPr>
                <w:b/>
              </w:rPr>
              <w:t>Budget and Financial Advice</w:t>
            </w:r>
          </w:p>
        </w:tc>
        <w:tc>
          <w:tcPr>
            <w:tcW w:w="794" w:type="dxa"/>
          </w:tcPr>
          <w:p w14:paraId="517EA1A5"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020C1894"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25178CE1"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1384668A"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r>
      <w:tr w:rsidR="00C7198A" w14:paraId="59BEC731" w14:textId="77777777">
        <w:tc>
          <w:tcPr>
            <w:cnfStyle w:val="001000000000" w:firstRow="0" w:lastRow="0" w:firstColumn="1" w:lastColumn="0" w:oddVBand="0" w:evenVBand="0" w:oddHBand="0" w:evenHBand="0" w:firstRowFirstColumn="0" w:firstRowLastColumn="0" w:lastRowFirstColumn="0" w:lastRowLastColumn="0"/>
            <w:tcW w:w="4534" w:type="dxa"/>
          </w:tcPr>
          <w:p w14:paraId="18B870A8" w14:textId="77777777" w:rsidR="00C7198A" w:rsidRDefault="00C7198A">
            <w:r>
              <w:t>Commonwealth Games</w:t>
            </w:r>
          </w:p>
        </w:tc>
        <w:tc>
          <w:tcPr>
            <w:tcW w:w="794" w:type="dxa"/>
          </w:tcPr>
          <w:p w14:paraId="76C688DC" w14:textId="77777777" w:rsidR="00C7198A" w:rsidRDefault="00C7198A">
            <w:pPr>
              <w:cnfStyle w:val="000000000000" w:firstRow="0" w:lastRow="0" w:firstColumn="0" w:lastColumn="0" w:oddVBand="0" w:evenVBand="0" w:oddHBand="0" w:evenHBand="0" w:firstRowFirstColumn="0" w:firstRowLastColumn="0" w:lastRowFirstColumn="0" w:lastRowLastColumn="0"/>
            </w:pPr>
            <w:r>
              <w:t>1.0</w:t>
            </w:r>
          </w:p>
        </w:tc>
        <w:tc>
          <w:tcPr>
            <w:tcW w:w="794" w:type="dxa"/>
          </w:tcPr>
          <w:p w14:paraId="397D6A17"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1B5BCC19"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2BB1A975"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r>
      <w:tr w:rsidR="00C7198A" w14:paraId="2BFA7F88" w14:textId="77777777">
        <w:tc>
          <w:tcPr>
            <w:cnfStyle w:val="001000000000" w:firstRow="0" w:lastRow="0" w:firstColumn="1" w:lastColumn="0" w:oddVBand="0" w:evenVBand="0" w:oddHBand="0" w:evenHBand="0" w:firstRowFirstColumn="0" w:firstRowLastColumn="0" w:lastRowFirstColumn="0" w:lastRowLastColumn="0"/>
            <w:tcW w:w="4534" w:type="dxa"/>
          </w:tcPr>
          <w:p w14:paraId="06EC8CE7" w14:textId="77777777" w:rsidR="00C7198A" w:rsidRDefault="00C7198A">
            <w:r>
              <w:rPr>
                <w:b/>
              </w:rPr>
              <w:t>Commercial and Infrastructure Advice</w:t>
            </w:r>
          </w:p>
        </w:tc>
        <w:tc>
          <w:tcPr>
            <w:tcW w:w="794" w:type="dxa"/>
          </w:tcPr>
          <w:p w14:paraId="3BE63530"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09933FEB"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7107C6CD"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52629BA9"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r>
      <w:tr w:rsidR="00C7198A" w14:paraId="7EF6F0E6" w14:textId="77777777">
        <w:tc>
          <w:tcPr>
            <w:cnfStyle w:val="001000000000" w:firstRow="0" w:lastRow="0" w:firstColumn="1" w:lastColumn="0" w:oddVBand="0" w:evenVBand="0" w:oddHBand="0" w:evenHBand="0" w:firstRowFirstColumn="0" w:firstRowLastColumn="0" w:lastRowFirstColumn="0" w:lastRowLastColumn="0"/>
            <w:tcW w:w="4534" w:type="dxa"/>
          </w:tcPr>
          <w:p w14:paraId="43FB55C7" w14:textId="77777777" w:rsidR="00C7198A" w:rsidRDefault="00C7198A">
            <w:r>
              <w:t>Funding to support government priorities</w:t>
            </w:r>
          </w:p>
        </w:tc>
        <w:tc>
          <w:tcPr>
            <w:tcW w:w="794" w:type="dxa"/>
          </w:tcPr>
          <w:p w14:paraId="1C16972D" w14:textId="77777777" w:rsidR="00C7198A" w:rsidRDefault="00C7198A">
            <w:pPr>
              <w:cnfStyle w:val="000000000000" w:firstRow="0" w:lastRow="0" w:firstColumn="0" w:lastColumn="0" w:oddVBand="0" w:evenVBand="0" w:oddHBand="0" w:evenHBand="0" w:firstRowFirstColumn="0" w:firstRowLastColumn="0" w:lastRowFirstColumn="0" w:lastRowLastColumn="0"/>
            </w:pPr>
            <w:r>
              <w:t>0.6</w:t>
            </w:r>
          </w:p>
        </w:tc>
        <w:tc>
          <w:tcPr>
            <w:tcW w:w="794" w:type="dxa"/>
          </w:tcPr>
          <w:p w14:paraId="29B251B2"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38F4E3EB"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25D88870"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r>
      <w:tr w:rsidR="00C7198A" w14:paraId="68EB0A9A" w14:textId="77777777">
        <w:tc>
          <w:tcPr>
            <w:cnfStyle w:val="001000000000" w:firstRow="0" w:lastRow="0" w:firstColumn="1" w:lastColumn="0" w:oddVBand="0" w:evenVBand="0" w:oddHBand="0" w:evenHBand="0" w:firstRowFirstColumn="0" w:firstRowLastColumn="0" w:lastRowFirstColumn="0" w:lastRowLastColumn="0"/>
            <w:tcW w:w="4534" w:type="dxa"/>
          </w:tcPr>
          <w:p w14:paraId="62849AF1" w14:textId="77777777" w:rsidR="00C7198A" w:rsidRDefault="00C7198A">
            <w:r>
              <w:rPr>
                <w:b/>
              </w:rPr>
              <w:t>Economic and Policy Advice</w:t>
            </w:r>
          </w:p>
        </w:tc>
        <w:tc>
          <w:tcPr>
            <w:tcW w:w="794" w:type="dxa"/>
          </w:tcPr>
          <w:p w14:paraId="14390544"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6A8BC2E3"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0EC07FB8"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09F075FC"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r>
      <w:tr w:rsidR="00C7198A" w14:paraId="33824723" w14:textId="77777777">
        <w:tc>
          <w:tcPr>
            <w:cnfStyle w:val="001000000000" w:firstRow="0" w:lastRow="0" w:firstColumn="1" w:lastColumn="0" w:oddVBand="0" w:evenVBand="0" w:oddHBand="0" w:evenHBand="0" w:firstRowFirstColumn="0" w:firstRowLastColumn="0" w:lastRowFirstColumn="0" w:lastRowLastColumn="0"/>
            <w:tcW w:w="4534" w:type="dxa"/>
          </w:tcPr>
          <w:p w14:paraId="1C02AFC8" w14:textId="77777777" w:rsidR="00C7198A" w:rsidRDefault="00C7198A">
            <w:r>
              <w:t>Expanding the Victorian Homebuyer Fund</w:t>
            </w:r>
          </w:p>
        </w:tc>
        <w:tc>
          <w:tcPr>
            <w:tcW w:w="794" w:type="dxa"/>
          </w:tcPr>
          <w:p w14:paraId="2E1E4C78" w14:textId="77777777" w:rsidR="00C7198A" w:rsidRDefault="00C7198A">
            <w:pPr>
              <w:cnfStyle w:val="000000000000" w:firstRow="0" w:lastRow="0" w:firstColumn="0" w:lastColumn="0" w:oddVBand="0" w:evenVBand="0" w:oddHBand="0" w:evenHBand="0" w:firstRowFirstColumn="0" w:firstRowLastColumn="0" w:lastRowFirstColumn="0" w:lastRowLastColumn="0"/>
            </w:pPr>
            <w:r>
              <w:t>8.6</w:t>
            </w:r>
          </w:p>
        </w:tc>
        <w:tc>
          <w:tcPr>
            <w:tcW w:w="794" w:type="dxa"/>
          </w:tcPr>
          <w:p w14:paraId="5B687601" w14:textId="77777777" w:rsidR="00C7198A" w:rsidRDefault="00C7198A">
            <w:pPr>
              <w:cnfStyle w:val="000000000000" w:firstRow="0" w:lastRow="0" w:firstColumn="0" w:lastColumn="0" w:oddVBand="0" w:evenVBand="0" w:oddHBand="0" w:evenHBand="0" w:firstRowFirstColumn="0" w:firstRowLastColumn="0" w:lastRowFirstColumn="0" w:lastRowLastColumn="0"/>
            </w:pPr>
            <w:r>
              <w:t>5.1</w:t>
            </w:r>
          </w:p>
        </w:tc>
        <w:tc>
          <w:tcPr>
            <w:tcW w:w="794" w:type="dxa"/>
          </w:tcPr>
          <w:p w14:paraId="5183D91B" w14:textId="77777777" w:rsidR="00C7198A" w:rsidRDefault="00C7198A">
            <w:pPr>
              <w:cnfStyle w:val="000000000000" w:firstRow="0" w:lastRow="0" w:firstColumn="0" w:lastColumn="0" w:oddVBand="0" w:evenVBand="0" w:oddHBand="0" w:evenHBand="0" w:firstRowFirstColumn="0" w:firstRowLastColumn="0" w:lastRowFirstColumn="0" w:lastRowLastColumn="0"/>
            </w:pPr>
            <w:r>
              <w:t>4.1</w:t>
            </w:r>
          </w:p>
        </w:tc>
        <w:tc>
          <w:tcPr>
            <w:tcW w:w="794" w:type="dxa"/>
          </w:tcPr>
          <w:p w14:paraId="4A2CCB5B" w14:textId="77777777" w:rsidR="00C7198A" w:rsidRDefault="00C7198A">
            <w:pPr>
              <w:cnfStyle w:val="000000000000" w:firstRow="0" w:lastRow="0" w:firstColumn="0" w:lastColumn="0" w:oddVBand="0" w:evenVBand="0" w:oddHBand="0" w:evenHBand="0" w:firstRowFirstColumn="0" w:firstRowLastColumn="0" w:lastRowFirstColumn="0" w:lastRowLastColumn="0"/>
            </w:pPr>
            <w:r>
              <w:t>4.1</w:t>
            </w:r>
          </w:p>
        </w:tc>
      </w:tr>
      <w:tr w:rsidR="00C7198A" w14:paraId="08DC58E1" w14:textId="77777777">
        <w:tc>
          <w:tcPr>
            <w:cnfStyle w:val="001000000000" w:firstRow="0" w:lastRow="0" w:firstColumn="1" w:lastColumn="0" w:oddVBand="0" w:evenVBand="0" w:oddHBand="0" w:evenHBand="0" w:firstRowFirstColumn="0" w:firstRowLastColumn="0" w:lastRowFirstColumn="0" w:lastRowLastColumn="0"/>
            <w:tcW w:w="4534" w:type="dxa"/>
          </w:tcPr>
          <w:p w14:paraId="27EFE4D4" w14:textId="77777777" w:rsidR="00C7198A" w:rsidRDefault="00C7198A">
            <w:r>
              <w:rPr>
                <w:b/>
              </w:rPr>
              <w:t>Services to Government</w:t>
            </w:r>
          </w:p>
        </w:tc>
        <w:tc>
          <w:tcPr>
            <w:tcW w:w="794" w:type="dxa"/>
          </w:tcPr>
          <w:p w14:paraId="392A6E0F"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2BCD1582"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75BEF0D1"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392984E7"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r>
      <w:tr w:rsidR="00C7198A" w14:paraId="0C440745" w14:textId="77777777" w:rsidTr="0078703B">
        <w:tc>
          <w:tcPr>
            <w:cnfStyle w:val="001000000000" w:firstRow="0" w:lastRow="0" w:firstColumn="1" w:lastColumn="0" w:oddVBand="0" w:evenVBand="0" w:oddHBand="0" w:evenHBand="0" w:firstRowFirstColumn="0" w:firstRowLastColumn="0" w:lastRowFirstColumn="0" w:lastRowLastColumn="0"/>
            <w:tcW w:w="4534" w:type="dxa"/>
            <w:tcBorders>
              <w:bottom w:val="single" w:sz="6" w:space="0" w:color="auto"/>
            </w:tcBorders>
          </w:tcPr>
          <w:p w14:paraId="084A63BE" w14:textId="77777777" w:rsidR="00C7198A" w:rsidRDefault="00C7198A">
            <w:r>
              <w:t>Security Services State Purchase Contract variation</w:t>
            </w:r>
          </w:p>
        </w:tc>
        <w:tc>
          <w:tcPr>
            <w:tcW w:w="794" w:type="dxa"/>
            <w:tcBorders>
              <w:bottom w:val="single" w:sz="6" w:space="0" w:color="auto"/>
            </w:tcBorders>
          </w:tcPr>
          <w:p w14:paraId="28E125C0" w14:textId="77777777" w:rsidR="00C7198A" w:rsidRDefault="00C7198A">
            <w:pPr>
              <w:cnfStyle w:val="000000000000" w:firstRow="0" w:lastRow="0" w:firstColumn="0" w:lastColumn="0" w:oddVBand="0" w:evenVBand="0" w:oddHBand="0" w:evenHBand="0" w:firstRowFirstColumn="0" w:firstRowLastColumn="0" w:lastRowFirstColumn="0" w:lastRowLastColumn="0"/>
            </w:pPr>
            <w:r>
              <w:t>1.2</w:t>
            </w:r>
          </w:p>
        </w:tc>
        <w:tc>
          <w:tcPr>
            <w:tcW w:w="794" w:type="dxa"/>
            <w:tcBorders>
              <w:bottom w:val="single" w:sz="6" w:space="0" w:color="auto"/>
            </w:tcBorders>
          </w:tcPr>
          <w:p w14:paraId="6071F34A"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0E8F5519"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2BC0532F"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r>
      <w:tr w:rsidR="00C7198A" w14:paraId="5E3E9C4D" w14:textId="77777777" w:rsidTr="0078703B">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bottom w:val="single" w:sz="12" w:space="0" w:color="auto"/>
            </w:tcBorders>
          </w:tcPr>
          <w:p w14:paraId="28D7A9B3" w14:textId="77777777" w:rsidR="00C7198A" w:rsidRDefault="00C7198A">
            <w:r>
              <w:rPr>
                <w:b/>
              </w:rPr>
              <w:t xml:space="preserve">Total output initiatives </w:t>
            </w:r>
            <w:r>
              <w:rPr>
                <w:b/>
                <w:vertAlign w:val="superscript"/>
              </w:rPr>
              <w:t>(a)</w:t>
            </w:r>
          </w:p>
        </w:tc>
        <w:tc>
          <w:tcPr>
            <w:tcW w:w="794" w:type="dxa"/>
            <w:tcBorders>
              <w:top w:val="single" w:sz="6" w:space="0" w:color="auto"/>
              <w:bottom w:val="single" w:sz="12" w:space="0" w:color="auto"/>
            </w:tcBorders>
          </w:tcPr>
          <w:p w14:paraId="74960460" w14:textId="77777777" w:rsidR="00C7198A" w:rsidRDefault="00C7198A">
            <w:pPr>
              <w:cnfStyle w:val="000000000000" w:firstRow="0" w:lastRow="0" w:firstColumn="0" w:lastColumn="0" w:oddVBand="0" w:evenVBand="0" w:oddHBand="0" w:evenHBand="0" w:firstRowFirstColumn="0" w:firstRowLastColumn="0" w:lastRowFirstColumn="0" w:lastRowLastColumn="0"/>
            </w:pPr>
            <w:r>
              <w:rPr>
                <w:b/>
              </w:rPr>
              <w:t>11.4</w:t>
            </w:r>
          </w:p>
        </w:tc>
        <w:tc>
          <w:tcPr>
            <w:tcW w:w="794" w:type="dxa"/>
            <w:tcBorders>
              <w:top w:val="single" w:sz="6" w:space="0" w:color="auto"/>
              <w:bottom w:val="single" w:sz="12" w:space="0" w:color="auto"/>
            </w:tcBorders>
          </w:tcPr>
          <w:p w14:paraId="3A32DA9A" w14:textId="77777777" w:rsidR="00C7198A" w:rsidRDefault="00C7198A">
            <w:pPr>
              <w:cnfStyle w:val="000000000000" w:firstRow="0" w:lastRow="0" w:firstColumn="0" w:lastColumn="0" w:oddVBand="0" w:evenVBand="0" w:oddHBand="0" w:evenHBand="0" w:firstRowFirstColumn="0" w:firstRowLastColumn="0" w:lastRowFirstColumn="0" w:lastRowLastColumn="0"/>
            </w:pPr>
            <w:r>
              <w:rPr>
                <w:b/>
              </w:rPr>
              <w:t>5.1</w:t>
            </w:r>
          </w:p>
        </w:tc>
        <w:tc>
          <w:tcPr>
            <w:tcW w:w="794" w:type="dxa"/>
            <w:tcBorders>
              <w:top w:val="single" w:sz="6" w:space="0" w:color="auto"/>
              <w:bottom w:val="single" w:sz="12" w:space="0" w:color="auto"/>
            </w:tcBorders>
          </w:tcPr>
          <w:p w14:paraId="4BF90602" w14:textId="77777777" w:rsidR="00C7198A" w:rsidRDefault="00C7198A">
            <w:pPr>
              <w:cnfStyle w:val="000000000000" w:firstRow="0" w:lastRow="0" w:firstColumn="0" w:lastColumn="0" w:oddVBand="0" w:evenVBand="0" w:oddHBand="0" w:evenHBand="0" w:firstRowFirstColumn="0" w:firstRowLastColumn="0" w:lastRowFirstColumn="0" w:lastRowLastColumn="0"/>
            </w:pPr>
            <w:r>
              <w:rPr>
                <w:b/>
              </w:rPr>
              <w:t>4.1</w:t>
            </w:r>
          </w:p>
        </w:tc>
        <w:tc>
          <w:tcPr>
            <w:tcW w:w="794" w:type="dxa"/>
            <w:tcBorders>
              <w:top w:val="single" w:sz="6" w:space="0" w:color="auto"/>
              <w:bottom w:val="single" w:sz="12" w:space="0" w:color="auto"/>
            </w:tcBorders>
          </w:tcPr>
          <w:p w14:paraId="2B68602E" w14:textId="6D0E4076" w:rsidR="00C7198A" w:rsidRDefault="00C7198A">
            <w:pPr>
              <w:cnfStyle w:val="000000000000" w:firstRow="0" w:lastRow="0" w:firstColumn="0" w:lastColumn="0" w:oddVBand="0" w:evenVBand="0" w:oddHBand="0" w:evenHBand="0" w:firstRowFirstColumn="0" w:firstRowLastColumn="0" w:lastRowFirstColumn="0" w:lastRowLastColumn="0"/>
            </w:pPr>
            <w:r>
              <w:rPr>
                <w:b/>
              </w:rPr>
              <w:t>4.1</w:t>
            </w:r>
          </w:p>
        </w:tc>
      </w:tr>
    </w:tbl>
    <w:p w14:paraId="22FF1CC7" w14:textId="77777777" w:rsidR="00C7198A" w:rsidRDefault="00C7198A" w:rsidP="00227C67">
      <w:pPr>
        <w:pStyle w:val="Note"/>
      </w:pPr>
      <w:r>
        <w:t xml:space="preserve">Note: </w:t>
      </w:r>
    </w:p>
    <w:p w14:paraId="2FFFB9DD" w14:textId="77777777" w:rsidR="00C7198A" w:rsidRDefault="00C7198A" w:rsidP="00227C67">
      <w:pPr>
        <w:pStyle w:val="Note"/>
      </w:pPr>
      <w:r>
        <w:t xml:space="preserve">(a) </w:t>
      </w:r>
      <w:r>
        <w:tab/>
      </w:r>
      <w:r w:rsidRPr="00B82015">
        <w:t>Table may not add due to rounding.</w:t>
      </w:r>
    </w:p>
    <w:p w14:paraId="43387E37" w14:textId="77777777" w:rsidR="0062428F" w:rsidRDefault="0062428F" w:rsidP="0062428F"/>
    <w:p w14:paraId="008A1646" w14:textId="4BD4F143" w:rsidR="00C7198A" w:rsidRDefault="00C7198A" w:rsidP="00C94497">
      <w:pPr>
        <w:pStyle w:val="Heading4"/>
      </w:pPr>
      <w:r>
        <w:t>Budget and Financial Advice</w:t>
      </w:r>
    </w:p>
    <w:p w14:paraId="4C853DBE" w14:textId="77777777" w:rsidR="00C7198A" w:rsidRPr="00F078FB" w:rsidRDefault="00C7198A" w:rsidP="00F078FB">
      <w:pPr>
        <w:pStyle w:val="Heading5"/>
      </w:pPr>
      <w:r w:rsidRPr="00F078FB">
        <w:t xml:space="preserve">Commonwealth Games </w:t>
      </w:r>
    </w:p>
    <w:p w14:paraId="2E9E7259" w14:textId="6E4B1522" w:rsidR="00C7198A" w:rsidRDefault="00C7198A" w:rsidP="00C94497">
      <w:r w:rsidRPr="004A0953">
        <w:t xml:space="preserve">Funding is provided to support </w:t>
      </w:r>
      <w:r>
        <w:t xml:space="preserve">delivery of </w:t>
      </w:r>
      <w:r w:rsidRPr="004A0953">
        <w:t xml:space="preserve">the 2026 Commonwealth Games </w:t>
      </w:r>
      <w:r>
        <w:t xml:space="preserve">including managing </w:t>
      </w:r>
      <w:r w:rsidRPr="004A0953">
        <w:t xml:space="preserve">governance, delivery planning </w:t>
      </w:r>
      <w:r w:rsidR="00A81FB3">
        <w:t xml:space="preserve">and </w:t>
      </w:r>
      <w:r w:rsidR="001606D1">
        <w:t>budget</w:t>
      </w:r>
      <w:r w:rsidRPr="004A0953">
        <w:t xml:space="preserve"> processes.</w:t>
      </w:r>
    </w:p>
    <w:p w14:paraId="0F959AD9" w14:textId="77777777" w:rsidR="00C7198A" w:rsidRDefault="00C7198A" w:rsidP="00C94497">
      <w:r>
        <w:t>T</w:t>
      </w:r>
      <w:r w:rsidRPr="00B078B7">
        <w:t>his initiative contributes to the</w:t>
      </w:r>
      <w:r>
        <w:t xml:space="preserve"> Department of Treasury and Finance’s Budget and Financial Advice output.</w:t>
      </w:r>
    </w:p>
    <w:p w14:paraId="79623A7D" w14:textId="77777777" w:rsidR="00C7198A" w:rsidRDefault="00C7198A" w:rsidP="00C94497">
      <w:r w:rsidRPr="00312558">
        <w:t>This initiative contributes to the Department of Premier and Cabinet's Economic Policy and Advice output.</w:t>
      </w:r>
    </w:p>
    <w:p w14:paraId="486ACE70" w14:textId="77777777" w:rsidR="00C7198A" w:rsidRDefault="00C7198A" w:rsidP="00C94497">
      <w:pPr>
        <w:pStyle w:val="Heading4"/>
      </w:pPr>
      <w:r>
        <w:t xml:space="preserve">Commercial and Infrastructure Advice </w:t>
      </w:r>
    </w:p>
    <w:p w14:paraId="447E706F" w14:textId="77777777" w:rsidR="00C7198A" w:rsidRPr="00F078FB" w:rsidRDefault="00C7198A" w:rsidP="00F078FB">
      <w:pPr>
        <w:pStyle w:val="Heading5"/>
      </w:pPr>
      <w:r w:rsidRPr="00F078FB">
        <w:t>Funding to support government priorities</w:t>
      </w:r>
    </w:p>
    <w:p w14:paraId="41AC32AF" w14:textId="77777777" w:rsidR="00C7198A" w:rsidRDefault="00C7198A" w:rsidP="00C94497">
      <w:r w:rsidRPr="00272234">
        <w:t>Funding is provided for administration and oversight responsibilities related to the Local Council Lending Scheme, the Victorian Funds Management Corporation (VFMC) and management of the general government sector debt and funding program.</w:t>
      </w:r>
    </w:p>
    <w:p w14:paraId="06212DAF" w14:textId="77777777" w:rsidR="00C7198A" w:rsidRDefault="00C7198A" w:rsidP="00C94497">
      <w:r>
        <w:t>T</w:t>
      </w:r>
      <w:r w:rsidRPr="00B078B7">
        <w:t>his initiative contributes to the</w:t>
      </w:r>
      <w:r>
        <w:t xml:space="preserve"> Department of Treasury and Finance’s Commercial and Infrastructure Advice output.</w:t>
      </w:r>
    </w:p>
    <w:p w14:paraId="41E23857" w14:textId="77777777" w:rsidR="00C7198A" w:rsidRDefault="00C7198A" w:rsidP="00C94497">
      <w:pPr>
        <w:pStyle w:val="Heading4"/>
      </w:pPr>
      <w:r>
        <w:t xml:space="preserve">Economic and Policy Advice </w:t>
      </w:r>
    </w:p>
    <w:p w14:paraId="1E982A10" w14:textId="77777777" w:rsidR="00C7198A" w:rsidRPr="00F078FB" w:rsidRDefault="00C7198A" w:rsidP="00F078FB">
      <w:pPr>
        <w:pStyle w:val="Heading5"/>
      </w:pPr>
      <w:r w:rsidRPr="00F078FB">
        <w:t>Expanding the Victorian Homebuyer Fund</w:t>
      </w:r>
    </w:p>
    <w:p w14:paraId="4E927417" w14:textId="77777777" w:rsidR="00C7198A" w:rsidRDefault="00C7198A" w:rsidP="00C94497">
      <w:r>
        <w:t xml:space="preserve">Refer to the asset initiative for a description of this initiative. </w:t>
      </w:r>
    </w:p>
    <w:p w14:paraId="637C6CBF" w14:textId="77777777" w:rsidR="00C7198A" w:rsidRDefault="00C7198A" w:rsidP="00C94497">
      <w:pPr>
        <w:pStyle w:val="Heading4"/>
      </w:pPr>
      <w:r>
        <w:lastRenderedPageBreak/>
        <w:t>Services to Government</w:t>
      </w:r>
    </w:p>
    <w:p w14:paraId="3764C5C9" w14:textId="77777777" w:rsidR="00C7198A" w:rsidRPr="00F078FB" w:rsidRDefault="00C7198A" w:rsidP="00F078FB">
      <w:pPr>
        <w:pStyle w:val="Heading5"/>
      </w:pPr>
      <w:r w:rsidRPr="00F078FB">
        <w:t>Security Services State Purchase Contract variation</w:t>
      </w:r>
    </w:p>
    <w:p w14:paraId="3004872A" w14:textId="349D642D" w:rsidR="00C7198A" w:rsidRDefault="00C7198A" w:rsidP="00C94497">
      <w:r w:rsidRPr="00DC4AC7">
        <w:t xml:space="preserve">Funding is provided to </w:t>
      </w:r>
      <w:r>
        <w:t xml:space="preserve">implement </w:t>
      </w:r>
      <w:r w:rsidRPr="00DC4AC7">
        <w:t>the Security Services State Purchase Contract (SPC)</w:t>
      </w:r>
      <w:r>
        <w:t xml:space="preserve"> variation that provides improvements to worker conditions, including for staff engaged under the SPC to be paid a minimum 6 per cent above the Security Services Industry Award 2020</w:t>
      </w:r>
      <w:r w:rsidR="00E91D91">
        <w:t>. The funding</w:t>
      </w:r>
      <w:r>
        <w:t xml:space="preserve"> will enhance oversight and assurance of transactions through the SPC</w:t>
      </w:r>
      <w:r w:rsidRPr="00DC4AC7">
        <w:t>.</w:t>
      </w:r>
    </w:p>
    <w:p w14:paraId="38C21340" w14:textId="77777777" w:rsidR="00C7198A" w:rsidRDefault="00C7198A" w:rsidP="005F590D">
      <w:r>
        <w:t>T</w:t>
      </w:r>
      <w:r w:rsidRPr="00B078B7">
        <w:t>his initiative contributes to the</w:t>
      </w:r>
      <w:r>
        <w:t xml:space="preserve"> Department of Treasury and Finance’s Services to Government output.</w:t>
      </w:r>
    </w:p>
    <w:p w14:paraId="0869528C" w14:textId="77777777" w:rsidR="00C7198A" w:rsidRDefault="00C7198A">
      <w:pPr>
        <w:keepLines w:val="0"/>
      </w:pPr>
      <w:r>
        <w:br w:type="page"/>
      </w:r>
    </w:p>
    <w:p w14:paraId="4B908599" w14:textId="77777777" w:rsidR="00C7198A" w:rsidRDefault="00C7198A" w:rsidP="001C50D8">
      <w:pPr>
        <w:pStyle w:val="Heading20"/>
      </w:pPr>
      <w:r>
        <w:lastRenderedPageBreak/>
        <w:t>Asset initiatives</w:t>
      </w:r>
    </w:p>
    <w:p w14:paraId="02621607" w14:textId="719AB60D" w:rsidR="00C7198A" w:rsidRDefault="00C7198A" w:rsidP="001C50D8">
      <w:pPr>
        <w:pStyle w:val="TableHeading"/>
      </w:pPr>
      <w:r>
        <w:t>Table A.1</w:t>
      </w:r>
      <w:r w:rsidR="00993A31">
        <w:t>6</w:t>
      </w:r>
      <w:r>
        <w:t>:</w:t>
      </w:r>
      <w:r>
        <w:tab/>
        <w:t>Asset initiatives – Department of Treasury and Finance</w:t>
      </w:r>
      <w:r>
        <w:tab/>
        <w:t>($ million)</w:t>
      </w:r>
    </w:p>
    <w:tbl>
      <w:tblPr>
        <w:tblStyle w:val="DTFTableNumeric"/>
        <w:tblW w:w="7710" w:type="dxa"/>
        <w:tblLayout w:type="fixed"/>
        <w:tblLook w:val="06A0" w:firstRow="1" w:lastRow="0" w:firstColumn="1" w:lastColumn="0" w:noHBand="1" w:noVBand="1"/>
      </w:tblPr>
      <w:tblGrid>
        <w:gridCol w:w="3740"/>
        <w:gridCol w:w="794"/>
        <w:gridCol w:w="794"/>
        <w:gridCol w:w="794"/>
        <w:gridCol w:w="794"/>
        <w:gridCol w:w="794"/>
      </w:tblGrid>
      <w:tr w:rsidR="00C7198A" w14:paraId="0B2ACF10" w14:textId="77777777" w:rsidTr="007870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07F3BD0C" w14:textId="01265306" w:rsidR="00C7198A" w:rsidRDefault="00C7198A"/>
        </w:tc>
        <w:tc>
          <w:tcPr>
            <w:tcW w:w="794" w:type="dxa"/>
            <w:tcBorders>
              <w:top w:val="single" w:sz="6" w:space="0" w:color="auto"/>
              <w:bottom w:val="single" w:sz="6" w:space="0" w:color="auto"/>
            </w:tcBorders>
          </w:tcPr>
          <w:p w14:paraId="2CA8392C" w14:textId="77777777" w:rsidR="00C7198A" w:rsidRDefault="00C7198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Borders>
              <w:top w:val="single" w:sz="6" w:space="0" w:color="auto"/>
              <w:bottom w:val="single" w:sz="6" w:space="0" w:color="auto"/>
            </w:tcBorders>
          </w:tcPr>
          <w:p w14:paraId="4CA62637" w14:textId="77777777" w:rsidR="00C7198A" w:rsidRDefault="00C7198A">
            <w:pPr>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Borders>
              <w:top w:val="single" w:sz="6" w:space="0" w:color="auto"/>
              <w:bottom w:val="single" w:sz="6" w:space="0" w:color="auto"/>
            </w:tcBorders>
          </w:tcPr>
          <w:p w14:paraId="1D14E363" w14:textId="77777777" w:rsidR="00C7198A" w:rsidRDefault="00C7198A">
            <w:pPr>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Borders>
              <w:top w:val="single" w:sz="6" w:space="0" w:color="auto"/>
              <w:bottom w:val="single" w:sz="6" w:space="0" w:color="auto"/>
            </w:tcBorders>
          </w:tcPr>
          <w:p w14:paraId="45640F34" w14:textId="77777777" w:rsidR="00C7198A" w:rsidRDefault="00C7198A">
            <w:pPr>
              <w:cnfStyle w:val="100000000000" w:firstRow="1" w:lastRow="0" w:firstColumn="0" w:lastColumn="0" w:oddVBand="0" w:evenVBand="0" w:oddHBand="0" w:evenHBand="0" w:firstRowFirstColumn="0" w:firstRowLastColumn="0" w:lastRowFirstColumn="0" w:lastRowLastColumn="0"/>
            </w:pPr>
            <w:r>
              <w:t>2025</w:t>
            </w:r>
            <w:r>
              <w:noBreakHyphen/>
              <w:t>26</w:t>
            </w:r>
          </w:p>
        </w:tc>
        <w:tc>
          <w:tcPr>
            <w:tcW w:w="794" w:type="dxa"/>
            <w:tcBorders>
              <w:top w:val="single" w:sz="6" w:space="0" w:color="auto"/>
              <w:bottom w:val="single" w:sz="6" w:space="0" w:color="auto"/>
            </w:tcBorders>
          </w:tcPr>
          <w:p w14:paraId="2AA8073F" w14:textId="77777777" w:rsidR="00C7198A" w:rsidRDefault="00C7198A">
            <w:pPr>
              <w:cnfStyle w:val="100000000000" w:firstRow="1" w:lastRow="0" w:firstColumn="0" w:lastColumn="0" w:oddVBand="0" w:evenVBand="0" w:oddHBand="0" w:evenHBand="0" w:firstRowFirstColumn="0" w:firstRowLastColumn="0" w:lastRowFirstColumn="0" w:lastRowLastColumn="0"/>
            </w:pPr>
            <w:r>
              <w:t>TEI</w:t>
            </w:r>
          </w:p>
        </w:tc>
      </w:tr>
      <w:tr w:rsidR="00C7198A" w14:paraId="0E414DCA" w14:textId="77777777" w:rsidTr="0078703B">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04563DC2" w14:textId="77777777" w:rsidR="00C7198A" w:rsidRDefault="00C7198A">
            <w:r>
              <w:rPr>
                <w:b/>
              </w:rPr>
              <w:t>Economic and Policy Advice</w:t>
            </w:r>
          </w:p>
        </w:tc>
        <w:tc>
          <w:tcPr>
            <w:tcW w:w="794" w:type="dxa"/>
            <w:tcBorders>
              <w:top w:val="single" w:sz="6" w:space="0" w:color="auto"/>
            </w:tcBorders>
          </w:tcPr>
          <w:p w14:paraId="7B8BDDA4"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FC2D630"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09FC1C9"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BDA0765"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65AA38D"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r>
      <w:tr w:rsidR="00C7198A" w14:paraId="3378E66C" w14:textId="77777777" w:rsidTr="0078703B">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7A51F1B5" w14:textId="77777777" w:rsidR="00C7198A" w:rsidRDefault="00C7198A">
            <w:r>
              <w:t>Expanding the Victorian Homebuyer Fund</w:t>
            </w:r>
          </w:p>
        </w:tc>
        <w:tc>
          <w:tcPr>
            <w:tcW w:w="794" w:type="dxa"/>
            <w:tcBorders>
              <w:bottom w:val="single" w:sz="6" w:space="0" w:color="auto"/>
            </w:tcBorders>
          </w:tcPr>
          <w:p w14:paraId="34B296DA" w14:textId="19BAA4B3" w:rsidR="00C7198A" w:rsidRDefault="00C7198A">
            <w:pPr>
              <w:cnfStyle w:val="000000000000" w:firstRow="0" w:lastRow="0" w:firstColumn="0" w:lastColumn="0" w:oddVBand="0" w:evenVBand="0" w:oddHBand="0" w:evenHBand="0" w:firstRowFirstColumn="0" w:firstRowLastColumn="0" w:lastRowFirstColumn="0" w:lastRowLastColumn="0"/>
            </w:pPr>
            <w:r>
              <w:t>1</w:t>
            </w:r>
            <w:r w:rsidR="00B6646F">
              <w:t xml:space="preserve"> </w:t>
            </w:r>
            <w:r>
              <w:t>100.0</w:t>
            </w:r>
          </w:p>
        </w:tc>
        <w:tc>
          <w:tcPr>
            <w:tcW w:w="794" w:type="dxa"/>
            <w:tcBorders>
              <w:bottom w:val="single" w:sz="6" w:space="0" w:color="auto"/>
            </w:tcBorders>
          </w:tcPr>
          <w:p w14:paraId="42520AD4"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6076347D"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31C89892"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7791E7DC" w14:textId="315A9466" w:rsidR="00C7198A" w:rsidRDefault="00C7198A">
            <w:pPr>
              <w:cnfStyle w:val="000000000000" w:firstRow="0" w:lastRow="0" w:firstColumn="0" w:lastColumn="0" w:oddVBand="0" w:evenVBand="0" w:oddHBand="0" w:evenHBand="0" w:firstRowFirstColumn="0" w:firstRowLastColumn="0" w:lastRowFirstColumn="0" w:lastRowLastColumn="0"/>
            </w:pPr>
            <w:r>
              <w:t>1</w:t>
            </w:r>
            <w:r w:rsidR="00B6646F">
              <w:t xml:space="preserve"> </w:t>
            </w:r>
            <w:r>
              <w:t>100.0</w:t>
            </w:r>
          </w:p>
        </w:tc>
      </w:tr>
      <w:tr w:rsidR="00C7198A" w14:paraId="72B827CD" w14:textId="77777777" w:rsidTr="0078703B">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402C8EAF" w14:textId="77777777" w:rsidR="00C7198A" w:rsidRDefault="00C7198A">
            <w:r>
              <w:rPr>
                <w:b/>
              </w:rPr>
              <w:t>Total asset initiatives</w:t>
            </w:r>
          </w:p>
        </w:tc>
        <w:tc>
          <w:tcPr>
            <w:tcW w:w="794" w:type="dxa"/>
            <w:tcBorders>
              <w:top w:val="single" w:sz="6" w:space="0" w:color="auto"/>
              <w:bottom w:val="single" w:sz="12" w:space="0" w:color="auto"/>
            </w:tcBorders>
          </w:tcPr>
          <w:p w14:paraId="086A9410" w14:textId="284D1CE7" w:rsidR="00C7198A" w:rsidRDefault="00C7198A">
            <w:pPr>
              <w:cnfStyle w:val="000000000000" w:firstRow="0" w:lastRow="0" w:firstColumn="0" w:lastColumn="0" w:oddVBand="0" w:evenVBand="0" w:oddHBand="0" w:evenHBand="0" w:firstRowFirstColumn="0" w:firstRowLastColumn="0" w:lastRowFirstColumn="0" w:lastRowLastColumn="0"/>
            </w:pPr>
            <w:r>
              <w:rPr>
                <w:b/>
              </w:rPr>
              <w:t>1</w:t>
            </w:r>
            <w:r w:rsidR="00B6646F">
              <w:rPr>
                <w:b/>
              </w:rPr>
              <w:t xml:space="preserve"> </w:t>
            </w:r>
            <w:r>
              <w:rPr>
                <w:b/>
              </w:rPr>
              <w:t>100.0</w:t>
            </w:r>
          </w:p>
        </w:tc>
        <w:tc>
          <w:tcPr>
            <w:tcW w:w="794" w:type="dxa"/>
            <w:tcBorders>
              <w:top w:val="single" w:sz="6" w:space="0" w:color="auto"/>
              <w:bottom w:val="single" w:sz="12" w:space="0" w:color="auto"/>
            </w:tcBorders>
          </w:tcPr>
          <w:p w14:paraId="7BBEDE09" w14:textId="77777777" w:rsidR="00C7198A" w:rsidRDefault="00C7198A">
            <w:pPr>
              <w:cnfStyle w:val="000000000000" w:firstRow="0" w:lastRow="0" w:firstColumn="0" w:lastColumn="0" w:oddVBand="0" w:evenVBand="0" w:oddHBand="0" w:evenHBand="0" w:firstRowFirstColumn="0" w:firstRowLastColumn="0" w:lastRowFirstColumn="0" w:lastRowLastColumn="0"/>
            </w:pPr>
            <w:r>
              <w:rPr>
                <w:b/>
              </w:rPr>
              <w:t>..</w:t>
            </w:r>
          </w:p>
        </w:tc>
        <w:tc>
          <w:tcPr>
            <w:tcW w:w="794" w:type="dxa"/>
            <w:tcBorders>
              <w:top w:val="single" w:sz="6" w:space="0" w:color="auto"/>
              <w:bottom w:val="single" w:sz="12" w:space="0" w:color="auto"/>
            </w:tcBorders>
          </w:tcPr>
          <w:p w14:paraId="6458F042" w14:textId="77777777" w:rsidR="00C7198A" w:rsidRDefault="00C7198A">
            <w:pPr>
              <w:cnfStyle w:val="000000000000" w:firstRow="0" w:lastRow="0" w:firstColumn="0" w:lastColumn="0" w:oddVBand="0" w:evenVBand="0" w:oddHBand="0" w:evenHBand="0" w:firstRowFirstColumn="0" w:firstRowLastColumn="0" w:lastRowFirstColumn="0" w:lastRowLastColumn="0"/>
            </w:pPr>
            <w:r>
              <w:rPr>
                <w:b/>
              </w:rPr>
              <w:t>..</w:t>
            </w:r>
          </w:p>
        </w:tc>
        <w:tc>
          <w:tcPr>
            <w:tcW w:w="794" w:type="dxa"/>
            <w:tcBorders>
              <w:top w:val="single" w:sz="6" w:space="0" w:color="auto"/>
              <w:bottom w:val="single" w:sz="12" w:space="0" w:color="auto"/>
            </w:tcBorders>
          </w:tcPr>
          <w:p w14:paraId="430610E2" w14:textId="77777777" w:rsidR="00C7198A" w:rsidRDefault="00C7198A">
            <w:pPr>
              <w:cnfStyle w:val="000000000000" w:firstRow="0" w:lastRow="0" w:firstColumn="0" w:lastColumn="0" w:oddVBand="0" w:evenVBand="0" w:oddHBand="0" w:evenHBand="0" w:firstRowFirstColumn="0" w:firstRowLastColumn="0" w:lastRowFirstColumn="0" w:lastRowLastColumn="0"/>
            </w:pPr>
            <w:r>
              <w:rPr>
                <w:b/>
              </w:rPr>
              <w:t>..</w:t>
            </w:r>
          </w:p>
        </w:tc>
        <w:tc>
          <w:tcPr>
            <w:tcW w:w="794" w:type="dxa"/>
            <w:tcBorders>
              <w:top w:val="single" w:sz="6" w:space="0" w:color="auto"/>
              <w:bottom w:val="single" w:sz="12" w:space="0" w:color="auto"/>
            </w:tcBorders>
          </w:tcPr>
          <w:p w14:paraId="5AC28012" w14:textId="7AFBD5A8" w:rsidR="00C7198A" w:rsidRDefault="00C7198A">
            <w:pPr>
              <w:cnfStyle w:val="000000000000" w:firstRow="0" w:lastRow="0" w:firstColumn="0" w:lastColumn="0" w:oddVBand="0" w:evenVBand="0" w:oddHBand="0" w:evenHBand="0" w:firstRowFirstColumn="0" w:firstRowLastColumn="0" w:lastRowFirstColumn="0" w:lastRowLastColumn="0"/>
            </w:pPr>
            <w:r>
              <w:rPr>
                <w:b/>
              </w:rPr>
              <w:t>1</w:t>
            </w:r>
            <w:r w:rsidR="00B6646F">
              <w:rPr>
                <w:b/>
              </w:rPr>
              <w:t xml:space="preserve"> </w:t>
            </w:r>
            <w:r>
              <w:rPr>
                <w:b/>
              </w:rPr>
              <w:t>100.0</w:t>
            </w:r>
          </w:p>
        </w:tc>
      </w:tr>
    </w:tbl>
    <w:p w14:paraId="51774361" w14:textId="77777777" w:rsidR="0062428F" w:rsidRDefault="0062428F" w:rsidP="0062428F"/>
    <w:p w14:paraId="1DDBC794" w14:textId="306C9AB1" w:rsidR="00C7198A" w:rsidRDefault="00C7198A" w:rsidP="00C94497">
      <w:pPr>
        <w:pStyle w:val="Heading4"/>
      </w:pPr>
      <w:r>
        <w:t>Economic and Policy Advice</w:t>
      </w:r>
    </w:p>
    <w:p w14:paraId="13844605" w14:textId="77777777" w:rsidR="00C7198A" w:rsidRPr="00F078FB" w:rsidRDefault="00C7198A" w:rsidP="00F078FB">
      <w:pPr>
        <w:pStyle w:val="Heading5"/>
      </w:pPr>
      <w:r w:rsidRPr="00F078FB">
        <w:t>Expanding the Victorian Homebuyer Fund</w:t>
      </w:r>
    </w:p>
    <w:p w14:paraId="547EEBB5" w14:textId="77777777" w:rsidR="00C7198A" w:rsidRDefault="00C7198A" w:rsidP="00C94497">
      <w:r>
        <w:t>Additional funding will enable the Victorian Homebuyer Fund to support even more households into home ownership and ensure its continuation into 2022-23.</w:t>
      </w:r>
    </w:p>
    <w:p w14:paraId="242559F2" w14:textId="77777777" w:rsidR="00C7198A" w:rsidRDefault="00C7198A" w:rsidP="00C94497">
      <w:r>
        <w:t>T</w:t>
      </w:r>
      <w:r w:rsidRPr="00B078B7">
        <w:t>his initiative contributes to the</w:t>
      </w:r>
      <w:r>
        <w:t xml:space="preserve"> Department of Treasury and Finance’s Economic and Policy Advice output.</w:t>
      </w:r>
    </w:p>
    <w:p w14:paraId="47F84E90" w14:textId="77777777" w:rsidR="00C7198A" w:rsidRDefault="00C7198A" w:rsidP="001C50D8"/>
    <w:p w14:paraId="7B8E32C7" w14:textId="77777777" w:rsidR="00C7198A" w:rsidRDefault="00C7198A" w:rsidP="0062428F">
      <w:pPr>
        <w:pStyle w:val="Heading10"/>
        <w:pageBreakBefore/>
      </w:pPr>
      <w:bookmarkStart w:id="146" w:name="_Toc71814120"/>
      <w:bookmarkStart w:id="147" w:name="_Toc117586267"/>
      <w:r>
        <w:lastRenderedPageBreak/>
        <w:t>Parliament</w:t>
      </w:r>
      <w:bookmarkStart w:id="148" w:name="_Toc71814121"/>
      <w:bookmarkEnd w:id="146"/>
      <w:bookmarkEnd w:id="147"/>
    </w:p>
    <w:p w14:paraId="193EECEA" w14:textId="77777777" w:rsidR="00C7198A" w:rsidRDefault="00C7198A" w:rsidP="00D613F1">
      <w:pPr>
        <w:pStyle w:val="Heading20"/>
      </w:pPr>
      <w:r>
        <w:t>Output initiatives</w:t>
      </w:r>
    </w:p>
    <w:p w14:paraId="1E1380C9" w14:textId="5747054F" w:rsidR="00C7198A" w:rsidRDefault="00C7198A" w:rsidP="00E11D92">
      <w:pPr>
        <w:pStyle w:val="TableHeading"/>
      </w:pPr>
      <w:r>
        <w:t>Table A.1</w:t>
      </w:r>
      <w:r w:rsidR="00993A31">
        <w:t>7</w:t>
      </w:r>
      <w:r>
        <w:t>:</w:t>
      </w:r>
      <w:r>
        <w:tab/>
        <w:t>Output initiatives – Parliament</w:t>
      </w:r>
      <w:r>
        <w:tab/>
        <w:t>($ million)</w:t>
      </w:r>
    </w:p>
    <w:tbl>
      <w:tblPr>
        <w:tblStyle w:val="DTFTableNumeric"/>
        <w:tblW w:w="7710" w:type="dxa"/>
        <w:tblLayout w:type="fixed"/>
        <w:tblLook w:val="06A0" w:firstRow="1" w:lastRow="0" w:firstColumn="1" w:lastColumn="0" w:noHBand="1" w:noVBand="1"/>
      </w:tblPr>
      <w:tblGrid>
        <w:gridCol w:w="4534"/>
        <w:gridCol w:w="794"/>
        <w:gridCol w:w="794"/>
        <w:gridCol w:w="794"/>
        <w:gridCol w:w="794"/>
      </w:tblGrid>
      <w:tr w:rsidR="00C7198A" w14:paraId="742AA52C" w14:textId="77777777" w:rsidTr="008E0C0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4" w:type="dxa"/>
          </w:tcPr>
          <w:p w14:paraId="6D406633" w14:textId="107E9D7D" w:rsidR="00C7198A" w:rsidRDefault="00C7198A"/>
        </w:tc>
        <w:tc>
          <w:tcPr>
            <w:tcW w:w="794" w:type="dxa"/>
          </w:tcPr>
          <w:p w14:paraId="5A9DA1CB" w14:textId="77777777" w:rsidR="00C7198A" w:rsidRDefault="00C7198A">
            <w:pPr>
              <w:cnfStyle w:val="100000000000" w:firstRow="1" w:lastRow="0" w:firstColumn="0" w:lastColumn="0" w:oddVBand="0" w:evenVBand="0" w:oddHBand="0" w:evenHBand="0" w:firstRowFirstColumn="0" w:firstRowLastColumn="0" w:lastRowFirstColumn="0" w:lastRowLastColumn="0"/>
            </w:pPr>
            <w:r>
              <w:t>2022</w:t>
            </w:r>
            <w:r>
              <w:noBreakHyphen/>
              <w:t>23</w:t>
            </w:r>
          </w:p>
        </w:tc>
        <w:tc>
          <w:tcPr>
            <w:tcW w:w="794" w:type="dxa"/>
          </w:tcPr>
          <w:p w14:paraId="6C54DEE8" w14:textId="77777777" w:rsidR="00C7198A" w:rsidRDefault="00C7198A">
            <w:pPr>
              <w:cnfStyle w:val="100000000000" w:firstRow="1" w:lastRow="0" w:firstColumn="0" w:lastColumn="0" w:oddVBand="0" w:evenVBand="0" w:oddHBand="0" w:evenHBand="0" w:firstRowFirstColumn="0" w:firstRowLastColumn="0" w:lastRowFirstColumn="0" w:lastRowLastColumn="0"/>
            </w:pPr>
            <w:r>
              <w:t>2023</w:t>
            </w:r>
            <w:r>
              <w:noBreakHyphen/>
              <w:t>24</w:t>
            </w:r>
          </w:p>
        </w:tc>
        <w:tc>
          <w:tcPr>
            <w:tcW w:w="794" w:type="dxa"/>
          </w:tcPr>
          <w:p w14:paraId="0EF85548" w14:textId="77777777" w:rsidR="00C7198A" w:rsidRDefault="00C7198A">
            <w:pPr>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67EC6D51" w14:textId="77777777" w:rsidR="00C7198A" w:rsidRDefault="00C7198A">
            <w:pPr>
              <w:cnfStyle w:val="100000000000" w:firstRow="1" w:lastRow="0" w:firstColumn="0" w:lastColumn="0" w:oddVBand="0" w:evenVBand="0" w:oddHBand="0" w:evenHBand="0" w:firstRowFirstColumn="0" w:firstRowLastColumn="0" w:lastRowFirstColumn="0" w:lastRowLastColumn="0"/>
            </w:pPr>
            <w:r>
              <w:t>2025</w:t>
            </w:r>
            <w:r>
              <w:noBreakHyphen/>
              <w:t>26</w:t>
            </w:r>
          </w:p>
        </w:tc>
      </w:tr>
      <w:tr w:rsidR="00C7198A" w14:paraId="132C0AF1" w14:textId="77777777">
        <w:tc>
          <w:tcPr>
            <w:cnfStyle w:val="001000000000" w:firstRow="0" w:lastRow="0" w:firstColumn="1" w:lastColumn="0" w:oddVBand="0" w:evenVBand="0" w:oddHBand="0" w:evenHBand="0" w:firstRowFirstColumn="0" w:firstRowLastColumn="0" w:lastRowFirstColumn="0" w:lastRowLastColumn="0"/>
            <w:tcW w:w="4534" w:type="dxa"/>
          </w:tcPr>
          <w:p w14:paraId="230F86A4" w14:textId="77777777" w:rsidR="00C7198A" w:rsidRDefault="00C7198A">
            <w:r>
              <w:rPr>
                <w:b/>
              </w:rPr>
              <w:t>Parliamentary Services</w:t>
            </w:r>
          </w:p>
        </w:tc>
        <w:tc>
          <w:tcPr>
            <w:tcW w:w="794" w:type="dxa"/>
          </w:tcPr>
          <w:p w14:paraId="25AD0C95"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7AC88325"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795C2C88"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6025549E"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r>
      <w:tr w:rsidR="00C7198A" w14:paraId="5A9FB095" w14:textId="77777777">
        <w:tc>
          <w:tcPr>
            <w:cnfStyle w:val="001000000000" w:firstRow="0" w:lastRow="0" w:firstColumn="1" w:lastColumn="0" w:oddVBand="0" w:evenVBand="0" w:oddHBand="0" w:evenHBand="0" w:firstRowFirstColumn="0" w:firstRowLastColumn="0" w:lastRowFirstColumn="0" w:lastRowLastColumn="0"/>
            <w:tcW w:w="4534" w:type="dxa"/>
          </w:tcPr>
          <w:p w14:paraId="1BAC755A" w14:textId="77777777" w:rsidR="00C7198A" w:rsidRDefault="00C7198A">
            <w:r>
              <w:t>Implementation of Operation Watts recommendations</w:t>
            </w:r>
          </w:p>
        </w:tc>
        <w:tc>
          <w:tcPr>
            <w:tcW w:w="794" w:type="dxa"/>
          </w:tcPr>
          <w:p w14:paraId="421EC135" w14:textId="77777777" w:rsidR="00C7198A" w:rsidRDefault="00C7198A">
            <w:pPr>
              <w:cnfStyle w:val="000000000000" w:firstRow="0" w:lastRow="0" w:firstColumn="0" w:lastColumn="0" w:oddVBand="0" w:evenVBand="0" w:oddHBand="0" w:evenHBand="0" w:firstRowFirstColumn="0" w:firstRowLastColumn="0" w:lastRowFirstColumn="0" w:lastRowLastColumn="0"/>
            </w:pPr>
            <w:r>
              <w:t>1.3</w:t>
            </w:r>
          </w:p>
        </w:tc>
        <w:tc>
          <w:tcPr>
            <w:tcW w:w="794" w:type="dxa"/>
          </w:tcPr>
          <w:p w14:paraId="30E6DAFB" w14:textId="77777777" w:rsidR="00C7198A" w:rsidRDefault="00C7198A">
            <w:pPr>
              <w:cnfStyle w:val="000000000000" w:firstRow="0" w:lastRow="0" w:firstColumn="0" w:lastColumn="0" w:oddVBand="0" w:evenVBand="0" w:oddHBand="0" w:evenHBand="0" w:firstRowFirstColumn="0" w:firstRowLastColumn="0" w:lastRowFirstColumn="0" w:lastRowLastColumn="0"/>
            </w:pPr>
            <w:r>
              <w:t>2.3</w:t>
            </w:r>
          </w:p>
        </w:tc>
        <w:tc>
          <w:tcPr>
            <w:tcW w:w="794" w:type="dxa"/>
          </w:tcPr>
          <w:p w14:paraId="236BA906" w14:textId="77777777" w:rsidR="00C7198A" w:rsidRDefault="00C7198A">
            <w:pPr>
              <w:cnfStyle w:val="000000000000" w:firstRow="0" w:lastRow="0" w:firstColumn="0" w:lastColumn="0" w:oddVBand="0" w:evenVBand="0" w:oddHBand="0" w:evenHBand="0" w:firstRowFirstColumn="0" w:firstRowLastColumn="0" w:lastRowFirstColumn="0" w:lastRowLastColumn="0"/>
            </w:pPr>
            <w:r>
              <w:t>2.4</w:t>
            </w:r>
          </w:p>
        </w:tc>
        <w:tc>
          <w:tcPr>
            <w:tcW w:w="794" w:type="dxa"/>
          </w:tcPr>
          <w:p w14:paraId="74401CD9" w14:textId="77777777" w:rsidR="00C7198A" w:rsidRDefault="00C7198A">
            <w:pPr>
              <w:cnfStyle w:val="000000000000" w:firstRow="0" w:lastRow="0" w:firstColumn="0" w:lastColumn="0" w:oddVBand="0" w:evenVBand="0" w:oddHBand="0" w:evenHBand="0" w:firstRowFirstColumn="0" w:firstRowLastColumn="0" w:lastRowFirstColumn="0" w:lastRowLastColumn="0"/>
            </w:pPr>
            <w:r>
              <w:t>2.5</w:t>
            </w:r>
          </w:p>
        </w:tc>
      </w:tr>
      <w:tr w:rsidR="00C7198A" w14:paraId="50D9641A" w14:textId="77777777">
        <w:tc>
          <w:tcPr>
            <w:cnfStyle w:val="001000000000" w:firstRow="0" w:lastRow="0" w:firstColumn="1" w:lastColumn="0" w:oddVBand="0" w:evenVBand="0" w:oddHBand="0" w:evenHBand="0" w:firstRowFirstColumn="0" w:firstRowLastColumn="0" w:lastRowFirstColumn="0" w:lastRowLastColumn="0"/>
            <w:tcW w:w="4534" w:type="dxa"/>
          </w:tcPr>
          <w:p w14:paraId="3B4638CB" w14:textId="77777777" w:rsidR="00C7198A" w:rsidRDefault="00C7198A">
            <w:r>
              <w:rPr>
                <w:b/>
              </w:rPr>
              <w:t>Victorian Ombudsman</w:t>
            </w:r>
          </w:p>
        </w:tc>
        <w:tc>
          <w:tcPr>
            <w:tcW w:w="794" w:type="dxa"/>
          </w:tcPr>
          <w:p w14:paraId="0FFD9678"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0E824174"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3615BA09"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c>
          <w:tcPr>
            <w:tcW w:w="794" w:type="dxa"/>
          </w:tcPr>
          <w:p w14:paraId="7A8EBC44" w14:textId="77777777" w:rsidR="00C7198A" w:rsidRDefault="00C7198A">
            <w:pPr>
              <w:cnfStyle w:val="000000000000" w:firstRow="0" w:lastRow="0" w:firstColumn="0" w:lastColumn="0" w:oddVBand="0" w:evenVBand="0" w:oddHBand="0" w:evenHBand="0" w:firstRowFirstColumn="0" w:firstRowLastColumn="0" w:lastRowFirstColumn="0" w:lastRowLastColumn="0"/>
            </w:pPr>
          </w:p>
        </w:tc>
      </w:tr>
      <w:tr w:rsidR="00C7198A" w14:paraId="674047C6" w14:textId="77777777" w:rsidTr="008E0C08">
        <w:tc>
          <w:tcPr>
            <w:cnfStyle w:val="001000000000" w:firstRow="0" w:lastRow="0" w:firstColumn="1" w:lastColumn="0" w:oddVBand="0" w:evenVBand="0" w:oddHBand="0" w:evenHBand="0" w:firstRowFirstColumn="0" w:firstRowLastColumn="0" w:lastRowFirstColumn="0" w:lastRowLastColumn="0"/>
            <w:tcW w:w="4534" w:type="dxa"/>
            <w:tcBorders>
              <w:bottom w:val="single" w:sz="6" w:space="0" w:color="auto"/>
            </w:tcBorders>
          </w:tcPr>
          <w:p w14:paraId="3EE22CC3" w14:textId="77777777" w:rsidR="00C7198A" w:rsidRDefault="00C7198A">
            <w:r>
              <w:t>Supporting the Victorian Ombudsman’s office</w:t>
            </w:r>
          </w:p>
        </w:tc>
        <w:tc>
          <w:tcPr>
            <w:tcW w:w="794" w:type="dxa"/>
            <w:tcBorders>
              <w:bottom w:val="single" w:sz="6" w:space="0" w:color="auto"/>
            </w:tcBorders>
          </w:tcPr>
          <w:p w14:paraId="05DBFD39" w14:textId="77777777" w:rsidR="00C7198A" w:rsidRDefault="00C7198A">
            <w:pPr>
              <w:cnfStyle w:val="000000000000" w:firstRow="0" w:lastRow="0" w:firstColumn="0" w:lastColumn="0" w:oddVBand="0" w:evenVBand="0" w:oddHBand="0" w:evenHBand="0" w:firstRowFirstColumn="0" w:firstRowLastColumn="0" w:lastRowFirstColumn="0" w:lastRowLastColumn="0"/>
            </w:pPr>
            <w:r>
              <w:t>0.7</w:t>
            </w:r>
          </w:p>
        </w:tc>
        <w:tc>
          <w:tcPr>
            <w:tcW w:w="794" w:type="dxa"/>
            <w:tcBorders>
              <w:bottom w:val="single" w:sz="6" w:space="0" w:color="auto"/>
            </w:tcBorders>
          </w:tcPr>
          <w:p w14:paraId="638E3904"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622E28F7"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1FE675C2" w14:textId="77777777" w:rsidR="00C7198A" w:rsidRDefault="00C7198A">
            <w:pPr>
              <w:cnfStyle w:val="000000000000" w:firstRow="0" w:lastRow="0" w:firstColumn="0" w:lastColumn="0" w:oddVBand="0" w:evenVBand="0" w:oddHBand="0" w:evenHBand="0" w:firstRowFirstColumn="0" w:firstRowLastColumn="0" w:lastRowFirstColumn="0" w:lastRowLastColumn="0"/>
            </w:pPr>
            <w:r>
              <w:t>..</w:t>
            </w:r>
          </w:p>
        </w:tc>
      </w:tr>
      <w:tr w:rsidR="00C7198A" w14:paraId="116877C7" w14:textId="77777777" w:rsidTr="008E0C08">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bottom w:val="single" w:sz="12" w:space="0" w:color="auto"/>
            </w:tcBorders>
          </w:tcPr>
          <w:p w14:paraId="280E6EE4" w14:textId="77777777" w:rsidR="00C7198A" w:rsidRDefault="00C7198A">
            <w:r>
              <w:rPr>
                <w:b/>
              </w:rPr>
              <w:t xml:space="preserve">Total output initiatives </w:t>
            </w:r>
            <w:r>
              <w:rPr>
                <w:b/>
                <w:vertAlign w:val="superscript"/>
              </w:rPr>
              <w:t>(a)</w:t>
            </w:r>
          </w:p>
        </w:tc>
        <w:tc>
          <w:tcPr>
            <w:tcW w:w="794" w:type="dxa"/>
            <w:tcBorders>
              <w:top w:val="single" w:sz="6" w:space="0" w:color="auto"/>
              <w:bottom w:val="single" w:sz="12" w:space="0" w:color="auto"/>
            </w:tcBorders>
          </w:tcPr>
          <w:p w14:paraId="4CC0F340" w14:textId="77777777" w:rsidR="00C7198A" w:rsidRDefault="00C7198A">
            <w:pPr>
              <w:cnfStyle w:val="000000000000" w:firstRow="0" w:lastRow="0" w:firstColumn="0" w:lastColumn="0" w:oddVBand="0" w:evenVBand="0" w:oddHBand="0" w:evenHBand="0" w:firstRowFirstColumn="0" w:firstRowLastColumn="0" w:lastRowFirstColumn="0" w:lastRowLastColumn="0"/>
            </w:pPr>
            <w:r>
              <w:rPr>
                <w:b/>
              </w:rPr>
              <w:t>2.0</w:t>
            </w:r>
          </w:p>
        </w:tc>
        <w:tc>
          <w:tcPr>
            <w:tcW w:w="794" w:type="dxa"/>
            <w:tcBorders>
              <w:top w:val="single" w:sz="6" w:space="0" w:color="auto"/>
              <w:bottom w:val="single" w:sz="12" w:space="0" w:color="auto"/>
            </w:tcBorders>
          </w:tcPr>
          <w:p w14:paraId="2140B099" w14:textId="77777777" w:rsidR="00C7198A" w:rsidRDefault="00C7198A">
            <w:pPr>
              <w:cnfStyle w:val="000000000000" w:firstRow="0" w:lastRow="0" w:firstColumn="0" w:lastColumn="0" w:oddVBand="0" w:evenVBand="0" w:oddHBand="0" w:evenHBand="0" w:firstRowFirstColumn="0" w:firstRowLastColumn="0" w:lastRowFirstColumn="0" w:lastRowLastColumn="0"/>
            </w:pPr>
            <w:r>
              <w:rPr>
                <w:b/>
              </w:rPr>
              <w:t>2.3</w:t>
            </w:r>
          </w:p>
        </w:tc>
        <w:tc>
          <w:tcPr>
            <w:tcW w:w="794" w:type="dxa"/>
            <w:tcBorders>
              <w:top w:val="single" w:sz="6" w:space="0" w:color="auto"/>
              <w:bottom w:val="single" w:sz="12" w:space="0" w:color="auto"/>
            </w:tcBorders>
          </w:tcPr>
          <w:p w14:paraId="49C3A8F6" w14:textId="77777777" w:rsidR="00C7198A" w:rsidRDefault="00C7198A">
            <w:pPr>
              <w:cnfStyle w:val="000000000000" w:firstRow="0" w:lastRow="0" w:firstColumn="0" w:lastColumn="0" w:oddVBand="0" w:evenVBand="0" w:oddHBand="0" w:evenHBand="0" w:firstRowFirstColumn="0" w:firstRowLastColumn="0" w:lastRowFirstColumn="0" w:lastRowLastColumn="0"/>
            </w:pPr>
            <w:r>
              <w:rPr>
                <w:b/>
              </w:rPr>
              <w:t>2.4</w:t>
            </w:r>
          </w:p>
        </w:tc>
        <w:tc>
          <w:tcPr>
            <w:tcW w:w="794" w:type="dxa"/>
            <w:tcBorders>
              <w:top w:val="single" w:sz="6" w:space="0" w:color="auto"/>
              <w:bottom w:val="single" w:sz="12" w:space="0" w:color="auto"/>
            </w:tcBorders>
          </w:tcPr>
          <w:p w14:paraId="7235B4DD" w14:textId="364BAED3" w:rsidR="00C7198A" w:rsidRDefault="00C7198A">
            <w:pPr>
              <w:cnfStyle w:val="000000000000" w:firstRow="0" w:lastRow="0" w:firstColumn="0" w:lastColumn="0" w:oddVBand="0" w:evenVBand="0" w:oddHBand="0" w:evenHBand="0" w:firstRowFirstColumn="0" w:firstRowLastColumn="0" w:lastRowFirstColumn="0" w:lastRowLastColumn="0"/>
            </w:pPr>
            <w:r>
              <w:rPr>
                <w:b/>
              </w:rPr>
              <w:t>2.5</w:t>
            </w:r>
          </w:p>
        </w:tc>
      </w:tr>
    </w:tbl>
    <w:p w14:paraId="6FC7B993" w14:textId="77777777" w:rsidR="00C7198A" w:rsidRDefault="00C7198A" w:rsidP="002C3E5E">
      <w:pPr>
        <w:pStyle w:val="Note"/>
      </w:pPr>
      <w:r>
        <w:t xml:space="preserve">Note: </w:t>
      </w:r>
    </w:p>
    <w:p w14:paraId="5C2723A7" w14:textId="77777777" w:rsidR="00C7198A" w:rsidRPr="00886E40" w:rsidRDefault="00C7198A" w:rsidP="00886E40">
      <w:pPr>
        <w:pStyle w:val="Note"/>
      </w:pPr>
      <w:r>
        <w:t xml:space="preserve">(a) </w:t>
      </w:r>
      <w:r>
        <w:tab/>
      </w:r>
      <w:r w:rsidRPr="00B82015">
        <w:t>Table may not add due to rounding.</w:t>
      </w:r>
    </w:p>
    <w:bookmarkEnd w:id="148"/>
    <w:p w14:paraId="354EF07C" w14:textId="77777777" w:rsidR="0062428F" w:rsidRDefault="0062428F" w:rsidP="0062428F"/>
    <w:p w14:paraId="648FA332" w14:textId="5C7FFE63" w:rsidR="00C7198A" w:rsidRDefault="00C7198A" w:rsidP="00886E40">
      <w:pPr>
        <w:pStyle w:val="Heading4"/>
      </w:pPr>
      <w:r w:rsidRPr="00EC4DC8">
        <w:t>Parliamentary Services</w:t>
      </w:r>
    </w:p>
    <w:p w14:paraId="757493B8" w14:textId="77777777" w:rsidR="00C7198A" w:rsidRPr="00937030" w:rsidRDefault="00C7198A" w:rsidP="00937030">
      <w:pPr>
        <w:pStyle w:val="Heading5"/>
      </w:pPr>
      <w:r w:rsidRPr="00886E40">
        <w:t>Implementation of Operation Watts recommendations</w:t>
      </w:r>
    </w:p>
    <w:p w14:paraId="145402E4" w14:textId="77777777" w:rsidR="00C7198A" w:rsidRDefault="00C7198A" w:rsidP="00EC4DC8">
      <w:r>
        <w:t>Funding is provided to implement recommendations from the Independent Broad-based Anti-corruption Commission and Victorian Ombudsman’s joint report into the use of public funds. This includes dedicated resources to ensure that Members of Parliament and their electorate officers are appropriate trained and supported.</w:t>
      </w:r>
    </w:p>
    <w:p w14:paraId="75FFA0D8" w14:textId="77777777" w:rsidR="00C7198A" w:rsidRDefault="00C7198A" w:rsidP="00886E40">
      <w:r>
        <w:t>This initiative contributes to Parliament’s Parliamentary Services output.</w:t>
      </w:r>
    </w:p>
    <w:p w14:paraId="6ACA6B43" w14:textId="77777777" w:rsidR="00C7198A" w:rsidRDefault="00C7198A" w:rsidP="008129AC">
      <w:pPr>
        <w:pStyle w:val="Heading4"/>
      </w:pPr>
      <w:r>
        <w:t>Victorian Ombudsman</w:t>
      </w:r>
    </w:p>
    <w:p w14:paraId="7281DFA6" w14:textId="77777777" w:rsidR="00C7198A" w:rsidRPr="00937030" w:rsidRDefault="00C7198A" w:rsidP="00937030">
      <w:pPr>
        <w:pStyle w:val="Heading5"/>
      </w:pPr>
      <w:r w:rsidRPr="00937030">
        <w:t xml:space="preserve">Supporting </w:t>
      </w:r>
      <w:r>
        <w:t xml:space="preserve">the </w:t>
      </w:r>
      <w:r w:rsidRPr="00937030">
        <w:t>Victorian Ombudsman’s office</w:t>
      </w:r>
    </w:p>
    <w:p w14:paraId="7B6DDC50" w14:textId="77777777" w:rsidR="00C7198A" w:rsidRDefault="00C7198A" w:rsidP="008129AC">
      <w:r>
        <w:t xml:space="preserve">Funding is provided to further support the Victorian Ombudsman’s office to meet increases in demand for its services and effectively meet the needs and expectations of the community. </w:t>
      </w:r>
    </w:p>
    <w:p w14:paraId="40A9D064" w14:textId="77777777" w:rsidR="00C7198A" w:rsidRDefault="00C7198A" w:rsidP="008129AC">
      <w:r>
        <w:t>T</w:t>
      </w:r>
      <w:r w:rsidRPr="00B078B7">
        <w:t>his initiative contributes to the</w:t>
      </w:r>
      <w:r w:rsidRPr="006C4237">
        <w:t xml:space="preserve"> </w:t>
      </w:r>
      <w:r>
        <w:t>Victorian Ombudsman output.</w:t>
      </w:r>
    </w:p>
    <w:p w14:paraId="4DAC5263" w14:textId="77777777" w:rsidR="00C7198A" w:rsidRDefault="00C7198A">
      <w:pPr>
        <w:keepLines w:val="0"/>
      </w:pPr>
    </w:p>
    <w:p w14:paraId="66E1736F" w14:textId="37FDAF1F" w:rsidR="009A0702" w:rsidRDefault="009A0702">
      <w:pPr>
        <w:keepLines w:val="0"/>
      </w:pPr>
      <w:r>
        <w:br w:type="page"/>
      </w:r>
    </w:p>
    <w:p w14:paraId="1A340AC3" w14:textId="77777777" w:rsidR="00C7198A" w:rsidRPr="007F7047" w:rsidRDefault="00C7198A" w:rsidP="001524C4">
      <w:pPr>
        <w:keepLines w:val="0"/>
      </w:pPr>
    </w:p>
    <w:p w14:paraId="0AEE0233" w14:textId="37E87C74" w:rsidR="008D6F13" w:rsidRDefault="008D6F13">
      <w:pPr>
        <w:keepLines w:val="0"/>
      </w:pPr>
    </w:p>
    <w:p w14:paraId="74C28A81" w14:textId="77777777" w:rsidR="008D6F13" w:rsidRDefault="008D6F13" w:rsidP="003610AD"/>
    <w:p w14:paraId="7B0960DC" w14:textId="31D5DE6B" w:rsidR="008D6F13" w:rsidRDefault="008D6F13" w:rsidP="003610AD">
      <w:pPr>
        <w:sectPr w:rsidR="008D6F13" w:rsidSect="008D6F13">
          <w:footerReference w:type="even" r:id="rId50"/>
          <w:footerReference w:type="default" r:id="rId51"/>
          <w:footerReference w:type="first" r:id="rId52"/>
          <w:pgSz w:w="9979" w:h="14175" w:code="9"/>
          <w:pgMar w:top="1134" w:right="1134" w:bottom="1134" w:left="1134" w:header="624" w:footer="567" w:gutter="0"/>
          <w:cols w:space="708"/>
          <w:docGrid w:linePitch="360"/>
        </w:sectPr>
      </w:pPr>
    </w:p>
    <w:p w14:paraId="01069A26" w14:textId="77777777" w:rsidR="009A0702" w:rsidRDefault="009A0702" w:rsidP="00F22EE1">
      <w:pPr>
        <w:pStyle w:val="ChapterHeading"/>
      </w:pPr>
      <w:bookmarkStart w:id="149" w:name="_Toc9436040"/>
      <w:bookmarkStart w:id="150" w:name="_Toc101972162"/>
      <w:bookmarkStart w:id="151" w:name="_Toc117586268"/>
      <w:r>
        <w:lastRenderedPageBreak/>
        <w:t>Appendix B – Sensitivity analysis</w:t>
      </w:r>
      <w:bookmarkEnd w:id="149"/>
      <w:bookmarkEnd w:id="150"/>
      <w:bookmarkEnd w:id="151"/>
    </w:p>
    <w:p w14:paraId="75545FE5" w14:textId="77777777" w:rsidR="009A0702" w:rsidRDefault="009A0702" w:rsidP="00F22EE1">
      <w:r>
        <w:t xml:space="preserve">The </w:t>
      </w:r>
      <w:bookmarkStart w:id="152" w:name="_Hlk116405076"/>
      <w:r>
        <w:rPr>
          <w:i/>
        </w:rPr>
        <w:t xml:space="preserve">2022 Victorian Economic and Fiscal Update </w:t>
      </w:r>
      <w:bookmarkEnd w:id="152"/>
      <w:r>
        <w:t xml:space="preserve">relies on forecasts and judgements about the economic, operating and financial conditions for the Victorian general government sector. Uncertainty in these conditions, for example, as a result of international developments and other risks to the national economy, may cause the actual results to differ from projections. </w:t>
      </w:r>
    </w:p>
    <w:p w14:paraId="40EFC7F5" w14:textId="77777777" w:rsidR="009A0702" w:rsidRDefault="009A0702" w:rsidP="00F22EE1">
      <w:bookmarkStart w:id="153" w:name="_Hlk116405114"/>
      <w:r>
        <w:t xml:space="preserve">This sensitivity analysis explores the impacts of variations in the macroeconomic outlook on key fiscal aggregates of the general government sector using two alternative approaches. </w:t>
      </w:r>
    </w:p>
    <w:p w14:paraId="49D6D972" w14:textId="77777777" w:rsidR="009A0702" w:rsidRDefault="009A0702" w:rsidP="00F22EE1">
      <w:r w:rsidRPr="00484892">
        <w:t xml:space="preserve">The first approach quantifies the fiscal impacts of a scenario involving simultaneous variations in economic parameters that represent key risks to the economic outlook described in Chapter 1 </w:t>
      </w:r>
      <w:r w:rsidRPr="00484892">
        <w:rPr>
          <w:i/>
        </w:rPr>
        <w:t>Economic </w:t>
      </w:r>
      <w:r>
        <w:rPr>
          <w:i/>
        </w:rPr>
        <w:t>C</w:t>
      </w:r>
      <w:r w:rsidRPr="00484892">
        <w:rPr>
          <w:i/>
        </w:rPr>
        <w:t xml:space="preserve">onditions and </w:t>
      </w:r>
      <w:r>
        <w:rPr>
          <w:i/>
        </w:rPr>
        <w:t>O</w:t>
      </w:r>
      <w:r w:rsidRPr="00484892">
        <w:rPr>
          <w:i/>
        </w:rPr>
        <w:t>utlook</w:t>
      </w:r>
      <w:r w:rsidRPr="00484892">
        <w:t>. This scenario was selected to cover a plausible shock that could affect Victoria over the budget period, and the modelling takes account of linkages between key international, Australian and Victorian economic aggregates.</w:t>
      </w:r>
    </w:p>
    <w:p w14:paraId="5260C347" w14:textId="77777777" w:rsidR="009A0702" w:rsidRDefault="009A0702" w:rsidP="00F22EE1">
      <w:r>
        <w:t xml:space="preserve">The modelled outcomes are intended to be used as a guide and care should be exercised in interpreting the results. In particular, economic shocks tend to be idiosyncratic in nature, with the modelled scenario unlikely to completely reflect any future shock that could occur. Departures from this scenario would be likely to result in different impacts on the budget. Furthermore, the modelled results of the shocks do not incorporate any policy responses to the shocks and their subsequent effects on the economic or fiscal outlook. </w:t>
      </w:r>
    </w:p>
    <w:bookmarkEnd w:id="153"/>
    <w:p w14:paraId="653064F7" w14:textId="77777777" w:rsidR="009A0702" w:rsidRDefault="009A0702" w:rsidP="00F22EE1">
      <w:r>
        <w:t xml:space="preserve">The second approach considers the fiscal impacts of independent variations in major macroeconomic parameters, holding constant all parameters other than the indicator of interest. This analysis may be useful for assessing the impact on fiscal aggregates of a forecast error in a single economic parameter. In practice, economic variations rarely occur in isolation, and scenario </w:t>
      </w:r>
      <w:r w:rsidRPr="00B1259A">
        <w:t>analysis</w:t>
      </w:r>
      <w:r>
        <w:t xml:space="preserve"> is likely to be more appropriate to illustrate the fiscal impacts of an economic environment materially different from that presented in the budget papers.</w:t>
      </w:r>
    </w:p>
    <w:p w14:paraId="0C9E4055" w14:textId="77777777" w:rsidR="009A0702" w:rsidRDefault="009A0702" w:rsidP="00F22EE1">
      <w:pPr>
        <w:pStyle w:val="Heading10"/>
        <w:pageBreakBefore/>
      </w:pPr>
      <w:bookmarkStart w:id="154" w:name="_Toc9436041"/>
      <w:bookmarkStart w:id="155" w:name="_Toc101972163"/>
      <w:bookmarkStart w:id="156" w:name="_Toc117586269"/>
      <w:r>
        <w:lastRenderedPageBreak/>
        <w:t>Fiscal impacts of variations to the economic outlook</w:t>
      </w:r>
      <w:bookmarkEnd w:id="154"/>
      <w:bookmarkEnd w:id="155"/>
      <w:bookmarkEnd w:id="156"/>
    </w:p>
    <w:p w14:paraId="2E16C63C" w14:textId="77777777" w:rsidR="009A0702" w:rsidRPr="00484892" w:rsidRDefault="009A0702" w:rsidP="00F22EE1">
      <w:pPr>
        <w:ind w:right="-227"/>
      </w:pPr>
      <w:r w:rsidRPr="00484892">
        <w:t xml:space="preserve">This part of the sensitivity analysis quantifies a key risk identified in Chapter 1 </w:t>
      </w:r>
      <w:r w:rsidRPr="00484892">
        <w:rPr>
          <w:i/>
        </w:rPr>
        <w:t>Economic </w:t>
      </w:r>
      <w:r>
        <w:rPr>
          <w:i/>
        </w:rPr>
        <w:t>C</w:t>
      </w:r>
      <w:r w:rsidRPr="00484892">
        <w:rPr>
          <w:i/>
        </w:rPr>
        <w:t xml:space="preserve">onditions and </w:t>
      </w:r>
      <w:r>
        <w:rPr>
          <w:i/>
        </w:rPr>
        <w:t>O</w:t>
      </w:r>
      <w:r w:rsidRPr="00484892">
        <w:rPr>
          <w:i/>
        </w:rPr>
        <w:t>utlook</w:t>
      </w:r>
      <w:r w:rsidRPr="00484892">
        <w:t xml:space="preserve"> and presents how this risk might affect the </w:t>
      </w:r>
      <w:r>
        <w:t>S</w:t>
      </w:r>
      <w:r w:rsidRPr="00484892">
        <w:t xml:space="preserve">tate’s economic and fiscal aggregates. </w:t>
      </w:r>
    </w:p>
    <w:p w14:paraId="3ABFBEF8" w14:textId="77777777" w:rsidR="009A0702" w:rsidRPr="00484892" w:rsidRDefault="009A0702" w:rsidP="00F22EE1">
      <w:pPr>
        <w:ind w:right="-227"/>
      </w:pPr>
      <w:bookmarkStart w:id="157" w:name="_Hlk100137503"/>
      <w:r w:rsidRPr="00484892">
        <w:t xml:space="preserve">The scenario considered is the emergence of a new vaccine-resistant COVID-19 variant that leads to a setback in global growth, which weighs on the Victorian economy. </w:t>
      </w:r>
      <w:bookmarkEnd w:id="157"/>
      <w:r w:rsidRPr="00484892">
        <w:t>Under the scenario, domestic policy responses for the duration of the outbreak such</w:t>
      </w:r>
      <w:r>
        <w:t xml:space="preserve"> as</w:t>
      </w:r>
      <w:r w:rsidRPr="00484892">
        <w:t xml:space="preserve"> closing Australia’s international border</w:t>
      </w:r>
      <w:r>
        <w:t xml:space="preserve"> </w:t>
      </w:r>
      <w:r w:rsidRPr="00484892">
        <w:t xml:space="preserve">– though not a return to the tight restrictions required in 2020 and 2021 ahead of mass vaccination – also slow economic activity. The behavioural responses of businesses and households, reflected in labour supply and supply chain challenges, and downward pressure on consumer confidence also slow economic activity. </w:t>
      </w:r>
    </w:p>
    <w:p w14:paraId="690DFB65" w14:textId="77777777" w:rsidR="009A0702" w:rsidRDefault="009A0702" w:rsidP="00F22EE1">
      <w:pPr>
        <w:ind w:right="-227"/>
      </w:pPr>
      <w:r w:rsidRPr="00484892">
        <w:t>The economic impacts of the scenario have been modelled using VURMTAX, a computable general equilibrium model developed by the Centre of Policy Studies at Victoria University. The results of the scenario are analysed as a deviation from the ‘business as usual’ base case, which represents the economic forecasts outlined in Chapter 1</w:t>
      </w:r>
      <w:r w:rsidRPr="00484892">
        <w:rPr>
          <w:i/>
          <w:iCs/>
        </w:rPr>
        <w:t xml:space="preserve"> Economic </w:t>
      </w:r>
      <w:r>
        <w:rPr>
          <w:i/>
          <w:iCs/>
        </w:rPr>
        <w:t>C</w:t>
      </w:r>
      <w:r w:rsidRPr="00484892">
        <w:rPr>
          <w:i/>
        </w:rPr>
        <w:t xml:space="preserve">onditions and </w:t>
      </w:r>
      <w:r>
        <w:rPr>
          <w:i/>
        </w:rPr>
        <w:t>O</w:t>
      </w:r>
      <w:r w:rsidRPr="00484892">
        <w:rPr>
          <w:i/>
        </w:rPr>
        <w:t>utlook</w:t>
      </w:r>
      <w:r>
        <w:t>.</w:t>
      </w:r>
    </w:p>
    <w:p w14:paraId="58724096" w14:textId="77777777" w:rsidR="009A0702" w:rsidRDefault="009A0702" w:rsidP="00F22EE1">
      <w:pPr>
        <w:ind w:right="-86"/>
      </w:pPr>
      <w:r>
        <w:t>The changes in economic variables resulting from the modelled shocks are then mapped into estimated revenue and expenditure impacts using elasticities that describe the historical relationship between fiscal outcomes and major macroeconomic parameters in Table B</w:t>
      </w:r>
      <w:r w:rsidRPr="0032581E">
        <w:t>.1.</w:t>
      </w:r>
      <w:r w:rsidRPr="0032581E">
        <w:rPr>
          <w:rStyle w:val="FootnoteReference"/>
        </w:rPr>
        <w:footnoteReference w:id="1"/>
      </w:r>
    </w:p>
    <w:p w14:paraId="32248DBD" w14:textId="77777777" w:rsidR="009A0702" w:rsidRDefault="009A0702" w:rsidP="00F22EE1">
      <w:pPr>
        <w:pStyle w:val="Heading20"/>
      </w:pPr>
      <w:r>
        <w:t xml:space="preserve">Scenario: Global COVID-19 resurgence </w:t>
      </w:r>
    </w:p>
    <w:p w14:paraId="3F5E5DEF" w14:textId="77777777" w:rsidR="009A0702" w:rsidRDefault="009A0702" w:rsidP="00F22EE1">
      <w:r>
        <w:t xml:space="preserve">The global economy was severely affected by the onset of the COVID-19 pandemic, with world GDP falling by 3 per cent in 2020. In 2021, global economic output was recovering well and rebounded </w:t>
      </w:r>
      <w:r w:rsidRPr="00FA3D0A">
        <w:t>by a strong 6.</w:t>
      </w:r>
      <w:r>
        <w:t>0</w:t>
      </w:r>
      <w:r w:rsidRPr="00FA3D0A">
        <w:t xml:space="preserve"> per cent</w:t>
      </w:r>
      <w:r>
        <w:t>. Success in rolling out vaccines, particularly in advanced economies, allowed public health restrictions to be eased over late 2021 and early 2022 despite elevated COVID</w:t>
      </w:r>
      <w:r>
        <w:noBreakHyphen/>
        <w:t>19 case numbers (Chart B.1).</w:t>
      </w:r>
      <w:r w:rsidRPr="00732EC2">
        <w:t xml:space="preserve"> </w:t>
      </w:r>
    </w:p>
    <w:p w14:paraId="22465E3C" w14:textId="77777777" w:rsidR="009A0702" w:rsidRDefault="009A0702" w:rsidP="00F22EE1">
      <w:r>
        <w:t>More recently, case numbers have declined again, and public health restrictions in major advanced economies continue to be limited – while the emergence of high inflation and sharply rising interest rates now dominate the economic outlook. In China, though, the authorities’ zero-COVID policy has led to periods of tight public health restrictions that have continued to weigh on economic activity there in 2022.</w:t>
      </w:r>
    </w:p>
    <w:p w14:paraId="0099F76C" w14:textId="77777777" w:rsidR="009A0702" w:rsidRPr="00062656" w:rsidRDefault="009A0702" w:rsidP="00F22EE1">
      <w:r>
        <w:t xml:space="preserve">The World Health Organization has warned that more transmissible and deadly variants of COVID-19 may evolve as long as a substantial share of the world population remains unprotected. Such a development would be a major setback for the global economy. This scenario explores the implications of the emergence of such a variant, which leads to a </w:t>
      </w:r>
      <w:r w:rsidRPr="00062656">
        <w:t>renewed global economic downturn that disrupts Victoria</w:t>
      </w:r>
      <w:r>
        <w:t>’</w:t>
      </w:r>
      <w:r w:rsidRPr="00062656">
        <w:t>s economy.</w:t>
      </w:r>
    </w:p>
    <w:p w14:paraId="2DB5929F" w14:textId="77777777" w:rsidR="009A0702" w:rsidRPr="00062656" w:rsidRDefault="009A0702" w:rsidP="00F22EE1">
      <w:r w:rsidRPr="00062656">
        <w:lastRenderedPageBreak/>
        <w:t xml:space="preserve">In this scenario, global economic activity falls with the reimposition of health restrictions in major economies outside Australia. Global growth is assumed to be 1.6 percentage points lower than the baseline in </w:t>
      </w:r>
      <w:r w:rsidRPr="00323171">
        <w:t>2023, with the shock assumed to begin in the March quarter 2023.</w:t>
      </w:r>
    </w:p>
    <w:p w14:paraId="29C6B3EF" w14:textId="77777777" w:rsidR="009A0702" w:rsidRDefault="009A0702" w:rsidP="009A0702">
      <w:pPr>
        <w:pStyle w:val="TableHeading"/>
      </w:pPr>
      <w:r w:rsidRPr="00D06074">
        <w:t xml:space="preserve">Chart </w:t>
      </w:r>
      <w:r>
        <w:t>B</w:t>
      </w:r>
      <w:r w:rsidRPr="00D06074">
        <w:t xml:space="preserve">.1: </w:t>
      </w:r>
      <w:r w:rsidRPr="00D06074">
        <w:tab/>
        <w:t>Daily COVID-19 case numbers</w:t>
      </w:r>
    </w:p>
    <w:p w14:paraId="46F19275" w14:textId="77777777" w:rsidR="009A0702" w:rsidRDefault="009A0702" w:rsidP="00F22EE1">
      <w:pPr>
        <w:rPr>
          <w:rFonts w:asciiTheme="majorHAnsi" w:hAnsiTheme="majorHAnsi" w:cstheme="majorHAnsi"/>
        </w:rPr>
      </w:pPr>
      <w:r>
        <w:rPr>
          <w:noProof/>
        </w:rPr>
        <w:drawing>
          <wp:inline distT="0" distB="0" distL="0" distR="0" wp14:anchorId="3A13A3CA" wp14:editId="1E7F5E77">
            <wp:extent cx="4896485" cy="2821940"/>
            <wp:effectExtent l="0" t="0" r="0" b="0"/>
            <wp:docPr id="5" name="Chart 5">
              <a:extLst xmlns:a="http://schemas.openxmlformats.org/drawingml/2006/main">
                <a:ext uri="{FF2B5EF4-FFF2-40B4-BE49-F238E27FC236}">
                  <a16:creationId xmlns:a16="http://schemas.microsoft.com/office/drawing/2014/main" id="{1E7831BB-0EEA-406B-847E-6EF93BE7A8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3C8C5E4B" w14:textId="77777777" w:rsidR="009A0702" w:rsidRDefault="009A0702" w:rsidP="00F22EE1">
      <w:pPr>
        <w:pStyle w:val="Source"/>
      </w:pPr>
      <w:r>
        <w:t>Source: Johns Hopkins University</w:t>
      </w:r>
    </w:p>
    <w:p w14:paraId="55A8BBE5" w14:textId="77777777" w:rsidR="009A0702" w:rsidRDefault="009A0702" w:rsidP="00F22EE1"/>
    <w:p w14:paraId="700A45D9" w14:textId="18537B2A" w:rsidR="009A0702" w:rsidRPr="00062656" w:rsidRDefault="009A0702" w:rsidP="00F22EE1">
      <w:r>
        <w:t>Australia’s national border restrictions are assumed to be reimposed for a period of 12 months due to significant outbreaks overseas. S</w:t>
      </w:r>
      <w:r w:rsidRPr="00062656">
        <w:t xml:space="preserve">ubdued global demand and </w:t>
      </w:r>
      <w:r>
        <w:t xml:space="preserve">the </w:t>
      </w:r>
      <w:r w:rsidRPr="00062656">
        <w:t>reimposition of border restrictions have an adverse impact on immigration and services trade</w:t>
      </w:r>
      <w:r>
        <w:t xml:space="preserve"> in Victoria</w:t>
      </w:r>
      <w:r w:rsidRPr="00062656">
        <w:t>, including international education and tourism exports.</w:t>
      </w:r>
    </w:p>
    <w:p w14:paraId="55269788" w14:textId="77777777" w:rsidR="009A0702" w:rsidRPr="00062656" w:rsidRDefault="009A0702" w:rsidP="00F22EE1">
      <w:r>
        <w:t>The reimposition of Australian border controls in this scenario leads to net overseas migration falling sharply, with Victoria’s population 0.8 per cent smaller than the base case by 2025-26. A smaller population</w:t>
      </w:r>
      <w:r w:rsidRPr="00062656">
        <w:t xml:space="preserve"> weighs on Victorian consumer spending, dwelling investment and business investment relative to the base case.</w:t>
      </w:r>
    </w:p>
    <w:p w14:paraId="4490266E" w14:textId="77777777" w:rsidR="009A0702" w:rsidRPr="0081514A" w:rsidRDefault="009A0702" w:rsidP="00F22EE1">
      <w:pPr>
        <w:ind w:right="151"/>
      </w:pPr>
      <w:r>
        <w:t>With the state a</w:t>
      </w:r>
      <w:r w:rsidRPr="0081514A">
        <w:t xml:space="preserve">ccounting for nearly a </w:t>
      </w:r>
      <w:r w:rsidRPr="00323171">
        <w:t>third</w:t>
      </w:r>
      <w:r w:rsidRPr="0081514A">
        <w:t xml:space="preserve"> of onshore </w:t>
      </w:r>
      <w:r>
        <w:t xml:space="preserve">international </w:t>
      </w:r>
      <w:r w:rsidRPr="0081514A">
        <w:t>students in Australia, international education is Victoria’s largest service export</w:t>
      </w:r>
      <w:r>
        <w:t>. A setback in international student arrivals has a significant negative impact on Victoria’s education exports.</w:t>
      </w:r>
      <w:r w:rsidRPr="0081514A">
        <w:t xml:space="preserve"> Tourism, which accounted for over </w:t>
      </w:r>
      <w:r>
        <w:t>2</w:t>
      </w:r>
      <w:r w:rsidRPr="00323171">
        <w:t xml:space="preserve"> per cent </w:t>
      </w:r>
      <w:r w:rsidRPr="0081514A">
        <w:t xml:space="preserve">of the Victorian economy in </w:t>
      </w:r>
      <w:r w:rsidRPr="00323171">
        <w:t>2020-21</w:t>
      </w:r>
      <w:r w:rsidRPr="0081514A">
        <w:t xml:space="preserve">, is also adversely affected by the national border restrictions. While </w:t>
      </w:r>
      <w:r>
        <w:t>Victorian consumers substitute some international tourism to domestic tourism in the scenario, the net impact on the Victorian economy is negative</w:t>
      </w:r>
      <w:r w:rsidRPr="0081514A">
        <w:t xml:space="preserve">. </w:t>
      </w:r>
      <w:r>
        <w:t>Overall, n</w:t>
      </w:r>
      <w:r w:rsidRPr="0081514A">
        <w:t xml:space="preserve">ational border restrictions result in a </w:t>
      </w:r>
      <w:r w:rsidRPr="00323171">
        <w:t>5.</w:t>
      </w:r>
      <w:r>
        <w:t>4</w:t>
      </w:r>
      <w:r w:rsidRPr="00323171">
        <w:t xml:space="preserve"> per cent fall </w:t>
      </w:r>
      <w:r w:rsidRPr="0081514A">
        <w:t xml:space="preserve">in Victoria’s service exports relative to the base case </w:t>
      </w:r>
      <w:r>
        <w:t>in</w:t>
      </w:r>
      <w:r w:rsidRPr="00323171">
        <w:t xml:space="preserve"> 2023</w:t>
      </w:r>
      <w:r>
        <w:t xml:space="preserve"> in the scenario</w:t>
      </w:r>
      <w:r w:rsidRPr="0081514A">
        <w:t xml:space="preserve">. Service imports also decline by </w:t>
      </w:r>
      <w:r w:rsidRPr="00323171">
        <w:t>2.</w:t>
      </w:r>
      <w:r>
        <w:t>2</w:t>
      </w:r>
      <w:r w:rsidRPr="0081514A">
        <w:t xml:space="preserve"> per cent. </w:t>
      </w:r>
    </w:p>
    <w:p w14:paraId="691F249F" w14:textId="77777777" w:rsidR="009A0702" w:rsidRPr="00062656" w:rsidRDefault="009A0702" w:rsidP="00F22EE1">
      <w:r>
        <w:lastRenderedPageBreak/>
        <w:t>Consumer confidence in Victoria is weighed down by reports</w:t>
      </w:r>
      <w:r w:rsidRPr="00062656">
        <w:t xml:space="preserve"> of global outbreaks of a vaccine-resistant COVID-19 variant, lower levels of global growth and national border</w:t>
      </w:r>
      <w:r>
        <w:t xml:space="preserve"> restrictions</w:t>
      </w:r>
      <w:r w:rsidRPr="00062656">
        <w:t xml:space="preserve">. </w:t>
      </w:r>
      <w:r>
        <w:t xml:space="preserve">Consumers respond by increasing precautionary savings, weighing on household spending. </w:t>
      </w:r>
      <w:r w:rsidRPr="00062656">
        <w:t>These impacts are in addition to those caused by lower trade and population flows.</w:t>
      </w:r>
    </w:p>
    <w:p w14:paraId="6ACCDFB8" w14:textId="77777777" w:rsidR="009A0702" w:rsidRPr="00062656" w:rsidRDefault="009A0702" w:rsidP="00F22EE1">
      <w:r w:rsidRPr="00323171">
        <w:t>The shocks to exports, net overseas migration and consumer confidence reduce</w:t>
      </w:r>
      <w:r>
        <w:t xml:space="preserve"> </w:t>
      </w:r>
      <w:r w:rsidRPr="00323171">
        <w:t>Victoria’s gross state product (GSP) by 0.35 per cent in 2022-23, 0.69 per cent in 2023-24, 0.66</w:t>
      </w:r>
      <w:r>
        <w:t> </w:t>
      </w:r>
      <w:r w:rsidRPr="00323171">
        <w:t>per</w:t>
      </w:r>
      <w:r>
        <w:t> </w:t>
      </w:r>
      <w:r w:rsidRPr="00323171">
        <w:t>cent in 2024-25 and 0.67 per cent in 2025-26 compared with the base case.</w:t>
      </w:r>
      <w:r w:rsidRPr="00062656">
        <w:t xml:space="preserve"> </w:t>
      </w:r>
    </w:p>
    <w:p w14:paraId="50AF8EA1" w14:textId="77777777" w:rsidR="009A0702" w:rsidRPr="00F26181" w:rsidRDefault="009A0702" w:rsidP="00F22EE1">
      <w:r w:rsidRPr="00F26181">
        <w:t xml:space="preserve">The peak economic impact occurs </w:t>
      </w:r>
      <w:r>
        <w:t>in</w:t>
      </w:r>
      <w:r w:rsidRPr="00323171">
        <w:t xml:space="preserve"> 2023</w:t>
      </w:r>
      <w:r w:rsidRPr="00F26181">
        <w:t xml:space="preserve">, when </w:t>
      </w:r>
      <w:r>
        <w:t xml:space="preserve">household consumption declines due to lower confidence </w:t>
      </w:r>
      <w:r w:rsidRPr="00F26181">
        <w:t xml:space="preserve">(see Chart </w:t>
      </w:r>
      <w:r>
        <w:t>B</w:t>
      </w:r>
      <w:r w:rsidRPr="00F26181">
        <w:t xml:space="preserve">.2). Later in the forecast period, as </w:t>
      </w:r>
      <w:r>
        <w:t>this</w:t>
      </w:r>
      <w:r w:rsidRPr="00F26181">
        <w:t xml:space="preserve"> confidence effect dissipate</w:t>
      </w:r>
      <w:r>
        <w:t>s</w:t>
      </w:r>
      <w:r w:rsidRPr="00F26181">
        <w:t>, consumption recover</w:t>
      </w:r>
      <w:r>
        <w:t>s</w:t>
      </w:r>
      <w:r w:rsidRPr="00F26181">
        <w:t xml:space="preserve"> somewhat, but lower global growth and a lower population mean </w:t>
      </w:r>
      <w:r>
        <w:t>it</w:t>
      </w:r>
      <w:r w:rsidRPr="00F26181">
        <w:t xml:space="preserve"> remain</w:t>
      </w:r>
      <w:r>
        <w:t>s</w:t>
      </w:r>
      <w:r w:rsidRPr="00F26181">
        <w:t xml:space="preserve"> weaker than in the baseline.</w:t>
      </w:r>
    </w:p>
    <w:p w14:paraId="79FF88D5" w14:textId="77777777" w:rsidR="009A0702" w:rsidRPr="00062656" w:rsidRDefault="009A0702" w:rsidP="00F22EE1">
      <w:r w:rsidRPr="00062656">
        <w:t>Government consumption is also lower over the forecast period as a smaller population requires a lower level of expenditure. In the scenario</w:t>
      </w:r>
      <w:r>
        <w:t>,</w:t>
      </w:r>
      <w:r w:rsidRPr="00062656">
        <w:t xml:space="preserve"> there is no further discretionary fiscal expenditure </w:t>
      </w:r>
      <w:r>
        <w:t xml:space="preserve">assumed to occur </w:t>
      </w:r>
      <w:r w:rsidRPr="00062656">
        <w:t>in response to the shock.</w:t>
      </w:r>
      <w:r>
        <w:t xml:space="preserve"> In practice, governments and the Reserve Bank of Australia may intervene to mitigate the shock’s impacts on the economy.</w:t>
      </w:r>
    </w:p>
    <w:p w14:paraId="5B31451E" w14:textId="77777777" w:rsidR="009A0702" w:rsidRPr="00062656" w:rsidRDefault="009A0702" w:rsidP="00F22EE1">
      <w:r w:rsidRPr="00062656">
        <w:t xml:space="preserve">Weaker domestic activity puts downward pressure on the real exchange rate, leading to a depreciation of the domestic currency that increases the international competitiveness of domestic exporters. This raises goods export volumes relative to the baseline, more than offsetting the </w:t>
      </w:r>
      <w:r>
        <w:t>decline in</w:t>
      </w:r>
      <w:r w:rsidRPr="00062656">
        <w:t xml:space="preserve"> service exports in the scenario. Overall, net trade adds to growth and somewhat offsets the </w:t>
      </w:r>
      <w:r>
        <w:t xml:space="preserve">negative </w:t>
      </w:r>
      <w:r w:rsidRPr="00062656">
        <w:t>impacts of the shocks.</w:t>
      </w:r>
    </w:p>
    <w:p w14:paraId="0C3585EA" w14:textId="77777777" w:rsidR="009A0702" w:rsidRPr="00062656" w:rsidRDefault="009A0702" w:rsidP="00F22EE1">
      <w:r w:rsidRPr="00323171">
        <w:t>Subdued domestic activity lowers the demand for labour, with employment growth 0.28</w:t>
      </w:r>
      <w:r>
        <w:t> </w:t>
      </w:r>
      <w:r w:rsidRPr="00323171">
        <w:t>per cent lower in 2022-23 and 0.61 per cent lower than the base case in 2023-24. Labour supply is also reduced due to the decline in international migration, and employment is still lower than the base case in 2025-26. Weaker economic growth increases the level of spare capacity in the labour market, which puts downward pressure on wages.</w:t>
      </w:r>
      <w:r w:rsidRPr="00062656">
        <w:t xml:space="preserve"> </w:t>
      </w:r>
    </w:p>
    <w:p w14:paraId="7C5F18B4" w14:textId="77777777" w:rsidR="009A0702" w:rsidRPr="00062656" w:rsidRDefault="009A0702" w:rsidP="00F22EE1">
      <w:pPr>
        <w:rPr>
          <w:highlight w:val="yellow"/>
        </w:rPr>
      </w:pPr>
      <w:r w:rsidRPr="00062656">
        <w:t>The depreciation of the domestic currency raises the cost of imports to households, placing upward pressure on consumer prices. This effect on consumer prices is more than offset, though, by weaker domestic activity, with the net effect that consumer prices are lower in the scenario.</w:t>
      </w:r>
    </w:p>
    <w:p w14:paraId="6743A228" w14:textId="77777777" w:rsidR="009A0702" w:rsidRDefault="009A0702" w:rsidP="00F22EE1">
      <w:pPr>
        <w:rPr>
          <w:color w:val="000000" w:themeColor="text1"/>
        </w:rPr>
      </w:pPr>
      <w:r>
        <w:rPr>
          <w:color w:val="000000" w:themeColor="text1"/>
        </w:rPr>
        <w:t xml:space="preserve">Table B.1 summarises the economic effects of this shock. </w:t>
      </w:r>
    </w:p>
    <w:p w14:paraId="28B0C09C" w14:textId="77777777" w:rsidR="009A0702" w:rsidRDefault="009A0702" w:rsidP="009A0702">
      <w:pPr>
        <w:pStyle w:val="TableHeading"/>
      </w:pPr>
      <w:r w:rsidRPr="00D46088">
        <w:lastRenderedPageBreak/>
        <w:t xml:space="preserve">Chart </w:t>
      </w:r>
      <w:r>
        <w:t>B</w:t>
      </w:r>
      <w:r w:rsidRPr="00D46088">
        <w:t xml:space="preserve">.2: </w:t>
      </w:r>
      <w:r>
        <w:tab/>
      </w:r>
      <w:r w:rsidRPr="00D46088">
        <w:t>Scenario impact on select variables</w:t>
      </w:r>
    </w:p>
    <w:p w14:paraId="1FD9DF9D" w14:textId="77777777" w:rsidR="009A0702" w:rsidRDefault="009A0702" w:rsidP="00F22EE1">
      <w:r>
        <w:rPr>
          <w:noProof/>
        </w:rPr>
        <w:drawing>
          <wp:inline distT="0" distB="0" distL="0" distR="0" wp14:anchorId="1757CC28" wp14:editId="37865BA3">
            <wp:extent cx="4695825" cy="2667000"/>
            <wp:effectExtent l="0" t="0" r="0" b="0"/>
            <wp:docPr id="1" name="Chart 1">
              <a:extLst xmlns:a="http://schemas.openxmlformats.org/drawingml/2006/main">
                <a:ext uri="{FF2B5EF4-FFF2-40B4-BE49-F238E27FC236}">
                  <a16:creationId xmlns:a16="http://schemas.microsoft.com/office/drawing/2014/main" id="{D57D6147-BF24-4D07-8B7F-B040C3B32C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072FC9ED" w14:textId="77777777" w:rsidR="009A0702" w:rsidRDefault="009A0702" w:rsidP="00F22EE1">
      <w:pPr>
        <w:pStyle w:val="TableHeading"/>
      </w:pPr>
    </w:p>
    <w:p w14:paraId="046453B2" w14:textId="3B7EB698" w:rsidR="009A0702" w:rsidRPr="001232A3" w:rsidRDefault="009A0702" w:rsidP="00F22EE1">
      <w:pPr>
        <w:pStyle w:val="TableHeading"/>
      </w:pPr>
      <w:r w:rsidRPr="001232A3">
        <w:t xml:space="preserve">Table </w:t>
      </w:r>
      <w:r>
        <w:t>B</w:t>
      </w:r>
      <w:r w:rsidRPr="001232A3">
        <w:t>.1:</w:t>
      </w:r>
      <w:r w:rsidRPr="001232A3">
        <w:tab/>
        <w:t xml:space="preserve">Projected economic impact of a global COVID-19 outbreak </w:t>
      </w:r>
      <w:r w:rsidRPr="00C64728">
        <w:rPr>
          <w:vertAlign w:val="superscript"/>
        </w:rPr>
        <w:t>(a)</w:t>
      </w:r>
      <w:r w:rsidRPr="001232A3">
        <w:t xml:space="preserve"> </w:t>
      </w:r>
      <w:r w:rsidRPr="001232A3">
        <w:tab/>
        <w:t>(per cent)</w:t>
      </w:r>
    </w:p>
    <w:tbl>
      <w:tblPr>
        <w:tblStyle w:val="DTFTable"/>
        <w:tblW w:w="7770" w:type="dxa"/>
        <w:tblLayout w:type="fixed"/>
        <w:tblLook w:val="06E0" w:firstRow="1" w:lastRow="1" w:firstColumn="1" w:lastColumn="0" w:noHBand="1" w:noVBand="1"/>
      </w:tblPr>
      <w:tblGrid>
        <w:gridCol w:w="4370"/>
        <w:gridCol w:w="850"/>
        <w:gridCol w:w="850"/>
        <w:gridCol w:w="850"/>
        <w:gridCol w:w="850"/>
      </w:tblGrid>
      <w:tr w:rsidR="009A0702" w:rsidRPr="001232A3" w14:paraId="36C2CC02" w14:textId="77777777" w:rsidTr="007E0B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0" w:type="dxa"/>
            <w:hideMark/>
          </w:tcPr>
          <w:p w14:paraId="3F19FF5E" w14:textId="59580C72" w:rsidR="009A0702" w:rsidRPr="001232A3" w:rsidRDefault="009A0702" w:rsidP="007E0B75">
            <w:pPr>
              <w:keepLines w:val="0"/>
              <w:autoSpaceDE w:val="0"/>
              <w:autoSpaceDN w:val="0"/>
              <w:adjustRightInd w:val="0"/>
              <w:rPr>
                <w:rFonts w:eastAsiaTheme="minorEastAsia" w:cstheme="majorHAnsi"/>
                <w:iCs/>
                <w:szCs w:val="17"/>
                <w:lang w:eastAsia="en-AU"/>
              </w:rPr>
            </w:pPr>
            <w:r w:rsidRPr="001232A3">
              <w:rPr>
                <w:rFonts w:eastAsiaTheme="minorEastAsia" w:cstheme="majorHAnsi"/>
                <w:iCs/>
                <w:szCs w:val="17"/>
                <w:lang w:eastAsia="en-AU"/>
              </w:rPr>
              <w:t xml:space="preserve"> </w:t>
            </w:r>
          </w:p>
        </w:tc>
        <w:tc>
          <w:tcPr>
            <w:tcW w:w="850" w:type="dxa"/>
            <w:hideMark/>
          </w:tcPr>
          <w:p w14:paraId="6EC340DE" w14:textId="159EDF65" w:rsidR="009A0702" w:rsidRPr="001232A3" w:rsidRDefault="009A0702" w:rsidP="00303BE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sidRPr="001232A3">
              <w:rPr>
                <w:rFonts w:eastAsiaTheme="minorEastAsia" w:cs="Calibri"/>
                <w:iCs/>
                <w:szCs w:val="17"/>
                <w:lang w:eastAsia="en-AU"/>
              </w:rPr>
              <w:t>2022-23</w:t>
            </w:r>
            <w:r w:rsidR="00357AFE">
              <w:rPr>
                <w:rFonts w:eastAsiaTheme="minorEastAsia" w:cstheme="majorHAnsi"/>
                <w:i w:val="0"/>
                <w:iCs/>
                <w:szCs w:val="17"/>
                <w:lang w:eastAsia="en-AU"/>
              </w:rPr>
              <w:br/>
            </w:r>
            <w:r w:rsidRPr="001232A3">
              <w:rPr>
                <w:rFonts w:eastAsiaTheme="minorEastAsia" w:cstheme="majorHAnsi"/>
                <w:iCs/>
                <w:szCs w:val="17"/>
                <w:lang w:eastAsia="en-AU"/>
              </w:rPr>
              <w:t>estimate</w:t>
            </w:r>
          </w:p>
        </w:tc>
        <w:tc>
          <w:tcPr>
            <w:tcW w:w="850" w:type="dxa"/>
            <w:hideMark/>
          </w:tcPr>
          <w:p w14:paraId="34A4A7E9" w14:textId="3AC73EA1" w:rsidR="009A0702" w:rsidRPr="001232A3" w:rsidRDefault="009A0702" w:rsidP="00303BE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sidRPr="001232A3">
              <w:rPr>
                <w:rFonts w:eastAsiaTheme="minorEastAsia" w:cs="Calibri"/>
                <w:iCs/>
                <w:szCs w:val="17"/>
                <w:lang w:eastAsia="en-AU"/>
              </w:rPr>
              <w:t>2023-24</w:t>
            </w:r>
            <w:r w:rsidR="00357AFE">
              <w:rPr>
                <w:rFonts w:eastAsiaTheme="minorEastAsia" w:cstheme="majorHAnsi"/>
                <w:i w:val="0"/>
                <w:iCs/>
                <w:szCs w:val="17"/>
                <w:lang w:eastAsia="en-AU"/>
              </w:rPr>
              <w:br/>
            </w:r>
            <w:r w:rsidRPr="001232A3">
              <w:rPr>
                <w:rFonts w:eastAsiaTheme="minorEastAsia" w:cstheme="majorHAnsi"/>
                <w:iCs/>
                <w:szCs w:val="17"/>
                <w:lang w:eastAsia="en-AU"/>
              </w:rPr>
              <w:t>estimate</w:t>
            </w:r>
          </w:p>
        </w:tc>
        <w:tc>
          <w:tcPr>
            <w:tcW w:w="850" w:type="dxa"/>
            <w:hideMark/>
          </w:tcPr>
          <w:p w14:paraId="0C7D83C1" w14:textId="774CB780" w:rsidR="009A0702" w:rsidRPr="001232A3" w:rsidRDefault="009A0702" w:rsidP="00303BE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sidRPr="001232A3">
              <w:rPr>
                <w:rFonts w:eastAsiaTheme="minorEastAsia" w:cs="Calibri"/>
                <w:iCs/>
                <w:szCs w:val="17"/>
                <w:lang w:eastAsia="en-AU"/>
              </w:rPr>
              <w:t>2024-25</w:t>
            </w:r>
            <w:r w:rsidR="00357AFE">
              <w:rPr>
                <w:rFonts w:eastAsiaTheme="minorEastAsia" w:cstheme="majorHAnsi"/>
                <w:i w:val="0"/>
                <w:iCs/>
                <w:szCs w:val="17"/>
                <w:lang w:eastAsia="en-AU"/>
              </w:rPr>
              <w:br/>
            </w:r>
            <w:r w:rsidRPr="001232A3">
              <w:rPr>
                <w:rFonts w:eastAsiaTheme="minorEastAsia" w:cstheme="majorHAnsi"/>
                <w:iCs/>
                <w:szCs w:val="17"/>
                <w:lang w:eastAsia="en-AU"/>
              </w:rPr>
              <w:t>estimate</w:t>
            </w:r>
          </w:p>
        </w:tc>
        <w:tc>
          <w:tcPr>
            <w:tcW w:w="850" w:type="dxa"/>
            <w:hideMark/>
          </w:tcPr>
          <w:p w14:paraId="5B8C771F" w14:textId="14C3C78D" w:rsidR="009A0702" w:rsidRPr="001232A3" w:rsidRDefault="009A0702" w:rsidP="00303BE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sidRPr="001232A3">
              <w:rPr>
                <w:rFonts w:eastAsiaTheme="minorEastAsia" w:cs="Calibri"/>
                <w:iCs/>
                <w:szCs w:val="17"/>
                <w:lang w:eastAsia="en-AU"/>
              </w:rPr>
              <w:t>2025-26</w:t>
            </w:r>
            <w:r w:rsidR="00357AFE">
              <w:rPr>
                <w:rFonts w:eastAsiaTheme="minorEastAsia" w:cstheme="majorHAnsi"/>
                <w:i w:val="0"/>
                <w:iCs/>
                <w:szCs w:val="17"/>
                <w:lang w:eastAsia="en-AU"/>
              </w:rPr>
              <w:br/>
            </w:r>
            <w:r w:rsidRPr="001232A3">
              <w:rPr>
                <w:rFonts w:eastAsiaTheme="minorEastAsia" w:cstheme="majorHAnsi"/>
                <w:iCs/>
                <w:szCs w:val="17"/>
                <w:lang w:eastAsia="en-AU"/>
              </w:rPr>
              <w:t>estimate</w:t>
            </w:r>
          </w:p>
        </w:tc>
      </w:tr>
      <w:tr w:rsidR="009A0702" w:rsidRPr="003A715D" w14:paraId="0BEDB9B4" w14:textId="77777777" w:rsidTr="00303BE5">
        <w:tc>
          <w:tcPr>
            <w:cnfStyle w:val="001000000000" w:firstRow="0" w:lastRow="0" w:firstColumn="1" w:lastColumn="0" w:oddVBand="0" w:evenVBand="0" w:oddHBand="0" w:evenHBand="0" w:firstRowFirstColumn="0" w:firstRowLastColumn="0" w:lastRowFirstColumn="0" w:lastRowLastColumn="0"/>
            <w:tcW w:w="4370" w:type="dxa"/>
            <w:hideMark/>
          </w:tcPr>
          <w:p w14:paraId="6A194A35" w14:textId="77777777" w:rsidR="009A0702" w:rsidRPr="003A715D" w:rsidRDefault="009A0702" w:rsidP="00303BE5">
            <w:pPr>
              <w:keepLines w:val="0"/>
              <w:autoSpaceDE w:val="0"/>
              <w:autoSpaceDN w:val="0"/>
              <w:adjustRightInd w:val="0"/>
              <w:rPr>
                <w:rFonts w:eastAsiaTheme="minorEastAsia" w:cstheme="majorHAnsi"/>
                <w:szCs w:val="17"/>
                <w:lang w:eastAsia="en-AU"/>
              </w:rPr>
            </w:pPr>
            <w:r w:rsidRPr="003A715D">
              <w:rPr>
                <w:rFonts w:eastAsiaTheme="minorEastAsia" w:cstheme="majorHAnsi"/>
                <w:szCs w:val="17"/>
                <w:lang w:eastAsia="en-AU"/>
              </w:rPr>
              <w:t>Real GSP</w:t>
            </w:r>
          </w:p>
        </w:tc>
        <w:tc>
          <w:tcPr>
            <w:tcW w:w="850" w:type="dxa"/>
            <w:hideMark/>
          </w:tcPr>
          <w:p w14:paraId="6740B928" w14:textId="77777777" w:rsidR="009A0702" w:rsidRPr="009644C7" w:rsidRDefault="009A0702" w:rsidP="00303BE5">
            <w:pPr>
              <w:cnfStyle w:val="000000000000" w:firstRow="0" w:lastRow="0" w:firstColumn="0" w:lastColumn="0" w:oddVBand="0" w:evenVBand="0" w:oddHBand="0" w:evenHBand="0" w:firstRowFirstColumn="0" w:firstRowLastColumn="0" w:lastRowFirstColumn="0" w:lastRowLastColumn="0"/>
              <w:rPr>
                <w:szCs w:val="17"/>
                <w:highlight w:val="yellow"/>
              </w:rPr>
            </w:pPr>
            <w:r w:rsidRPr="005871EC">
              <w:t>(0.35)</w:t>
            </w:r>
          </w:p>
        </w:tc>
        <w:tc>
          <w:tcPr>
            <w:tcW w:w="850" w:type="dxa"/>
            <w:hideMark/>
          </w:tcPr>
          <w:p w14:paraId="390C0E92" w14:textId="77777777" w:rsidR="009A0702" w:rsidRPr="009644C7" w:rsidRDefault="009A0702" w:rsidP="00303BE5">
            <w:pPr>
              <w:cnfStyle w:val="000000000000" w:firstRow="0" w:lastRow="0" w:firstColumn="0" w:lastColumn="0" w:oddVBand="0" w:evenVBand="0" w:oddHBand="0" w:evenHBand="0" w:firstRowFirstColumn="0" w:firstRowLastColumn="0" w:lastRowFirstColumn="0" w:lastRowLastColumn="0"/>
              <w:rPr>
                <w:szCs w:val="17"/>
                <w:highlight w:val="yellow"/>
              </w:rPr>
            </w:pPr>
            <w:r w:rsidRPr="005871EC">
              <w:t>(0.69)</w:t>
            </w:r>
          </w:p>
        </w:tc>
        <w:tc>
          <w:tcPr>
            <w:tcW w:w="850" w:type="dxa"/>
            <w:hideMark/>
          </w:tcPr>
          <w:p w14:paraId="1E97C51E" w14:textId="77777777" w:rsidR="009A0702" w:rsidRPr="009644C7" w:rsidRDefault="009A0702" w:rsidP="00303BE5">
            <w:pPr>
              <w:cnfStyle w:val="000000000000" w:firstRow="0" w:lastRow="0" w:firstColumn="0" w:lastColumn="0" w:oddVBand="0" w:evenVBand="0" w:oddHBand="0" w:evenHBand="0" w:firstRowFirstColumn="0" w:firstRowLastColumn="0" w:lastRowFirstColumn="0" w:lastRowLastColumn="0"/>
              <w:rPr>
                <w:szCs w:val="17"/>
                <w:highlight w:val="yellow"/>
              </w:rPr>
            </w:pPr>
            <w:r w:rsidRPr="005871EC">
              <w:t>(0.66)</w:t>
            </w:r>
          </w:p>
        </w:tc>
        <w:tc>
          <w:tcPr>
            <w:tcW w:w="850" w:type="dxa"/>
            <w:hideMark/>
          </w:tcPr>
          <w:p w14:paraId="3F71CDB7" w14:textId="77777777" w:rsidR="009A0702" w:rsidRPr="009644C7" w:rsidRDefault="009A0702" w:rsidP="00303BE5">
            <w:pPr>
              <w:cnfStyle w:val="000000000000" w:firstRow="0" w:lastRow="0" w:firstColumn="0" w:lastColumn="0" w:oddVBand="0" w:evenVBand="0" w:oddHBand="0" w:evenHBand="0" w:firstRowFirstColumn="0" w:firstRowLastColumn="0" w:lastRowFirstColumn="0" w:lastRowLastColumn="0"/>
              <w:rPr>
                <w:szCs w:val="17"/>
                <w:highlight w:val="yellow"/>
              </w:rPr>
            </w:pPr>
            <w:r w:rsidRPr="005871EC">
              <w:t>(0.67)</w:t>
            </w:r>
          </w:p>
        </w:tc>
      </w:tr>
      <w:tr w:rsidR="009A0702" w:rsidRPr="003A715D" w14:paraId="30030BAC" w14:textId="77777777" w:rsidTr="00303BE5">
        <w:tc>
          <w:tcPr>
            <w:cnfStyle w:val="001000000000" w:firstRow="0" w:lastRow="0" w:firstColumn="1" w:lastColumn="0" w:oddVBand="0" w:evenVBand="0" w:oddHBand="0" w:evenHBand="0" w:firstRowFirstColumn="0" w:firstRowLastColumn="0" w:lastRowFirstColumn="0" w:lastRowLastColumn="0"/>
            <w:tcW w:w="4370" w:type="dxa"/>
            <w:hideMark/>
          </w:tcPr>
          <w:p w14:paraId="39F9E829" w14:textId="77777777" w:rsidR="009A0702" w:rsidRPr="003A715D" w:rsidRDefault="009A0702" w:rsidP="00303BE5">
            <w:pPr>
              <w:keepLines w:val="0"/>
              <w:autoSpaceDE w:val="0"/>
              <w:autoSpaceDN w:val="0"/>
              <w:adjustRightInd w:val="0"/>
              <w:rPr>
                <w:rFonts w:eastAsiaTheme="minorEastAsia" w:cstheme="majorHAnsi"/>
                <w:szCs w:val="17"/>
                <w:lang w:eastAsia="en-AU"/>
              </w:rPr>
            </w:pPr>
            <w:r w:rsidRPr="003A715D">
              <w:rPr>
                <w:rFonts w:eastAsiaTheme="minorEastAsia" w:cstheme="majorHAnsi"/>
                <w:szCs w:val="17"/>
                <w:lang w:eastAsia="en-AU"/>
              </w:rPr>
              <w:t>Employment</w:t>
            </w:r>
          </w:p>
        </w:tc>
        <w:tc>
          <w:tcPr>
            <w:tcW w:w="850" w:type="dxa"/>
            <w:hideMark/>
          </w:tcPr>
          <w:p w14:paraId="434C4875" w14:textId="77777777" w:rsidR="009A0702" w:rsidRPr="009644C7" w:rsidRDefault="009A0702" w:rsidP="00303BE5">
            <w:pPr>
              <w:cnfStyle w:val="000000000000" w:firstRow="0" w:lastRow="0" w:firstColumn="0" w:lastColumn="0" w:oddVBand="0" w:evenVBand="0" w:oddHBand="0" w:evenHBand="0" w:firstRowFirstColumn="0" w:firstRowLastColumn="0" w:lastRowFirstColumn="0" w:lastRowLastColumn="0"/>
              <w:rPr>
                <w:szCs w:val="17"/>
                <w:highlight w:val="yellow"/>
              </w:rPr>
            </w:pPr>
            <w:r w:rsidRPr="005871EC">
              <w:t>(0.28)</w:t>
            </w:r>
          </w:p>
        </w:tc>
        <w:tc>
          <w:tcPr>
            <w:tcW w:w="850" w:type="dxa"/>
            <w:hideMark/>
          </w:tcPr>
          <w:p w14:paraId="608488FE" w14:textId="77777777" w:rsidR="009A0702" w:rsidRPr="009644C7" w:rsidRDefault="009A0702" w:rsidP="00303BE5">
            <w:pPr>
              <w:cnfStyle w:val="000000000000" w:firstRow="0" w:lastRow="0" w:firstColumn="0" w:lastColumn="0" w:oddVBand="0" w:evenVBand="0" w:oddHBand="0" w:evenHBand="0" w:firstRowFirstColumn="0" w:firstRowLastColumn="0" w:lastRowFirstColumn="0" w:lastRowLastColumn="0"/>
              <w:rPr>
                <w:szCs w:val="17"/>
                <w:highlight w:val="yellow"/>
              </w:rPr>
            </w:pPr>
            <w:r w:rsidRPr="005871EC">
              <w:t>(0.61)</w:t>
            </w:r>
          </w:p>
        </w:tc>
        <w:tc>
          <w:tcPr>
            <w:tcW w:w="850" w:type="dxa"/>
            <w:hideMark/>
          </w:tcPr>
          <w:p w14:paraId="578865F8" w14:textId="77777777" w:rsidR="009A0702" w:rsidRPr="009644C7" w:rsidRDefault="009A0702" w:rsidP="00303BE5">
            <w:pPr>
              <w:cnfStyle w:val="000000000000" w:firstRow="0" w:lastRow="0" w:firstColumn="0" w:lastColumn="0" w:oddVBand="0" w:evenVBand="0" w:oddHBand="0" w:evenHBand="0" w:firstRowFirstColumn="0" w:firstRowLastColumn="0" w:lastRowFirstColumn="0" w:lastRowLastColumn="0"/>
              <w:rPr>
                <w:szCs w:val="17"/>
                <w:highlight w:val="yellow"/>
              </w:rPr>
            </w:pPr>
            <w:r w:rsidRPr="005871EC">
              <w:t>(0.67)</w:t>
            </w:r>
          </w:p>
        </w:tc>
        <w:tc>
          <w:tcPr>
            <w:tcW w:w="850" w:type="dxa"/>
            <w:hideMark/>
          </w:tcPr>
          <w:p w14:paraId="26BCB1F0" w14:textId="77777777" w:rsidR="009A0702" w:rsidRPr="009644C7" w:rsidRDefault="009A0702" w:rsidP="00303BE5">
            <w:pPr>
              <w:cnfStyle w:val="000000000000" w:firstRow="0" w:lastRow="0" w:firstColumn="0" w:lastColumn="0" w:oddVBand="0" w:evenVBand="0" w:oddHBand="0" w:evenHBand="0" w:firstRowFirstColumn="0" w:firstRowLastColumn="0" w:lastRowFirstColumn="0" w:lastRowLastColumn="0"/>
              <w:rPr>
                <w:szCs w:val="17"/>
                <w:highlight w:val="yellow"/>
              </w:rPr>
            </w:pPr>
            <w:r w:rsidRPr="005871EC">
              <w:t>(0.69)</w:t>
            </w:r>
          </w:p>
        </w:tc>
      </w:tr>
      <w:tr w:rsidR="009A0702" w:rsidRPr="003A715D" w14:paraId="474DC116" w14:textId="77777777" w:rsidTr="00303BE5">
        <w:tc>
          <w:tcPr>
            <w:cnfStyle w:val="001000000000" w:firstRow="0" w:lastRow="0" w:firstColumn="1" w:lastColumn="0" w:oddVBand="0" w:evenVBand="0" w:oddHBand="0" w:evenHBand="0" w:firstRowFirstColumn="0" w:firstRowLastColumn="0" w:lastRowFirstColumn="0" w:lastRowLastColumn="0"/>
            <w:tcW w:w="4370" w:type="dxa"/>
            <w:tcBorders>
              <w:bottom w:val="nil"/>
            </w:tcBorders>
            <w:hideMark/>
          </w:tcPr>
          <w:p w14:paraId="7FE383E5" w14:textId="77777777" w:rsidR="009A0702" w:rsidRPr="003A715D" w:rsidRDefault="009A0702" w:rsidP="00303BE5">
            <w:pPr>
              <w:keepLines w:val="0"/>
              <w:autoSpaceDE w:val="0"/>
              <w:autoSpaceDN w:val="0"/>
              <w:adjustRightInd w:val="0"/>
              <w:rPr>
                <w:rFonts w:eastAsiaTheme="minorEastAsia" w:cstheme="majorHAnsi"/>
                <w:szCs w:val="17"/>
                <w:lang w:eastAsia="en-AU"/>
              </w:rPr>
            </w:pPr>
            <w:r w:rsidRPr="003A715D">
              <w:rPr>
                <w:rFonts w:eastAsiaTheme="minorEastAsia" w:cstheme="majorHAnsi"/>
                <w:szCs w:val="17"/>
                <w:lang w:eastAsia="en-AU"/>
              </w:rPr>
              <w:t>Consumer price index</w:t>
            </w:r>
          </w:p>
        </w:tc>
        <w:tc>
          <w:tcPr>
            <w:tcW w:w="850" w:type="dxa"/>
            <w:tcBorders>
              <w:bottom w:val="nil"/>
            </w:tcBorders>
            <w:hideMark/>
          </w:tcPr>
          <w:p w14:paraId="5647F428" w14:textId="77777777" w:rsidR="009A0702" w:rsidRPr="009644C7" w:rsidRDefault="009A0702" w:rsidP="00303BE5">
            <w:pPr>
              <w:cnfStyle w:val="000000000000" w:firstRow="0" w:lastRow="0" w:firstColumn="0" w:lastColumn="0" w:oddVBand="0" w:evenVBand="0" w:oddHBand="0" w:evenHBand="0" w:firstRowFirstColumn="0" w:firstRowLastColumn="0" w:lastRowFirstColumn="0" w:lastRowLastColumn="0"/>
              <w:rPr>
                <w:szCs w:val="17"/>
                <w:highlight w:val="yellow"/>
              </w:rPr>
            </w:pPr>
            <w:r w:rsidRPr="005871EC">
              <w:t>(0.17)</w:t>
            </w:r>
          </w:p>
        </w:tc>
        <w:tc>
          <w:tcPr>
            <w:tcW w:w="850" w:type="dxa"/>
            <w:tcBorders>
              <w:bottom w:val="nil"/>
            </w:tcBorders>
            <w:hideMark/>
          </w:tcPr>
          <w:p w14:paraId="216E8810" w14:textId="77777777" w:rsidR="009A0702" w:rsidRPr="009644C7" w:rsidRDefault="009A0702" w:rsidP="00303BE5">
            <w:pPr>
              <w:cnfStyle w:val="000000000000" w:firstRow="0" w:lastRow="0" w:firstColumn="0" w:lastColumn="0" w:oddVBand="0" w:evenVBand="0" w:oddHBand="0" w:evenHBand="0" w:firstRowFirstColumn="0" w:firstRowLastColumn="0" w:lastRowFirstColumn="0" w:lastRowLastColumn="0"/>
              <w:rPr>
                <w:szCs w:val="17"/>
                <w:highlight w:val="yellow"/>
              </w:rPr>
            </w:pPr>
            <w:r w:rsidRPr="005871EC">
              <w:t>(0.28)</w:t>
            </w:r>
          </w:p>
        </w:tc>
        <w:tc>
          <w:tcPr>
            <w:tcW w:w="850" w:type="dxa"/>
            <w:tcBorders>
              <w:bottom w:val="nil"/>
            </w:tcBorders>
            <w:hideMark/>
          </w:tcPr>
          <w:p w14:paraId="28668603" w14:textId="77777777" w:rsidR="009A0702" w:rsidRPr="009644C7" w:rsidRDefault="009A0702" w:rsidP="00303BE5">
            <w:pPr>
              <w:cnfStyle w:val="000000000000" w:firstRow="0" w:lastRow="0" w:firstColumn="0" w:lastColumn="0" w:oddVBand="0" w:evenVBand="0" w:oddHBand="0" w:evenHBand="0" w:firstRowFirstColumn="0" w:firstRowLastColumn="0" w:lastRowFirstColumn="0" w:lastRowLastColumn="0"/>
              <w:rPr>
                <w:szCs w:val="17"/>
                <w:highlight w:val="yellow"/>
              </w:rPr>
            </w:pPr>
            <w:r w:rsidRPr="005871EC">
              <w:t>(0.21)</w:t>
            </w:r>
          </w:p>
        </w:tc>
        <w:tc>
          <w:tcPr>
            <w:tcW w:w="850" w:type="dxa"/>
            <w:tcBorders>
              <w:bottom w:val="nil"/>
            </w:tcBorders>
            <w:hideMark/>
          </w:tcPr>
          <w:p w14:paraId="002FDD69" w14:textId="77777777" w:rsidR="009A0702" w:rsidRPr="009644C7" w:rsidRDefault="009A0702" w:rsidP="00303BE5">
            <w:pPr>
              <w:cnfStyle w:val="000000000000" w:firstRow="0" w:lastRow="0" w:firstColumn="0" w:lastColumn="0" w:oddVBand="0" w:evenVBand="0" w:oddHBand="0" w:evenHBand="0" w:firstRowFirstColumn="0" w:firstRowLastColumn="0" w:lastRowFirstColumn="0" w:lastRowLastColumn="0"/>
              <w:rPr>
                <w:szCs w:val="17"/>
                <w:highlight w:val="yellow"/>
              </w:rPr>
            </w:pPr>
            <w:r w:rsidRPr="005871EC">
              <w:t>(0.21)</w:t>
            </w:r>
          </w:p>
        </w:tc>
      </w:tr>
      <w:tr w:rsidR="009A0702" w:rsidRPr="003A715D" w14:paraId="33D09813" w14:textId="77777777" w:rsidTr="00303BE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0" w:type="dxa"/>
            <w:tcBorders>
              <w:top w:val="nil"/>
            </w:tcBorders>
            <w:hideMark/>
          </w:tcPr>
          <w:p w14:paraId="0CF54ED3" w14:textId="77777777" w:rsidR="009A0702" w:rsidRPr="003A715D" w:rsidRDefault="009A0702" w:rsidP="00303BE5">
            <w:pPr>
              <w:keepLines w:val="0"/>
              <w:autoSpaceDE w:val="0"/>
              <w:autoSpaceDN w:val="0"/>
              <w:adjustRightInd w:val="0"/>
              <w:rPr>
                <w:rFonts w:eastAsiaTheme="minorEastAsia" w:cstheme="majorHAnsi"/>
                <w:b w:val="0"/>
                <w:bCs/>
                <w:szCs w:val="17"/>
                <w:lang w:eastAsia="en-AU"/>
              </w:rPr>
            </w:pPr>
            <w:r w:rsidRPr="003A715D">
              <w:rPr>
                <w:rFonts w:eastAsiaTheme="minorEastAsia" w:cstheme="majorHAnsi"/>
                <w:b w:val="0"/>
                <w:bCs/>
                <w:szCs w:val="17"/>
                <w:lang w:eastAsia="en-AU"/>
              </w:rPr>
              <w:t>Wage price index</w:t>
            </w:r>
          </w:p>
        </w:tc>
        <w:tc>
          <w:tcPr>
            <w:tcW w:w="850" w:type="dxa"/>
            <w:tcBorders>
              <w:top w:val="nil"/>
            </w:tcBorders>
            <w:hideMark/>
          </w:tcPr>
          <w:p w14:paraId="39DDB0BF" w14:textId="77777777" w:rsidR="009A0702" w:rsidRPr="00323171" w:rsidRDefault="009A0702" w:rsidP="00303BE5">
            <w:pPr>
              <w:cnfStyle w:val="010000000000" w:firstRow="0" w:lastRow="1" w:firstColumn="0" w:lastColumn="0" w:oddVBand="0" w:evenVBand="0" w:oddHBand="0" w:evenHBand="0" w:firstRowFirstColumn="0" w:firstRowLastColumn="0" w:lastRowFirstColumn="0" w:lastRowLastColumn="0"/>
              <w:rPr>
                <w:b w:val="0"/>
                <w:bCs/>
                <w:szCs w:val="17"/>
                <w:highlight w:val="yellow"/>
              </w:rPr>
            </w:pPr>
            <w:r w:rsidRPr="00323171">
              <w:rPr>
                <w:b w:val="0"/>
                <w:bCs/>
              </w:rPr>
              <w:t>(0.21)</w:t>
            </w:r>
          </w:p>
        </w:tc>
        <w:tc>
          <w:tcPr>
            <w:tcW w:w="850" w:type="dxa"/>
            <w:tcBorders>
              <w:top w:val="nil"/>
            </w:tcBorders>
            <w:hideMark/>
          </w:tcPr>
          <w:p w14:paraId="08D25CCB" w14:textId="77777777" w:rsidR="009A0702" w:rsidRPr="00323171" w:rsidRDefault="009A0702" w:rsidP="00303BE5">
            <w:pPr>
              <w:cnfStyle w:val="010000000000" w:firstRow="0" w:lastRow="1" w:firstColumn="0" w:lastColumn="0" w:oddVBand="0" w:evenVBand="0" w:oddHBand="0" w:evenHBand="0" w:firstRowFirstColumn="0" w:firstRowLastColumn="0" w:lastRowFirstColumn="0" w:lastRowLastColumn="0"/>
              <w:rPr>
                <w:b w:val="0"/>
                <w:bCs/>
                <w:szCs w:val="17"/>
                <w:highlight w:val="yellow"/>
              </w:rPr>
            </w:pPr>
            <w:r w:rsidRPr="00323171">
              <w:rPr>
                <w:b w:val="0"/>
                <w:bCs/>
              </w:rPr>
              <w:t>(0.42)</w:t>
            </w:r>
          </w:p>
        </w:tc>
        <w:tc>
          <w:tcPr>
            <w:tcW w:w="850" w:type="dxa"/>
            <w:tcBorders>
              <w:top w:val="nil"/>
            </w:tcBorders>
            <w:hideMark/>
          </w:tcPr>
          <w:p w14:paraId="093E7D37" w14:textId="77777777" w:rsidR="009A0702" w:rsidRPr="00323171" w:rsidRDefault="009A0702" w:rsidP="00303BE5">
            <w:pPr>
              <w:cnfStyle w:val="010000000000" w:firstRow="0" w:lastRow="1" w:firstColumn="0" w:lastColumn="0" w:oddVBand="0" w:evenVBand="0" w:oddHBand="0" w:evenHBand="0" w:firstRowFirstColumn="0" w:firstRowLastColumn="0" w:lastRowFirstColumn="0" w:lastRowLastColumn="0"/>
              <w:rPr>
                <w:b w:val="0"/>
                <w:bCs/>
                <w:szCs w:val="17"/>
                <w:highlight w:val="yellow"/>
              </w:rPr>
            </w:pPr>
            <w:r w:rsidRPr="00323171">
              <w:rPr>
                <w:b w:val="0"/>
                <w:bCs/>
              </w:rPr>
              <w:t>(0.28)</w:t>
            </w:r>
          </w:p>
        </w:tc>
        <w:tc>
          <w:tcPr>
            <w:tcW w:w="850" w:type="dxa"/>
            <w:tcBorders>
              <w:top w:val="nil"/>
            </w:tcBorders>
            <w:hideMark/>
          </w:tcPr>
          <w:p w14:paraId="3D565390" w14:textId="77777777" w:rsidR="009A0702" w:rsidRPr="00323171" w:rsidRDefault="009A0702" w:rsidP="00303BE5">
            <w:pPr>
              <w:cnfStyle w:val="010000000000" w:firstRow="0" w:lastRow="1" w:firstColumn="0" w:lastColumn="0" w:oddVBand="0" w:evenVBand="0" w:oddHBand="0" w:evenHBand="0" w:firstRowFirstColumn="0" w:firstRowLastColumn="0" w:lastRowFirstColumn="0" w:lastRowLastColumn="0"/>
              <w:rPr>
                <w:b w:val="0"/>
                <w:bCs/>
                <w:szCs w:val="17"/>
                <w:highlight w:val="yellow"/>
              </w:rPr>
            </w:pPr>
            <w:r w:rsidRPr="00323171">
              <w:rPr>
                <w:b w:val="0"/>
                <w:bCs/>
              </w:rPr>
              <w:t>(0.21)</w:t>
            </w:r>
          </w:p>
        </w:tc>
      </w:tr>
    </w:tbl>
    <w:p w14:paraId="6466E5CB" w14:textId="77777777" w:rsidR="009A0702" w:rsidRDefault="009A0702" w:rsidP="00F22EE1">
      <w:pPr>
        <w:pStyle w:val="Note"/>
      </w:pPr>
      <w:r w:rsidRPr="001232A3">
        <w:t>Note:</w:t>
      </w:r>
      <w:r>
        <w:t xml:space="preserve"> </w:t>
      </w:r>
    </w:p>
    <w:p w14:paraId="5A8A953B" w14:textId="77777777" w:rsidR="009A0702" w:rsidRDefault="009A0702" w:rsidP="00F22EE1">
      <w:pPr>
        <w:pStyle w:val="Note"/>
      </w:pPr>
      <w:r w:rsidRPr="00484892">
        <w:t>(a)</w:t>
      </w:r>
      <w:r w:rsidRPr="00484892">
        <w:tab/>
        <w:t xml:space="preserve">Figures reported are the change in the level of each parameter relative to the baseline forecasts as presented in Chapter 1 </w:t>
      </w:r>
      <w:r w:rsidRPr="00484892">
        <w:rPr>
          <w:i w:val="0"/>
          <w:iCs/>
        </w:rPr>
        <w:t xml:space="preserve">Economic </w:t>
      </w:r>
      <w:r>
        <w:rPr>
          <w:i w:val="0"/>
          <w:iCs/>
        </w:rPr>
        <w:t>C</w:t>
      </w:r>
      <w:r w:rsidRPr="00484892">
        <w:rPr>
          <w:i w:val="0"/>
        </w:rPr>
        <w:t xml:space="preserve">onditions and </w:t>
      </w:r>
      <w:r>
        <w:rPr>
          <w:i w:val="0"/>
        </w:rPr>
        <w:t>O</w:t>
      </w:r>
      <w:r w:rsidRPr="00484892">
        <w:rPr>
          <w:i w:val="0"/>
        </w:rPr>
        <w:t>utlook</w:t>
      </w:r>
      <w:r w:rsidRPr="00484892">
        <w:t>.</w:t>
      </w:r>
    </w:p>
    <w:p w14:paraId="54C8EED1" w14:textId="77777777" w:rsidR="009A0702" w:rsidRDefault="009A0702" w:rsidP="00F22EE1">
      <w:pPr>
        <w:rPr>
          <w:color w:val="000000" w:themeColor="text1"/>
        </w:rPr>
      </w:pPr>
    </w:p>
    <w:p w14:paraId="118BD546" w14:textId="453D1E87" w:rsidR="009A0702" w:rsidRPr="00212B8E" w:rsidRDefault="009A0702" w:rsidP="00F22EE1">
      <w:pPr>
        <w:rPr>
          <w:color w:val="000000" w:themeColor="text1"/>
        </w:rPr>
      </w:pPr>
      <w:r w:rsidRPr="00212B8E">
        <w:rPr>
          <w:color w:val="000000" w:themeColor="text1"/>
        </w:rPr>
        <w:t xml:space="preserve">The shock has a negative fiscal impact </w:t>
      </w:r>
      <w:r>
        <w:rPr>
          <w:color w:val="000000" w:themeColor="text1"/>
        </w:rPr>
        <w:t>on the State’s finances</w:t>
      </w:r>
      <w:r w:rsidRPr="00212B8E">
        <w:rPr>
          <w:color w:val="000000" w:themeColor="text1"/>
        </w:rPr>
        <w:t xml:space="preserve"> (</w:t>
      </w:r>
      <w:r>
        <w:rPr>
          <w:color w:val="000000" w:themeColor="text1"/>
        </w:rPr>
        <w:t xml:space="preserve">see </w:t>
      </w:r>
      <w:r w:rsidRPr="00212B8E">
        <w:rPr>
          <w:color w:val="000000" w:themeColor="text1"/>
        </w:rPr>
        <w:t xml:space="preserve">Table </w:t>
      </w:r>
      <w:r>
        <w:rPr>
          <w:color w:val="000000" w:themeColor="text1"/>
        </w:rPr>
        <w:t>B</w:t>
      </w:r>
      <w:r w:rsidRPr="00212B8E">
        <w:rPr>
          <w:color w:val="000000" w:themeColor="text1"/>
        </w:rPr>
        <w:t xml:space="preserve">.2). Lower population growth, because of lower overseas migration, slows </w:t>
      </w:r>
      <w:r>
        <w:rPr>
          <w:color w:val="000000" w:themeColor="text1"/>
        </w:rPr>
        <w:t>growth</w:t>
      </w:r>
      <w:r w:rsidRPr="00212B8E">
        <w:rPr>
          <w:color w:val="000000" w:themeColor="text1"/>
        </w:rPr>
        <w:t xml:space="preserve"> in property</w:t>
      </w:r>
      <w:r w:rsidRPr="00212B8E">
        <w:rPr>
          <w:color w:val="000000" w:themeColor="text1"/>
        </w:rPr>
        <w:noBreakHyphen/>
        <w:t>related taxation revenue, including land transfer duty and land taxes. Reduced consumption leads to a small</w:t>
      </w:r>
      <w:r>
        <w:rPr>
          <w:color w:val="000000" w:themeColor="text1"/>
        </w:rPr>
        <w:t>er</w:t>
      </w:r>
      <w:r w:rsidRPr="00212B8E">
        <w:rPr>
          <w:color w:val="000000" w:themeColor="text1"/>
        </w:rPr>
        <w:t xml:space="preserve"> national GST pool</w:t>
      </w:r>
      <w:r>
        <w:rPr>
          <w:color w:val="000000" w:themeColor="text1"/>
        </w:rPr>
        <w:t xml:space="preserve"> </w:t>
      </w:r>
      <w:r w:rsidRPr="00212B8E">
        <w:rPr>
          <w:color w:val="000000" w:themeColor="text1"/>
        </w:rPr>
        <w:t>and hence smaller GST grants revenue for Victoria. As a result, income from transactions is lower over the forward estimates.</w:t>
      </w:r>
    </w:p>
    <w:p w14:paraId="3C8193EE" w14:textId="77777777" w:rsidR="009A0702" w:rsidRDefault="009A0702" w:rsidP="00EB27D8">
      <w:pPr>
        <w:pageBreakBefore/>
        <w:rPr>
          <w:color w:val="000000" w:themeColor="text1"/>
        </w:rPr>
      </w:pPr>
      <w:r w:rsidRPr="001A5C67">
        <w:rPr>
          <w:color w:val="000000" w:themeColor="text1"/>
        </w:rPr>
        <w:lastRenderedPageBreak/>
        <w:t>Expenses from transactions are also lower in the scenario relative to the base case, mainly due to lower employment growth which lowers employee expenses. These estimated impacts on expenses reflect the assumed relationship</w:t>
      </w:r>
      <w:r>
        <w:rPr>
          <w:color w:val="000000" w:themeColor="text1"/>
        </w:rPr>
        <w:t>s</w:t>
      </w:r>
      <w:r w:rsidRPr="001A5C67">
        <w:rPr>
          <w:color w:val="000000" w:themeColor="text1"/>
        </w:rPr>
        <w:t xml:space="preserve"> between private and public sector employment and wages in the model</w:t>
      </w:r>
      <w:r>
        <w:rPr>
          <w:color w:val="000000" w:themeColor="text1"/>
        </w:rPr>
        <w:t>,</w:t>
      </w:r>
      <w:r w:rsidRPr="001A5C67">
        <w:rPr>
          <w:color w:val="000000" w:themeColor="text1"/>
        </w:rPr>
        <w:t xml:space="preserve"> namely</w:t>
      </w:r>
      <w:r>
        <w:rPr>
          <w:color w:val="000000" w:themeColor="text1"/>
        </w:rPr>
        <w:t>,</w:t>
      </w:r>
      <w:r w:rsidRPr="001A5C67">
        <w:rPr>
          <w:color w:val="000000" w:themeColor="text1"/>
        </w:rPr>
        <w:t xml:space="preserve"> that public sector employment is a fixed share of overall employment, and public sector wage growth corresponds to private sector wage growth in the medium to long</w:t>
      </w:r>
      <w:r>
        <w:rPr>
          <w:color w:val="000000" w:themeColor="text1"/>
        </w:rPr>
        <w:t>-</w:t>
      </w:r>
      <w:r w:rsidRPr="001A5C67">
        <w:rPr>
          <w:color w:val="000000" w:themeColor="text1"/>
        </w:rPr>
        <w:t xml:space="preserve">term. </w:t>
      </w:r>
    </w:p>
    <w:p w14:paraId="05CD8F15" w14:textId="77777777" w:rsidR="009A0702" w:rsidRPr="001A5C67" w:rsidRDefault="009A0702" w:rsidP="00F22EE1">
      <w:pPr>
        <w:rPr>
          <w:color w:val="000000" w:themeColor="text1"/>
        </w:rPr>
      </w:pPr>
    </w:p>
    <w:p w14:paraId="39F6CA9B" w14:textId="77777777" w:rsidR="009A0702" w:rsidRPr="00E94D48" w:rsidRDefault="009A0702" w:rsidP="00EB27D8">
      <w:pPr>
        <w:pStyle w:val="TableHeading"/>
        <w:ind w:left="1022" w:hanging="1022"/>
      </w:pPr>
      <w:r w:rsidRPr="00E94D48">
        <w:t>Table B.2:</w:t>
      </w:r>
      <w:r w:rsidRPr="00E94D48">
        <w:tab/>
        <w:t xml:space="preserve">Projected fiscal impact of a global COVID-19 outbreak </w:t>
      </w:r>
      <w:r w:rsidRPr="00E94D48">
        <w:rPr>
          <w:vertAlign w:val="superscript"/>
        </w:rPr>
        <w:t>(a)</w:t>
      </w:r>
      <w:r w:rsidRPr="00E94D48">
        <w:tab/>
        <w:t>($ million)</w:t>
      </w:r>
    </w:p>
    <w:tbl>
      <w:tblPr>
        <w:tblStyle w:val="DTFTable"/>
        <w:tblW w:w="7770" w:type="dxa"/>
        <w:tblLayout w:type="fixed"/>
        <w:tblLook w:val="06E0" w:firstRow="1" w:lastRow="1" w:firstColumn="1" w:lastColumn="0" w:noHBand="1" w:noVBand="1"/>
      </w:tblPr>
      <w:tblGrid>
        <w:gridCol w:w="4367"/>
        <w:gridCol w:w="850"/>
        <w:gridCol w:w="851"/>
        <w:gridCol w:w="851"/>
        <w:gridCol w:w="851"/>
      </w:tblGrid>
      <w:tr w:rsidR="009A0702" w:rsidRPr="00241193" w14:paraId="539FAEF0" w14:textId="77777777" w:rsidTr="007E0B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7" w:type="dxa"/>
          </w:tcPr>
          <w:p w14:paraId="4BC77C11" w14:textId="77777777" w:rsidR="009A0702" w:rsidRPr="0080250B" w:rsidRDefault="009A0702" w:rsidP="00303BE5">
            <w:pPr>
              <w:autoSpaceDE w:val="0"/>
              <w:autoSpaceDN w:val="0"/>
              <w:adjustRightInd w:val="0"/>
              <w:rPr>
                <w:rFonts w:eastAsiaTheme="minorEastAsia" w:cs="Calibri"/>
                <w:iCs/>
                <w:color w:val="000000"/>
                <w:szCs w:val="17"/>
                <w:lang w:eastAsia="en-AU"/>
              </w:rPr>
            </w:pPr>
            <w:r w:rsidRPr="0080250B">
              <w:rPr>
                <w:rFonts w:eastAsiaTheme="minorEastAsia" w:cs="Calibri"/>
                <w:iCs/>
                <w:color w:val="000000"/>
                <w:szCs w:val="17"/>
                <w:lang w:eastAsia="en-AU"/>
              </w:rPr>
              <w:t xml:space="preserve"> </w:t>
            </w:r>
          </w:p>
        </w:tc>
        <w:tc>
          <w:tcPr>
            <w:tcW w:w="850" w:type="dxa"/>
            <w:hideMark/>
          </w:tcPr>
          <w:p w14:paraId="03BF0C13" w14:textId="4D6EFD7B" w:rsidR="009A0702" w:rsidRPr="0080250B" w:rsidRDefault="009A0702" w:rsidP="00303BE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7"/>
                <w:lang w:eastAsia="en-AU"/>
              </w:rPr>
            </w:pPr>
            <w:r w:rsidRPr="0080250B">
              <w:rPr>
                <w:rFonts w:eastAsiaTheme="minorEastAsia" w:cs="Calibri"/>
                <w:iCs/>
                <w:szCs w:val="17"/>
                <w:lang w:eastAsia="en-AU"/>
              </w:rPr>
              <w:t>2022-23</w:t>
            </w:r>
            <w:r w:rsidR="00357AFE">
              <w:rPr>
                <w:rFonts w:eastAsiaTheme="minorEastAsia" w:cs="Calibri"/>
                <w:i w:val="0"/>
                <w:iCs/>
                <w:szCs w:val="17"/>
                <w:lang w:eastAsia="en-AU"/>
              </w:rPr>
              <w:br/>
            </w:r>
            <w:r w:rsidRPr="0080250B">
              <w:rPr>
                <w:rFonts w:eastAsiaTheme="minorEastAsia" w:cstheme="majorHAnsi"/>
                <w:iCs/>
                <w:szCs w:val="17"/>
                <w:lang w:eastAsia="en-AU"/>
              </w:rPr>
              <w:t>estimate</w:t>
            </w:r>
          </w:p>
        </w:tc>
        <w:tc>
          <w:tcPr>
            <w:tcW w:w="851" w:type="dxa"/>
            <w:hideMark/>
          </w:tcPr>
          <w:p w14:paraId="321783E0" w14:textId="1CFE721E" w:rsidR="009A0702" w:rsidRPr="0080250B" w:rsidRDefault="009A0702" w:rsidP="00303BE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7"/>
                <w:lang w:eastAsia="en-AU"/>
              </w:rPr>
            </w:pPr>
            <w:r w:rsidRPr="0080250B">
              <w:rPr>
                <w:rFonts w:eastAsiaTheme="minorEastAsia" w:cs="Calibri"/>
                <w:iCs/>
                <w:szCs w:val="17"/>
                <w:lang w:eastAsia="en-AU"/>
              </w:rPr>
              <w:t>2023-24</w:t>
            </w:r>
            <w:r w:rsidR="00357AFE">
              <w:rPr>
                <w:rFonts w:eastAsiaTheme="minorEastAsia" w:cs="Calibri"/>
                <w:i w:val="0"/>
                <w:iCs/>
                <w:szCs w:val="17"/>
                <w:lang w:eastAsia="en-AU"/>
              </w:rPr>
              <w:br/>
            </w:r>
            <w:r w:rsidRPr="0080250B">
              <w:rPr>
                <w:rFonts w:eastAsiaTheme="minorEastAsia" w:cstheme="majorHAnsi"/>
                <w:iCs/>
                <w:szCs w:val="17"/>
                <w:lang w:eastAsia="en-AU"/>
              </w:rPr>
              <w:t>estimate</w:t>
            </w:r>
          </w:p>
        </w:tc>
        <w:tc>
          <w:tcPr>
            <w:tcW w:w="851" w:type="dxa"/>
            <w:hideMark/>
          </w:tcPr>
          <w:p w14:paraId="4771BE29" w14:textId="2BE86754" w:rsidR="009A0702" w:rsidRPr="0080250B" w:rsidRDefault="009A0702" w:rsidP="00303BE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7"/>
                <w:lang w:eastAsia="en-AU"/>
              </w:rPr>
            </w:pPr>
            <w:r w:rsidRPr="0080250B">
              <w:rPr>
                <w:rFonts w:eastAsiaTheme="minorEastAsia" w:cs="Calibri"/>
                <w:iCs/>
                <w:szCs w:val="17"/>
                <w:lang w:eastAsia="en-AU"/>
              </w:rPr>
              <w:t>2024-25</w:t>
            </w:r>
            <w:r w:rsidR="00357AFE">
              <w:rPr>
                <w:rFonts w:eastAsiaTheme="minorEastAsia" w:cs="Calibri"/>
                <w:i w:val="0"/>
                <w:iCs/>
                <w:szCs w:val="17"/>
                <w:lang w:eastAsia="en-AU"/>
              </w:rPr>
              <w:br/>
            </w:r>
            <w:r w:rsidRPr="0080250B">
              <w:rPr>
                <w:rFonts w:eastAsiaTheme="minorEastAsia" w:cstheme="majorHAnsi"/>
                <w:iCs/>
                <w:szCs w:val="17"/>
                <w:lang w:eastAsia="en-AU"/>
              </w:rPr>
              <w:t>estimate</w:t>
            </w:r>
          </w:p>
        </w:tc>
        <w:tc>
          <w:tcPr>
            <w:tcW w:w="851" w:type="dxa"/>
            <w:hideMark/>
          </w:tcPr>
          <w:p w14:paraId="140D0C5B" w14:textId="20B86104" w:rsidR="009A0702" w:rsidRPr="0080250B" w:rsidRDefault="009A0702" w:rsidP="00303BE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7"/>
                <w:lang w:eastAsia="en-AU"/>
              </w:rPr>
            </w:pPr>
            <w:r w:rsidRPr="0080250B">
              <w:rPr>
                <w:rFonts w:eastAsiaTheme="minorEastAsia" w:cs="Calibri"/>
                <w:iCs/>
                <w:szCs w:val="17"/>
                <w:lang w:eastAsia="en-AU"/>
              </w:rPr>
              <w:t>2025-26</w:t>
            </w:r>
            <w:r w:rsidR="00357AFE">
              <w:rPr>
                <w:rFonts w:eastAsiaTheme="minorEastAsia" w:cs="Calibri"/>
                <w:i w:val="0"/>
                <w:iCs/>
                <w:szCs w:val="17"/>
                <w:lang w:eastAsia="en-AU"/>
              </w:rPr>
              <w:br/>
            </w:r>
            <w:r w:rsidRPr="0080250B">
              <w:rPr>
                <w:rFonts w:eastAsiaTheme="minorEastAsia" w:cstheme="majorHAnsi"/>
                <w:iCs/>
                <w:szCs w:val="17"/>
                <w:lang w:eastAsia="en-AU"/>
              </w:rPr>
              <w:t>estimate</w:t>
            </w:r>
          </w:p>
        </w:tc>
      </w:tr>
      <w:tr w:rsidR="009A0702" w:rsidRPr="00241193" w14:paraId="70C3C035" w14:textId="77777777" w:rsidTr="00303BE5">
        <w:tc>
          <w:tcPr>
            <w:cnfStyle w:val="001000000000" w:firstRow="0" w:lastRow="0" w:firstColumn="1" w:lastColumn="0" w:oddVBand="0" w:evenVBand="0" w:oddHBand="0" w:evenHBand="0" w:firstRowFirstColumn="0" w:firstRowLastColumn="0" w:lastRowFirstColumn="0" w:lastRowLastColumn="0"/>
            <w:tcW w:w="4367" w:type="dxa"/>
            <w:hideMark/>
          </w:tcPr>
          <w:p w14:paraId="300709A6" w14:textId="77777777" w:rsidR="009A0702" w:rsidRPr="0080250B" w:rsidRDefault="009A0702" w:rsidP="008248EA">
            <w:pPr>
              <w:keepLines w:val="0"/>
              <w:autoSpaceDE w:val="0"/>
              <w:autoSpaceDN w:val="0"/>
              <w:adjustRightInd w:val="0"/>
              <w:rPr>
                <w:rFonts w:eastAsiaTheme="minorEastAsia" w:cs="Calibri"/>
                <w:color w:val="000000"/>
                <w:szCs w:val="17"/>
                <w:lang w:eastAsia="en-AU"/>
              </w:rPr>
            </w:pPr>
            <w:r w:rsidRPr="0080250B">
              <w:rPr>
                <w:rFonts w:eastAsiaTheme="minorEastAsia" w:cs="Calibri"/>
                <w:color w:val="000000"/>
                <w:szCs w:val="17"/>
                <w:lang w:eastAsia="en-AU"/>
              </w:rPr>
              <w:t>Income from transactions</w:t>
            </w:r>
          </w:p>
        </w:tc>
        <w:tc>
          <w:tcPr>
            <w:tcW w:w="850" w:type="dxa"/>
            <w:hideMark/>
          </w:tcPr>
          <w:p w14:paraId="190A04B1"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szCs w:val="17"/>
              </w:rPr>
            </w:pPr>
            <w:r w:rsidRPr="009A0676">
              <w:t>(505.0)</w:t>
            </w:r>
          </w:p>
        </w:tc>
        <w:tc>
          <w:tcPr>
            <w:tcW w:w="851" w:type="dxa"/>
            <w:hideMark/>
          </w:tcPr>
          <w:p w14:paraId="3062B68B"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szCs w:val="17"/>
              </w:rPr>
            </w:pPr>
            <w:r w:rsidRPr="009A0676">
              <w:t>(984.9)</w:t>
            </w:r>
          </w:p>
        </w:tc>
        <w:tc>
          <w:tcPr>
            <w:tcW w:w="851" w:type="dxa"/>
            <w:hideMark/>
          </w:tcPr>
          <w:p w14:paraId="5601CDD5"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szCs w:val="17"/>
              </w:rPr>
            </w:pPr>
            <w:r w:rsidRPr="009A0676">
              <w:t>(811.0)</w:t>
            </w:r>
          </w:p>
        </w:tc>
        <w:tc>
          <w:tcPr>
            <w:tcW w:w="851" w:type="dxa"/>
            <w:hideMark/>
          </w:tcPr>
          <w:p w14:paraId="1E424E54"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szCs w:val="17"/>
              </w:rPr>
            </w:pPr>
            <w:r w:rsidRPr="009A0676">
              <w:t>(824.2)</w:t>
            </w:r>
          </w:p>
        </w:tc>
      </w:tr>
      <w:tr w:rsidR="009A0702" w:rsidRPr="00241193" w14:paraId="64BCCA77" w14:textId="77777777" w:rsidTr="00303BE5">
        <w:tc>
          <w:tcPr>
            <w:cnfStyle w:val="001000000000" w:firstRow="0" w:lastRow="0" w:firstColumn="1" w:lastColumn="0" w:oddVBand="0" w:evenVBand="0" w:oddHBand="0" w:evenHBand="0" w:firstRowFirstColumn="0" w:firstRowLastColumn="0" w:lastRowFirstColumn="0" w:lastRowLastColumn="0"/>
            <w:tcW w:w="4367" w:type="dxa"/>
            <w:hideMark/>
          </w:tcPr>
          <w:p w14:paraId="20B1AD56" w14:textId="77777777" w:rsidR="009A0702" w:rsidRPr="0080250B" w:rsidRDefault="009A0702" w:rsidP="008248EA">
            <w:pPr>
              <w:keepLines w:val="0"/>
              <w:autoSpaceDE w:val="0"/>
              <w:autoSpaceDN w:val="0"/>
              <w:adjustRightInd w:val="0"/>
              <w:rPr>
                <w:rFonts w:eastAsiaTheme="minorEastAsia" w:cs="Calibri"/>
                <w:color w:val="000000"/>
                <w:szCs w:val="17"/>
                <w:lang w:eastAsia="en-AU"/>
              </w:rPr>
            </w:pPr>
            <w:r w:rsidRPr="0080250B">
              <w:rPr>
                <w:rFonts w:eastAsiaTheme="minorEastAsia" w:cs="Calibri"/>
                <w:color w:val="000000"/>
                <w:szCs w:val="17"/>
                <w:lang w:eastAsia="en-AU"/>
              </w:rPr>
              <w:t>Expenses from transactions</w:t>
            </w:r>
          </w:p>
        </w:tc>
        <w:tc>
          <w:tcPr>
            <w:tcW w:w="850" w:type="dxa"/>
            <w:hideMark/>
          </w:tcPr>
          <w:p w14:paraId="5B538E4A"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szCs w:val="17"/>
              </w:rPr>
            </w:pPr>
            <w:r w:rsidRPr="009A0676">
              <w:t>(135.1)</w:t>
            </w:r>
          </w:p>
        </w:tc>
        <w:tc>
          <w:tcPr>
            <w:tcW w:w="851" w:type="dxa"/>
            <w:hideMark/>
          </w:tcPr>
          <w:p w14:paraId="2F8682C1"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szCs w:val="17"/>
              </w:rPr>
            </w:pPr>
            <w:r w:rsidRPr="009A0676">
              <w:t>(248.0)</w:t>
            </w:r>
          </w:p>
        </w:tc>
        <w:tc>
          <w:tcPr>
            <w:tcW w:w="851" w:type="dxa"/>
            <w:hideMark/>
          </w:tcPr>
          <w:p w14:paraId="5652DFBB"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szCs w:val="17"/>
              </w:rPr>
            </w:pPr>
            <w:r w:rsidRPr="009A0676">
              <w:t>(259.8)</w:t>
            </w:r>
          </w:p>
        </w:tc>
        <w:tc>
          <w:tcPr>
            <w:tcW w:w="851" w:type="dxa"/>
            <w:hideMark/>
          </w:tcPr>
          <w:p w14:paraId="445DFCEC"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szCs w:val="17"/>
              </w:rPr>
            </w:pPr>
            <w:r w:rsidRPr="009A0676">
              <w:t>(246.1)</w:t>
            </w:r>
          </w:p>
        </w:tc>
      </w:tr>
      <w:tr w:rsidR="009A0702" w:rsidRPr="00241193" w14:paraId="5BFD9FCF" w14:textId="77777777" w:rsidTr="00303BE5">
        <w:tc>
          <w:tcPr>
            <w:cnfStyle w:val="001000000000" w:firstRow="0" w:lastRow="0" w:firstColumn="1" w:lastColumn="0" w:oddVBand="0" w:evenVBand="0" w:oddHBand="0" w:evenHBand="0" w:firstRowFirstColumn="0" w:firstRowLastColumn="0" w:lastRowFirstColumn="0" w:lastRowLastColumn="0"/>
            <w:tcW w:w="4367" w:type="dxa"/>
            <w:hideMark/>
          </w:tcPr>
          <w:p w14:paraId="39B0242D" w14:textId="77777777" w:rsidR="009A0702" w:rsidRPr="0080250B" w:rsidRDefault="009A0702" w:rsidP="008248EA">
            <w:pPr>
              <w:keepLines w:val="0"/>
              <w:autoSpaceDE w:val="0"/>
              <w:autoSpaceDN w:val="0"/>
              <w:adjustRightInd w:val="0"/>
              <w:rPr>
                <w:rFonts w:eastAsiaTheme="minorEastAsia" w:cs="Calibri"/>
                <w:b/>
                <w:bCs/>
                <w:color w:val="000000"/>
                <w:szCs w:val="17"/>
                <w:lang w:eastAsia="en-AU"/>
              </w:rPr>
            </w:pPr>
            <w:r w:rsidRPr="0080250B">
              <w:rPr>
                <w:rFonts w:eastAsiaTheme="minorEastAsia" w:cs="Calibri"/>
                <w:b/>
                <w:bCs/>
                <w:color w:val="000000"/>
                <w:szCs w:val="17"/>
                <w:lang w:eastAsia="en-AU"/>
              </w:rPr>
              <w:t>Net result from transactions</w:t>
            </w:r>
          </w:p>
        </w:tc>
        <w:tc>
          <w:tcPr>
            <w:tcW w:w="850" w:type="dxa"/>
            <w:hideMark/>
          </w:tcPr>
          <w:p w14:paraId="3568B03C"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b/>
                <w:bCs/>
                <w:szCs w:val="17"/>
              </w:rPr>
            </w:pPr>
            <w:r w:rsidRPr="008248EA">
              <w:rPr>
                <w:b/>
                <w:bCs/>
              </w:rPr>
              <w:t>(369.9)</w:t>
            </w:r>
          </w:p>
        </w:tc>
        <w:tc>
          <w:tcPr>
            <w:tcW w:w="851" w:type="dxa"/>
            <w:hideMark/>
          </w:tcPr>
          <w:p w14:paraId="0C3DB821"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b/>
                <w:bCs/>
                <w:szCs w:val="17"/>
              </w:rPr>
            </w:pPr>
            <w:r w:rsidRPr="008248EA">
              <w:rPr>
                <w:b/>
                <w:bCs/>
              </w:rPr>
              <w:t>(736.9)</w:t>
            </w:r>
          </w:p>
        </w:tc>
        <w:tc>
          <w:tcPr>
            <w:tcW w:w="851" w:type="dxa"/>
            <w:hideMark/>
          </w:tcPr>
          <w:p w14:paraId="36CD84A8"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b/>
                <w:bCs/>
                <w:szCs w:val="17"/>
              </w:rPr>
            </w:pPr>
            <w:r w:rsidRPr="008248EA">
              <w:rPr>
                <w:b/>
                <w:bCs/>
              </w:rPr>
              <w:t>(551.2)</w:t>
            </w:r>
          </w:p>
        </w:tc>
        <w:tc>
          <w:tcPr>
            <w:tcW w:w="851" w:type="dxa"/>
            <w:hideMark/>
          </w:tcPr>
          <w:p w14:paraId="0567037E"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b/>
                <w:bCs/>
                <w:szCs w:val="17"/>
              </w:rPr>
            </w:pPr>
            <w:r w:rsidRPr="008248EA">
              <w:rPr>
                <w:b/>
                <w:bCs/>
              </w:rPr>
              <w:t>(578.1)</w:t>
            </w:r>
          </w:p>
        </w:tc>
      </w:tr>
      <w:tr w:rsidR="009A0702" w:rsidRPr="00241193" w14:paraId="715840DA" w14:textId="77777777" w:rsidTr="00303BE5">
        <w:tc>
          <w:tcPr>
            <w:cnfStyle w:val="001000000000" w:firstRow="0" w:lastRow="0" w:firstColumn="1" w:lastColumn="0" w:oddVBand="0" w:evenVBand="0" w:oddHBand="0" w:evenHBand="0" w:firstRowFirstColumn="0" w:firstRowLastColumn="0" w:lastRowFirstColumn="0" w:lastRowLastColumn="0"/>
            <w:tcW w:w="4367" w:type="dxa"/>
            <w:hideMark/>
          </w:tcPr>
          <w:p w14:paraId="2BE8BA64" w14:textId="77777777" w:rsidR="009A0702" w:rsidRPr="0080250B" w:rsidRDefault="009A0702" w:rsidP="008248EA">
            <w:pPr>
              <w:keepLines w:val="0"/>
              <w:autoSpaceDE w:val="0"/>
              <w:autoSpaceDN w:val="0"/>
              <w:adjustRightInd w:val="0"/>
              <w:rPr>
                <w:rFonts w:eastAsiaTheme="minorEastAsia" w:cs="Calibri"/>
                <w:color w:val="000000"/>
                <w:szCs w:val="17"/>
                <w:lang w:eastAsia="en-AU"/>
              </w:rPr>
            </w:pPr>
            <w:r w:rsidRPr="0080250B">
              <w:rPr>
                <w:rFonts w:eastAsiaTheme="minorEastAsia" w:cs="Calibri"/>
                <w:color w:val="000000"/>
                <w:szCs w:val="17"/>
                <w:lang w:eastAsia="en-AU"/>
              </w:rPr>
              <w:t>Other economic flows</w:t>
            </w:r>
          </w:p>
        </w:tc>
        <w:tc>
          <w:tcPr>
            <w:tcW w:w="850" w:type="dxa"/>
            <w:hideMark/>
          </w:tcPr>
          <w:p w14:paraId="1A436147"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szCs w:val="17"/>
              </w:rPr>
            </w:pPr>
            <w:r w:rsidRPr="009A0676">
              <w:t>(4.2)</w:t>
            </w:r>
          </w:p>
        </w:tc>
        <w:tc>
          <w:tcPr>
            <w:tcW w:w="851" w:type="dxa"/>
            <w:hideMark/>
          </w:tcPr>
          <w:p w14:paraId="25F79731"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szCs w:val="17"/>
              </w:rPr>
            </w:pPr>
            <w:r w:rsidRPr="009A0676">
              <w:t>(12.3)</w:t>
            </w:r>
          </w:p>
        </w:tc>
        <w:tc>
          <w:tcPr>
            <w:tcW w:w="851" w:type="dxa"/>
            <w:hideMark/>
          </w:tcPr>
          <w:p w14:paraId="267007B2"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szCs w:val="17"/>
              </w:rPr>
            </w:pPr>
            <w:r w:rsidRPr="009A0676">
              <w:t>(7.4)</w:t>
            </w:r>
          </w:p>
        </w:tc>
        <w:tc>
          <w:tcPr>
            <w:tcW w:w="851" w:type="dxa"/>
            <w:hideMark/>
          </w:tcPr>
          <w:p w14:paraId="32E409C9"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szCs w:val="17"/>
              </w:rPr>
            </w:pPr>
            <w:r w:rsidRPr="009A0676">
              <w:t>(8.9)</w:t>
            </w:r>
          </w:p>
        </w:tc>
      </w:tr>
      <w:tr w:rsidR="009A0702" w:rsidRPr="00241193" w14:paraId="2B7F87A6" w14:textId="77777777" w:rsidTr="00303BE5">
        <w:tc>
          <w:tcPr>
            <w:cnfStyle w:val="001000000000" w:firstRow="0" w:lastRow="0" w:firstColumn="1" w:lastColumn="0" w:oddVBand="0" w:evenVBand="0" w:oddHBand="0" w:evenHBand="0" w:firstRowFirstColumn="0" w:firstRowLastColumn="0" w:lastRowFirstColumn="0" w:lastRowLastColumn="0"/>
            <w:tcW w:w="4367" w:type="dxa"/>
            <w:hideMark/>
          </w:tcPr>
          <w:p w14:paraId="61BCED6B" w14:textId="77777777" w:rsidR="009A0702" w:rsidRPr="0080250B" w:rsidRDefault="009A0702" w:rsidP="008248EA">
            <w:pPr>
              <w:keepLines w:val="0"/>
              <w:autoSpaceDE w:val="0"/>
              <w:autoSpaceDN w:val="0"/>
              <w:adjustRightInd w:val="0"/>
              <w:rPr>
                <w:rFonts w:eastAsiaTheme="minorEastAsia" w:cs="Calibri"/>
                <w:b/>
                <w:bCs/>
                <w:color w:val="000000"/>
                <w:szCs w:val="17"/>
                <w:lang w:eastAsia="en-AU"/>
              </w:rPr>
            </w:pPr>
            <w:r w:rsidRPr="0080250B">
              <w:rPr>
                <w:rFonts w:eastAsiaTheme="minorEastAsia" w:cs="Calibri"/>
                <w:b/>
                <w:bCs/>
                <w:color w:val="000000"/>
                <w:szCs w:val="17"/>
                <w:lang w:eastAsia="en-AU"/>
              </w:rPr>
              <w:t>Net result</w:t>
            </w:r>
          </w:p>
        </w:tc>
        <w:tc>
          <w:tcPr>
            <w:tcW w:w="850" w:type="dxa"/>
            <w:hideMark/>
          </w:tcPr>
          <w:p w14:paraId="27ED1663"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b/>
                <w:bCs/>
                <w:szCs w:val="17"/>
              </w:rPr>
            </w:pPr>
            <w:r w:rsidRPr="008248EA">
              <w:rPr>
                <w:b/>
                <w:bCs/>
              </w:rPr>
              <w:t>(374.1)</w:t>
            </w:r>
          </w:p>
        </w:tc>
        <w:tc>
          <w:tcPr>
            <w:tcW w:w="851" w:type="dxa"/>
            <w:hideMark/>
          </w:tcPr>
          <w:p w14:paraId="4D8098C0"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b/>
                <w:bCs/>
                <w:szCs w:val="17"/>
              </w:rPr>
            </w:pPr>
            <w:r w:rsidRPr="008248EA">
              <w:rPr>
                <w:b/>
                <w:bCs/>
              </w:rPr>
              <w:t>(749.2)</w:t>
            </w:r>
          </w:p>
        </w:tc>
        <w:tc>
          <w:tcPr>
            <w:tcW w:w="851" w:type="dxa"/>
            <w:hideMark/>
          </w:tcPr>
          <w:p w14:paraId="5970CDD9"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b/>
                <w:bCs/>
                <w:szCs w:val="17"/>
              </w:rPr>
            </w:pPr>
            <w:r w:rsidRPr="008248EA">
              <w:rPr>
                <w:b/>
                <w:bCs/>
              </w:rPr>
              <w:t>(558.6)</w:t>
            </w:r>
          </w:p>
        </w:tc>
        <w:tc>
          <w:tcPr>
            <w:tcW w:w="851" w:type="dxa"/>
            <w:hideMark/>
          </w:tcPr>
          <w:p w14:paraId="5795DE57"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b/>
                <w:bCs/>
                <w:szCs w:val="17"/>
              </w:rPr>
            </w:pPr>
            <w:r w:rsidRPr="008248EA">
              <w:rPr>
                <w:b/>
                <w:bCs/>
              </w:rPr>
              <w:t>(587.0)</w:t>
            </w:r>
          </w:p>
        </w:tc>
      </w:tr>
      <w:tr w:rsidR="009A0702" w:rsidRPr="00241193" w14:paraId="413C10D2" w14:textId="77777777" w:rsidTr="00303BE5">
        <w:tc>
          <w:tcPr>
            <w:cnfStyle w:val="001000000000" w:firstRow="0" w:lastRow="0" w:firstColumn="1" w:lastColumn="0" w:oddVBand="0" w:evenVBand="0" w:oddHBand="0" w:evenHBand="0" w:firstRowFirstColumn="0" w:firstRowLastColumn="0" w:lastRowFirstColumn="0" w:lastRowLastColumn="0"/>
            <w:tcW w:w="4367" w:type="dxa"/>
            <w:hideMark/>
          </w:tcPr>
          <w:p w14:paraId="5683AF30" w14:textId="77777777" w:rsidR="009A0702" w:rsidRPr="0080250B" w:rsidRDefault="009A0702" w:rsidP="008248EA">
            <w:pPr>
              <w:keepLines w:val="0"/>
              <w:autoSpaceDE w:val="0"/>
              <w:autoSpaceDN w:val="0"/>
              <w:adjustRightInd w:val="0"/>
              <w:rPr>
                <w:rFonts w:eastAsiaTheme="minorEastAsia" w:cs="Calibri"/>
                <w:b/>
                <w:bCs/>
                <w:color w:val="000000"/>
                <w:szCs w:val="17"/>
                <w:lang w:eastAsia="en-AU"/>
              </w:rPr>
            </w:pPr>
            <w:r w:rsidRPr="0080250B">
              <w:rPr>
                <w:rFonts w:eastAsiaTheme="minorEastAsia" w:cs="Calibri"/>
                <w:b/>
                <w:bCs/>
                <w:color w:val="000000"/>
                <w:szCs w:val="17"/>
                <w:lang w:eastAsia="en-AU"/>
              </w:rPr>
              <w:t>Net debt (cumulative)</w:t>
            </w:r>
          </w:p>
        </w:tc>
        <w:tc>
          <w:tcPr>
            <w:tcW w:w="850" w:type="dxa"/>
            <w:hideMark/>
          </w:tcPr>
          <w:p w14:paraId="14E4B402"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b/>
                <w:bCs/>
                <w:szCs w:val="17"/>
              </w:rPr>
            </w:pPr>
            <w:r w:rsidRPr="008248EA">
              <w:rPr>
                <w:b/>
                <w:bCs/>
              </w:rPr>
              <w:t>374.1</w:t>
            </w:r>
          </w:p>
        </w:tc>
        <w:tc>
          <w:tcPr>
            <w:tcW w:w="851" w:type="dxa"/>
            <w:hideMark/>
          </w:tcPr>
          <w:p w14:paraId="24DA75F6"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b/>
                <w:bCs/>
                <w:szCs w:val="17"/>
              </w:rPr>
            </w:pPr>
            <w:r w:rsidRPr="008248EA">
              <w:rPr>
                <w:b/>
                <w:bCs/>
              </w:rPr>
              <w:t>1</w:t>
            </w:r>
            <w:r>
              <w:rPr>
                <w:b/>
                <w:bCs/>
              </w:rPr>
              <w:t xml:space="preserve"> </w:t>
            </w:r>
            <w:r w:rsidRPr="008248EA">
              <w:rPr>
                <w:b/>
                <w:bCs/>
              </w:rPr>
              <w:t>006.9</w:t>
            </w:r>
          </w:p>
        </w:tc>
        <w:tc>
          <w:tcPr>
            <w:tcW w:w="851" w:type="dxa"/>
            <w:hideMark/>
          </w:tcPr>
          <w:p w14:paraId="6BEC31E9"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b/>
                <w:bCs/>
                <w:szCs w:val="17"/>
              </w:rPr>
            </w:pPr>
            <w:r w:rsidRPr="008248EA">
              <w:rPr>
                <w:b/>
                <w:bCs/>
              </w:rPr>
              <w:t>1</w:t>
            </w:r>
            <w:r>
              <w:rPr>
                <w:b/>
                <w:bCs/>
              </w:rPr>
              <w:t xml:space="preserve"> </w:t>
            </w:r>
            <w:r w:rsidRPr="008248EA">
              <w:rPr>
                <w:b/>
                <w:bCs/>
              </w:rPr>
              <w:t>451.0</w:t>
            </w:r>
          </w:p>
        </w:tc>
        <w:tc>
          <w:tcPr>
            <w:tcW w:w="851" w:type="dxa"/>
            <w:hideMark/>
          </w:tcPr>
          <w:p w14:paraId="5F43A5CA"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b/>
                <w:bCs/>
                <w:szCs w:val="17"/>
              </w:rPr>
            </w:pPr>
            <w:r w:rsidRPr="008248EA">
              <w:rPr>
                <w:b/>
                <w:bCs/>
              </w:rPr>
              <w:t>1</w:t>
            </w:r>
            <w:r>
              <w:rPr>
                <w:b/>
                <w:bCs/>
              </w:rPr>
              <w:t xml:space="preserve"> </w:t>
            </w:r>
            <w:r w:rsidRPr="008248EA">
              <w:rPr>
                <w:b/>
                <w:bCs/>
              </w:rPr>
              <w:t>926.8</w:t>
            </w:r>
          </w:p>
        </w:tc>
      </w:tr>
      <w:tr w:rsidR="009A0702" w:rsidRPr="007036F9" w14:paraId="0A21EF0D" w14:textId="77777777" w:rsidTr="00303BE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7" w:type="dxa"/>
            <w:hideMark/>
          </w:tcPr>
          <w:p w14:paraId="385E2B58" w14:textId="77777777" w:rsidR="009A0702" w:rsidRPr="0080250B" w:rsidRDefault="009A0702" w:rsidP="008248EA">
            <w:pPr>
              <w:keepLines w:val="0"/>
              <w:autoSpaceDE w:val="0"/>
              <w:autoSpaceDN w:val="0"/>
              <w:adjustRightInd w:val="0"/>
              <w:rPr>
                <w:rFonts w:eastAsiaTheme="minorEastAsia" w:cs="Calibri"/>
                <w:bCs/>
                <w:color w:val="000000"/>
                <w:szCs w:val="17"/>
                <w:lang w:eastAsia="en-AU"/>
              </w:rPr>
            </w:pPr>
            <w:r w:rsidRPr="0080250B">
              <w:rPr>
                <w:rFonts w:eastAsiaTheme="minorEastAsia" w:cs="Calibri"/>
                <w:bCs/>
                <w:color w:val="000000"/>
                <w:szCs w:val="17"/>
                <w:lang w:eastAsia="en-AU"/>
              </w:rPr>
              <w:t>Net debt to GSP ratio (percentage point difference)</w:t>
            </w:r>
          </w:p>
        </w:tc>
        <w:tc>
          <w:tcPr>
            <w:tcW w:w="850" w:type="dxa"/>
            <w:hideMark/>
          </w:tcPr>
          <w:p w14:paraId="0FB1ADC2" w14:textId="77777777" w:rsidR="009A0702" w:rsidRPr="0080250B" w:rsidRDefault="009A0702" w:rsidP="008248EA">
            <w:pPr>
              <w:cnfStyle w:val="010000000000" w:firstRow="0" w:lastRow="1" w:firstColumn="0" w:lastColumn="0" w:oddVBand="0" w:evenVBand="0" w:oddHBand="0" w:evenHBand="0" w:firstRowFirstColumn="0" w:firstRowLastColumn="0" w:lastRowFirstColumn="0" w:lastRowLastColumn="0"/>
              <w:rPr>
                <w:bCs/>
                <w:szCs w:val="17"/>
              </w:rPr>
            </w:pPr>
            <w:r w:rsidRPr="009A0676">
              <w:t>0.07</w:t>
            </w:r>
          </w:p>
        </w:tc>
        <w:tc>
          <w:tcPr>
            <w:tcW w:w="851" w:type="dxa"/>
            <w:hideMark/>
          </w:tcPr>
          <w:p w14:paraId="2E639656" w14:textId="77777777" w:rsidR="009A0702" w:rsidRPr="0080250B" w:rsidRDefault="009A0702" w:rsidP="008248EA">
            <w:pPr>
              <w:cnfStyle w:val="010000000000" w:firstRow="0" w:lastRow="1" w:firstColumn="0" w:lastColumn="0" w:oddVBand="0" w:evenVBand="0" w:oddHBand="0" w:evenHBand="0" w:firstRowFirstColumn="0" w:firstRowLastColumn="0" w:lastRowFirstColumn="0" w:lastRowLastColumn="0"/>
              <w:rPr>
                <w:bCs/>
                <w:szCs w:val="17"/>
              </w:rPr>
            </w:pPr>
            <w:r w:rsidRPr="009A0676">
              <w:t>0.17</w:t>
            </w:r>
          </w:p>
        </w:tc>
        <w:tc>
          <w:tcPr>
            <w:tcW w:w="851" w:type="dxa"/>
            <w:hideMark/>
          </w:tcPr>
          <w:p w14:paraId="3D8B372F" w14:textId="77777777" w:rsidR="009A0702" w:rsidRPr="0080250B" w:rsidRDefault="009A0702" w:rsidP="008248EA">
            <w:pPr>
              <w:cnfStyle w:val="010000000000" w:firstRow="0" w:lastRow="1" w:firstColumn="0" w:lastColumn="0" w:oddVBand="0" w:evenVBand="0" w:oddHBand="0" w:evenHBand="0" w:firstRowFirstColumn="0" w:firstRowLastColumn="0" w:lastRowFirstColumn="0" w:lastRowLastColumn="0"/>
              <w:rPr>
                <w:bCs/>
                <w:szCs w:val="17"/>
              </w:rPr>
            </w:pPr>
            <w:r w:rsidRPr="009A0676">
              <w:t>0.23</w:t>
            </w:r>
          </w:p>
        </w:tc>
        <w:tc>
          <w:tcPr>
            <w:tcW w:w="851" w:type="dxa"/>
            <w:hideMark/>
          </w:tcPr>
          <w:p w14:paraId="20D0ED07" w14:textId="77777777" w:rsidR="009A0702" w:rsidRPr="0080250B" w:rsidRDefault="009A0702" w:rsidP="008248EA">
            <w:pPr>
              <w:cnfStyle w:val="010000000000" w:firstRow="0" w:lastRow="1" w:firstColumn="0" w:lastColumn="0" w:oddVBand="0" w:evenVBand="0" w:oddHBand="0" w:evenHBand="0" w:firstRowFirstColumn="0" w:firstRowLastColumn="0" w:lastRowFirstColumn="0" w:lastRowLastColumn="0"/>
              <w:rPr>
                <w:bCs/>
                <w:szCs w:val="17"/>
              </w:rPr>
            </w:pPr>
            <w:r w:rsidRPr="009A0676">
              <w:t>0.29</w:t>
            </w:r>
          </w:p>
        </w:tc>
      </w:tr>
    </w:tbl>
    <w:p w14:paraId="52DC8077" w14:textId="77777777" w:rsidR="009A0702" w:rsidRPr="001232A3" w:rsidRDefault="009A0702" w:rsidP="00F22EE1">
      <w:pPr>
        <w:pStyle w:val="Note"/>
      </w:pPr>
      <w:r w:rsidRPr="001232A3">
        <w:t xml:space="preserve">Note: </w:t>
      </w:r>
    </w:p>
    <w:p w14:paraId="70393EA7" w14:textId="77777777" w:rsidR="009A0702" w:rsidRDefault="009A0702" w:rsidP="00F22EE1">
      <w:pPr>
        <w:pStyle w:val="Note"/>
      </w:pPr>
      <w:r w:rsidRPr="00C7341B">
        <w:t>(a)</w:t>
      </w:r>
      <w:r w:rsidRPr="00C7341B">
        <w:tab/>
        <w:t>Figures may not add due to rounding.</w:t>
      </w:r>
    </w:p>
    <w:p w14:paraId="5F257C4F" w14:textId="77777777" w:rsidR="009A0702" w:rsidRDefault="009A0702" w:rsidP="00F22EE1">
      <w:pPr>
        <w:rPr>
          <w:rFonts w:asciiTheme="majorHAnsi" w:hAnsiTheme="majorHAnsi"/>
          <w:i/>
          <w:spacing w:val="-2"/>
          <w:sz w:val="14"/>
        </w:rPr>
      </w:pPr>
    </w:p>
    <w:p w14:paraId="3C1ED56A" w14:textId="77777777" w:rsidR="009A0702" w:rsidRPr="0080250B" w:rsidRDefault="009A0702" w:rsidP="00F22EE1"/>
    <w:p w14:paraId="05EE20DF" w14:textId="77777777" w:rsidR="009A0702" w:rsidRDefault="009A0702" w:rsidP="00F22EE1">
      <w:pPr>
        <w:pStyle w:val="Heading10"/>
        <w:keepNext w:val="0"/>
        <w:pageBreakBefore/>
        <w:spacing w:before="120"/>
      </w:pPr>
      <w:bookmarkStart w:id="158" w:name="_Toc9436042"/>
      <w:bookmarkStart w:id="159" w:name="_Toc101972164"/>
      <w:bookmarkStart w:id="160" w:name="_Toc117586270"/>
      <w:r>
        <w:lastRenderedPageBreak/>
        <w:t>Sensitivity to independent variations in major economic parameters</w:t>
      </w:r>
      <w:bookmarkEnd w:id="158"/>
      <w:bookmarkEnd w:id="159"/>
      <w:bookmarkEnd w:id="160"/>
    </w:p>
    <w:p w14:paraId="1B6FCAEE" w14:textId="77777777" w:rsidR="009A0702" w:rsidRDefault="009A0702" w:rsidP="00F22EE1">
      <w:pPr>
        <w:ind w:right="-227"/>
        <w:rPr>
          <w:color w:val="000000" w:themeColor="text1"/>
        </w:rPr>
      </w:pPr>
      <w:r w:rsidRPr="000279B0">
        <w:rPr>
          <w:color w:val="000000" w:themeColor="text1"/>
        </w:rPr>
        <w:t xml:space="preserve">Table </w:t>
      </w:r>
      <w:r>
        <w:rPr>
          <w:color w:val="000000" w:themeColor="text1"/>
        </w:rPr>
        <w:t>B</w:t>
      </w:r>
      <w:r w:rsidRPr="000279B0">
        <w:rPr>
          <w:color w:val="000000" w:themeColor="text1"/>
        </w:rPr>
        <w:t>.3 presents the sensitivity of financial aggregates where the levels of key economic parameters are 1 per cent (or, for interest rates, 1 percentage point) above the forecast for each year of the budget and forward estimates, holding all else constant.</w:t>
      </w:r>
      <w:r>
        <w:rPr>
          <w:color w:val="000000" w:themeColor="text1"/>
        </w:rPr>
        <w:t xml:space="preserve"> </w:t>
      </w:r>
    </w:p>
    <w:p w14:paraId="2AC8BD9E" w14:textId="77777777" w:rsidR="009A0702" w:rsidRDefault="009A0702" w:rsidP="00F22EE1">
      <w:pPr>
        <w:ind w:right="-227"/>
        <w:rPr>
          <w:color w:val="000000" w:themeColor="text1"/>
        </w:rPr>
      </w:pPr>
      <w:r>
        <w:rPr>
          <w:color w:val="000000" w:themeColor="text1"/>
        </w:rPr>
        <w:t xml:space="preserve">The impacts shown are broadly symmetric, that is, the estimated fiscal impacts would apply approximately equally in the opposite direction where there is a decrease in the parameter. Differences may arise to the extent that the impact on income tax equivalent income may not be symmetric because that line item is subject to a floor of zero, and the impact on dividends may be affected by some entities facing caps on the share of profits that can be returned to the general government sector. </w:t>
      </w:r>
    </w:p>
    <w:p w14:paraId="721F0FDE" w14:textId="29425D37" w:rsidR="009A0702" w:rsidRDefault="009A0702" w:rsidP="00F22EE1">
      <w:pPr>
        <w:pStyle w:val="TableHeading"/>
        <w:ind w:left="1140" w:hanging="1140"/>
      </w:pPr>
      <w:r w:rsidRPr="00E94D48">
        <w:t>Table B.3:</w:t>
      </w:r>
      <w:r w:rsidRPr="00E94D48">
        <w:tab/>
      </w:r>
      <w:r w:rsidR="00AE31D1">
        <w:tab/>
      </w:r>
      <w:r w:rsidRPr="00E94D48">
        <w:t xml:space="preserve">Sensitivity of key fiscal aggregates to selected indicators being </w:t>
      </w:r>
      <w:r w:rsidRPr="00E94D48">
        <w:br/>
        <w:t>1 per cent higher than expected from 2022-23</w:t>
      </w:r>
      <w:r w:rsidRPr="00E94D48">
        <w:rPr>
          <w:vertAlign w:val="superscript"/>
        </w:rPr>
        <w:t xml:space="preserve"> (a)(b)(c)(d)(e) </w:t>
      </w:r>
      <w:r w:rsidRPr="00E94D48">
        <w:rPr>
          <w:vertAlign w:val="superscript"/>
        </w:rPr>
        <w:tab/>
      </w:r>
      <w:r w:rsidRPr="00E94D48">
        <w:t>($ million)</w:t>
      </w:r>
    </w:p>
    <w:tbl>
      <w:tblPr>
        <w:tblStyle w:val="DTFTable"/>
        <w:tblW w:w="7755" w:type="dxa"/>
        <w:tblLayout w:type="fixed"/>
        <w:tblLook w:val="06E0" w:firstRow="1" w:lastRow="1" w:firstColumn="1" w:lastColumn="0" w:noHBand="1" w:noVBand="1"/>
      </w:tblPr>
      <w:tblGrid>
        <w:gridCol w:w="4360"/>
        <w:gridCol w:w="849"/>
        <w:gridCol w:w="848"/>
        <w:gridCol w:w="849"/>
        <w:gridCol w:w="849"/>
      </w:tblGrid>
      <w:tr w:rsidR="009A0702" w:rsidRPr="00CF5471" w14:paraId="57E9D6B4" w14:textId="77777777" w:rsidTr="007E0B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0" w:type="dxa"/>
          </w:tcPr>
          <w:p w14:paraId="2CB09DB4" w14:textId="77777777" w:rsidR="009A0702" w:rsidRPr="00CF5471" w:rsidRDefault="009A0702" w:rsidP="00303BE5">
            <w:pPr>
              <w:autoSpaceDE w:val="0"/>
              <w:autoSpaceDN w:val="0"/>
              <w:adjustRightInd w:val="0"/>
              <w:rPr>
                <w:rFonts w:cstheme="majorHAnsi"/>
                <w:szCs w:val="17"/>
              </w:rPr>
            </w:pPr>
            <w:bookmarkStart w:id="161" w:name="_Hlk100825913"/>
            <w:r w:rsidRPr="00CF5471">
              <w:rPr>
                <w:rFonts w:eastAsiaTheme="minorEastAsia" w:cstheme="majorHAnsi"/>
                <w:szCs w:val="17"/>
                <w:lang w:eastAsia="en-AU"/>
              </w:rPr>
              <w:t xml:space="preserve"> </w:t>
            </w:r>
          </w:p>
        </w:tc>
        <w:tc>
          <w:tcPr>
            <w:tcW w:w="849" w:type="dxa"/>
            <w:hideMark/>
          </w:tcPr>
          <w:p w14:paraId="7BFE3CEF" w14:textId="1BE430A3" w:rsidR="009A0702" w:rsidRPr="00CF5471" w:rsidRDefault="009A0702" w:rsidP="00303BE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sidRPr="00CF5471">
              <w:rPr>
                <w:rFonts w:eastAsiaTheme="minorEastAsia" w:cstheme="majorHAnsi"/>
                <w:iCs/>
                <w:szCs w:val="17"/>
                <w:lang w:eastAsia="en-AU"/>
              </w:rPr>
              <w:t>2022-23</w:t>
            </w:r>
            <w:r w:rsidR="00357AFE">
              <w:rPr>
                <w:rFonts w:eastAsiaTheme="minorEastAsia" w:cstheme="majorHAnsi"/>
                <w:i w:val="0"/>
                <w:iCs/>
                <w:szCs w:val="17"/>
                <w:lang w:eastAsia="en-AU"/>
              </w:rPr>
              <w:br/>
            </w:r>
            <w:r w:rsidRPr="00CF5471">
              <w:rPr>
                <w:rFonts w:eastAsiaTheme="minorEastAsia" w:cstheme="majorHAnsi"/>
                <w:iCs/>
                <w:szCs w:val="17"/>
                <w:lang w:eastAsia="en-AU"/>
              </w:rPr>
              <w:t>estimate</w:t>
            </w:r>
          </w:p>
        </w:tc>
        <w:tc>
          <w:tcPr>
            <w:tcW w:w="848" w:type="dxa"/>
            <w:hideMark/>
          </w:tcPr>
          <w:p w14:paraId="0C262261" w14:textId="2C0B594A" w:rsidR="009A0702" w:rsidRPr="00CF5471" w:rsidRDefault="009A0702" w:rsidP="00303BE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sidRPr="00CF5471">
              <w:rPr>
                <w:rFonts w:eastAsiaTheme="minorEastAsia" w:cstheme="majorHAnsi"/>
                <w:iCs/>
                <w:szCs w:val="17"/>
                <w:lang w:eastAsia="en-AU"/>
              </w:rPr>
              <w:t>2023-24</w:t>
            </w:r>
            <w:r w:rsidR="00357AFE">
              <w:rPr>
                <w:rFonts w:eastAsiaTheme="minorEastAsia" w:cstheme="majorHAnsi"/>
                <w:i w:val="0"/>
                <w:iCs/>
                <w:szCs w:val="17"/>
                <w:lang w:eastAsia="en-AU"/>
              </w:rPr>
              <w:br/>
            </w:r>
            <w:r w:rsidRPr="00CF5471">
              <w:rPr>
                <w:rFonts w:eastAsiaTheme="minorEastAsia" w:cstheme="majorHAnsi"/>
                <w:iCs/>
                <w:szCs w:val="17"/>
                <w:lang w:eastAsia="en-AU"/>
              </w:rPr>
              <w:t>estimate</w:t>
            </w:r>
          </w:p>
        </w:tc>
        <w:tc>
          <w:tcPr>
            <w:tcW w:w="849" w:type="dxa"/>
            <w:hideMark/>
          </w:tcPr>
          <w:p w14:paraId="0E811656" w14:textId="588C7041" w:rsidR="009A0702" w:rsidRPr="00CF5471" w:rsidRDefault="009A0702" w:rsidP="00303BE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sidRPr="00CF5471">
              <w:rPr>
                <w:rFonts w:eastAsiaTheme="minorEastAsia" w:cstheme="majorHAnsi"/>
                <w:iCs/>
                <w:szCs w:val="17"/>
                <w:lang w:eastAsia="en-AU"/>
              </w:rPr>
              <w:t>2024-25</w:t>
            </w:r>
            <w:r w:rsidR="00357AFE">
              <w:rPr>
                <w:rFonts w:eastAsiaTheme="minorEastAsia" w:cstheme="majorHAnsi"/>
                <w:i w:val="0"/>
                <w:iCs/>
                <w:szCs w:val="17"/>
                <w:lang w:eastAsia="en-AU"/>
              </w:rPr>
              <w:br/>
            </w:r>
            <w:r w:rsidRPr="00CF5471">
              <w:rPr>
                <w:rFonts w:eastAsiaTheme="minorEastAsia" w:cstheme="majorHAnsi"/>
                <w:iCs/>
                <w:szCs w:val="17"/>
                <w:lang w:eastAsia="en-AU"/>
              </w:rPr>
              <w:t>estimate</w:t>
            </w:r>
          </w:p>
        </w:tc>
        <w:tc>
          <w:tcPr>
            <w:tcW w:w="849" w:type="dxa"/>
            <w:hideMark/>
          </w:tcPr>
          <w:p w14:paraId="5B333E4C" w14:textId="14883E19" w:rsidR="009A0702" w:rsidRPr="00CF5471" w:rsidRDefault="009A0702" w:rsidP="00303BE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sidRPr="00CF5471">
              <w:rPr>
                <w:rFonts w:eastAsiaTheme="minorEastAsia" w:cstheme="majorHAnsi"/>
                <w:iCs/>
                <w:szCs w:val="17"/>
                <w:lang w:eastAsia="en-AU"/>
              </w:rPr>
              <w:t>2025-26</w:t>
            </w:r>
            <w:r w:rsidR="00357AFE">
              <w:rPr>
                <w:rFonts w:eastAsiaTheme="minorEastAsia" w:cstheme="majorHAnsi"/>
                <w:i w:val="0"/>
                <w:iCs/>
                <w:szCs w:val="17"/>
                <w:lang w:eastAsia="en-AU"/>
              </w:rPr>
              <w:br/>
            </w:r>
            <w:r w:rsidRPr="00CF5471">
              <w:rPr>
                <w:rFonts w:eastAsiaTheme="minorEastAsia" w:cstheme="majorHAnsi"/>
                <w:iCs/>
                <w:szCs w:val="17"/>
                <w:lang w:eastAsia="en-AU"/>
              </w:rPr>
              <w:t>estimate</w:t>
            </w:r>
          </w:p>
        </w:tc>
      </w:tr>
      <w:bookmarkEnd w:id="161"/>
      <w:tr w:rsidR="009A0702" w:rsidRPr="00CF5471" w14:paraId="6F08762B" w14:textId="77777777" w:rsidTr="00303BE5">
        <w:tc>
          <w:tcPr>
            <w:cnfStyle w:val="001000000000" w:firstRow="0" w:lastRow="0" w:firstColumn="1" w:lastColumn="0" w:oddVBand="0" w:evenVBand="0" w:oddHBand="0" w:evenHBand="0" w:firstRowFirstColumn="0" w:firstRowLastColumn="0" w:lastRowFirstColumn="0" w:lastRowLastColumn="0"/>
            <w:tcW w:w="4360" w:type="dxa"/>
            <w:hideMark/>
          </w:tcPr>
          <w:p w14:paraId="40DEA336" w14:textId="77777777" w:rsidR="009A0702" w:rsidRPr="00CF5471" w:rsidRDefault="009A0702" w:rsidP="00303BE5">
            <w:pPr>
              <w:keepLines w:val="0"/>
              <w:autoSpaceDE w:val="0"/>
              <w:autoSpaceDN w:val="0"/>
              <w:adjustRightInd w:val="0"/>
              <w:rPr>
                <w:rFonts w:eastAsiaTheme="minorEastAsia" w:cstheme="majorHAnsi"/>
                <w:b/>
                <w:bCs/>
                <w:szCs w:val="17"/>
                <w:lang w:eastAsia="en-AU"/>
              </w:rPr>
            </w:pPr>
            <w:r w:rsidRPr="00CF5471">
              <w:rPr>
                <w:rFonts w:eastAsiaTheme="minorEastAsia" w:cstheme="majorHAnsi"/>
                <w:b/>
                <w:bCs/>
                <w:szCs w:val="17"/>
                <w:lang w:eastAsia="en-AU"/>
              </w:rPr>
              <w:t>GSP</w:t>
            </w:r>
          </w:p>
        </w:tc>
        <w:tc>
          <w:tcPr>
            <w:tcW w:w="849" w:type="dxa"/>
          </w:tcPr>
          <w:p w14:paraId="38283711" w14:textId="77777777" w:rsidR="009A0702" w:rsidRPr="00CF5471" w:rsidRDefault="009A0702" w:rsidP="00303BE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szCs w:val="17"/>
                <w:lang w:eastAsia="en-AU"/>
              </w:rPr>
            </w:pPr>
          </w:p>
        </w:tc>
        <w:tc>
          <w:tcPr>
            <w:tcW w:w="848" w:type="dxa"/>
          </w:tcPr>
          <w:p w14:paraId="79D568F4" w14:textId="77777777" w:rsidR="009A0702" w:rsidRPr="00CF5471" w:rsidRDefault="009A0702" w:rsidP="00303BE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szCs w:val="17"/>
                <w:lang w:eastAsia="en-AU"/>
              </w:rPr>
            </w:pPr>
          </w:p>
        </w:tc>
        <w:tc>
          <w:tcPr>
            <w:tcW w:w="849" w:type="dxa"/>
          </w:tcPr>
          <w:p w14:paraId="0B285A6C" w14:textId="77777777" w:rsidR="009A0702" w:rsidRPr="00CF5471" w:rsidRDefault="009A0702" w:rsidP="00303BE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szCs w:val="17"/>
                <w:lang w:eastAsia="en-AU"/>
              </w:rPr>
            </w:pPr>
          </w:p>
        </w:tc>
        <w:tc>
          <w:tcPr>
            <w:tcW w:w="849" w:type="dxa"/>
          </w:tcPr>
          <w:p w14:paraId="2621856D" w14:textId="77777777" w:rsidR="009A0702" w:rsidRPr="00CF5471" w:rsidRDefault="009A0702" w:rsidP="00303BE5">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szCs w:val="17"/>
                <w:lang w:eastAsia="en-AU"/>
              </w:rPr>
            </w:pPr>
          </w:p>
        </w:tc>
      </w:tr>
      <w:tr w:rsidR="009A0702" w:rsidRPr="00CF5471" w14:paraId="0EBB7544" w14:textId="77777777" w:rsidTr="00303BE5">
        <w:tc>
          <w:tcPr>
            <w:cnfStyle w:val="001000000000" w:firstRow="0" w:lastRow="0" w:firstColumn="1" w:lastColumn="0" w:oddVBand="0" w:evenVBand="0" w:oddHBand="0" w:evenHBand="0" w:firstRowFirstColumn="0" w:firstRowLastColumn="0" w:lastRowFirstColumn="0" w:lastRowLastColumn="0"/>
            <w:tcW w:w="4360" w:type="dxa"/>
            <w:hideMark/>
          </w:tcPr>
          <w:p w14:paraId="32AA4C14" w14:textId="77777777" w:rsidR="009A0702" w:rsidRPr="00CF5471" w:rsidRDefault="009A0702" w:rsidP="008248EA">
            <w:pPr>
              <w:keepLines w:val="0"/>
              <w:autoSpaceDE w:val="0"/>
              <w:autoSpaceDN w:val="0"/>
              <w:adjustRightInd w:val="0"/>
              <w:rPr>
                <w:rFonts w:eastAsiaTheme="minorEastAsia" w:cstheme="majorHAnsi"/>
                <w:szCs w:val="17"/>
                <w:lang w:eastAsia="en-AU"/>
              </w:rPr>
            </w:pPr>
            <w:r w:rsidRPr="00CF5471">
              <w:rPr>
                <w:rFonts w:eastAsiaTheme="minorEastAsia" w:cstheme="majorHAnsi"/>
                <w:szCs w:val="17"/>
                <w:lang w:eastAsia="en-AU"/>
              </w:rPr>
              <w:t>Income from transactions</w:t>
            </w:r>
          </w:p>
        </w:tc>
        <w:tc>
          <w:tcPr>
            <w:tcW w:w="849" w:type="dxa"/>
            <w:hideMark/>
          </w:tcPr>
          <w:p w14:paraId="4A3569DD"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5A446D">
              <w:t>124</w:t>
            </w:r>
          </w:p>
        </w:tc>
        <w:tc>
          <w:tcPr>
            <w:tcW w:w="848" w:type="dxa"/>
            <w:hideMark/>
          </w:tcPr>
          <w:p w14:paraId="7E2B31E0"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5A446D">
              <w:t>127</w:t>
            </w:r>
          </w:p>
        </w:tc>
        <w:tc>
          <w:tcPr>
            <w:tcW w:w="849" w:type="dxa"/>
            <w:hideMark/>
          </w:tcPr>
          <w:p w14:paraId="5A256279"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5A446D">
              <w:t>139</w:t>
            </w:r>
          </w:p>
        </w:tc>
        <w:tc>
          <w:tcPr>
            <w:tcW w:w="849" w:type="dxa"/>
            <w:hideMark/>
          </w:tcPr>
          <w:p w14:paraId="673F9EC9"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5A446D">
              <w:t>146</w:t>
            </w:r>
          </w:p>
        </w:tc>
      </w:tr>
      <w:tr w:rsidR="009A0702" w:rsidRPr="00CF5471" w14:paraId="32BA79EA" w14:textId="77777777" w:rsidTr="00303BE5">
        <w:tc>
          <w:tcPr>
            <w:cnfStyle w:val="001000000000" w:firstRow="0" w:lastRow="0" w:firstColumn="1" w:lastColumn="0" w:oddVBand="0" w:evenVBand="0" w:oddHBand="0" w:evenHBand="0" w:firstRowFirstColumn="0" w:firstRowLastColumn="0" w:lastRowFirstColumn="0" w:lastRowLastColumn="0"/>
            <w:tcW w:w="4360" w:type="dxa"/>
            <w:tcBorders>
              <w:bottom w:val="single" w:sz="4" w:space="0" w:color="auto"/>
            </w:tcBorders>
            <w:hideMark/>
          </w:tcPr>
          <w:p w14:paraId="488E68ED" w14:textId="77777777" w:rsidR="009A0702" w:rsidRPr="00CF5471" w:rsidRDefault="009A0702" w:rsidP="008248EA">
            <w:pPr>
              <w:keepLines w:val="0"/>
              <w:autoSpaceDE w:val="0"/>
              <w:autoSpaceDN w:val="0"/>
              <w:adjustRightInd w:val="0"/>
              <w:rPr>
                <w:rFonts w:eastAsiaTheme="minorEastAsia" w:cstheme="majorHAnsi"/>
                <w:szCs w:val="17"/>
                <w:lang w:eastAsia="en-AU"/>
              </w:rPr>
            </w:pPr>
            <w:r w:rsidRPr="00CF5471">
              <w:rPr>
                <w:rFonts w:eastAsiaTheme="minorEastAsia" w:cstheme="majorHAnsi"/>
                <w:szCs w:val="17"/>
                <w:lang w:eastAsia="en-AU"/>
              </w:rPr>
              <w:t>Expenses from transactions</w:t>
            </w:r>
          </w:p>
        </w:tc>
        <w:tc>
          <w:tcPr>
            <w:tcW w:w="849" w:type="dxa"/>
            <w:tcBorders>
              <w:bottom w:val="single" w:sz="4" w:space="0" w:color="auto"/>
            </w:tcBorders>
            <w:hideMark/>
          </w:tcPr>
          <w:p w14:paraId="1A5C20EB"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5A446D">
              <w:t>1</w:t>
            </w:r>
          </w:p>
        </w:tc>
        <w:tc>
          <w:tcPr>
            <w:tcW w:w="848" w:type="dxa"/>
            <w:tcBorders>
              <w:bottom w:val="single" w:sz="4" w:space="0" w:color="auto"/>
            </w:tcBorders>
            <w:hideMark/>
          </w:tcPr>
          <w:p w14:paraId="5B67A286"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5A446D">
              <w:t>(4)</w:t>
            </w:r>
          </w:p>
        </w:tc>
        <w:tc>
          <w:tcPr>
            <w:tcW w:w="849" w:type="dxa"/>
            <w:tcBorders>
              <w:bottom w:val="single" w:sz="4" w:space="0" w:color="auto"/>
            </w:tcBorders>
            <w:hideMark/>
          </w:tcPr>
          <w:p w14:paraId="31D2CFA3"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5A446D">
              <w:t>(11)</w:t>
            </w:r>
          </w:p>
        </w:tc>
        <w:tc>
          <w:tcPr>
            <w:tcW w:w="849" w:type="dxa"/>
            <w:tcBorders>
              <w:bottom w:val="single" w:sz="4" w:space="0" w:color="auto"/>
            </w:tcBorders>
            <w:hideMark/>
          </w:tcPr>
          <w:p w14:paraId="7F747BB3"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5A446D">
              <w:t>(19)</w:t>
            </w:r>
          </w:p>
        </w:tc>
      </w:tr>
      <w:tr w:rsidR="009A0702" w:rsidRPr="00CF5471" w14:paraId="78815EDC" w14:textId="77777777" w:rsidTr="00303BE5">
        <w:tc>
          <w:tcPr>
            <w:cnfStyle w:val="001000000000" w:firstRow="0" w:lastRow="0" w:firstColumn="1" w:lastColumn="0" w:oddVBand="0" w:evenVBand="0" w:oddHBand="0" w:evenHBand="0" w:firstRowFirstColumn="0" w:firstRowLastColumn="0" w:lastRowFirstColumn="0" w:lastRowLastColumn="0"/>
            <w:tcW w:w="4360" w:type="dxa"/>
            <w:tcBorders>
              <w:top w:val="single" w:sz="4" w:space="0" w:color="auto"/>
              <w:bottom w:val="nil"/>
            </w:tcBorders>
            <w:hideMark/>
          </w:tcPr>
          <w:p w14:paraId="36E3D176" w14:textId="77777777" w:rsidR="009A0702" w:rsidRPr="00CF5471" w:rsidRDefault="009A0702" w:rsidP="008248EA">
            <w:pPr>
              <w:keepLines w:val="0"/>
              <w:autoSpaceDE w:val="0"/>
              <w:autoSpaceDN w:val="0"/>
              <w:adjustRightInd w:val="0"/>
              <w:rPr>
                <w:rFonts w:eastAsiaTheme="minorEastAsia" w:cstheme="majorHAnsi"/>
                <w:b/>
                <w:bCs/>
                <w:szCs w:val="17"/>
                <w:lang w:eastAsia="en-AU"/>
              </w:rPr>
            </w:pPr>
            <w:r w:rsidRPr="00CF5471">
              <w:rPr>
                <w:rFonts w:eastAsiaTheme="minorEastAsia" w:cstheme="majorHAnsi"/>
                <w:b/>
                <w:bCs/>
                <w:szCs w:val="17"/>
                <w:lang w:eastAsia="en-AU"/>
              </w:rPr>
              <w:t>Net result from transactions</w:t>
            </w:r>
          </w:p>
        </w:tc>
        <w:tc>
          <w:tcPr>
            <w:tcW w:w="849" w:type="dxa"/>
            <w:tcBorders>
              <w:top w:val="single" w:sz="4" w:space="0" w:color="auto"/>
              <w:bottom w:val="nil"/>
            </w:tcBorders>
            <w:hideMark/>
          </w:tcPr>
          <w:p w14:paraId="5CE77255"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123</w:t>
            </w:r>
          </w:p>
        </w:tc>
        <w:tc>
          <w:tcPr>
            <w:tcW w:w="848" w:type="dxa"/>
            <w:tcBorders>
              <w:top w:val="single" w:sz="4" w:space="0" w:color="auto"/>
              <w:bottom w:val="nil"/>
            </w:tcBorders>
            <w:hideMark/>
          </w:tcPr>
          <w:p w14:paraId="361A183F"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131</w:t>
            </w:r>
          </w:p>
        </w:tc>
        <w:tc>
          <w:tcPr>
            <w:tcW w:w="849" w:type="dxa"/>
            <w:tcBorders>
              <w:top w:val="single" w:sz="4" w:space="0" w:color="auto"/>
              <w:bottom w:val="nil"/>
            </w:tcBorders>
            <w:hideMark/>
          </w:tcPr>
          <w:p w14:paraId="2220FBE9"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150</w:t>
            </w:r>
          </w:p>
        </w:tc>
        <w:tc>
          <w:tcPr>
            <w:tcW w:w="849" w:type="dxa"/>
            <w:tcBorders>
              <w:top w:val="single" w:sz="4" w:space="0" w:color="auto"/>
              <w:bottom w:val="nil"/>
            </w:tcBorders>
            <w:hideMark/>
          </w:tcPr>
          <w:p w14:paraId="666CD702"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165</w:t>
            </w:r>
          </w:p>
        </w:tc>
      </w:tr>
      <w:tr w:rsidR="009A0702" w:rsidRPr="00CF5471" w14:paraId="155F932C" w14:textId="77777777" w:rsidTr="00303BE5">
        <w:tc>
          <w:tcPr>
            <w:cnfStyle w:val="001000000000" w:firstRow="0" w:lastRow="0" w:firstColumn="1" w:lastColumn="0" w:oddVBand="0" w:evenVBand="0" w:oddHBand="0" w:evenHBand="0" w:firstRowFirstColumn="0" w:firstRowLastColumn="0" w:lastRowFirstColumn="0" w:lastRowLastColumn="0"/>
            <w:tcW w:w="4360" w:type="dxa"/>
            <w:tcBorders>
              <w:bottom w:val="single" w:sz="4" w:space="0" w:color="auto"/>
            </w:tcBorders>
            <w:hideMark/>
          </w:tcPr>
          <w:p w14:paraId="162116C9" w14:textId="77777777" w:rsidR="009A0702" w:rsidRPr="00CF5471" w:rsidRDefault="009A0702" w:rsidP="008248EA">
            <w:pPr>
              <w:keepLines w:val="0"/>
              <w:autoSpaceDE w:val="0"/>
              <w:autoSpaceDN w:val="0"/>
              <w:adjustRightInd w:val="0"/>
              <w:rPr>
                <w:rFonts w:eastAsiaTheme="minorEastAsia" w:cstheme="majorHAnsi"/>
                <w:b/>
                <w:bCs/>
                <w:szCs w:val="17"/>
                <w:lang w:eastAsia="en-AU"/>
              </w:rPr>
            </w:pPr>
            <w:r w:rsidRPr="00CF5471">
              <w:rPr>
                <w:rFonts w:eastAsiaTheme="minorEastAsia" w:cstheme="majorHAnsi"/>
                <w:b/>
                <w:bCs/>
                <w:szCs w:val="17"/>
                <w:lang w:eastAsia="en-AU"/>
              </w:rPr>
              <w:t>Net debt</w:t>
            </w:r>
          </w:p>
        </w:tc>
        <w:tc>
          <w:tcPr>
            <w:tcW w:w="849" w:type="dxa"/>
            <w:tcBorders>
              <w:bottom w:val="single" w:sz="4" w:space="0" w:color="auto"/>
            </w:tcBorders>
            <w:hideMark/>
          </w:tcPr>
          <w:p w14:paraId="0E73D00D"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(123)</w:t>
            </w:r>
          </w:p>
        </w:tc>
        <w:tc>
          <w:tcPr>
            <w:tcW w:w="848" w:type="dxa"/>
            <w:tcBorders>
              <w:bottom w:val="single" w:sz="4" w:space="0" w:color="auto"/>
            </w:tcBorders>
            <w:hideMark/>
          </w:tcPr>
          <w:p w14:paraId="0C012A97"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(255)</w:t>
            </w:r>
          </w:p>
        </w:tc>
        <w:tc>
          <w:tcPr>
            <w:tcW w:w="849" w:type="dxa"/>
            <w:tcBorders>
              <w:bottom w:val="single" w:sz="4" w:space="0" w:color="auto"/>
            </w:tcBorders>
            <w:hideMark/>
          </w:tcPr>
          <w:p w14:paraId="23CB883F"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(404)</w:t>
            </w:r>
          </w:p>
        </w:tc>
        <w:tc>
          <w:tcPr>
            <w:tcW w:w="849" w:type="dxa"/>
            <w:tcBorders>
              <w:bottom w:val="single" w:sz="4" w:space="0" w:color="auto"/>
            </w:tcBorders>
            <w:hideMark/>
          </w:tcPr>
          <w:p w14:paraId="5236A4DD"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(569)</w:t>
            </w:r>
          </w:p>
        </w:tc>
      </w:tr>
      <w:tr w:rsidR="009A0702" w:rsidRPr="00CF5471" w14:paraId="624045E3" w14:textId="77777777" w:rsidTr="00303BE5">
        <w:tc>
          <w:tcPr>
            <w:cnfStyle w:val="001000000000" w:firstRow="0" w:lastRow="0" w:firstColumn="1" w:lastColumn="0" w:oddVBand="0" w:evenVBand="0" w:oddHBand="0" w:evenHBand="0" w:firstRowFirstColumn="0" w:firstRowLastColumn="0" w:lastRowFirstColumn="0" w:lastRowLastColumn="0"/>
            <w:tcW w:w="4360" w:type="dxa"/>
            <w:tcBorders>
              <w:top w:val="single" w:sz="4" w:space="0" w:color="auto"/>
            </w:tcBorders>
            <w:hideMark/>
          </w:tcPr>
          <w:p w14:paraId="0E9DAD25" w14:textId="77777777" w:rsidR="009A0702" w:rsidRPr="00CF5471" w:rsidRDefault="009A0702" w:rsidP="00303BE5">
            <w:pPr>
              <w:keepLines w:val="0"/>
              <w:autoSpaceDE w:val="0"/>
              <w:autoSpaceDN w:val="0"/>
              <w:adjustRightInd w:val="0"/>
              <w:rPr>
                <w:rFonts w:eastAsiaTheme="minorEastAsia" w:cstheme="majorHAnsi"/>
                <w:b/>
                <w:bCs/>
                <w:szCs w:val="17"/>
                <w:lang w:eastAsia="en-AU"/>
              </w:rPr>
            </w:pPr>
            <w:r w:rsidRPr="00CF5471">
              <w:rPr>
                <w:rFonts w:eastAsiaTheme="minorEastAsia" w:cstheme="majorHAnsi"/>
                <w:b/>
                <w:bCs/>
                <w:szCs w:val="17"/>
                <w:lang w:eastAsia="en-AU"/>
              </w:rPr>
              <w:t xml:space="preserve">Employment </w:t>
            </w:r>
            <w:r w:rsidRPr="00CF5471">
              <w:rPr>
                <w:rFonts w:eastAsiaTheme="minorEastAsia" w:cstheme="majorHAnsi"/>
                <w:b/>
                <w:bCs/>
                <w:szCs w:val="17"/>
                <w:vertAlign w:val="superscript"/>
                <w:lang w:eastAsia="en-AU"/>
              </w:rPr>
              <w:t>(f)</w:t>
            </w:r>
            <w:r w:rsidRPr="00CF5471">
              <w:rPr>
                <w:rFonts w:eastAsiaTheme="minorEastAsia" w:cstheme="majorHAnsi"/>
                <w:b/>
                <w:bCs/>
                <w:szCs w:val="17"/>
                <w:lang w:eastAsia="en-AU"/>
              </w:rPr>
              <w:t xml:space="preserve"> </w:t>
            </w:r>
          </w:p>
        </w:tc>
        <w:tc>
          <w:tcPr>
            <w:tcW w:w="849" w:type="dxa"/>
            <w:tcBorders>
              <w:top w:val="single" w:sz="4" w:space="0" w:color="auto"/>
            </w:tcBorders>
          </w:tcPr>
          <w:p w14:paraId="520813B8"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p>
        </w:tc>
        <w:tc>
          <w:tcPr>
            <w:tcW w:w="848" w:type="dxa"/>
            <w:tcBorders>
              <w:top w:val="single" w:sz="4" w:space="0" w:color="auto"/>
            </w:tcBorders>
          </w:tcPr>
          <w:p w14:paraId="1AE96B4A"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p>
        </w:tc>
        <w:tc>
          <w:tcPr>
            <w:tcW w:w="849" w:type="dxa"/>
            <w:tcBorders>
              <w:top w:val="single" w:sz="4" w:space="0" w:color="auto"/>
            </w:tcBorders>
          </w:tcPr>
          <w:p w14:paraId="07C5A983"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p>
        </w:tc>
        <w:tc>
          <w:tcPr>
            <w:tcW w:w="849" w:type="dxa"/>
            <w:tcBorders>
              <w:top w:val="single" w:sz="4" w:space="0" w:color="auto"/>
            </w:tcBorders>
          </w:tcPr>
          <w:p w14:paraId="4504BFD6"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p>
        </w:tc>
      </w:tr>
      <w:tr w:rsidR="009A0702" w:rsidRPr="00CF5471" w14:paraId="4DF5B2E1" w14:textId="77777777" w:rsidTr="00303BE5">
        <w:tc>
          <w:tcPr>
            <w:cnfStyle w:val="001000000000" w:firstRow="0" w:lastRow="0" w:firstColumn="1" w:lastColumn="0" w:oddVBand="0" w:evenVBand="0" w:oddHBand="0" w:evenHBand="0" w:firstRowFirstColumn="0" w:firstRowLastColumn="0" w:lastRowFirstColumn="0" w:lastRowLastColumn="0"/>
            <w:tcW w:w="4360" w:type="dxa"/>
            <w:hideMark/>
          </w:tcPr>
          <w:p w14:paraId="56C60ACD" w14:textId="77777777" w:rsidR="009A0702" w:rsidRPr="00CF5471" w:rsidRDefault="009A0702" w:rsidP="008248EA">
            <w:pPr>
              <w:keepLines w:val="0"/>
              <w:autoSpaceDE w:val="0"/>
              <w:autoSpaceDN w:val="0"/>
              <w:adjustRightInd w:val="0"/>
              <w:rPr>
                <w:rFonts w:eastAsiaTheme="minorEastAsia" w:cstheme="majorHAnsi"/>
                <w:szCs w:val="17"/>
                <w:lang w:eastAsia="en-AU"/>
              </w:rPr>
            </w:pPr>
            <w:r w:rsidRPr="00CF5471">
              <w:rPr>
                <w:rFonts w:eastAsiaTheme="minorEastAsia" w:cstheme="majorHAnsi"/>
                <w:szCs w:val="17"/>
                <w:lang w:eastAsia="en-AU"/>
              </w:rPr>
              <w:t>Income from transactions</w:t>
            </w:r>
          </w:p>
        </w:tc>
        <w:tc>
          <w:tcPr>
            <w:tcW w:w="849" w:type="dxa"/>
            <w:hideMark/>
          </w:tcPr>
          <w:p w14:paraId="0699458D"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592BA8">
              <w:t>108</w:t>
            </w:r>
          </w:p>
        </w:tc>
        <w:tc>
          <w:tcPr>
            <w:tcW w:w="848" w:type="dxa"/>
            <w:hideMark/>
          </w:tcPr>
          <w:p w14:paraId="410DD4FD"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592BA8">
              <w:t>117</w:t>
            </w:r>
          </w:p>
        </w:tc>
        <w:tc>
          <w:tcPr>
            <w:tcW w:w="849" w:type="dxa"/>
            <w:hideMark/>
          </w:tcPr>
          <w:p w14:paraId="4AB0D28A"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592BA8">
              <w:t>122</w:t>
            </w:r>
          </w:p>
        </w:tc>
        <w:tc>
          <w:tcPr>
            <w:tcW w:w="849" w:type="dxa"/>
            <w:hideMark/>
          </w:tcPr>
          <w:p w14:paraId="7C89CFCC"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592BA8">
              <w:t>127</w:t>
            </w:r>
          </w:p>
        </w:tc>
      </w:tr>
      <w:tr w:rsidR="009A0702" w:rsidRPr="00CF5471" w14:paraId="3E2A00F9" w14:textId="77777777" w:rsidTr="00303BE5">
        <w:tc>
          <w:tcPr>
            <w:cnfStyle w:val="001000000000" w:firstRow="0" w:lastRow="0" w:firstColumn="1" w:lastColumn="0" w:oddVBand="0" w:evenVBand="0" w:oddHBand="0" w:evenHBand="0" w:firstRowFirstColumn="0" w:firstRowLastColumn="0" w:lastRowFirstColumn="0" w:lastRowLastColumn="0"/>
            <w:tcW w:w="4360" w:type="dxa"/>
            <w:tcBorders>
              <w:bottom w:val="single" w:sz="4" w:space="0" w:color="auto"/>
            </w:tcBorders>
            <w:hideMark/>
          </w:tcPr>
          <w:p w14:paraId="65DC3F9F" w14:textId="77777777" w:rsidR="009A0702" w:rsidRPr="00CF5471" w:rsidRDefault="009A0702" w:rsidP="008248EA">
            <w:pPr>
              <w:keepLines w:val="0"/>
              <w:autoSpaceDE w:val="0"/>
              <w:autoSpaceDN w:val="0"/>
              <w:adjustRightInd w:val="0"/>
              <w:rPr>
                <w:rFonts w:eastAsiaTheme="minorEastAsia" w:cstheme="majorHAnsi"/>
                <w:szCs w:val="17"/>
                <w:lang w:eastAsia="en-AU"/>
              </w:rPr>
            </w:pPr>
            <w:r w:rsidRPr="00CF5471">
              <w:rPr>
                <w:rFonts w:eastAsiaTheme="minorEastAsia" w:cstheme="majorHAnsi"/>
                <w:szCs w:val="17"/>
                <w:lang w:eastAsia="en-AU"/>
              </w:rPr>
              <w:t>Expenses from transactions</w:t>
            </w:r>
          </w:p>
        </w:tc>
        <w:tc>
          <w:tcPr>
            <w:tcW w:w="849" w:type="dxa"/>
            <w:tcBorders>
              <w:bottom w:val="single" w:sz="4" w:space="0" w:color="auto"/>
            </w:tcBorders>
            <w:hideMark/>
          </w:tcPr>
          <w:p w14:paraId="4D81A774"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592BA8">
              <w:t>340</w:t>
            </w:r>
          </w:p>
        </w:tc>
        <w:tc>
          <w:tcPr>
            <w:tcW w:w="848" w:type="dxa"/>
            <w:tcBorders>
              <w:bottom w:val="single" w:sz="4" w:space="0" w:color="auto"/>
            </w:tcBorders>
            <w:hideMark/>
          </w:tcPr>
          <w:p w14:paraId="0201EE2D"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592BA8">
              <w:t>357</w:t>
            </w:r>
          </w:p>
        </w:tc>
        <w:tc>
          <w:tcPr>
            <w:tcW w:w="849" w:type="dxa"/>
            <w:tcBorders>
              <w:bottom w:val="single" w:sz="4" w:space="0" w:color="auto"/>
            </w:tcBorders>
            <w:hideMark/>
          </w:tcPr>
          <w:p w14:paraId="1F1AF071"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592BA8">
              <w:t>375</w:t>
            </w:r>
          </w:p>
        </w:tc>
        <w:tc>
          <w:tcPr>
            <w:tcW w:w="849" w:type="dxa"/>
            <w:tcBorders>
              <w:bottom w:val="single" w:sz="4" w:space="0" w:color="auto"/>
            </w:tcBorders>
            <w:hideMark/>
          </w:tcPr>
          <w:p w14:paraId="6786EC74"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592BA8">
              <w:t>399</w:t>
            </w:r>
          </w:p>
        </w:tc>
      </w:tr>
      <w:tr w:rsidR="009A0702" w:rsidRPr="00CF5471" w14:paraId="65D5927E" w14:textId="77777777" w:rsidTr="00303BE5">
        <w:tc>
          <w:tcPr>
            <w:cnfStyle w:val="001000000000" w:firstRow="0" w:lastRow="0" w:firstColumn="1" w:lastColumn="0" w:oddVBand="0" w:evenVBand="0" w:oddHBand="0" w:evenHBand="0" w:firstRowFirstColumn="0" w:firstRowLastColumn="0" w:lastRowFirstColumn="0" w:lastRowLastColumn="0"/>
            <w:tcW w:w="4360" w:type="dxa"/>
            <w:tcBorders>
              <w:top w:val="single" w:sz="4" w:space="0" w:color="auto"/>
              <w:bottom w:val="nil"/>
            </w:tcBorders>
            <w:hideMark/>
          </w:tcPr>
          <w:p w14:paraId="6C741A55" w14:textId="77777777" w:rsidR="009A0702" w:rsidRPr="00CF5471" w:rsidRDefault="009A0702" w:rsidP="008248EA">
            <w:pPr>
              <w:keepLines w:val="0"/>
              <w:autoSpaceDE w:val="0"/>
              <w:autoSpaceDN w:val="0"/>
              <w:adjustRightInd w:val="0"/>
              <w:rPr>
                <w:rFonts w:eastAsiaTheme="minorEastAsia" w:cstheme="majorHAnsi"/>
                <w:b/>
                <w:bCs/>
                <w:szCs w:val="17"/>
                <w:lang w:eastAsia="en-AU"/>
              </w:rPr>
            </w:pPr>
            <w:r w:rsidRPr="00CF5471">
              <w:rPr>
                <w:rFonts w:eastAsiaTheme="minorEastAsia" w:cstheme="majorHAnsi"/>
                <w:b/>
                <w:bCs/>
                <w:szCs w:val="17"/>
                <w:lang w:eastAsia="en-AU"/>
              </w:rPr>
              <w:t>Net result from transactions</w:t>
            </w:r>
          </w:p>
        </w:tc>
        <w:tc>
          <w:tcPr>
            <w:tcW w:w="849" w:type="dxa"/>
            <w:tcBorders>
              <w:top w:val="single" w:sz="4" w:space="0" w:color="auto"/>
              <w:bottom w:val="nil"/>
            </w:tcBorders>
            <w:hideMark/>
          </w:tcPr>
          <w:p w14:paraId="3D2332D4"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(232)</w:t>
            </w:r>
          </w:p>
        </w:tc>
        <w:tc>
          <w:tcPr>
            <w:tcW w:w="848" w:type="dxa"/>
            <w:tcBorders>
              <w:top w:val="single" w:sz="4" w:space="0" w:color="auto"/>
              <w:bottom w:val="nil"/>
            </w:tcBorders>
            <w:hideMark/>
          </w:tcPr>
          <w:p w14:paraId="0A61C3EA"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(241)</w:t>
            </w:r>
          </w:p>
        </w:tc>
        <w:tc>
          <w:tcPr>
            <w:tcW w:w="849" w:type="dxa"/>
            <w:tcBorders>
              <w:top w:val="single" w:sz="4" w:space="0" w:color="auto"/>
              <w:bottom w:val="nil"/>
            </w:tcBorders>
            <w:hideMark/>
          </w:tcPr>
          <w:p w14:paraId="63A593C4"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(253)</w:t>
            </w:r>
          </w:p>
        </w:tc>
        <w:tc>
          <w:tcPr>
            <w:tcW w:w="849" w:type="dxa"/>
            <w:tcBorders>
              <w:top w:val="single" w:sz="4" w:space="0" w:color="auto"/>
              <w:bottom w:val="nil"/>
            </w:tcBorders>
            <w:hideMark/>
          </w:tcPr>
          <w:p w14:paraId="6222A30A"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(272)</w:t>
            </w:r>
          </w:p>
        </w:tc>
      </w:tr>
      <w:tr w:rsidR="009A0702" w:rsidRPr="00CF5471" w14:paraId="191DB83C" w14:textId="77777777" w:rsidTr="00303BE5">
        <w:tc>
          <w:tcPr>
            <w:cnfStyle w:val="001000000000" w:firstRow="0" w:lastRow="0" w:firstColumn="1" w:lastColumn="0" w:oddVBand="0" w:evenVBand="0" w:oddHBand="0" w:evenHBand="0" w:firstRowFirstColumn="0" w:firstRowLastColumn="0" w:lastRowFirstColumn="0" w:lastRowLastColumn="0"/>
            <w:tcW w:w="4360" w:type="dxa"/>
            <w:tcBorders>
              <w:bottom w:val="single" w:sz="4" w:space="0" w:color="auto"/>
            </w:tcBorders>
            <w:hideMark/>
          </w:tcPr>
          <w:p w14:paraId="4D61E023" w14:textId="77777777" w:rsidR="009A0702" w:rsidRPr="00CF5471" w:rsidRDefault="009A0702" w:rsidP="008248EA">
            <w:pPr>
              <w:keepLines w:val="0"/>
              <w:autoSpaceDE w:val="0"/>
              <w:autoSpaceDN w:val="0"/>
              <w:adjustRightInd w:val="0"/>
              <w:rPr>
                <w:rFonts w:eastAsiaTheme="minorEastAsia" w:cstheme="majorHAnsi"/>
                <w:b/>
                <w:bCs/>
                <w:szCs w:val="17"/>
                <w:lang w:eastAsia="en-AU"/>
              </w:rPr>
            </w:pPr>
            <w:r w:rsidRPr="00CF5471">
              <w:rPr>
                <w:rFonts w:eastAsiaTheme="minorEastAsia" w:cstheme="majorHAnsi"/>
                <w:b/>
                <w:bCs/>
                <w:szCs w:val="17"/>
                <w:lang w:eastAsia="en-AU"/>
              </w:rPr>
              <w:t>Net debt</w:t>
            </w:r>
          </w:p>
        </w:tc>
        <w:tc>
          <w:tcPr>
            <w:tcW w:w="849" w:type="dxa"/>
            <w:tcBorders>
              <w:bottom w:val="single" w:sz="4" w:space="0" w:color="auto"/>
            </w:tcBorders>
            <w:hideMark/>
          </w:tcPr>
          <w:p w14:paraId="3EE07BED"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232</w:t>
            </w:r>
          </w:p>
        </w:tc>
        <w:tc>
          <w:tcPr>
            <w:tcW w:w="848" w:type="dxa"/>
            <w:tcBorders>
              <w:bottom w:val="single" w:sz="4" w:space="0" w:color="auto"/>
            </w:tcBorders>
            <w:hideMark/>
          </w:tcPr>
          <w:p w14:paraId="44FF0B70"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473</w:t>
            </w:r>
          </w:p>
        </w:tc>
        <w:tc>
          <w:tcPr>
            <w:tcW w:w="849" w:type="dxa"/>
            <w:tcBorders>
              <w:bottom w:val="single" w:sz="4" w:space="0" w:color="auto"/>
            </w:tcBorders>
            <w:hideMark/>
          </w:tcPr>
          <w:p w14:paraId="0766A773"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726</w:t>
            </w:r>
          </w:p>
        </w:tc>
        <w:tc>
          <w:tcPr>
            <w:tcW w:w="849" w:type="dxa"/>
            <w:tcBorders>
              <w:bottom w:val="single" w:sz="4" w:space="0" w:color="auto"/>
            </w:tcBorders>
            <w:hideMark/>
          </w:tcPr>
          <w:p w14:paraId="08329F80"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998</w:t>
            </w:r>
          </w:p>
        </w:tc>
      </w:tr>
      <w:tr w:rsidR="009A0702" w:rsidRPr="00CF5471" w14:paraId="337A2C5B" w14:textId="77777777" w:rsidTr="00303BE5">
        <w:tc>
          <w:tcPr>
            <w:cnfStyle w:val="001000000000" w:firstRow="0" w:lastRow="0" w:firstColumn="1" w:lastColumn="0" w:oddVBand="0" w:evenVBand="0" w:oddHBand="0" w:evenHBand="0" w:firstRowFirstColumn="0" w:firstRowLastColumn="0" w:lastRowFirstColumn="0" w:lastRowLastColumn="0"/>
            <w:tcW w:w="4360" w:type="dxa"/>
            <w:tcBorders>
              <w:top w:val="single" w:sz="4" w:space="0" w:color="auto"/>
            </w:tcBorders>
            <w:hideMark/>
          </w:tcPr>
          <w:p w14:paraId="24319B42" w14:textId="77777777" w:rsidR="009A0702" w:rsidRPr="00CF5471" w:rsidRDefault="009A0702" w:rsidP="00303BE5">
            <w:pPr>
              <w:keepLines w:val="0"/>
              <w:autoSpaceDE w:val="0"/>
              <w:autoSpaceDN w:val="0"/>
              <w:adjustRightInd w:val="0"/>
              <w:rPr>
                <w:rFonts w:eastAsiaTheme="minorEastAsia" w:cstheme="majorHAnsi"/>
                <w:b/>
                <w:bCs/>
                <w:szCs w:val="17"/>
                <w:lang w:eastAsia="en-AU"/>
              </w:rPr>
            </w:pPr>
            <w:r w:rsidRPr="00CF5471">
              <w:rPr>
                <w:rFonts w:eastAsiaTheme="minorEastAsia" w:cstheme="majorHAnsi"/>
                <w:b/>
                <w:bCs/>
                <w:szCs w:val="17"/>
                <w:lang w:eastAsia="en-AU"/>
              </w:rPr>
              <w:t xml:space="preserve">Consumer prices </w:t>
            </w:r>
            <w:r w:rsidRPr="00CF5471">
              <w:rPr>
                <w:rFonts w:eastAsiaTheme="minorEastAsia" w:cstheme="majorHAnsi"/>
                <w:b/>
                <w:bCs/>
                <w:szCs w:val="17"/>
                <w:vertAlign w:val="superscript"/>
                <w:lang w:eastAsia="en-AU"/>
              </w:rPr>
              <w:t>(g)</w:t>
            </w:r>
          </w:p>
        </w:tc>
        <w:tc>
          <w:tcPr>
            <w:tcW w:w="849" w:type="dxa"/>
            <w:tcBorders>
              <w:top w:val="single" w:sz="4" w:space="0" w:color="auto"/>
            </w:tcBorders>
          </w:tcPr>
          <w:p w14:paraId="1E1DF511"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p>
        </w:tc>
        <w:tc>
          <w:tcPr>
            <w:tcW w:w="848" w:type="dxa"/>
            <w:tcBorders>
              <w:top w:val="single" w:sz="4" w:space="0" w:color="auto"/>
            </w:tcBorders>
          </w:tcPr>
          <w:p w14:paraId="7E4F4897"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p>
        </w:tc>
        <w:tc>
          <w:tcPr>
            <w:tcW w:w="849" w:type="dxa"/>
            <w:tcBorders>
              <w:top w:val="single" w:sz="4" w:space="0" w:color="auto"/>
            </w:tcBorders>
          </w:tcPr>
          <w:p w14:paraId="42A0CAA2"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p>
        </w:tc>
        <w:tc>
          <w:tcPr>
            <w:tcW w:w="849" w:type="dxa"/>
            <w:tcBorders>
              <w:top w:val="single" w:sz="4" w:space="0" w:color="auto"/>
            </w:tcBorders>
          </w:tcPr>
          <w:p w14:paraId="2D8A7368"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p>
        </w:tc>
      </w:tr>
      <w:tr w:rsidR="009A0702" w:rsidRPr="00CF5471" w14:paraId="35A3B89D" w14:textId="77777777" w:rsidTr="00303BE5">
        <w:tc>
          <w:tcPr>
            <w:cnfStyle w:val="001000000000" w:firstRow="0" w:lastRow="0" w:firstColumn="1" w:lastColumn="0" w:oddVBand="0" w:evenVBand="0" w:oddHBand="0" w:evenHBand="0" w:firstRowFirstColumn="0" w:firstRowLastColumn="0" w:lastRowFirstColumn="0" w:lastRowLastColumn="0"/>
            <w:tcW w:w="4360" w:type="dxa"/>
            <w:hideMark/>
          </w:tcPr>
          <w:p w14:paraId="71047526" w14:textId="77777777" w:rsidR="009A0702" w:rsidRPr="00CF5471" w:rsidRDefault="009A0702" w:rsidP="008248EA">
            <w:pPr>
              <w:keepLines w:val="0"/>
              <w:autoSpaceDE w:val="0"/>
              <w:autoSpaceDN w:val="0"/>
              <w:adjustRightInd w:val="0"/>
              <w:rPr>
                <w:rFonts w:eastAsiaTheme="minorEastAsia" w:cstheme="majorHAnsi"/>
                <w:szCs w:val="17"/>
                <w:lang w:eastAsia="en-AU"/>
              </w:rPr>
            </w:pPr>
            <w:r w:rsidRPr="00CF5471">
              <w:rPr>
                <w:rFonts w:eastAsiaTheme="minorEastAsia" w:cstheme="majorHAnsi"/>
                <w:szCs w:val="17"/>
                <w:lang w:eastAsia="en-AU"/>
              </w:rPr>
              <w:t>Income from transactions</w:t>
            </w:r>
          </w:p>
        </w:tc>
        <w:tc>
          <w:tcPr>
            <w:tcW w:w="849" w:type="dxa"/>
            <w:hideMark/>
          </w:tcPr>
          <w:p w14:paraId="530F27B1"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927D41">
              <w:t>295</w:t>
            </w:r>
          </w:p>
        </w:tc>
        <w:tc>
          <w:tcPr>
            <w:tcW w:w="848" w:type="dxa"/>
            <w:hideMark/>
          </w:tcPr>
          <w:p w14:paraId="077298EE"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927D41">
              <w:t>302</w:t>
            </w:r>
          </w:p>
        </w:tc>
        <w:tc>
          <w:tcPr>
            <w:tcW w:w="849" w:type="dxa"/>
            <w:hideMark/>
          </w:tcPr>
          <w:p w14:paraId="52619DF4"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927D41">
              <w:t>322</w:t>
            </w:r>
          </w:p>
        </w:tc>
        <w:tc>
          <w:tcPr>
            <w:tcW w:w="849" w:type="dxa"/>
            <w:hideMark/>
          </w:tcPr>
          <w:p w14:paraId="05F57C06"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927D41">
              <w:t>337</w:t>
            </w:r>
          </w:p>
        </w:tc>
      </w:tr>
      <w:tr w:rsidR="009A0702" w:rsidRPr="00CF5471" w14:paraId="73309CBA" w14:textId="77777777" w:rsidTr="00303BE5">
        <w:tc>
          <w:tcPr>
            <w:cnfStyle w:val="001000000000" w:firstRow="0" w:lastRow="0" w:firstColumn="1" w:lastColumn="0" w:oddVBand="0" w:evenVBand="0" w:oddHBand="0" w:evenHBand="0" w:firstRowFirstColumn="0" w:firstRowLastColumn="0" w:lastRowFirstColumn="0" w:lastRowLastColumn="0"/>
            <w:tcW w:w="4360" w:type="dxa"/>
            <w:tcBorders>
              <w:bottom w:val="single" w:sz="4" w:space="0" w:color="auto"/>
            </w:tcBorders>
            <w:hideMark/>
          </w:tcPr>
          <w:p w14:paraId="64EE2EFB" w14:textId="77777777" w:rsidR="009A0702" w:rsidRPr="00CF5471" w:rsidRDefault="009A0702" w:rsidP="008248EA">
            <w:pPr>
              <w:keepLines w:val="0"/>
              <w:autoSpaceDE w:val="0"/>
              <w:autoSpaceDN w:val="0"/>
              <w:adjustRightInd w:val="0"/>
              <w:rPr>
                <w:rFonts w:eastAsiaTheme="minorEastAsia" w:cstheme="majorHAnsi"/>
                <w:szCs w:val="17"/>
                <w:lang w:eastAsia="en-AU"/>
              </w:rPr>
            </w:pPr>
            <w:r w:rsidRPr="00CF5471">
              <w:rPr>
                <w:rFonts w:eastAsiaTheme="minorEastAsia" w:cstheme="majorHAnsi"/>
                <w:szCs w:val="17"/>
                <w:lang w:eastAsia="en-AU"/>
              </w:rPr>
              <w:t>Expenses from transactions</w:t>
            </w:r>
          </w:p>
        </w:tc>
        <w:tc>
          <w:tcPr>
            <w:tcW w:w="849" w:type="dxa"/>
            <w:tcBorders>
              <w:bottom w:val="single" w:sz="4" w:space="0" w:color="auto"/>
            </w:tcBorders>
            <w:hideMark/>
          </w:tcPr>
          <w:p w14:paraId="208D4C1F"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927D41">
              <w:t>272</w:t>
            </w:r>
          </w:p>
        </w:tc>
        <w:tc>
          <w:tcPr>
            <w:tcW w:w="848" w:type="dxa"/>
            <w:tcBorders>
              <w:bottom w:val="single" w:sz="4" w:space="0" w:color="auto"/>
            </w:tcBorders>
            <w:hideMark/>
          </w:tcPr>
          <w:p w14:paraId="67ADFB2E"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927D41">
              <w:t>246</w:t>
            </w:r>
          </w:p>
        </w:tc>
        <w:tc>
          <w:tcPr>
            <w:tcW w:w="849" w:type="dxa"/>
            <w:tcBorders>
              <w:bottom w:val="single" w:sz="4" w:space="0" w:color="auto"/>
            </w:tcBorders>
            <w:hideMark/>
          </w:tcPr>
          <w:p w14:paraId="1889FD36"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927D41">
              <w:t>238</w:t>
            </w:r>
          </w:p>
        </w:tc>
        <w:tc>
          <w:tcPr>
            <w:tcW w:w="849" w:type="dxa"/>
            <w:tcBorders>
              <w:bottom w:val="single" w:sz="4" w:space="0" w:color="auto"/>
            </w:tcBorders>
            <w:hideMark/>
          </w:tcPr>
          <w:p w14:paraId="00C3D0DF"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927D41">
              <w:t>239</w:t>
            </w:r>
          </w:p>
        </w:tc>
      </w:tr>
      <w:tr w:rsidR="009A0702" w:rsidRPr="00CF5471" w14:paraId="4D77240A" w14:textId="77777777" w:rsidTr="00303BE5">
        <w:tc>
          <w:tcPr>
            <w:cnfStyle w:val="001000000000" w:firstRow="0" w:lastRow="0" w:firstColumn="1" w:lastColumn="0" w:oddVBand="0" w:evenVBand="0" w:oddHBand="0" w:evenHBand="0" w:firstRowFirstColumn="0" w:firstRowLastColumn="0" w:lastRowFirstColumn="0" w:lastRowLastColumn="0"/>
            <w:tcW w:w="4360" w:type="dxa"/>
            <w:tcBorders>
              <w:top w:val="single" w:sz="4" w:space="0" w:color="auto"/>
              <w:bottom w:val="nil"/>
            </w:tcBorders>
            <w:hideMark/>
          </w:tcPr>
          <w:p w14:paraId="2AF981BC" w14:textId="77777777" w:rsidR="009A0702" w:rsidRPr="00CF5471" w:rsidRDefault="009A0702" w:rsidP="008248EA">
            <w:pPr>
              <w:keepLines w:val="0"/>
              <w:autoSpaceDE w:val="0"/>
              <w:autoSpaceDN w:val="0"/>
              <w:adjustRightInd w:val="0"/>
              <w:rPr>
                <w:rFonts w:eastAsiaTheme="minorEastAsia" w:cstheme="majorHAnsi"/>
                <w:b/>
                <w:bCs/>
                <w:szCs w:val="17"/>
                <w:lang w:eastAsia="en-AU"/>
              </w:rPr>
            </w:pPr>
            <w:r w:rsidRPr="00CF5471">
              <w:rPr>
                <w:rFonts w:eastAsiaTheme="minorEastAsia" w:cstheme="majorHAnsi"/>
                <w:b/>
                <w:bCs/>
                <w:szCs w:val="17"/>
                <w:lang w:eastAsia="en-AU"/>
              </w:rPr>
              <w:t>Net result from transactions</w:t>
            </w:r>
          </w:p>
        </w:tc>
        <w:tc>
          <w:tcPr>
            <w:tcW w:w="849" w:type="dxa"/>
            <w:tcBorders>
              <w:top w:val="single" w:sz="4" w:space="0" w:color="auto"/>
              <w:bottom w:val="nil"/>
            </w:tcBorders>
            <w:hideMark/>
          </w:tcPr>
          <w:p w14:paraId="40F2D98C"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23</w:t>
            </w:r>
          </w:p>
        </w:tc>
        <w:tc>
          <w:tcPr>
            <w:tcW w:w="848" w:type="dxa"/>
            <w:tcBorders>
              <w:top w:val="single" w:sz="4" w:space="0" w:color="auto"/>
              <w:bottom w:val="nil"/>
            </w:tcBorders>
            <w:hideMark/>
          </w:tcPr>
          <w:p w14:paraId="3F9097F1"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56</w:t>
            </w:r>
          </w:p>
        </w:tc>
        <w:tc>
          <w:tcPr>
            <w:tcW w:w="849" w:type="dxa"/>
            <w:tcBorders>
              <w:top w:val="single" w:sz="4" w:space="0" w:color="auto"/>
              <w:bottom w:val="nil"/>
            </w:tcBorders>
            <w:hideMark/>
          </w:tcPr>
          <w:p w14:paraId="2921C85A"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85</w:t>
            </w:r>
          </w:p>
        </w:tc>
        <w:tc>
          <w:tcPr>
            <w:tcW w:w="849" w:type="dxa"/>
            <w:tcBorders>
              <w:top w:val="single" w:sz="4" w:space="0" w:color="auto"/>
              <w:bottom w:val="nil"/>
            </w:tcBorders>
            <w:hideMark/>
          </w:tcPr>
          <w:p w14:paraId="100FE955"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98</w:t>
            </w:r>
          </w:p>
        </w:tc>
      </w:tr>
      <w:tr w:rsidR="009A0702" w:rsidRPr="00CF5471" w14:paraId="59447C9B" w14:textId="77777777" w:rsidTr="00303BE5">
        <w:tc>
          <w:tcPr>
            <w:cnfStyle w:val="001000000000" w:firstRow="0" w:lastRow="0" w:firstColumn="1" w:lastColumn="0" w:oddVBand="0" w:evenVBand="0" w:oddHBand="0" w:evenHBand="0" w:firstRowFirstColumn="0" w:firstRowLastColumn="0" w:lastRowFirstColumn="0" w:lastRowLastColumn="0"/>
            <w:tcW w:w="4360" w:type="dxa"/>
            <w:tcBorders>
              <w:bottom w:val="single" w:sz="4" w:space="0" w:color="auto"/>
            </w:tcBorders>
            <w:hideMark/>
          </w:tcPr>
          <w:p w14:paraId="6EAE7C61" w14:textId="77777777" w:rsidR="009A0702" w:rsidRPr="00CF5471" w:rsidRDefault="009A0702" w:rsidP="008248EA">
            <w:pPr>
              <w:keepLines w:val="0"/>
              <w:autoSpaceDE w:val="0"/>
              <w:autoSpaceDN w:val="0"/>
              <w:adjustRightInd w:val="0"/>
              <w:rPr>
                <w:rFonts w:eastAsiaTheme="minorEastAsia" w:cstheme="majorHAnsi"/>
                <w:b/>
                <w:bCs/>
                <w:szCs w:val="17"/>
                <w:lang w:eastAsia="en-AU"/>
              </w:rPr>
            </w:pPr>
            <w:r w:rsidRPr="00CF5471">
              <w:rPr>
                <w:rFonts w:eastAsiaTheme="minorEastAsia" w:cstheme="majorHAnsi"/>
                <w:b/>
                <w:bCs/>
                <w:szCs w:val="17"/>
                <w:lang w:eastAsia="en-AU"/>
              </w:rPr>
              <w:t>Net debt</w:t>
            </w:r>
          </w:p>
        </w:tc>
        <w:tc>
          <w:tcPr>
            <w:tcW w:w="849" w:type="dxa"/>
            <w:tcBorders>
              <w:bottom w:val="single" w:sz="4" w:space="0" w:color="auto"/>
            </w:tcBorders>
            <w:hideMark/>
          </w:tcPr>
          <w:p w14:paraId="36E692E5"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(24)</w:t>
            </w:r>
          </w:p>
        </w:tc>
        <w:tc>
          <w:tcPr>
            <w:tcW w:w="848" w:type="dxa"/>
            <w:tcBorders>
              <w:bottom w:val="single" w:sz="4" w:space="0" w:color="auto"/>
            </w:tcBorders>
            <w:hideMark/>
          </w:tcPr>
          <w:p w14:paraId="469E2632"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(80)</w:t>
            </w:r>
          </w:p>
        </w:tc>
        <w:tc>
          <w:tcPr>
            <w:tcW w:w="849" w:type="dxa"/>
            <w:tcBorders>
              <w:bottom w:val="single" w:sz="4" w:space="0" w:color="auto"/>
            </w:tcBorders>
            <w:hideMark/>
          </w:tcPr>
          <w:p w14:paraId="3C2C1F2F"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(166)</w:t>
            </w:r>
          </w:p>
        </w:tc>
        <w:tc>
          <w:tcPr>
            <w:tcW w:w="849" w:type="dxa"/>
            <w:tcBorders>
              <w:bottom w:val="single" w:sz="4" w:space="0" w:color="auto"/>
            </w:tcBorders>
            <w:hideMark/>
          </w:tcPr>
          <w:p w14:paraId="03B531CF"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(264)</w:t>
            </w:r>
          </w:p>
        </w:tc>
      </w:tr>
      <w:tr w:rsidR="009A0702" w:rsidRPr="00CF5471" w14:paraId="33EA9FAA" w14:textId="77777777" w:rsidTr="00303BE5">
        <w:tc>
          <w:tcPr>
            <w:cnfStyle w:val="001000000000" w:firstRow="0" w:lastRow="0" w:firstColumn="1" w:lastColumn="0" w:oddVBand="0" w:evenVBand="0" w:oddHBand="0" w:evenHBand="0" w:firstRowFirstColumn="0" w:firstRowLastColumn="0" w:lastRowFirstColumn="0" w:lastRowLastColumn="0"/>
            <w:tcW w:w="4360" w:type="dxa"/>
            <w:tcBorders>
              <w:top w:val="single" w:sz="4" w:space="0" w:color="auto"/>
            </w:tcBorders>
            <w:hideMark/>
          </w:tcPr>
          <w:p w14:paraId="336D3F2B" w14:textId="77777777" w:rsidR="009A0702" w:rsidRPr="00CF5471" w:rsidRDefault="009A0702" w:rsidP="00303BE5">
            <w:pPr>
              <w:keepLines w:val="0"/>
              <w:autoSpaceDE w:val="0"/>
              <w:autoSpaceDN w:val="0"/>
              <w:adjustRightInd w:val="0"/>
              <w:rPr>
                <w:rFonts w:eastAsiaTheme="minorEastAsia" w:cstheme="majorHAnsi"/>
                <w:b/>
                <w:bCs/>
                <w:szCs w:val="17"/>
                <w:lang w:eastAsia="en-AU"/>
              </w:rPr>
            </w:pPr>
            <w:r w:rsidRPr="00CF5471">
              <w:rPr>
                <w:rFonts w:eastAsiaTheme="minorEastAsia" w:cstheme="majorHAnsi"/>
                <w:b/>
                <w:bCs/>
                <w:szCs w:val="17"/>
                <w:lang w:eastAsia="en-AU"/>
              </w:rPr>
              <w:t xml:space="preserve">Average weekly earnings </w:t>
            </w:r>
            <w:r w:rsidRPr="00CF5471">
              <w:rPr>
                <w:rFonts w:eastAsiaTheme="minorEastAsia" w:cstheme="majorHAnsi"/>
                <w:b/>
                <w:bCs/>
                <w:szCs w:val="17"/>
                <w:vertAlign w:val="superscript"/>
                <w:lang w:eastAsia="en-AU"/>
              </w:rPr>
              <w:t>(h)</w:t>
            </w:r>
          </w:p>
        </w:tc>
        <w:tc>
          <w:tcPr>
            <w:tcW w:w="849" w:type="dxa"/>
            <w:tcBorders>
              <w:top w:val="single" w:sz="4" w:space="0" w:color="auto"/>
            </w:tcBorders>
          </w:tcPr>
          <w:p w14:paraId="011D2DF1"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p>
        </w:tc>
        <w:tc>
          <w:tcPr>
            <w:tcW w:w="848" w:type="dxa"/>
            <w:tcBorders>
              <w:top w:val="single" w:sz="4" w:space="0" w:color="auto"/>
            </w:tcBorders>
          </w:tcPr>
          <w:p w14:paraId="57781771"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p>
        </w:tc>
        <w:tc>
          <w:tcPr>
            <w:tcW w:w="849" w:type="dxa"/>
            <w:tcBorders>
              <w:top w:val="single" w:sz="4" w:space="0" w:color="auto"/>
            </w:tcBorders>
          </w:tcPr>
          <w:p w14:paraId="3528404A"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p>
        </w:tc>
        <w:tc>
          <w:tcPr>
            <w:tcW w:w="849" w:type="dxa"/>
            <w:tcBorders>
              <w:top w:val="single" w:sz="4" w:space="0" w:color="auto"/>
            </w:tcBorders>
          </w:tcPr>
          <w:p w14:paraId="64372DF3"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p>
        </w:tc>
      </w:tr>
      <w:tr w:rsidR="009A0702" w:rsidRPr="00CF5471" w14:paraId="3EBF254C" w14:textId="77777777" w:rsidTr="00303BE5">
        <w:tc>
          <w:tcPr>
            <w:cnfStyle w:val="001000000000" w:firstRow="0" w:lastRow="0" w:firstColumn="1" w:lastColumn="0" w:oddVBand="0" w:evenVBand="0" w:oddHBand="0" w:evenHBand="0" w:firstRowFirstColumn="0" w:firstRowLastColumn="0" w:lastRowFirstColumn="0" w:lastRowLastColumn="0"/>
            <w:tcW w:w="4360" w:type="dxa"/>
            <w:hideMark/>
          </w:tcPr>
          <w:p w14:paraId="4AFC152C" w14:textId="77777777" w:rsidR="009A0702" w:rsidRPr="00CF5471" w:rsidRDefault="009A0702" w:rsidP="008248EA">
            <w:pPr>
              <w:keepLines w:val="0"/>
              <w:autoSpaceDE w:val="0"/>
              <w:autoSpaceDN w:val="0"/>
              <w:adjustRightInd w:val="0"/>
              <w:rPr>
                <w:rFonts w:eastAsiaTheme="minorEastAsia" w:cstheme="majorHAnsi"/>
                <w:szCs w:val="17"/>
                <w:lang w:eastAsia="en-AU"/>
              </w:rPr>
            </w:pPr>
            <w:r w:rsidRPr="00CF5471">
              <w:rPr>
                <w:rFonts w:eastAsiaTheme="minorEastAsia" w:cstheme="majorHAnsi"/>
                <w:szCs w:val="17"/>
                <w:lang w:eastAsia="en-AU"/>
              </w:rPr>
              <w:t>Income from transactions</w:t>
            </w:r>
          </w:p>
        </w:tc>
        <w:tc>
          <w:tcPr>
            <w:tcW w:w="849" w:type="dxa"/>
            <w:hideMark/>
          </w:tcPr>
          <w:p w14:paraId="43C51FB6"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797C96">
              <w:t>112</w:t>
            </w:r>
          </w:p>
        </w:tc>
        <w:tc>
          <w:tcPr>
            <w:tcW w:w="848" w:type="dxa"/>
            <w:hideMark/>
          </w:tcPr>
          <w:p w14:paraId="7C5E6414"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797C96">
              <w:t>120</w:t>
            </w:r>
          </w:p>
        </w:tc>
        <w:tc>
          <w:tcPr>
            <w:tcW w:w="849" w:type="dxa"/>
            <w:hideMark/>
          </w:tcPr>
          <w:p w14:paraId="4C3240BC"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797C96">
              <w:t>125</w:t>
            </w:r>
          </w:p>
        </w:tc>
        <w:tc>
          <w:tcPr>
            <w:tcW w:w="849" w:type="dxa"/>
            <w:hideMark/>
          </w:tcPr>
          <w:p w14:paraId="3EEA54AC"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797C96">
              <w:t>131</w:t>
            </w:r>
          </w:p>
        </w:tc>
      </w:tr>
      <w:tr w:rsidR="009A0702" w:rsidRPr="00CF5471" w14:paraId="5D2DC65C" w14:textId="77777777" w:rsidTr="00303BE5">
        <w:tc>
          <w:tcPr>
            <w:cnfStyle w:val="001000000000" w:firstRow="0" w:lastRow="0" w:firstColumn="1" w:lastColumn="0" w:oddVBand="0" w:evenVBand="0" w:oddHBand="0" w:evenHBand="0" w:firstRowFirstColumn="0" w:firstRowLastColumn="0" w:lastRowFirstColumn="0" w:lastRowLastColumn="0"/>
            <w:tcW w:w="4360" w:type="dxa"/>
            <w:tcBorders>
              <w:bottom w:val="single" w:sz="4" w:space="0" w:color="auto"/>
            </w:tcBorders>
            <w:hideMark/>
          </w:tcPr>
          <w:p w14:paraId="4606B425" w14:textId="77777777" w:rsidR="009A0702" w:rsidRPr="00CF5471" w:rsidRDefault="009A0702" w:rsidP="008248EA">
            <w:pPr>
              <w:keepLines w:val="0"/>
              <w:autoSpaceDE w:val="0"/>
              <w:autoSpaceDN w:val="0"/>
              <w:adjustRightInd w:val="0"/>
              <w:rPr>
                <w:rFonts w:eastAsiaTheme="minorEastAsia" w:cstheme="majorHAnsi"/>
                <w:szCs w:val="17"/>
                <w:lang w:eastAsia="en-AU"/>
              </w:rPr>
            </w:pPr>
            <w:r w:rsidRPr="00CF5471">
              <w:rPr>
                <w:rFonts w:eastAsiaTheme="minorEastAsia" w:cstheme="majorHAnsi"/>
                <w:szCs w:val="17"/>
                <w:lang w:eastAsia="en-AU"/>
              </w:rPr>
              <w:t>Expenses from transactions</w:t>
            </w:r>
          </w:p>
        </w:tc>
        <w:tc>
          <w:tcPr>
            <w:tcW w:w="849" w:type="dxa"/>
            <w:tcBorders>
              <w:bottom w:val="single" w:sz="4" w:space="0" w:color="auto"/>
            </w:tcBorders>
            <w:hideMark/>
          </w:tcPr>
          <w:p w14:paraId="0A39B9A0"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797C96">
              <w:t>3</w:t>
            </w:r>
          </w:p>
        </w:tc>
        <w:tc>
          <w:tcPr>
            <w:tcW w:w="848" w:type="dxa"/>
            <w:tcBorders>
              <w:bottom w:val="single" w:sz="4" w:space="0" w:color="auto"/>
            </w:tcBorders>
            <w:hideMark/>
          </w:tcPr>
          <w:p w14:paraId="6392DBDB"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797C96">
              <w:t>(2)</w:t>
            </w:r>
          </w:p>
        </w:tc>
        <w:tc>
          <w:tcPr>
            <w:tcW w:w="849" w:type="dxa"/>
            <w:tcBorders>
              <w:bottom w:val="single" w:sz="4" w:space="0" w:color="auto"/>
            </w:tcBorders>
            <w:hideMark/>
          </w:tcPr>
          <w:p w14:paraId="14094B42"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797C96">
              <w:t>(8)</w:t>
            </w:r>
          </w:p>
        </w:tc>
        <w:tc>
          <w:tcPr>
            <w:tcW w:w="849" w:type="dxa"/>
            <w:tcBorders>
              <w:bottom w:val="single" w:sz="4" w:space="0" w:color="auto"/>
            </w:tcBorders>
            <w:hideMark/>
          </w:tcPr>
          <w:p w14:paraId="4398EFA1"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797C96">
              <w:t>(15)</w:t>
            </w:r>
          </w:p>
        </w:tc>
      </w:tr>
      <w:tr w:rsidR="009A0702" w:rsidRPr="00CF5471" w14:paraId="623A8728" w14:textId="77777777" w:rsidTr="00303BE5">
        <w:tc>
          <w:tcPr>
            <w:cnfStyle w:val="001000000000" w:firstRow="0" w:lastRow="0" w:firstColumn="1" w:lastColumn="0" w:oddVBand="0" w:evenVBand="0" w:oddHBand="0" w:evenHBand="0" w:firstRowFirstColumn="0" w:firstRowLastColumn="0" w:lastRowFirstColumn="0" w:lastRowLastColumn="0"/>
            <w:tcW w:w="4360" w:type="dxa"/>
            <w:tcBorders>
              <w:top w:val="single" w:sz="4" w:space="0" w:color="auto"/>
              <w:bottom w:val="nil"/>
            </w:tcBorders>
            <w:hideMark/>
          </w:tcPr>
          <w:p w14:paraId="401F8D37" w14:textId="77777777" w:rsidR="009A0702" w:rsidRPr="00CF5471" w:rsidRDefault="009A0702" w:rsidP="008248EA">
            <w:pPr>
              <w:keepLines w:val="0"/>
              <w:autoSpaceDE w:val="0"/>
              <w:autoSpaceDN w:val="0"/>
              <w:adjustRightInd w:val="0"/>
              <w:rPr>
                <w:rFonts w:eastAsiaTheme="minorEastAsia" w:cstheme="majorHAnsi"/>
                <w:b/>
                <w:bCs/>
                <w:szCs w:val="17"/>
                <w:lang w:eastAsia="en-AU"/>
              </w:rPr>
            </w:pPr>
            <w:r w:rsidRPr="00CF5471">
              <w:rPr>
                <w:rFonts w:eastAsiaTheme="minorEastAsia" w:cstheme="majorHAnsi"/>
                <w:b/>
                <w:bCs/>
                <w:szCs w:val="17"/>
                <w:lang w:eastAsia="en-AU"/>
              </w:rPr>
              <w:t>Net result from transactions</w:t>
            </w:r>
          </w:p>
        </w:tc>
        <w:tc>
          <w:tcPr>
            <w:tcW w:w="849" w:type="dxa"/>
            <w:tcBorders>
              <w:top w:val="single" w:sz="4" w:space="0" w:color="auto"/>
              <w:bottom w:val="nil"/>
            </w:tcBorders>
            <w:hideMark/>
          </w:tcPr>
          <w:p w14:paraId="15795000"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109</w:t>
            </w:r>
          </w:p>
        </w:tc>
        <w:tc>
          <w:tcPr>
            <w:tcW w:w="848" w:type="dxa"/>
            <w:tcBorders>
              <w:top w:val="single" w:sz="4" w:space="0" w:color="auto"/>
              <w:bottom w:val="nil"/>
            </w:tcBorders>
            <w:hideMark/>
          </w:tcPr>
          <w:p w14:paraId="69FEBB62"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122</w:t>
            </w:r>
          </w:p>
        </w:tc>
        <w:tc>
          <w:tcPr>
            <w:tcW w:w="849" w:type="dxa"/>
            <w:tcBorders>
              <w:top w:val="single" w:sz="4" w:space="0" w:color="auto"/>
              <w:bottom w:val="nil"/>
            </w:tcBorders>
            <w:hideMark/>
          </w:tcPr>
          <w:p w14:paraId="6C677EF5"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133</w:t>
            </w:r>
          </w:p>
        </w:tc>
        <w:tc>
          <w:tcPr>
            <w:tcW w:w="849" w:type="dxa"/>
            <w:tcBorders>
              <w:top w:val="single" w:sz="4" w:space="0" w:color="auto"/>
              <w:bottom w:val="nil"/>
            </w:tcBorders>
            <w:hideMark/>
          </w:tcPr>
          <w:p w14:paraId="597E6D78"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146</w:t>
            </w:r>
          </w:p>
        </w:tc>
      </w:tr>
      <w:tr w:rsidR="009A0702" w:rsidRPr="00CF5471" w14:paraId="3CF90442" w14:textId="77777777" w:rsidTr="00303BE5">
        <w:tc>
          <w:tcPr>
            <w:cnfStyle w:val="001000000000" w:firstRow="0" w:lastRow="0" w:firstColumn="1" w:lastColumn="0" w:oddVBand="0" w:evenVBand="0" w:oddHBand="0" w:evenHBand="0" w:firstRowFirstColumn="0" w:firstRowLastColumn="0" w:lastRowFirstColumn="0" w:lastRowLastColumn="0"/>
            <w:tcW w:w="4360" w:type="dxa"/>
            <w:tcBorders>
              <w:bottom w:val="single" w:sz="4" w:space="0" w:color="auto"/>
            </w:tcBorders>
            <w:hideMark/>
          </w:tcPr>
          <w:p w14:paraId="7A5FFF51" w14:textId="77777777" w:rsidR="009A0702" w:rsidRPr="00CF5471" w:rsidRDefault="009A0702" w:rsidP="008248EA">
            <w:pPr>
              <w:keepLines w:val="0"/>
              <w:autoSpaceDE w:val="0"/>
              <w:autoSpaceDN w:val="0"/>
              <w:adjustRightInd w:val="0"/>
              <w:rPr>
                <w:rFonts w:eastAsiaTheme="minorEastAsia" w:cstheme="majorHAnsi"/>
                <w:b/>
                <w:bCs/>
                <w:szCs w:val="17"/>
                <w:lang w:eastAsia="en-AU"/>
              </w:rPr>
            </w:pPr>
            <w:r w:rsidRPr="00CF5471">
              <w:rPr>
                <w:rFonts w:eastAsiaTheme="minorEastAsia" w:cstheme="majorHAnsi"/>
                <w:b/>
                <w:bCs/>
                <w:szCs w:val="17"/>
                <w:lang w:eastAsia="en-AU"/>
              </w:rPr>
              <w:t>Net debt</w:t>
            </w:r>
          </w:p>
        </w:tc>
        <w:tc>
          <w:tcPr>
            <w:tcW w:w="849" w:type="dxa"/>
            <w:tcBorders>
              <w:bottom w:val="single" w:sz="4" w:space="0" w:color="auto"/>
            </w:tcBorders>
            <w:hideMark/>
          </w:tcPr>
          <w:p w14:paraId="4FD2B4F2"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(109)</w:t>
            </w:r>
          </w:p>
        </w:tc>
        <w:tc>
          <w:tcPr>
            <w:tcW w:w="848" w:type="dxa"/>
            <w:tcBorders>
              <w:bottom w:val="single" w:sz="4" w:space="0" w:color="auto"/>
            </w:tcBorders>
            <w:hideMark/>
          </w:tcPr>
          <w:p w14:paraId="61747EC1"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(230)</w:t>
            </w:r>
          </w:p>
        </w:tc>
        <w:tc>
          <w:tcPr>
            <w:tcW w:w="849" w:type="dxa"/>
            <w:tcBorders>
              <w:bottom w:val="single" w:sz="4" w:space="0" w:color="auto"/>
            </w:tcBorders>
            <w:hideMark/>
          </w:tcPr>
          <w:p w14:paraId="4D2F9FF5"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(363)</w:t>
            </w:r>
          </w:p>
        </w:tc>
        <w:tc>
          <w:tcPr>
            <w:tcW w:w="849" w:type="dxa"/>
            <w:tcBorders>
              <w:bottom w:val="single" w:sz="4" w:space="0" w:color="auto"/>
            </w:tcBorders>
            <w:hideMark/>
          </w:tcPr>
          <w:p w14:paraId="37185EC9"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(509)</w:t>
            </w:r>
          </w:p>
        </w:tc>
      </w:tr>
      <w:tr w:rsidR="009A0702" w:rsidRPr="00CF5471" w14:paraId="33BF54E6" w14:textId="77777777" w:rsidTr="00303BE5">
        <w:tc>
          <w:tcPr>
            <w:cnfStyle w:val="001000000000" w:firstRow="0" w:lastRow="0" w:firstColumn="1" w:lastColumn="0" w:oddVBand="0" w:evenVBand="0" w:oddHBand="0" w:evenHBand="0" w:firstRowFirstColumn="0" w:firstRowLastColumn="0" w:lastRowFirstColumn="0" w:lastRowLastColumn="0"/>
            <w:tcW w:w="4360" w:type="dxa"/>
            <w:tcBorders>
              <w:top w:val="single" w:sz="4" w:space="0" w:color="auto"/>
            </w:tcBorders>
            <w:hideMark/>
          </w:tcPr>
          <w:p w14:paraId="38253D81" w14:textId="77777777" w:rsidR="009A0702" w:rsidRPr="00CF5471" w:rsidRDefault="009A0702" w:rsidP="00303BE5">
            <w:pPr>
              <w:keepLines w:val="0"/>
              <w:autoSpaceDE w:val="0"/>
              <w:autoSpaceDN w:val="0"/>
              <w:adjustRightInd w:val="0"/>
              <w:rPr>
                <w:rFonts w:eastAsiaTheme="minorEastAsia" w:cstheme="majorHAnsi"/>
                <w:b/>
                <w:bCs/>
                <w:szCs w:val="17"/>
                <w:lang w:eastAsia="en-AU"/>
              </w:rPr>
            </w:pPr>
            <w:r w:rsidRPr="00CF5471">
              <w:rPr>
                <w:rFonts w:eastAsiaTheme="minorEastAsia" w:cstheme="majorHAnsi"/>
                <w:b/>
                <w:bCs/>
                <w:szCs w:val="17"/>
                <w:lang w:eastAsia="en-AU"/>
              </w:rPr>
              <w:t xml:space="preserve">Total employee expenses </w:t>
            </w:r>
          </w:p>
        </w:tc>
        <w:tc>
          <w:tcPr>
            <w:tcW w:w="849" w:type="dxa"/>
            <w:tcBorders>
              <w:top w:val="single" w:sz="4" w:space="0" w:color="auto"/>
            </w:tcBorders>
          </w:tcPr>
          <w:p w14:paraId="07B55C6D"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p>
        </w:tc>
        <w:tc>
          <w:tcPr>
            <w:tcW w:w="848" w:type="dxa"/>
            <w:tcBorders>
              <w:top w:val="single" w:sz="4" w:space="0" w:color="auto"/>
            </w:tcBorders>
          </w:tcPr>
          <w:p w14:paraId="53A77DEA"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p>
        </w:tc>
        <w:tc>
          <w:tcPr>
            <w:tcW w:w="849" w:type="dxa"/>
            <w:tcBorders>
              <w:top w:val="single" w:sz="4" w:space="0" w:color="auto"/>
            </w:tcBorders>
          </w:tcPr>
          <w:p w14:paraId="5B965C50"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p>
        </w:tc>
        <w:tc>
          <w:tcPr>
            <w:tcW w:w="849" w:type="dxa"/>
            <w:tcBorders>
              <w:top w:val="single" w:sz="4" w:space="0" w:color="auto"/>
            </w:tcBorders>
          </w:tcPr>
          <w:p w14:paraId="32604EE4"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p>
        </w:tc>
      </w:tr>
      <w:tr w:rsidR="009A0702" w:rsidRPr="00CF5471" w14:paraId="0CC7070E" w14:textId="77777777" w:rsidTr="00303BE5">
        <w:tc>
          <w:tcPr>
            <w:cnfStyle w:val="001000000000" w:firstRow="0" w:lastRow="0" w:firstColumn="1" w:lastColumn="0" w:oddVBand="0" w:evenVBand="0" w:oddHBand="0" w:evenHBand="0" w:firstRowFirstColumn="0" w:firstRowLastColumn="0" w:lastRowFirstColumn="0" w:lastRowLastColumn="0"/>
            <w:tcW w:w="4360" w:type="dxa"/>
            <w:hideMark/>
          </w:tcPr>
          <w:p w14:paraId="4E28CDC0" w14:textId="77777777" w:rsidR="009A0702" w:rsidRPr="00CF5471" w:rsidRDefault="009A0702" w:rsidP="00475CE1">
            <w:pPr>
              <w:keepLines w:val="0"/>
              <w:autoSpaceDE w:val="0"/>
              <w:autoSpaceDN w:val="0"/>
              <w:adjustRightInd w:val="0"/>
              <w:rPr>
                <w:rFonts w:eastAsiaTheme="minorEastAsia" w:cstheme="majorHAnsi"/>
                <w:szCs w:val="17"/>
                <w:lang w:eastAsia="en-AU"/>
              </w:rPr>
            </w:pPr>
            <w:r w:rsidRPr="00CF5471">
              <w:rPr>
                <w:rFonts w:eastAsiaTheme="minorEastAsia" w:cstheme="majorHAnsi"/>
                <w:szCs w:val="17"/>
                <w:lang w:eastAsia="en-AU"/>
              </w:rPr>
              <w:t>Income from transactions</w:t>
            </w:r>
          </w:p>
        </w:tc>
        <w:tc>
          <w:tcPr>
            <w:tcW w:w="849" w:type="dxa"/>
            <w:hideMark/>
          </w:tcPr>
          <w:p w14:paraId="0E6A228F" w14:textId="77777777" w:rsidR="009A0702" w:rsidRPr="0080250B" w:rsidRDefault="009A0702" w:rsidP="00475CE1">
            <w:pPr>
              <w:cnfStyle w:val="000000000000" w:firstRow="0" w:lastRow="0" w:firstColumn="0" w:lastColumn="0" w:oddVBand="0" w:evenVBand="0" w:oddHBand="0" w:evenHBand="0" w:firstRowFirstColumn="0" w:firstRowLastColumn="0" w:lastRowFirstColumn="0" w:lastRowLastColumn="0"/>
              <w:rPr>
                <w:rFonts w:cstheme="majorHAnsi"/>
              </w:rPr>
            </w:pPr>
            <w:r w:rsidRPr="00101D16">
              <w:t>..</w:t>
            </w:r>
          </w:p>
        </w:tc>
        <w:tc>
          <w:tcPr>
            <w:tcW w:w="848" w:type="dxa"/>
            <w:hideMark/>
          </w:tcPr>
          <w:p w14:paraId="18BC7954" w14:textId="77777777" w:rsidR="009A0702" w:rsidRPr="0080250B" w:rsidRDefault="009A0702" w:rsidP="00475CE1">
            <w:pPr>
              <w:cnfStyle w:val="000000000000" w:firstRow="0" w:lastRow="0" w:firstColumn="0" w:lastColumn="0" w:oddVBand="0" w:evenVBand="0" w:oddHBand="0" w:evenHBand="0" w:firstRowFirstColumn="0" w:firstRowLastColumn="0" w:lastRowFirstColumn="0" w:lastRowLastColumn="0"/>
              <w:rPr>
                <w:rFonts w:cstheme="majorHAnsi"/>
              </w:rPr>
            </w:pPr>
            <w:r w:rsidRPr="00101D16">
              <w:t>38</w:t>
            </w:r>
          </w:p>
        </w:tc>
        <w:tc>
          <w:tcPr>
            <w:tcW w:w="849" w:type="dxa"/>
            <w:hideMark/>
          </w:tcPr>
          <w:p w14:paraId="118759E5" w14:textId="77777777" w:rsidR="009A0702" w:rsidRPr="0080250B" w:rsidRDefault="009A0702" w:rsidP="00475CE1">
            <w:pPr>
              <w:cnfStyle w:val="000000000000" w:firstRow="0" w:lastRow="0" w:firstColumn="0" w:lastColumn="0" w:oddVBand="0" w:evenVBand="0" w:oddHBand="0" w:evenHBand="0" w:firstRowFirstColumn="0" w:firstRowLastColumn="0" w:lastRowFirstColumn="0" w:lastRowLastColumn="0"/>
              <w:rPr>
                <w:rFonts w:cstheme="majorHAnsi"/>
              </w:rPr>
            </w:pPr>
            <w:r w:rsidRPr="00101D16">
              <w:t>129</w:t>
            </w:r>
          </w:p>
        </w:tc>
        <w:tc>
          <w:tcPr>
            <w:tcW w:w="849" w:type="dxa"/>
            <w:hideMark/>
          </w:tcPr>
          <w:p w14:paraId="10905985" w14:textId="77777777" w:rsidR="009A0702" w:rsidRPr="0080250B" w:rsidRDefault="009A0702" w:rsidP="00475CE1">
            <w:pPr>
              <w:cnfStyle w:val="000000000000" w:firstRow="0" w:lastRow="0" w:firstColumn="0" w:lastColumn="0" w:oddVBand="0" w:evenVBand="0" w:oddHBand="0" w:evenHBand="0" w:firstRowFirstColumn="0" w:firstRowLastColumn="0" w:lastRowFirstColumn="0" w:lastRowLastColumn="0"/>
              <w:rPr>
                <w:rFonts w:cstheme="majorHAnsi"/>
              </w:rPr>
            </w:pPr>
            <w:r w:rsidRPr="00101D16">
              <w:t>141</w:t>
            </w:r>
          </w:p>
        </w:tc>
      </w:tr>
      <w:tr w:rsidR="009A0702" w:rsidRPr="00CF5471" w14:paraId="63D3F396" w14:textId="77777777" w:rsidTr="00303BE5">
        <w:tc>
          <w:tcPr>
            <w:cnfStyle w:val="001000000000" w:firstRow="0" w:lastRow="0" w:firstColumn="1" w:lastColumn="0" w:oddVBand="0" w:evenVBand="0" w:oddHBand="0" w:evenHBand="0" w:firstRowFirstColumn="0" w:firstRowLastColumn="0" w:lastRowFirstColumn="0" w:lastRowLastColumn="0"/>
            <w:tcW w:w="4360" w:type="dxa"/>
            <w:tcBorders>
              <w:bottom w:val="single" w:sz="4" w:space="0" w:color="auto"/>
            </w:tcBorders>
            <w:hideMark/>
          </w:tcPr>
          <w:p w14:paraId="4A665F5B" w14:textId="77777777" w:rsidR="009A0702" w:rsidRPr="00CF5471" w:rsidRDefault="009A0702" w:rsidP="008248EA">
            <w:pPr>
              <w:keepLines w:val="0"/>
              <w:autoSpaceDE w:val="0"/>
              <w:autoSpaceDN w:val="0"/>
              <w:adjustRightInd w:val="0"/>
              <w:rPr>
                <w:rFonts w:eastAsiaTheme="minorEastAsia" w:cstheme="majorHAnsi"/>
                <w:szCs w:val="17"/>
                <w:lang w:eastAsia="en-AU"/>
              </w:rPr>
            </w:pPr>
            <w:r w:rsidRPr="00CF5471">
              <w:rPr>
                <w:rFonts w:eastAsiaTheme="minorEastAsia" w:cstheme="majorHAnsi"/>
                <w:szCs w:val="17"/>
                <w:lang w:eastAsia="en-AU"/>
              </w:rPr>
              <w:t>Expenses from transactions</w:t>
            </w:r>
          </w:p>
        </w:tc>
        <w:tc>
          <w:tcPr>
            <w:tcW w:w="849" w:type="dxa"/>
            <w:tcBorders>
              <w:bottom w:val="single" w:sz="4" w:space="0" w:color="auto"/>
            </w:tcBorders>
            <w:hideMark/>
          </w:tcPr>
          <w:p w14:paraId="5464F389"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387419">
              <w:t>342</w:t>
            </w:r>
          </w:p>
        </w:tc>
        <w:tc>
          <w:tcPr>
            <w:tcW w:w="848" w:type="dxa"/>
            <w:tcBorders>
              <w:bottom w:val="single" w:sz="4" w:space="0" w:color="auto"/>
            </w:tcBorders>
            <w:hideMark/>
          </w:tcPr>
          <w:p w14:paraId="3FDFA191"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387419">
              <w:t>364</w:t>
            </w:r>
          </w:p>
        </w:tc>
        <w:tc>
          <w:tcPr>
            <w:tcW w:w="849" w:type="dxa"/>
            <w:tcBorders>
              <w:bottom w:val="single" w:sz="4" w:space="0" w:color="auto"/>
            </w:tcBorders>
            <w:hideMark/>
          </w:tcPr>
          <w:p w14:paraId="01460681"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387419">
              <w:t>384</w:t>
            </w:r>
          </w:p>
        </w:tc>
        <w:tc>
          <w:tcPr>
            <w:tcW w:w="849" w:type="dxa"/>
            <w:tcBorders>
              <w:bottom w:val="single" w:sz="4" w:space="0" w:color="auto"/>
            </w:tcBorders>
            <w:hideMark/>
          </w:tcPr>
          <w:p w14:paraId="767439A2"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387419">
              <w:t>409</w:t>
            </w:r>
          </w:p>
        </w:tc>
      </w:tr>
      <w:tr w:rsidR="009A0702" w:rsidRPr="0044766D" w14:paraId="7CF373BF" w14:textId="77777777" w:rsidTr="00303BE5">
        <w:tc>
          <w:tcPr>
            <w:cnfStyle w:val="001000000000" w:firstRow="0" w:lastRow="0" w:firstColumn="1" w:lastColumn="0" w:oddVBand="0" w:evenVBand="0" w:oddHBand="0" w:evenHBand="0" w:firstRowFirstColumn="0" w:firstRowLastColumn="0" w:lastRowFirstColumn="0" w:lastRowLastColumn="0"/>
            <w:tcW w:w="4360" w:type="dxa"/>
            <w:tcBorders>
              <w:top w:val="single" w:sz="4" w:space="0" w:color="auto"/>
              <w:bottom w:val="nil"/>
            </w:tcBorders>
            <w:hideMark/>
          </w:tcPr>
          <w:p w14:paraId="5534B0E9" w14:textId="77777777" w:rsidR="009A0702" w:rsidRPr="00CF5471" w:rsidRDefault="009A0702" w:rsidP="008248EA">
            <w:pPr>
              <w:keepLines w:val="0"/>
              <w:autoSpaceDE w:val="0"/>
              <w:autoSpaceDN w:val="0"/>
              <w:adjustRightInd w:val="0"/>
              <w:rPr>
                <w:rFonts w:eastAsiaTheme="minorEastAsia" w:cstheme="majorHAnsi"/>
                <w:b/>
                <w:bCs/>
                <w:szCs w:val="17"/>
                <w:lang w:eastAsia="en-AU"/>
              </w:rPr>
            </w:pPr>
            <w:r w:rsidRPr="00CF5471">
              <w:rPr>
                <w:rFonts w:eastAsiaTheme="minorEastAsia" w:cstheme="majorHAnsi"/>
                <w:b/>
                <w:bCs/>
                <w:szCs w:val="17"/>
                <w:lang w:eastAsia="en-AU"/>
              </w:rPr>
              <w:t>Net result from transactions</w:t>
            </w:r>
          </w:p>
        </w:tc>
        <w:tc>
          <w:tcPr>
            <w:tcW w:w="849" w:type="dxa"/>
            <w:tcBorders>
              <w:top w:val="single" w:sz="4" w:space="0" w:color="auto"/>
              <w:bottom w:val="nil"/>
            </w:tcBorders>
            <w:hideMark/>
          </w:tcPr>
          <w:p w14:paraId="6173B84E"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(342)</w:t>
            </w:r>
          </w:p>
        </w:tc>
        <w:tc>
          <w:tcPr>
            <w:tcW w:w="848" w:type="dxa"/>
            <w:tcBorders>
              <w:top w:val="single" w:sz="4" w:space="0" w:color="auto"/>
              <w:bottom w:val="nil"/>
            </w:tcBorders>
            <w:hideMark/>
          </w:tcPr>
          <w:p w14:paraId="2F726420"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(327)</w:t>
            </w:r>
          </w:p>
        </w:tc>
        <w:tc>
          <w:tcPr>
            <w:tcW w:w="849" w:type="dxa"/>
            <w:tcBorders>
              <w:top w:val="single" w:sz="4" w:space="0" w:color="auto"/>
              <w:bottom w:val="nil"/>
            </w:tcBorders>
            <w:hideMark/>
          </w:tcPr>
          <w:p w14:paraId="5277E6A8"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(255)</w:t>
            </w:r>
          </w:p>
        </w:tc>
        <w:tc>
          <w:tcPr>
            <w:tcW w:w="849" w:type="dxa"/>
            <w:tcBorders>
              <w:top w:val="single" w:sz="4" w:space="0" w:color="auto"/>
              <w:bottom w:val="nil"/>
            </w:tcBorders>
            <w:hideMark/>
          </w:tcPr>
          <w:p w14:paraId="5CD89C5D"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(267)</w:t>
            </w:r>
          </w:p>
        </w:tc>
      </w:tr>
      <w:tr w:rsidR="009A0702" w:rsidRPr="0044766D" w14:paraId="4CE59861" w14:textId="77777777" w:rsidTr="00303BE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0" w:type="dxa"/>
            <w:tcBorders>
              <w:bottom w:val="single" w:sz="4" w:space="0" w:color="auto"/>
            </w:tcBorders>
            <w:hideMark/>
          </w:tcPr>
          <w:p w14:paraId="22AC7008" w14:textId="77777777" w:rsidR="009A0702" w:rsidRPr="00CF5471" w:rsidRDefault="009A0702" w:rsidP="008248EA">
            <w:pPr>
              <w:keepLines w:val="0"/>
              <w:autoSpaceDE w:val="0"/>
              <w:autoSpaceDN w:val="0"/>
              <w:adjustRightInd w:val="0"/>
              <w:rPr>
                <w:rFonts w:eastAsiaTheme="minorEastAsia" w:cstheme="majorHAnsi"/>
                <w:b w:val="0"/>
                <w:bCs/>
                <w:szCs w:val="17"/>
                <w:lang w:eastAsia="en-AU"/>
              </w:rPr>
            </w:pPr>
            <w:r w:rsidRPr="00CF5471">
              <w:rPr>
                <w:rFonts w:eastAsiaTheme="minorEastAsia" w:cstheme="majorHAnsi"/>
                <w:bCs/>
                <w:szCs w:val="17"/>
                <w:lang w:eastAsia="en-AU"/>
              </w:rPr>
              <w:t>Net debt</w:t>
            </w:r>
          </w:p>
        </w:tc>
        <w:tc>
          <w:tcPr>
            <w:tcW w:w="849" w:type="dxa"/>
            <w:tcBorders>
              <w:bottom w:val="single" w:sz="4" w:space="0" w:color="auto"/>
            </w:tcBorders>
            <w:hideMark/>
          </w:tcPr>
          <w:p w14:paraId="4C52B04F" w14:textId="77777777" w:rsidR="009A0702" w:rsidRPr="008248EA" w:rsidRDefault="009A0702" w:rsidP="008248EA">
            <w:pPr>
              <w:cnfStyle w:val="010000000000" w:firstRow="0" w:lastRow="1" w:firstColumn="0" w:lastColumn="0" w:oddVBand="0" w:evenVBand="0" w:oddHBand="0" w:evenHBand="0" w:firstRowFirstColumn="0" w:firstRowLastColumn="0" w:lastRowFirstColumn="0" w:lastRowLastColumn="0"/>
              <w:rPr>
                <w:rFonts w:cstheme="majorHAnsi"/>
                <w:b w:val="0"/>
                <w:bCs/>
              </w:rPr>
            </w:pPr>
            <w:r w:rsidRPr="008248EA">
              <w:rPr>
                <w:bCs/>
              </w:rPr>
              <w:t>342</w:t>
            </w:r>
          </w:p>
        </w:tc>
        <w:tc>
          <w:tcPr>
            <w:tcW w:w="848" w:type="dxa"/>
            <w:tcBorders>
              <w:bottom w:val="single" w:sz="4" w:space="0" w:color="auto"/>
            </w:tcBorders>
            <w:hideMark/>
          </w:tcPr>
          <w:p w14:paraId="1B429287" w14:textId="77777777" w:rsidR="009A0702" w:rsidRPr="008248EA" w:rsidRDefault="009A0702" w:rsidP="008248EA">
            <w:pPr>
              <w:cnfStyle w:val="010000000000" w:firstRow="0" w:lastRow="1" w:firstColumn="0" w:lastColumn="0" w:oddVBand="0" w:evenVBand="0" w:oddHBand="0" w:evenHBand="0" w:firstRowFirstColumn="0" w:firstRowLastColumn="0" w:lastRowFirstColumn="0" w:lastRowLastColumn="0"/>
              <w:rPr>
                <w:rFonts w:cstheme="majorHAnsi"/>
                <w:b w:val="0"/>
                <w:bCs/>
              </w:rPr>
            </w:pPr>
            <w:r w:rsidRPr="008248EA">
              <w:rPr>
                <w:bCs/>
              </w:rPr>
              <w:t>669</w:t>
            </w:r>
          </w:p>
        </w:tc>
        <w:tc>
          <w:tcPr>
            <w:tcW w:w="849" w:type="dxa"/>
            <w:tcBorders>
              <w:bottom w:val="single" w:sz="4" w:space="0" w:color="auto"/>
            </w:tcBorders>
            <w:hideMark/>
          </w:tcPr>
          <w:p w14:paraId="63FC17FD" w14:textId="77777777" w:rsidR="009A0702" w:rsidRPr="008248EA" w:rsidRDefault="009A0702" w:rsidP="008248EA">
            <w:pPr>
              <w:cnfStyle w:val="010000000000" w:firstRow="0" w:lastRow="1" w:firstColumn="0" w:lastColumn="0" w:oddVBand="0" w:evenVBand="0" w:oddHBand="0" w:evenHBand="0" w:firstRowFirstColumn="0" w:firstRowLastColumn="0" w:lastRowFirstColumn="0" w:lastRowLastColumn="0"/>
              <w:rPr>
                <w:rFonts w:cstheme="majorHAnsi"/>
                <w:b w:val="0"/>
                <w:bCs/>
              </w:rPr>
            </w:pPr>
            <w:r w:rsidRPr="008248EA">
              <w:rPr>
                <w:bCs/>
              </w:rPr>
              <w:t>924</w:t>
            </w:r>
          </w:p>
        </w:tc>
        <w:tc>
          <w:tcPr>
            <w:tcW w:w="849" w:type="dxa"/>
            <w:tcBorders>
              <w:bottom w:val="single" w:sz="4" w:space="0" w:color="auto"/>
            </w:tcBorders>
            <w:hideMark/>
          </w:tcPr>
          <w:p w14:paraId="593121AC" w14:textId="77777777" w:rsidR="009A0702" w:rsidRPr="008248EA" w:rsidRDefault="009A0702" w:rsidP="008248EA">
            <w:pPr>
              <w:cnfStyle w:val="010000000000" w:firstRow="0" w:lastRow="1" w:firstColumn="0" w:lastColumn="0" w:oddVBand="0" w:evenVBand="0" w:oddHBand="0" w:evenHBand="0" w:firstRowFirstColumn="0" w:firstRowLastColumn="0" w:lastRowFirstColumn="0" w:lastRowLastColumn="0"/>
              <w:rPr>
                <w:rFonts w:cstheme="majorHAnsi"/>
                <w:b w:val="0"/>
                <w:bCs/>
              </w:rPr>
            </w:pPr>
            <w:r w:rsidRPr="008248EA">
              <w:rPr>
                <w:bCs/>
              </w:rPr>
              <w:t>1</w:t>
            </w:r>
            <w:r>
              <w:rPr>
                <w:bCs/>
              </w:rPr>
              <w:t xml:space="preserve"> </w:t>
            </w:r>
            <w:r w:rsidRPr="008248EA">
              <w:rPr>
                <w:bCs/>
              </w:rPr>
              <w:t>191</w:t>
            </w:r>
          </w:p>
        </w:tc>
      </w:tr>
    </w:tbl>
    <w:p w14:paraId="389FF618" w14:textId="6BB0C970" w:rsidR="009A0702" w:rsidRDefault="009A0702"/>
    <w:p w14:paraId="782CBBE7" w14:textId="6731949C" w:rsidR="009A0702" w:rsidRDefault="009A0702"/>
    <w:p w14:paraId="69917A26" w14:textId="2A2C194C" w:rsidR="009A0702" w:rsidRDefault="009A0702" w:rsidP="009A0702">
      <w:pPr>
        <w:pStyle w:val="TableHeading"/>
        <w:ind w:left="1140" w:hanging="1140"/>
      </w:pPr>
      <w:r w:rsidRPr="00E94D48">
        <w:lastRenderedPageBreak/>
        <w:t>Table B.3:</w:t>
      </w:r>
      <w:r w:rsidRPr="00E94D48">
        <w:tab/>
      </w:r>
      <w:r w:rsidR="00AE31D1">
        <w:tab/>
      </w:r>
      <w:r w:rsidRPr="00E94D48">
        <w:t xml:space="preserve">Sensitivity of key fiscal aggregates to selected indicators being </w:t>
      </w:r>
      <w:r w:rsidRPr="00E94D48">
        <w:br/>
        <w:t>1 per cent higher than expected from 2022-23</w:t>
      </w:r>
      <w:r>
        <w:t xml:space="preserve"> </w:t>
      </w:r>
      <w:r w:rsidRPr="009A0702">
        <w:rPr>
          <w:i/>
          <w:iCs/>
          <w:sz w:val="18"/>
          <w:szCs w:val="20"/>
        </w:rPr>
        <w:t>(continued)</w:t>
      </w:r>
      <w:r w:rsidRPr="00E94D48">
        <w:rPr>
          <w:vertAlign w:val="superscript"/>
        </w:rPr>
        <w:t xml:space="preserve"> </w:t>
      </w:r>
      <w:r w:rsidRPr="00E94D48">
        <w:rPr>
          <w:vertAlign w:val="superscript"/>
        </w:rPr>
        <w:tab/>
      </w:r>
      <w:r w:rsidRPr="00E94D48">
        <w:t>($ million)</w:t>
      </w:r>
    </w:p>
    <w:tbl>
      <w:tblPr>
        <w:tblStyle w:val="DTFTable"/>
        <w:tblW w:w="7755" w:type="dxa"/>
        <w:tblLayout w:type="fixed"/>
        <w:tblLook w:val="06E0" w:firstRow="1" w:lastRow="1" w:firstColumn="1" w:lastColumn="0" w:noHBand="1" w:noVBand="1"/>
      </w:tblPr>
      <w:tblGrid>
        <w:gridCol w:w="4360"/>
        <w:gridCol w:w="849"/>
        <w:gridCol w:w="848"/>
        <w:gridCol w:w="849"/>
        <w:gridCol w:w="849"/>
      </w:tblGrid>
      <w:tr w:rsidR="009A0702" w:rsidRPr="00CF5471" w14:paraId="22B46178" w14:textId="77777777" w:rsidTr="007E0B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0" w:type="dxa"/>
          </w:tcPr>
          <w:p w14:paraId="0D07F387" w14:textId="77777777" w:rsidR="009A0702" w:rsidRPr="00CF5471" w:rsidRDefault="009A0702" w:rsidP="00D0055F">
            <w:pPr>
              <w:autoSpaceDE w:val="0"/>
              <w:autoSpaceDN w:val="0"/>
              <w:adjustRightInd w:val="0"/>
              <w:rPr>
                <w:rFonts w:cstheme="majorHAnsi"/>
                <w:szCs w:val="17"/>
              </w:rPr>
            </w:pPr>
            <w:r w:rsidRPr="00CF5471">
              <w:rPr>
                <w:rFonts w:eastAsiaTheme="minorEastAsia" w:cstheme="majorHAnsi"/>
                <w:szCs w:val="17"/>
                <w:lang w:eastAsia="en-AU"/>
              </w:rPr>
              <w:t xml:space="preserve"> </w:t>
            </w:r>
          </w:p>
        </w:tc>
        <w:tc>
          <w:tcPr>
            <w:tcW w:w="849" w:type="dxa"/>
            <w:hideMark/>
          </w:tcPr>
          <w:p w14:paraId="3F102C80" w14:textId="56AF842A" w:rsidR="009A0702" w:rsidRPr="00CF5471" w:rsidRDefault="009A0702" w:rsidP="00D0055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sidRPr="00CF5471">
              <w:rPr>
                <w:rFonts w:eastAsiaTheme="minorEastAsia" w:cstheme="majorHAnsi"/>
                <w:iCs/>
                <w:szCs w:val="17"/>
                <w:lang w:eastAsia="en-AU"/>
              </w:rPr>
              <w:t>2022-23</w:t>
            </w:r>
            <w:r w:rsidR="00357AFE">
              <w:rPr>
                <w:rFonts w:eastAsiaTheme="minorEastAsia" w:cstheme="majorHAnsi"/>
                <w:i w:val="0"/>
                <w:iCs/>
                <w:szCs w:val="17"/>
                <w:lang w:eastAsia="en-AU"/>
              </w:rPr>
              <w:br/>
            </w:r>
            <w:r w:rsidRPr="00CF5471">
              <w:rPr>
                <w:rFonts w:eastAsiaTheme="minorEastAsia" w:cstheme="majorHAnsi"/>
                <w:iCs/>
                <w:szCs w:val="17"/>
                <w:lang w:eastAsia="en-AU"/>
              </w:rPr>
              <w:t>estimate</w:t>
            </w:r>
          </w:p>
        </w:tc>
        <w:tc>
          <w:tcPr>
            <w:tcW w:w="848" w:type="dxa"/>
            <w:hideMark/>
          </w:tcPr>
          <w:p w14:paraId="7C834D26" w14:textId="6B1E6AB9" w:rsidR="009A0702" w:rsidRPr="00CF5471" w:rsidRDefault="009A0702" w:rsidP="00D0055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sidRPr="00CF5471">
              <w:rPr>
                <w:rFonts w:eastAsiaTheme="minorEastAsia" w:cstheme="majorHAnsi"/>
                <w:iCs/>
                <w:szCs w:val="17"/>
                <w:lang w:eastAsia="en-AU"/>
              </w:rPr>
              <w:t>2023-24</w:t>
            </w:r>
            <w:r w:rsidR="00357AFE">
              <w:rPr>
                <w:rFonts w:eastAsiaTheme="minorEastAsia" w:cstheme="majorHAnsi"/>
                <w:i w:val="0"/>
                <w:iCs/>
                <w:szCs w:val="17"/>
                <w:lang w:eastAsia="en-AU"/>
              </w:rPr>
              <w:br/>
            </w:r>
            <w:r w:rsidRPr="00CF5471">
              <w:rPr>
                <w:rFonts w:eastAsiaTheme="minorEastAsia" w:cstheme="majorHAnsi"/>
                <w:iCs/>
                <w:szCs w:val="17"/>
                <w:lang w:eastAsia="en-AU"/>
              </w:rPr>
              <w:t>estimate</w:t>
            </w:r>
          </w:p>
        </w:tc>
        <w:tc>
          <w:tcPr>
            <w:tcW w:w="849" w:type="dxa"/>
            <w:hideMark/>
          </w:tcPr>
          <w:p w14:paraId="5C11EA9C" w14:textId="26D7BB9E" w:rsidR="009A0702" w:rsidRPr="00CF5471" w:rsidRDefault="009A0702" w:rsidP="00D0055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sidRPr="00CF5471">
              <w:rPr>
                <w:rFonts w:eastAsiaTheme="minorEastAsia" w:cstheme="majorHAnsi"/>
                <w:iCs/>
                <w:szCs w:val="17"/>
                <w:lang w:eastAsia="en-AU"/>
              </w:rPr>
              <w:t>2024-25</w:t>
            </w:r>
            <w:r w:rsidR="00357AFE">
              <w:rPr>
                <w:rFonts w:eastAsiaTheme="minorEastAsia" w:cstheme="majorHAnsi"/>
                <w:i w:val="0"/>
                <w:iCs/>
                <w:szCs w:val="17"/>
                <w:lang w:eastAsia="en-AU"/>
              </w:rPr>
              <w:br/>
            </w:r>
            <w:r w:rsidRPr="00CF5471">
              <w:rPr>
                <w:rFonts w:eastAsiaTheme="minorEastAsia" w:cstheme="majorHAnsi"/>
                <w:iCs/>
                <w:szCs w:val="17"/>
                <w:lang w:eastAsia="en-AU"/>
              </w:rPr>
              <w:t>estimate</w:t>
            </w:r>
          </w:p>
        </w:tc>
        <w:tc>
          <w:tcPr>
            <w:tcW w:w="849" w:type="dxa"/>
            <w:hideMark/>
          </w:tcPr>
          <w:p w14:paraId="72E051F0" w14:textId="2BBF0061" w:rsidR="009A0702" w:rsidRPr="00CF5471" w:rsidRDefault="009A0702" w:rsidP="00D0055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sidRPr="00CF5471">
              <w:rPr>
                <w:rFonts w:eastAsiaTheme="minorEastAsia" w:cstheme="majorHAnsi"/>
                <w:iCs/>
                <w:szCs w:val="17"/>
                <w:lang w:eastAsia="en-AU"/>
              </w:rPr>
              <w:t>2025-26</w:t>
            </w:r>
            <w:r w:rsidR="00357AFE">
              <w:rPr>
                <w:rFonts w:eastAsiaTheme="minorEastAsia" w:cstheme="majorHAnsi"/>
                <w:i w:val="0"/>
                <w:iCs/>
                <w:szCs w:val="17"/>
                <w:lang w:eastAsia="en-AU"/>
              </w:rPr>
              <w:br/>
            </w:r>
            <w:r w:rsidRPr="00CF5471">
              <w:rPr>
                <w:rFonts w:eastAsiaTheme="minorEastAsia" w:cstheme="majorHAnsi"/>
                <w:iCs/>
                <w:szCs w:val="17"/>
                <w:lang w:eastAsia="en-AU"/>
              </w:rPr>
              <w:t>estimate</w:t>
            </w:r>
          </w:p>
        </w:tc>
      </w:tr>
      <w:tr w:rsidR="009A0702" w:rsidRPr="00CF5471" w14:paraId="62DB2B07" w14:textId="77777777" w:rsidTr="00303BE5">
        <w:tc>
          <w:tcPr>
            <w:cnfStyle w:val="001000000000" w:firstRow="0" w:lastRow="0" w:firstColumn="1" w:lastColumn="0" w:oddVBand="0" w:evenVBand="0" w:oddHBand="0" w:evenHBand="0" w:firstRowFirstColumn="0" w:firstRowLastColumn="0" w:lastRowFirstColumn="0" w:lastRowLastColumn="0"/>
            <w:tcW w:w="4360" w:type="dxa"/>
            <w:tcBorders>
              <w:top w:val="single" w:sz="4" w:space="0" w:color="auto"/>
            </w:tcBorders>
            <w:hideMark/>
          </w:tcPr>
          <w:p w14:paraId="1F13935D" w14:textId="77777777" w:rsidR="009A0702" w:rsidRPr="00CF5471" w:rsidRDefault="009A0702" w:rsidP="009A0702">
            <w:pPr>
              <w:keepNext/>
              <w:keepLines w:val="0"/>
              <w:autoSpaceDE w:val="0"/>
              <w:autoSpaceDN w:val="0"/>
              <w:adjustRightInd w:val="0"/>
              <w:ind w:left="176" w:hanging="176"/>
              <w:rPr>
                <w:rFonts w:eastAsiaTheme="minorEastAsia" w:cstheme="majorHAnsi"/>
                <w:b/>
                <w:bCs/>
                <w:szCs w:val="17"/>
                <w:lang w:eastAsia="en-AU"/>
              </w:rPr>
            </w:pPr>
            <w:r w:rsidRPr="00CF5471">
              <w:rPr>
                <w:rFonts w:eastAsiaTheme="minorEastAsia" w:cstheme="majorHAnsi"/>
                <w:b/>
                <w:bCs/>
                <w:szCs w:val="17"/>
                <w:lang w:eastAsia="en-AU"/>
              </w:rPr>
              <w:t xml:space="preserve">Domestic share prices </w:t>
            </w:r>
          </w:p>
        </w:tc>
        <w:tc>
          <w:tcPr>
            <w:tcW w:w="849" w:type="dxa"/>
            <w:tcBorders>
              <w:top w:val="single" w:sz="4" w:space="0" w:color="auto"/>
            </w:tcBorders>
          </w:tcPr>
          <w:p w14:paraId="4D090D42"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p>
        </w:tc>
        <w:tc>
          <w:tcPr>
            <w:tcW w:w="848" w:type="dxa"/>
            <w:tcBorders>
              <w:top w:val="single" w:sz="4" w:space="0" w:color="auto"/>
            </w:tcBorders>
          </w:tcPr>
          <w:p w14:paraId="6F4E78D6"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p>
        </w:tc>
        <w:tc>
          <w:tcPr>
            <w:tcW w:w="849" w:type="dxa"/>
            <w:tcBorders>
              <w:top w:val="single" w:sz="4" w:space="0" w:color="auto"/>
            </w:tcBorders>
          </w:tcPr>
          <w:p w14:paraId="307E9E1B"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p>
        </w:tc>
        <w:tc>
          <w:tcPr>
            <w:tcW w:w="849" w:type="dxa"/>
            <w:tcBorders>
              <w:top w:val="single" w:sz="4" w:space="0" w:color="auto"/>
            </w:tcBorders>
          </w:tcPr>
          <w:p w14:paraId="04844F19"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p>
        </w:tc>
      </w:tr>
      <w:tr w:rsidR="009A0702" w:rsidRPr="00CF5471" w14:paraId="73ACEAAB" w14:textId="77777777" w:rsidTr="00303BE5">
        <w:tc>
          <w:tcPr>
            <w:cnfStyle w:val="001000000000" w:firstRow="0" w:lastRow="0" w:firstColumn="1" w:lastColumn="0" w:oddVBand="0" w:evenVBand="0" w:oddHBand="0" w:evenHBand="0" w:firstRowFirstColumn="0" w:firstRowLastColumn="0" w:lastRowFirstColumn="0" w:lastRowLastColumn="0"/>
            <w:tcW w:w="4360" w:type="dxa"/>
            <w:hideMark/>
          </w:tcPr>
          <w:p w14:paraId="0D0E872F" w14:textId="77777777" w:rsidR="009A0702" w:rsidRPr="00CF5471" w:rsidRDefault="009A0702" w:rsidP="00303BE5">
            <w:pPr>
              <w:keepNext/>
              <w:keepLines w:val="0"/>
              <w:autoSpaceDE w:val="0"/>
              <w:autoSpaceDN w:val="0"/>
              <w:adjustRightInd w:val="0"/>
              <w:ind w:left="173" w:hanging="173"/>
              <w:rPr>
                <w:rFonts w:eastAsiaTheme="minorEastAsia" w:cstheme="majorHAnsi"/>
                <w:szCs w:val="17"/>
                <w:lang w:eastAsia="en-AU"/>
              </w:rPr>
            </w:pPr>
            <w:r w:rsidRPr="00CF5471">
              <w:rPr>
                <w:rFonts w:eastAsiaTheme="minorEastAsia" w:cstheme="majorHAnsi"/>
                <w:szCs w:val="17"/>
                <w:lang w:eastAsia="en-AU"/>
              </w:rPr>
              <w:t>Income from transactions</w:t>
            </w:r>
          </w:p>
        </w:tc>
        <w:tc>
          <w:tcPr>
            <w:tcW w:w="849" w:type="dxa"/>
            <w:hideMark/>
          </w:tcPr>
          <w:p w14:paraId="0164CF2C"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r w:rsidRPr="0080250B">
              <w:rPr>
                <w:rFonts w:cstheme="majorHAnsi"/>
              </w:rPr>
              <w:t>..</w:t>
            </w:r>
          </w:p>
        </w:tc>
        <w:tc>
          <w:tcPr>
            <w:tcW w:w="848" w:type="dxa"/>
            <w:hideMark/>
          </w:tcPr>
          <w:p w14:paraId="136C8E33"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r w:rsidRPr="0080250B">
              <w:rPr>
                <w:rFonts w:cstheme="majorHAnsi"/>
              </w:rPr>
              <w:t>..</w:t>
            </w:r>
          </w:p>
        </w:tc>
        <w:tc>
          <w:tcPr>
            <w:tcW w:w="849" w:type="dxa"/>
            <w:hideMark/>
          </w:tcPr>
          <w:p w14:paraId="4697EB62"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r w:rsidRPr="0080250B">
              <w:rPr>
                <w:rFonts w:cstheme="majorHAnsi"/>
              </w:rPr>
              <w:t>..</w:t>
            </w:r>
          </w:p>
        </w:tc>
        <w:tc>
          <w:tcPr>
            <w:tcW w:w="849" w:type="dxa"/>
            <w:hideMark/>
          </w:tcPr>
          <w:p w14:paraId="4D2DDE10"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r w:rsidRPr="0080250B">
              <w:rPr>
                <w:rFonts w:cstheme="majorHAnsi"/>
              </w:rPr>
              <w:t>..</w:t>
            </w:r>
          </w:p>
        </w:tc>
      </w:tr>
      <w:tr w:rsidR="009A0702" w:rsidRPr="00CF5471" w14:paraId="131F476D" w14:textId="77777777" w:rsidTr="00303BE5">
        <w:tc>
          <w:tcPr>
            <w:cnfStyle w:val="001000000000" w:firstRow="0" w:lastRow="0" w:firstColumn="1" w:lastColumn="0" w:oddVBand="0" w:evenVBand="0" w:oddHBand="0" w:evenHBand="0" w:firstRowFirstColumn="0" w:firstRowLastColumn="0" w:lastRowFirstColumn="0" w:lastRowLastColumn="0"/>
            <w:tcW w:w="4360" w:type="dxa"/>
            <w:tcBorders>
              <w:bottom w:val="single" w:sz="4" w:space="0" w:color="auto"/>
            </w:tcBorders>
            <w:hideMark/>
          </w:tcPr>
          <w:p w14:paraId="4BB3A0AD" w14:textId="77777777" w:rsidR="009A0702" w:rsidRPr="00CF5471" w:rsidRDefault="009A0702" w:rsidP="00303BE5">
            <w:pPr>
              <w:keepNext/>
              <w:keepLines w:val="0"/>
              <w:autoSpaceDE w:val="0"/>
              <w:autoSpaceDN w:val="0"/>
              <w:adjustRightInd w:val="0"/>
              <w:ind w:left="173" w:hanging="173"/>
              <w:rPr>
                <w:rFonts w:eastAsiaTheme="minorEastAsia" w:cstheme="majorHAnsi"/>
                <w:szCs w:val="17"/>
                <w:lang w:eastAsia="en-AU"/>
              </w:rPr>
            </w:pPr>
            <w:r w:rsidRPr="00CF5471">
              <w:rPr>
                <w:rFonts w:eastAsiaTheme="minorEastAsia" w:cstheme="majorHAnsi"/>
                <w:szCs w:val="17"/>
                <w:lang w:eastAsia="en-AU"/>
              </w:rPr>
              <w:t>Expenses from transactions</w:t>
            </w:r>
          </w:p>
        </w:tc>
        <w:tc>
          <w:tcPr>
            <w:tcW w:w="849" w:type="dxa"/>
            <w:tcBorders>
              <w:bottom w:val="single" w:sz="4" w:space="0" w:color="auto"/>
            </w:tcBorders>
            <w:hideMark/>
          </w:tcPr>
          <w:p w14:paraId="4527DEBF"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r w:rsidRPr="0080250B">
              <w:rPr>
                <w:rFonts w:cstheme="majorHAnsi"/>
              </w:rPr>
              <w:t>..</w:t>
            </w:r>
          </w:p>
        </w:tc>
        <w:tc>
          <w:tcPr>
            <w:tcW w:w="848" w:type="dxa"/>
            <w:tcBorders>
              <w:bottom w:val="single" w:sz="4" w:space="0" w:color="auto"/>
            </w:tcBorders>
            <w:hideMark/>
          </w:tcPr>
          <w:p w14:paraId="25990D52"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r w:rsidRPr="0080250B">
              <w:rPr>
                <w:rFonts w:cstheme="majorHAnsi"/>
              </w:rPr>
              <w:t>..</w:t>
            </w:r>
          </w:p>
        </w:tc>
        <w:tc>
          <w:tcPr>
            <w:tcW w:w="849" w:type="dxa"/>
            <w:tcBorders>
              <w:bottom w:val="single" w:sz="4" w:space="0" w:color="auto"/>
            </w:tcBorders>
            <w:hideMark/>
          </w:tcPr>
          <w:p w14:paraId="7BA0C4A6"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r w:rsidRPr="0080250B">
              <w:rPr>
                <w:rFonts w:cstheme="majorHAnsi"/>
              </w:rPr>
              <w:t>..</w:t>
            </w:r>
          </w:p>
        </w:tc>
        <w:tc>
          <w:tcPr>
            <w:tcW w:w="849" w:type="dxa"/>
            <w:tcBorders>
              <w:bottom w:val="single" w:sz="4" w:space="0" w:color="auto"/>
            </w:tcBorders>
            <w:hideMark/>
          </w:tcPr>
          <w:p w14:paraId="61A5078B"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r w:rsidRPr="0080250B">
              <w:rPr>
                <w:rFonts w:cstheme="majorHAnsi"/>
              </w:rPr>
              <w:t>..</w:t>
            </w:r>
          </w:p>
        </w:tc>
      </w:tr>
      <w:tr w:rsidR="009A0702" w:rsidRPr="00CF5471" w14:paraId="1D609EAF" w14:textId="77777777" w:rsidTr="00303BE5">
        <w:tc>
          <w:tcPr>
            <w:cnfStyle w:val="001000000000" w:firstRow="0" w:lastRow="0" w:firstColumn="1" w:lastColumn="0" w:oddVBand="0" w:evenVBand="0" w:oddHBand="0" w:evenHBand="0" w:firstRowFirstColumn="0" w:firstRowLastColumn="0" w:lastRowFirstColumn="0" w:lastRowLastColumn="0"/>
            <w:tcW w:w="4360" w:type="dxa"/>
            <w:tcBorders>
              <w:top w:val="single" w:sz="4" w:space="0" w:color="auto"/>
              <w:bottom w:val="nil"/>
            </w:tcBorders>
            <w:hideMark/>
          </w:tcPr>
          <w:p w14:paraId="3203D19A" w14:textId="77777777" w:rsidR="009A0702" w:rsidRPr="00E21084" w:rsidRDefault="009A0702" w:rsidP="00303BE5">
            <w:pPr>
              <w:keepLines w:val="0"/>
              <w:autoSpaceDE w:val="0"/>
              <w:autoSpaceDN w:val="0"/>
              <w:adjustRightInd w:val="0"/>
              <w:rPr>
                <w:rFonts w:eastAsiaTheme="minorEastAsia" w:cstheme="majorHAnsi"/>
                <w:b/>
                <w:bCs/>
                <w:szCs w:val="17"/>
                <w:lang w:eastAsia="en-AU"/>
              </w:rPr>
            </w:pPr>
            <w:r w:rsidRPr="00E21084">
              <w:rPr>
                <w:rFonts w:eastAsiaTheme="minorEastAsia" w:cstheme="majorHAnsi"/>
                <w:b/>
                <w:bCs/>
                <w:szCs w:val="17"/>
                <w:lang w:eastAsia="en-AU"/>
              </w:rPr>
              <w:t>Net result from transactions</w:t>
            </w:r>
          </w:p>
        </w:tc>
        <w:tc>
          <w:tcPr>
            <w:tcW w:w="849" w:type="dxa"/>
            <w:tcBorders>
              <w:top w:val="single" w:sz="4" w:space="0" w:color="auto"/>
              <w:bottom w:val="nil"/>
            </w:tcBorders>
            <w:hideMark/>
          </w:tcPr>
          <w:p w14:paraId="578CD2D7"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b/>
                <w:bCs/>
              </w:rPr>
            </w:pPr>
            <w:r w:rsidRPr="0080250B">
              <w:rPr>
                <w:rFonts w:cstheme="majorHAnsi"/>
                <w:b/>
                <w:bCs/>
              </w:rPr>
              <w:t>..</w:t>
            </w:r>
          </w:p>
        </w:tc>
        <w:tc>
          <w:tcPr>
            <w:tcW w:w="848" w:type="dxa"/>
            <w:tcBorders>
              <w:top w:val="single" w:sz="4" w:space="0" w:color="auto"/>
              <w:bottom w:val="nil"/>
            </w:tcBorders>
            <w:hideMark/>
          </w:tcPr>
          <w:p w14:paraId="50817066"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b/>
                <w:bCs/>
              </w:rPr>
            </w:pPr>
            <w:r w:rsidRPr="0080250B">
              <w:rPr>
                <w:rFonts w:cstheme="majorHAnsi"/>
                <w:b/>
                <w:bCs/>
              </w:rPr>
              <w:t>..</w:t>
            </w:r>
          </w:p>
        </w:tc>
        <w:tc>
          <w:tcPr>
            <w:tcW w:w="849" w:type="dxa"/>
            <w:tcBorders>
              <w:top w:val="single" w:sz="4" w:space="0" w:color="auto"/>
              <w:bottom w:val="nil"/>
            </w:tcBorders>
            <w:hideMark/>
          </w:tcPr>
          <w:p w14:paraId="10C1E148"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b/>
                <w:bCs/>
              </w:rPr>
            </w:pPr>
            <w:r w:rsidRPr="0080250B">
              <w:rPr>
                <w:rFonts w:cstheme="majorHAnsi"/>
                <w:b/>
                <w:bCs/>
              </w:rPr>
              <w:t>..</w:t>
            </w:r>
          </w:p>
        </w:tc>
        <w:tc>
          <w:tcPr>
            <w:tcW w:w="849" w:type="dxa"/>
            <w:tcBorders>
              <w:top w:val="single" w:sz="4" w:space="0" w:color="auto"/>
              <w:bottom w:val="nil"/>
            </w:tcBorders>
            <w:hideMark/>
          </w:tcPr>
          <w:p w14:paraId="78EC5408"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b/>
                <w:bCs/>
              </w:rPr>
            </w:pPr>
            <w:r w:rsidRPr="0080250B">
              <w:rPr>
                <w:rFonts w:cstheme="majorHAnsi"/>
                <w:b/>
                <w:bCs/>
              </w:rPr>
              <w:t>..</w:t>
            </w:r>
          </w:p>
        </w:tc>
      </w:tr>
      <w:tr w:rsidR="009A0702" w:rsidRPr="00CF5471" w14:paraId="1C96FA47" w14:textId="77777777" w:rsidTr="00303BE5">
        <w:tc>
          <w:tcPr>
            <w:cnfStyle w:val="001000000000" w:firstRow="0" w:lastRow="0" w:firstColumn="1" w:lastColumn="0" w:oddVBand="0" w:evenVBand="0" w:oddHBand="0" w:evenHBand="0" w:firstRowFirstColumn="0" w:firstRowLastColumn="0" w:lastRowFirstColumn="0" w:lastRowLastColumn="0"/>
            <w:tcW w:w="4360" w:type="dxa"/>
            <w:tcBorders>
              <w:bottom w:val="single" w:sz="4" w:space="0" w:color="auto"/>
            </w:tcBorders>
            <w:hideMark/>
          </w:tcPr>
          <w:p w14:paraId="1EB46915" w14:textId="77777777" w:rsidR="009A0702" w:rsidRPr="00E21084" w:rsidRDefault="009A0702" w:rsidP="00303BE5">
            <w:pPr>
              <w:keepLines w:val="0"/>
              <w:autoSpaceDE w:val="0"/>
              <w:autoSpaceDN w:val="0"/>
              <w:adjustRightInd w:val="0"/>
              <w:rPr>
                <w:rFonts w:eastAsiaTheme="minorEastAsia" w:cstheme="majorHAnsi"/>
                <w:b/>
                <w:bCs/>
                <w:szCs w:val="17"/>
                <w:lang w:eastAsia="en-AU"/>
              </w:rPr>
            </w:pPr>
            <w:r w:rsidRPr="00E21084">
              <w:rPr>
                <w:rFonts w:eastAsiaTheme="minorEastAsia" w:cstheme="majorHAnsi"/>
                <w:b/>
                <w:bCs/>
                <w:szCs w:val="17"/>
                <w:lang w:eastAsia="en-AU"/>
              </w:rPr>
              <w:t>Net debt</w:t>
            </w:r>
          </w:p>
        </w:tc>
        <w:tc>
          <w:tcPr>
            <w:tcW w:w="849" w:type="dxa"/>
            <w:tcBorders>
              <w:bottom w:val="single" w:sz="4" w:space="0" w:color="auto"/>
            </w:tcBorders>
            <w:hideMark/>
          </w:tcPr>
          <w:p w14:paraId="0A300560"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b/>
                <w:bCs/>
              </w:rPr>
            </w:pPr>
            <w:r w:rsidRPr="0080250B">
              <w:rPr>
                <w:rFonts w:cstheme="majorHAnsi"/>
                <w:b/>
                <w:bCs/>
              </w:rPr>
              <w:t>..</w:t>
            </w:r>
          </w:p>
        </w:tc>
        <w:tc>
          <w:tcPr>
            <w:tcW w:w="848" w:type="dxa"/>
            <w:tcBorders>
              <w:bottom w:val="single" w:sz="4" w:space="0" w:color="auto"/>
            </w:tcBorders>
            <w:hideMark/>
          </w:tcPr>
          <w:p w14:paraId="6F4AF6EF"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b/>
                <w:bCs/>
              </w:rPr>
            </w:pPr>
            <w:r w:rsidRPr="0080250B">
              <w:rPr>
                <w:rFonts w:cstheme="majorHAnsi"/>
                <w:b/>
                <w:bCs/>
              </w:rPr>
              <w:t>..</w:t>
            </w:r>
          </w:p>
        </w:tc>
        <w:tc>
          <w:tcPr>
            <w:tcW w:w="849" w:type="dxa"/>
            <w:tcBorders>
              <w:bottom w:val="single" w:sz="4" w:space="0" w:color="auto"/>
            </w:tcBorders>
            <w:hideMark/>
          </w:tcPr>
          <w:p w14:paraId="29F01E78"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b/>
                <w:bCs/>
              </w:rPr>
            </w:pPr>
            <w:r w:rsidRPr="0080250B">
              <w:rPr>
                <w:rFonts w:cstheme="majorHAnsi"/>
                <w:b/>
                <w:bCs/>
              </w:rPr>
              <w:t>..</w:t>
            </w:r>
          </w:p>
        </w:tc>
        <w:tc>
          <w:tcPr>
            <w:tcW w:w="849" w:type="dxa"/>
            <w:tcBorders>
              <w:bottom w:val="single" w:sz="4" w:space="0" w:color="auto"/>
            </w:tcBorders>
            <w:hideMark/>
          </w:tcPr>
          <w:p w14:paraId="7BCDADF1"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b/>
                <w:bCs/>
              </w:rPr>
            </w:pPr>
            <w:r w:rsidRPr="0080250B">
              <w:rPr>
                <w:rFonts w:cstheme="majorHAnsi"/>
                <w:b/>
                <w:bCs/>
              </w:rPr>
              <w:t>..</w:t>
            </w:r>
          </w:p>
        </w:tc>
      </w:tr>
      <w:tr w:rsidR="009A0702" w:rsidRPr="00CF5471" w14:paraId="46EEBE2A" w14:textId="77777777" w:rsidTr="00303BE5">
        <w:tc>
          <w:tcPr>
            <w:cnfStyle w:val="001000000000" w:firstRow="0" w:lastRow="0" w:firstColumn="1" w:lastColumn="0" w:oddVBand="0" w:evenVBand="0" w:oddHBand="0" w:evenHBand="0" w:firstRowFirstColumn="0" w:firstRowLastColumn="0" w:lastRowFirstColumn="0" w:lastRowLastColumn="0"/>
            <w:tcW w:w="4360" w:type="dxa"/>
            <w:tcBorders>
              <w:top w:val="single" w:sz="4" w:space="0" w:color="auto"/>
            </w:tcBorders>
            <w:hideMark/>
          </w:tcPr>
          <w:p w14:paraId="670C35DB" w14:textId="77777777" w:rsidR="009A0702" w:rsidRPr="00CF5471" w:rsidRDefault="009A0702" w:rsidP="00303BE5">
            <w:pPr>
              <w:keepNext/>
              <w:autoSpaceDE w:val="0"/>
              <w:autoSpaceDN w:val="0"/>
              <w:adjustRightInd w:val="0"/>
              <w:rPr>
                <w:rFonts w:eastAsiaTheme="minorEastAsia" w:cstheme="majorHAnsi"/>
                <w:b/>
                <w:bCs/>
                <w:szCs w:val="17"/>
                <w:lang w:eastAsia="en-AU"/>
              </w:rPr>
            </w:pPr>
            <w:r w:rsidRPr="00CF5471">
              <w:rPr>
                <w:rFonts w:eastAsiaTheme="minorEastAsia" w:cstheme="majorHAnsi"/>
                <w:b/>
                <w:bCs/>
                <w:szCs w:val="17"/>
                <w:lang w:eastAsia="en-AU"/>
              </w:rPr>
              <w:t xml:space="preserve">Overseas share prices </w:t>
            </w:r>
          </w:p>
        </w:tc>
        <w:tc>
          <w:tcPr>
            <w:tcW w:w="849" w:type="dxa"/>
            <w:tcBorders>
              <w:top w:val="single" w:sz="4" w:space="0" w:color="auto"/>
            </w:tcBorders>
          </w:tcPr>
          <w:p w14:paraId="5A7AF803"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p>
        </w:tc>
        <w:tc>
          <w:tcPr>
            <w:tcW w:w="848" w:type="dxa"/>
            <w:tcBorders>
              <w:top w:val="single" w:sz="4" w:space="0" w:color="auto"/>
            </w:tcBorders>
          </w:tcPr>
          <w:p w14:paraId="3A8962AF"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p>
        </w:tc>
        <w:tc>
          <w:tcPr>
            <w:tcW w:w="849" w:type="dxa"/>
            <w:tcBorders>
              <w:top w:val="single" w:sz="4" w:space="0" w:color="auto"/>
            </w:tcBorders>
          </w:tcPr>
          <w:p w14:paraId="439B9403"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p>
        </w:tc>
        <w:tc>
          <w:tcPr>
            <w:tcW w:w="849" w:type="dxa"/>
            <w:tcBorders>
              <w:top w:val="single" w:sz="4" w:space="0" w:color="auto"/>
            </w:tcBorders>
          </w:tcPr>
          <w:p w14:paraId="428A1905"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p>
        </w:tc>
      </w:tr>
      <w:tr w:rsidR="009A0702" w:rsidRPr="00CF5471" w14:paraId="2BD332D0" w14:textId="77777777" w:rsidTr="00303BE5">
        <w:tc>
          <w:tcPr>
            <w:cnfStyle w:val="001000000000" w:firstRow="0" w:lastRow="0" w:firstColumn="1" w:lastColumn="0" w:oddVBand="0" w:evenVBand="0" w:oddHBand="0" w:evenHBand="0" w:firstRowFirstColumn="0" w:firstRowLastColumn="0" w:lastRowFirstColumn="0" w:lastRowLastColumn="0"/>
            <w:tcW w:w="4360" w:type="dxa"/>
            <w:hideMark/>
          </w:tcPr>
          <w:p w14:paraId="500239EF" w14:textId="77777777" w:rsidR="009A0702" w:rsidRPr="00CF5471" w:rsidRDefault="009A0702" w:rsidP="00303BE5">
            <w:pPr>
              <w:keepLines w:val="0"/>
              <w:autoSpaceDE w:val="0"/>
              <w:autoSpaceDN w:val="0"/>
              <w:adjustRightInd w:val="0"/>
              <w:rPr>
                <w:rFonts w:eastAsiaTheme="minorEastAsia" w:cstheme="majorHAnsi"/>
                <w:szCs w:val="17"/>
                <w:lang w:eastAsia="en-AU"/>
              </w:rPr>
            </w:pPr>
            <w:r w:rsidRPr="00CF5471">
              <w:rPr>
                <w:rFonts w:eastAsiaTheme="minorEastAsia" w:cstheme="majorHAnsi"/>
                <w:szCs w:val="17"/>
                <w:lang w:eastAsia="en-AU"/>
              </w:rPr>
              <w:t>Income from transactions</w:t>
            </w:r>
          </w:p>
        </w:tc>
        <w:tc>
          <w:tcPr>
            <w:tcW w:w="849" w:type="dxa"/>
            <w:hideMark/>
          </w:tcPr>
          <w:p w14:paraId="00755627"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r w:rsidRPr="0080250B">
              <w:rPr>
                <w:rFonts w:cstheme="majorHAnsi"/>
              </w:rPr>
              <w:t>..</w:t>
            </w:r>
          </w:p>
        </w:tc>
        <w:tc>
          <w:tcPr>
            <w:tcW w:w="848" w:type="dxa"/>
            <w:hideMark/>
          </w:tcPr>
          <w:p w14:paraId="3076BEDB"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r w:rsidRPr="0080250B">
              <w:rPr>
                <w:rFonts w:cstheme="majorHAnsi"/>
              </w:rPr>
              <w:t>..</w:t>
            </w:r>
          </w:p>
        </w:tc>
        <w:tc>
          <w:tcPr>
            <w:tcW w:w="849" w:type="dxa"/>
            <w:hideMark/>
          </w:tcPr>
          <w:p w14:paraId="5684A33C"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r w:rsidRPr="0080250B">
              <w:rPr>
                <w:rFonts w:cstheme="majorHAnsi"/>
              </w:rPr>
              <w:t>..</w:t>
            </w:r>
          </w:p>
        </w:tc>
        <w:tc>
          <w:tcPr>
            <w:tcW w:w="849" w:type="dxa"/>
            <w:hideMark/>
          </w:tcPr>
          <w:p w14:paraId="39772BAC"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r w:rsidRPr="0080250B">
              <w:rPr>
                <w:rFonts w:cstheme="majorHAnsi"/>
              </w:rPr>
              <w:t>..</w:t>
            </w:r>
          </w:p>
        </w:tc>
      </w:tr>
      <w:tr w:rsidR="009A0702" w:rsidRPr="00CF5471" w14:paraId="567D4DA1" w14:textId="77777777" w:rsidTr="00303BE5">
        <w:tc>
          <w:tcPr>
            <w:cnfStyle w:val="001000000000" w:firstRow="0" w:lastRow="0" w:firstColumn="1" w:lastColumn="0" w:oddVBand="0" w:evenVBand="0" w:oddHBand="0" w:evenHBand="0" w:firstRowFirstColumn="0" w:firstRowLastColumn="0" w:lastRowFirstColumn="0" w:lastRowLastColumn="0"/>
            <w:tcW w:w="4360" w:type="dxa"/>
            <w:tcBorders>
              <w:bottom w:val="single" w:sz="4" w:space="0" w:color="auto"/>
            </w:tcBorders>
            <w:hideMark/>
          </w:tcPr>
          <w:p w14:paraId="60511A6C" w14:textId="77777777" w:rsidR="009A0702" w:rsidRPr="00CF5471" w:rsidRDefault="009A0702" w:rsidP="00303BE5">
            <w:pPr>
              <w:keepLines w:val="0"/>
              <w:autoSpaceDE w:val="0"/>
              <w:autoSpaceDN w:val="0"/>
              <w:adjustRightInd w:val="0"/>
              <w:rPr>
                <w:rFonts w:eastAsiaTheme="minorEastAsia" w:cstheme="majorHAnsi"/>
                <w:szCs w:val="17"/>
                <w:lang w:eastAsia="en-AU"/>
              </w:rPr>
            </w:pPr>
            <w:r w:rsidRPr="00CF5471">
              <w:rPr>
                <w:rFonts w:eastAsiaTheme="minorEastAsia" w:cstheme="majorHAnsi"/>
                <w:szCs w:val="17"/>
                <w:lang w:eastAsia="en-AU"/>
              </w:rPr>
              <w:t>Expenses from transactions</w:t>
            </w:r>
          </w:p>
        </w:tc>
        <w:tc>
          <w:tcPr>
            <w:tcW w:w="849" w:type="dxa"/>
            <w:tcBorders>
              <w:bottom w:val="single" w:sz="4" w:space="0" w:color="auto"/>
            </w:tcBorders>
            <w:hideMark/>
          </w:tcPr>
          <w:p w14:paraId="226F784E"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r w:rsidRPr="0080250B">
              <w:rPr>
                <w:rFonts w:cstheme="majorHAnsi"/>
              </w:rPr>
              <w:t>..</w:t>
            </w:r>
          </w:p>
        </w:tc>
        <w:tc>
          <w:tcPr>
            <w:tcW w:w="848" w:type="dxa"/>
            <w:tcBorders>
              <w:bottom w:val="single" w:sz="4" w:space="0" w:color="auto"/>
            </w:tcBorders>
            <w:hideMark/>
          </w:tcPr>
          <w:p w14:paraId="2966FE5C"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r w:rsidRPr="0080250B">
              <w:rPr>
                <w:rFonts w:cstheme="majorHAnsi"/>
              </w:rPr>
              <w:t>..</w:t>
            </w:r>
          </w:p>
        </w:tc>
        <w:tc>
          <w:tcPr>
            <w:tcW w:w="849" w:type="dxa"/>
            <w:tcBorders>
              <w:bottom w:val="single" w:sz="4" w:space="0" w:color="auto"/>
            </w:tcBorders>
            <w:hideMark/>
          </w:tcPr>
          <w:p w14:paraId="6F38E7D6"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r w:rsidRPr="0080250B">
              <w:rPr>
                <w:rFonts w:cstheme="majorHAnsi"/>
              </w:rPr>
              <w:t>..</w:t>
            </w:r>
          </w:p>
        </w:tc>
        <w:tc>
          <w:tcPr>
            <w:tcW w:w="849" w:type="dxa"/>
            <w:tcBorders>
              <w:bottom w:val="single" w:sz="4" w:space="0" w:color="auto"/>
            </w:tcBorders>
            <w:hideMark/>
          </w:tcPr>
          <w:p w14:paraId="7522E377"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r w:rsidRPr="0080250B">
              <w:rPr>
                <w:rFonts w:cstheme="majorHAnsi"/>
              </w:rPr>
              <w:t>..</w:t>
            </w:r>
          </w:p>
        </w:tc>
      </w:tr>
      <w:tr w:rsidR="009A0702" w:rsidRPr="00E21084" w14:paraId="0F86F477" w14:textId="77777777" w:rsidTr="00303BE5">
        <w:tc>
          <w:tcPr>
            <w:cnfStyle w:val="001000000000" w:firstRow="0" w:lastRow="0" w:firstColumn="1" w:lastColumn="0" w:oddVBand="0" w:evenVBand="0" w:oddHBand="0" w:evenHBand="0" w:firstRowFirstColumn="0" w:firstRowLastColumn="0" w:lastRowFirstColumn="0" w:lastRowLastColumn="0"/>
            <w:tcW w:w="4360" w:type="dxa"/>
            <w:tcBorders>
              <w:top w:val="single" w:sz="4" w:space="0" w:color="auto"/>
              <w:bottom w:val="nil"/>
            </w:tcBorders>
            <w:hideMark/>
          </w:tcPr>
          <w:p w14:paraId="20180E01" w14:textId="77777777" w:rsidR="009A0702" w:rsidRPr="00E21084" w:rsidRDefault="009A0702" w:rsidP="00303BE5">
            <w:pPr>
              <w:keepLines w:val="0"/>
              <w:autoSpaceDE w:val="0"/>
              <w:autoSpaceDN w:val="0"/>
              <w:adjustRightInd w:val="0"/>
              <w:rPr>
                <w:rFonts w:eastAsiaTheme="minorEastAsia" w:cstheme="majorHAnsi"/>
                <w:b/>
                <w:bCs/>
                <w:szCs w:val="17"/>
                <w:lang w:eastAsia="en-AU"/>
              </w:rPr>
            </w:pPr>
            <w:r w:rsidRPr="00E21084">
              <w:rPr>
                <w:rFonts w:eastAsiaTheme="minorEastAsia" w:cstheme="majorHAnsi"/>
                <w:b/>
                <w:bCs/>
                <w:szCs w:val="17"/>
                <w:lang w:eastAsia="en-AU"/>
              </w:rPr>
              <w:t>Net result from transactions</w:t>
            </w:r>
          </w:p>
        </w:tc>
        <w:tc>
          <w:tcPr>
            <w:tcW w:w="849" w:type="dxa"/>
            <w:tcBorders>
              <w:top w:val="single" w:sz="4" w:space="0" w:color="auto"/>
              <w:bottom w:val="nil"/>
            </w:tcBorders>
            <w:hideMark/>
          </w:tcPr>
          <w:p w14:paraId="55DE0125"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b/>
                <w:bCs/>
              </w:rPr>
            </w:pPr>
            <w:r w:rsidRPr="0080250B">
              <w:rPr>
                <w:rFonts w:cstheme="majorHAnsi"/>
                <w:b/>
                <w:bCs/>
              </w:rPr>
              <w:t>..</w:t>
            </w:r>
          </w:p>
        </w:tc>
        <w:tc>
          <w:tcPr>
            <w:tcW w:w="848" w:type="dxa"/>
            <w:tcBorders>
              <w:top w:val="single" w:sz="4" w:space="0" w:color="auto"/>
              <w:bottom w:val="nil"/>
            </w:tcBorders>
            <w:hideMark/>
          </w:tcPr>
          <w:p w14:paraId="40DEDEE7"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b/>
                <w:bCs/>
              </w:rPr>
            </w:pPr>
            <w:r w:rsidRPr="0080250B">
              <w:rPr>
                <w:rFonts w:cstheme="majorHAnsi"/>
                <w:b/>
                <w:bCs/>
              </w:rPr>
              <w:t>..</w:t>
            </w:r>
          </w:p>
        </w:tc>
        <w:tc>
          <w:tcPr>
            <w:tcW w:w="849" w:type="dxa"/>
            <w:tcBorders>
              <w:top w:val="single" w:sz="4" w:space="0" w:color="auto"/>
              <w:bottom w:val="nil"/>
            </w:tcBorders>
            <w:hideMark/>
          </w:tcPr>
          <w:p w14:paraId="411A246D"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b/>
                <w:bCs/>
              </w:rPr>
            </w:pPr>
            <w:r w:rsidRPr="0080250B">
              <w:rPr>
                <w:rFonts w:cstheme="majorHAnsi"/>
                <w:b/>
                <w:bCs/>
              </w:rPr>
              <w:t>..</w:t>
            </w:r>
          </w:p>
        </w:tc>
        <w:tc>
          <w:tcPr>
            <w:tcW w:w="849" w:type="dxa"/>
            <w:tcBorders>
              <w:top w:val="single" w:sz="4" w:space="0" w:color="auto"/>
              <w:bottom w:val="nil"/>
            </w:tcBorders>
            <w:hideMark/>
          </w:tcPr>
          <w:p w14:paraId="22F441A4"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b/>
                <w:bCs/>
              </w:rPr>
            </w:pPr>
            <w:r w:rsidRPr="0080250B">
              <w:rPr>
                <w:rFonts w:cstheme="majorHAnsi"/>
                <w:b/>
                <w:bCs/>
              </w:rPr>
              <w:t>..</w:t>
            </w:r>
          </w:p>
        </w:tc>
      </w:tr>
      <w:tr w:rsidR="009A0702" w:rsidRPr="00E21084" w14:paraId="3756CF2E" w14:textId="77777777" w:rsidTr="00303BE5">
        <w:tc>
          <w:tcPr>
            <w:cnfStyle w:val="001000000000" w:firstRow="0" w:lastRow="0" w:firstColumn="1" w:lastColumn="0" w:oddVBand="0" w:evenVBand="0" w:oddHBand="0" w:evenHBand="0" w:firstRowFirstColumn="0" w:firstRowLastColumn="0" w:lastRowFirstColumn="0" w:lastRowLastColumn="0"/>
            <w:tcW w:w="4360" w:type="dxa"/>
            <w:tcBorders>
              <w:bottom w:val="single" w:sz="4" w:space="0" w:color="auto"/>
            </w:tcBorders>
            <w:hideMark/>
          </w:tcPr>
          <w:p w14:paraId="475D426F" w14:textId="77777777" w:rsidR="009A0702" w:rsidRPr="00E21084" w:rsidRDefault="009A0702" w:rsidP="00303BE5">
            <w:pPr>
              <w:keepLines w:val="0"/>
              <w:autoSpaceDE w:val="0"/>
              <w:autoSpaceDN w:val="0"/>
              <w:adjustRightInd w:val="0"/>
              <w:rPr>
                <w:rFonts w:eastAsiaTheme="minorEastAsia" w:cstheme="majorHAnsi"/>
                <w:b/>
                <w:bCs/>
                <w:szCs w:val="17"/>
                <w:lang w:eastAsia="en-AU"/>
              </w:rPr>
            </w:pPr>
            <w:r w:rsidRPr="00E21084">
              <w:rPr>
                <w:rFonts w:eastAsiaTheme="minorEastAsia" w:cstheme="majorHAnsi"/>
                <w:b/>
                <w:bCs/>
                <w:szCs w:val="17"/>
                <w:lang w:eastAsia="en-AU"/>
              </w:rPr>
              <w:t>Net debt</w:t>
            </w:r>
          </w:p>
        </w:tc>
        <w:tc>
          <w:tcPr>
            <w:tcW w:w="849" w:type="dxa"/>
            <w:tcBorders>
              <w:bottom w:val="single" w:sz="4" w:space="0" w:color="auto"/>
            </w:tcBorders>
            <w:hideMark/>
          </w:tcPr>
          <w:p w14:paraId="5FCA87EB"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b/>
                <w:bCs/>
              </w:rPr>
            </w:pPr>
            <w:r w:rsidRPr="0080250B">
              <w:rPr>
                <w:rFonts w:cstheme="majorHAnsi"/>
                <w:b/>
                <w:bCs/>
              </w:rPr>
              <w:t>..</w:t>
            </w:r>
          </w:p>
        </w:tc>
        <w:tc>
          <w:tcPr>
            <w:tcW w:w="848" w:type="dxa"/>
            <w:tcBorders>
              <w:bottom w:val="single" w:sz="4" w:space="0" w:color="auto"/>
            </w:tcBorders>
            <w:hideMark/>
          </w:tcPr>
          <w:p w14:paraId="77CD3C47"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b/>
                <w:bCs/>
              </w:rPr>
            </w:pPr>
            <w:r w:rsidRPr="0080250B">
              <w:rPr>
                <w:rFonts w:cstheme="majorHAnsi"/>
                <w:b/>
                <w:bCs/>
              </w:rPr>
              <w:t>..</w:t>
            </w:r>
          </w:p>
        </w:tc>
        <w:tc>
          <w:tcPr>
            <w:tcW w:w="849" w:type="dxa"/>
            <w:tcBorders>
              <w:bottom w:val="single" w:sz="4" w:space="0" w:color="auto"/>
            </w:tcBorders>
            <w:hideMark/>
          </w:tcPr>
          <w:p w14:paraId="178E5DF1"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b/>
                <w:bCs/>
              </w:rPr>
            </w:pPr>
            <w:r w:rsidRPr="0080250B">
              <w:rPr>
                <w:rFonts w:cstheme="majorHAnsi"/>
                <w:b/>
                <w:bCs/>
              </w:rPr>
              <w:t>..</w:t>
            </w:r>
          </w:p>
        </w:tc>
        <w:tc>
          <w:tcPr>
            <w:tcW w:w="849" w:type="dxa"/>
            <w:tcBorders>
              <w:bottom w:val="single" w:sz="4" w:space="0" w:color="auto"/>
            </w:tcBorders>
            <w:hideMark/>
          </w:tcPr>
          <w:p w14:paraId="4BB69AA0"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b/>
                <w:bCs/>
              </w:rPr>
            </w:pPr>
            <w:r w:rsidRPr="0080250B">
              <w:rPr>
                <w:rFonts w:cstheme="majorHAnsi"/>
                <w:b/>
                <w:bCs/>
              </w:rPr>
              <w:t>..</w:t>
            </w:r>
          </w:p>
        </w:tc>
      </w:tr>
      <w:tr w:rsidR="009A0702" w:rsidRPr="00CF5471" w14:paraId="6470605D" w14:textId="77777777" w:rsidTr="00303BE5">
        <w:tc>
          <w:tcPr>
            <w:cnfStyle w:val="001000000000" w:firstRow="0" w:lastRow="0" w:firstColumn="1" w:lastColumn="0" w:oddVBand="0" w:evenVBand="0" w:oddHBand="0" w:evenHBand="0" w:firstRowFirstColumn="0" w:firstRowLastColumn="0" w:lastRowFirstColumn="0" w:lastRowLastColumn="0"/>
            <w:tcW w:w="4360" w:type="dxa"/>
            <w:tcBorders>
              <w:top w:val="single" w:sz="4" w:space="0" w:color="auto"/>
            </w:tcBorders>
            <w:hideMark/>
          </w:tcPr>
          <w:p w14:paraId="1856F67F" w14:textId="77777777" w:rsidR="009A0702" w:rsidRPr="00CF5471" w:rsidRDefault="009A0702" w:rsidP="00303BE5">
            <w:pPr>
              <w:keepLines w:val="0"/>
              <w:autoSpaceDE w:val="0"/>
              <w:autoSpaceDN w:val="0"/>
              <w:adjustRightInd w:val="0"/>
              <w:rPr>
                <w:rFonts w:eastAsiaTheme="minorEastAsia" w:cstheme="majorHAnsi"/>
                <w:b/>
                <w:bCs/>
                <w:szCs w:val="17"/>
                <w:lang w:eastAsia="en-AU"/>
              </w:rPr>
            </w:pPr>
            <w:r w:rsidRPr="00CF5471">
              <w:rPr>
                <w:rFonts w:eastAsiaTheme="minorEastAsia" w:cstheme="majorHAnsi"/>
                <w:b/>
                <w:bCs/>
                <w:szCs w:val="17"/>
                <w:lang w:eastAsia="en-AU"/>
              </w:rPr>
              <w:t>Property prices</w:t>
            </w:r>
          </w:p>
        </w:tc>
        <w:tc>
          <w:tcPr>
            <w:tcW w:w="849" w:type="dxa"/>
            <w:tcBorders>
              <w:top w:val="single" w:sz="4" w:space="0" w:color="auto"/>
            </w:tcBorders>
          </w:tcPr>
          <w:p w14:paraId="5B3B375C"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p>
        </w:tc>
        <w:tc>
          <w:tcPr>
            <w:tcW w:w="848" w:type="dxa"/>
            <w:tcBorders>
              <w:top w:val="single" w:sz="4" w:space="0" w:color="auto"/>
            </w:tcBorders>
          </w:tcPr>
          <w:p w14:paraId="09C79A5E"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p>
        </w:tc>
        <w:tc>
          <w:tcPr>
            <w:tcW w:w="849" w:type="dxa"/>
            <w:tcBorders>
              <w:top w:val="single" w:sz="4" w:space="0" w:color="auto"/>
            </w:tcBorders>
          </w:tcPr>
          <w:p w14:paraId="4979C8BD"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p>
        </w:tc>
        <w:tc>
          <w:tcPr>
            <w:tcW w:w="849" w:type="dxa"/>
            <w:tcBorders>
              <w:top w:val="single" w:sz="4" w:space="0" w:color="auto"/>
            </w:tcBorders>
          </w:tcPr>
          <w:p w14:paraId="6016C42A"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p>
        </w:tc>
      </w:tr>
      <w:tr w:rsidR="009A0702" w:rsidRPr="00CF5471" w14:paraId="1C09DAAC" w14:textId="77777777" w:rsidTr="00303BE5">
        <w:tc>
          <w:tcPr>
            <w:cnfStyle w:val="001000000000" w:firstRow="0" w:lastRow="0" w:firstColumn="1" w:lastColumn="0" w:oddVBand="0" w:evenVBand="0" w:oddHBand="0" w:evenHBand="0" w:firstRowFirstColumn="0" w:firstRowLastColumn="0" w:lastRowFirstColumn="0" w:lastRowLastColumn="0"/>
            <w:tcW w:w="4360" w:type="dxa"/>
            <w:hideMark/>
          </w:tcPr>
          <w:p w14:paraId="462DB936" w14:textId="77777777" w:rsidR="009A0702" w:rsidRPr="00CF5471" w:rsidRDefault="009A0702" w:rsidP="008248EA">
            <w:pPr>
              <w:keepLines w:val="0"/>
              <w:autoSpaceDE w:val="0"/>
              <w:autoSpaceDN w:val="0"/>
              <w:adjustRightInd w:val="0"/>
              <w:rPr>
                <w:rFonts w:eastAsiaTheme="minorEastAsia" w:cstheme="majorHAnsi"/>
                <w:szCs w:val="17"/>
                <w:lang w:eastAsia="en-AU"/>
              </w:rPr>
            </w:pPr>
            <w:r w:rsidRPr="00CF5471">
              <w:rPr>
                <w:rFonts w:eastAsiaTheme="minorEastAsia" w:cstheme="majorHAnsi"/>
                <w:szCs w:val="17"/>
                <w:lang w:eastAsia="en-AU"/>
              </w:rPr>
              <w:t>Income from transactions</w:t>
            </w:r>
          </w:p>
        </w:tc>
        <w:tc>
          <w:tcPr>
            <w:tcW w:w="849" w:type="dxa"/>
            <w:hideMark/>
          </w:tcPr>
          <w:p w14:paraId="632715E5"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285224">
              <w:t>190</w:t>
            </w:r>
          </w:p>
        </w:tc>
        <w:tc>
          <w:tcPr>
            <w:tcW w:w="848" w:type="dxa"/>
            <w:hideMark/>
          </w:tcPr>
          <w:p w14:paraId="6D7FE4C1"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285224">
              <w:t>193</w:t>
            </w:r>
          </w:p>
        </w:tc>
        <w:tc>
          <w:tcPr>
            <w:tcW w:w="849" w:type="dxa"/>
            <w:hideMark/>
          </w:tcPr>
          <w:p w14:paraId="5E77B5E6"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285224">
              <w:t>200</w:t>
            </w:r>
          </w:p>
        </w:tc>
        <w:tc>
          <w:tcPr>
            <w:tcW w:w="849" w:type="dxa"/>
            <w:hideMark/>
          </w:tcPr>
          <w:p w14:paraId="318A2713"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285224">
              <w:t>211</w:t>
            </w:r>
          </w:p>
        </w:tc>
      </w:tr>
      <w:tr w:rsidR="009A0702" w:rsidRPr="00CF5471" w14:paraId="52574977" w14:textId="77777777" w:rsidTr="00303BE5">
        <w:tc>
          <w:tcPr>
            <w:cnfStyle w:val="001000000000" w:firstRow="0" w:lastRow="0" w:firstColumn="1" w:lastColumn="0" w:oddVBand="0" w:evenVBand="0" w:oddHBand="0" w:evenHBand="0" w:firstRowFirstColumn="0" w:firstRowLastColumn="0" w:lastRowFirstColumn="0" w:lastRowLastColumn="0"/>
            <w:tcW w:w="4360" w:type="dxa"/>
            <w:tcBorders>
              <w:bottom w:val="single" w:sz="4" w:space="0" w:color="auto"/>
            </w:tcBorders>
            <w:hideMark/>
          </w:tcPr>
          <w:p w14:paraId="4116B8FF" w14:textId="77777777" w:rsidR="009A0702" w:rsidRPr="00CF5471" w:rsidRDefault="009A0702" w:rsidP="008248EA">
            <w:pPr>
              <w:keepLines w:val="0"/>
              <w:autoSpaceDE w:val="0"/>
              <w:autoSpaceDN w:val="0"/>
              <w:adjustRightInd w:val="0"/>
              <w:rPr>
                <w:rFonts w:eastAsiaTheme="minorEastAsia" w:cstheme="majorHAnsi"/>
                <w:szCs w:val="17"/>
                <w:lang w:eastAsia="en-AU"/>
              </w:rPr>
            </w:pPr>
            <w:r w:rsidRPr="00CF5471">
              <w:rPr>
                <w:rFonts w:eastAsiaTheme="minorEastAsia" w:cstheme="majorHAnsi"/>
                <w:szCs w:val="17"/>
                <w:lang w:eastAsia="en-AU"/>
              </w:rPr>
              <w:t>Expenses from transactions</w:t>
            </w:r>
          </w:p>
        </w:tc>
        <w:tc>
          <w:tcPr>
            <w:tcW w:w="849" w:type="dxa"/>
            <w:tcBorders>
              <w:bottom w:val="single" w:sz="4" w:space="0" w:color="auto"/>
            </w:tcBorders>
            <w:hideMark/>
          </w:tcPr>
          <w:p w14:paraId="1FC3F78A"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285224">
              <w:t>(4)</w:t>
            </w:r>
          </w:p>
        </w:tc>
        <w:tc>
          <w:tcPr>
            <w:tcW w:w="848" w:type="dxa"/>
            <w:tcBorders>
              <w:bottom w:val="single" w:sz="4" w:space="0" w:color="auto"/>
            </w:tcBorders>
            <w:hideMark/>
          </w:tcPr>
          <w:p w14:paraId="3BFC2800"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285224">
              <w:t>(13)</w:t>
            </w:r>
          </w:p>
        </w:tc>
        <w:tc>
          <w:tcPr>
            <w:tcW w:w="849" w:type="dxa"/>
            <w:tcBorders>
              <w:bottom w:val="single" w:sz="4" w:space="0" w:color="auto"/>
            </w:tcBorders>
            <w:hideMark/>
          </w:tcPr>
          <w:p w14:paraId="53974AAF"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285224">
              <w:t>(24)</w:t>
            </w:r>
          </w:p>
        </w:tc>
        <w:tc>
          <w:tcPr>
            <w:tcW w:w="849" w:type="dxa"/>
            <w:tcBorders>
              <w:bottom w:val="single" w:sz="4" w:space="0" w:color="auto"/>
            </w:tcBorders>
            <w:hideMark/>
          </w:tcPr>
          <w:p w14:paraId="6E190EBD"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285224">
              <w:t>(36)</w:t>
            </w:r>
          </w:p>
        </w:tc>
      </w:tr>
      <w:tr w:rsidR="009A0702" w:rsidRPr="0080250B" w14:paraId="6602F597" w14:textId="77777777" w:rsidTr="00303BE5">
        <w:tc>
          <w:tcPr>
            <w:cnfStyle w:val="001000000000" w:firstRow="0" w:lastRow="0" w:firstColumn="1" w:lastColumn="0" w:oddVBand="0" w:evenVBand="0" w:oddHBand="0" w:evenHBand="0" w:firstRowFirstColumn="0" w:firstRowLastColumn="0" w:lastRowFirstColumn="0" w:lastRowLastColumn="0"/>
            <w:tcW w:w="4360" w:type="dxa"/>
            <w:tcBorders>
              <w:top w:val="single" w:sz="4" w:space="0" w:color="auto"/>
              <w:bottom w:val="nil"/>
            </w:tcBorders>
            <w:hideMark/>
          </w:tcPr>
          <w:p w14:paraId="79AA4E24" w14:textId="77777777" w:rsidR="009A0702" w:rsidRPr="00E21084" w:rsidRDefault="009A0702" w:rsidP="008248EA">
            <w:pPr>
              <w:keepLines w:val="0"/>
              <w:autoSpaceDE w:val="0"/>
              <w:autoSpaceDN w:val="0"/>
              <w:adjustRightInd w:val="0"/>
              <w:rPr>
                <w:rFonts w:eastAsiaTheme="minorEastAsia" w:cstheme="majorHAnsi"/>
                <w:b/>
                <w:bCs/>
                <w:szCs w:val="17"/>
                <w:lang w:eastAsia="en-AU"/>
              </w:rPr>
            </w:pPr>
            <w:r w:rsidRPr="00E21084">
              <w:rPr>
                <w:rFonts w:eastAsiaTheme="minorEastAsia" w:cstheme="majorHAnsi"/>
                <w:b/>
                <w:bCs/>
                <w:szCs w:val="17"/>
                <w:lang w:eastAsia="en-AU"/>
              </w:rPr>
              <w:t>Net result from transactions</w:t>
            </w:r>
          </w:p>
        </w:tc>
        <w:tc>
          <w:tcPr>
            <w:tcW w:w="849" w:type="dxa"/>
            <w:tcBorders>
              <w:top w:val="single" w:sz="4" w:space="0" w:color="auto"/>
              <w:bottom w:val="nil"/>
            </w:tcBorders>
            <w:hideMark/>
          </w:tcPr>
          <w:p w14:paraId="1584BB35"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194</w:t>
            </w:r>
          </w:p>
        </w:tc>
        <w:tc>
          <w:tcPr>
            <w:tcW w:w="848" w:type="dxa"/>
            <w:tcBorders>
              <w:top w:val="single" w:sz="4" w:space="0" w:color="auto"/>
              <w:bottom w:val="nil"/>
            </w:tcBorders>
            <w:hideMark/>
          </w:tcPr>
          <w:p w14:paraId="200EAB1C"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207</w:t>
            </w:r>
          </w:p>
        </w:tc>
        <w:tc>
          <w:tcPr>
            <w:tcW w:w="849" w:type="dxa"/>
            <w:tcBorders>
              <w:top w:val="single" w:sz="4" w:space="0" w:color="auto"/>
              <w:bottom w:val="nil"/>
            </w:tcBorders>
            <w:hideMark/>
          </w:tcPr>
          <w:p w14:paraId="6DC71641"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223</w:t>
            </w:r>
          </w:p>
        </w:tc>
        <w:tc>
          <w:tcPr>
            <w:tcW w:w="849" w:type="dxa"/>
            <w:tcBorders>
              <w:top w:val="single" w:sz="4" w:space="0" w:color="auto"/>
              <w:bottom w:val="nil"/>
            </w:tcBorders>
            <w:hideMark/>
          </w:tcPr>
          <w:p w14:paraId="09ADA797"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247</w:t>
            </w:r>
          </w:p>
        </w:tc>
      </w:tr>
      <w:tr w:rsidR="009A0702" w:rsidRPr="0080250B" w14:paraId="74355356" w14:textId="77777777" w:rsidTr="00303BE5">
        <w:tc>
          <w:tcPr>
            <w:cnfStyle w:val="001000000000" w:firstRow="0" w:lastRow="0" w:firstColumn="1" w:lastColumn="0" w:oddVBand="0" w:evenVBand="0" w:oddHBand="0" w:evenHBand="0" w:firstRowFirstColumn="0" w:firstRowLastColumn="0" w:lastRowFirstColumn="0" w:lastRowLastColumn="0"/>
            <w:tcW w:w="4360" w:type="dxa"/>
            <w:tcBorders>
              <w:bottom w:val="single" w:sz="4" w:space="0" w:color="auto"/>
            </w:tcBorders>
            <w:hideMark/>
          </w:tcPr>
          <w:p w14:paraId="1A94825E" w14:textId="77777777" w:rsidR="009A0702" w:rsidRPr="00E21084" w:rsidRDefault="009A0702" w:rsidP="008248EA">
            <w:pPr>
              <w:keepLines w:val="0"/>
              <w:autoSpaceDE w:val="0"/>
              <w:autoSpaceDN w:val="0"/>
              <w:adjustRightInd w:val="0"/>
              <w:rPr>
                <w:rFonts w:eastAsiaTheme="minorEastAsia" w:cstheme="majorHAnsi"/>
                <w:b/>
                <w:bCs/>
                <w:szCs w:val="17"/>
                <w:lang w:eastAsia="en-AU"/>
              </w:rPr>
            </w:pPr>
            <w:r w:rsidRPr="00E21084">
              <w:rPr>
                <w:rFonts w:eastAsiaTheme="minorEastAsia" w:cstheme="majorHAnsi"/>
                <w:b/>
                <w:bCs/>
                <w:szCs w:val="17"/>
                <w:lang w:eastAsia="en-AU"/>
              </w:rPr>
              <w:t>Net debt</w:t>
            </w:r>
          </w:p>
        </w:tc>
        <w:tc>
          <w:tcPr>
            <w:tcW w:w="849" w:type="dxa"/>
            <w:tcBorders>
              <w:bottom w:val="single" w:sz="4" w:space="0" w:color="auto"/>
            </w:tcBorders>
            <w:hideMark/>
          </w:tcPr>
          <w:p w14:paraId="4E5A01D3"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(197)</w:t>
            </w:r>
          </w:p>
        </w:tc>
        <w:tc>
          <w:tcPr>
            <w:tcW w:w="848" w:type="dxa"/>
            <w:tcBorders>
              <w:bottom w:val="single" w:sz="4" w:space="0" w:color="auto"/>
            </w:tcBorders>
            <w:hideMark/>
          </w:tcPr>
          <w:p w14:paraId="6E04E5E6"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(408)</w:t>
            </w:r>
          </w:p>
        </w:tc>
        <w:tc>
          <w:tcPr>
            <w:tcW w:w="849" w:type="dxa"/>
            <w:tcBorders>
              <w:bottom w:val="single" w:sz="4" w:space="0" w:color="auto"/>
            </w:tcBorders>
            <w:hideMark/>
          </w:tcPr>
          <w:p w14:paraId="4CF4981F"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(636)</w:t>
            </w:r>
          </w:p>
        </w:tc>
        <w:tc>
          <w:tcPr>
            <w:tcW w:w="849" w:type="dxa"/>
            <w:tcBorders>
              <w:bottom w:val="single" w:sz="4" w:space="0" w:color="auto"/>
            </w:tcBorders>
            <w:hideMark/>
          </w:tcPr>
          <w:p w14:paraId="5E7CC8EF"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(888)</w:t>
            </w:r>
          </w:p>
        </w:tc>
      </w:tr>
      <w:tr w:rsidR="009A0702" w:rsidRPr="00CF5471" w14:paraId="1CE2B37B" w14:textId="77777777" w:rsidTr="00303BE5">
        <w:tc>
          <w:tcPr>
            <w:cnfStyle w:val="001000000000" w:firstRow="0" w:lastRow="0" w:firstColumn="1" w:lastColumn="0" w:oddVBand="0" w:evenVBand="0" w:oddHBand="0" w:evenHBand="0" w:firstRowFirstColumn="0" w:firstRowLastColumn="0" w:lastRowFirstColumn="0" w:lastRowLastColumn="0"/>
            <w:tcW w:w="4360" w:type="dxa"/>
            <w:tcBorders>
              <w:top w:val="single" w:sz="4" w:space="0" w:color="auto"/>
            </w:tcBorders>
            <w:hideMark/>
          </w:tcPr>
          <w:p w14:paraId="3CCAF444" w14:textId="77777777" w:rsidR="009A0702" w:rsidRPr="00CF5471" w:rsidRDefault="009A0702" w:rsidP="00303BE5">
            <w:pPr>
              <w:keepNext/>
              <w:autoSpaceDE w:val="0"/>
              <w:autoSpaceDN w:val="0"/>
              <w:adjustRightInd w:val="0"/>
              <w:ind w:left="176" w:hanging="176"/>
              <w:rPr>
                <w:rFonts w:eastAsiaTheme="minorEastAsia" w:cstheme="majorHAnsi"/>
                <w:b/>
                <w:bCs/>
                <w:szCs w:val="17"/>
                <w:lang w:eastAsia="en-AU"/>
              </w:rPr>
            </w:pPr>
            <w:bookmarkStart w:id="162" w:name="_Hlk3981246"/>
            <w:r w:rsidRPr="00CF5471">
              <w:rPr>
                <w:rFonts w:eastAsiaTheme="minorEastAsia" w:cstheme="majorHAnsi"/>
                <w:b/>
                <w:bCs/>
                <w:szCs w:val="17"/>
                <w:lang w:eastAsia="en-AU"/>
              </w:rPr>
              <w:t>Property transaction volumes</w:t>
            </w:r>
          </w:p>
        </w:tc>
        <w:tc>
          <w:tcPr>
            <w:tcW w:w="849" w:type="dxa"/>
            <w:tcBorders>
              <w:top w:val="single" w:sz="4" w:space="0" w:color="auto"/>
            </w:tcBorders>
          </w:tcPr>
          <w:p w14:paraId="5109AF71"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p>
        </w:tc>
        <w:tc>
          <w:tcPr>
            <w:tcW w:w="848" w:type="dxa"/>
            <w:tcBorders>
              <w:top w:val="single" w:sz="4" w:space="0" w:color="auto"/>
            </w:tcBorders>
          </w:tcPr>
          <w:p w14:paraId="7B9C5A9D"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p>
        </w:tc>
        <w:tc>
          <w:tcPr>
            <w:tcW w:w="849" w:type="dxa"/>
            <w:tcBorders>
              <w:top w:val="single" w:sz="4" w:space="0" w:color="auto"/>
            </w:tcBorders>
          </w:tcPr>
          <w:p w14:paraId="384D2DB3"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p>
        </w:tc>
        <w:tc>
          <w:tcPr>
            <w:tcW w:w="849" w:type="dxa"/>
            <w:tcBorders>
              <w:top w:val="single" w:sz="4" w:space="0" w:color="auto"/>
            </w:tcBorders>
          </w:tcPr>
          <w:p w14:paraId="03DEFED4"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p>
        </w:tc>
      </w:tr>
      <w:tr w:rsidR="009A0702" w:rsidRPr="00CF5471" w14:paraId="6B49ABD8" w14:textId="77777777" w:rsidTr="00303BE5">
        <w:tc>
          <w:tcPr>
            <w:cnfStyle w:val="001000000000" w:firstRow="0" w:lastRow="0" w:firstColumn="1" w:lastColumn="0" w:oddVBand="0" w:evenVBand="0" w:oddHBand="0" w:evenHBand="0" w:firstRowFirstColumn="0" w:firstRowLastColumn="0" w:lastRowFirstColumn="0" w:lastRowLastColumn="0"/>
            <w:tcW w:w="4360" w:type="dxa"/>
            <w:hideMark/>
          </w:tcPr>
          <w:p w14:paraId="400C2C75" w14:textId="77777777" w:rsidR="009A0702" w:rsidRPr="00CF5471" w:rsidRDefault="009A0702" w:rsidP="008248EA">
            <w:pPr>
              <w:keepNext/>
              <w:keepLines w:val="0"/>
              <w:autoSpaceDE w:val="0"/>
              <w:autoSpaceDN w:val="0"/>
              <w:adjustRightInd w:val="0"/>
              <w:rPr>
                <w:rFonts w:eastAsiaTheme="minorEastAsia" w:cstheme="majorHAnsi"/>
                <w:szCs w:val="17"/>
                <w:lang w:eastAsia="en-AU"/>
              </w:rPr>
            </w:pPr>
            <w:r w:rsidRPr="00CF5471">
              <w:rPr>
                <w:rFonts w:eastAsiaTheme="minorEastAsia" w:cstheme="majorHAnsi"/>
                <w:szCs w:val="17"/>
                <w:lang w:eastAsia="en-AU"/>
              </w:rPr>
              <w:t>Income from transactions</w:t>
            </w:r>
          </w:p>
        </w:tc>
        <w:tc>
          <w:tcPr>
            <w:tcW w:w="849" w:type="dxa"/>
            <w:hideMark/>
          </w:tcPr>
          <w:p w14:paraId="2E1255E1"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7E4B91">
              <w:t>77</w:t>
            </w:r>
          </w:p>
        </w:tc>
        <w:tc>
          <w:tcPr>
            <w:tcW w:w="848" w:type="dxa"/>
            <w:hideMark/>
          </w:tcPr>
          <w:p w14:paraId="10755642"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7E4B91">
              <w:t>79</w:t>
            </w:r>
          </w:p>
        </w:tc>
        <w:tc>
          <w:tcPr>
            <w:tcW w:w="849" w:type="dxa"/>
            <w:hideMark/>
          </w:tcPr>
          <w:p w14:paraId="007ADA54"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7E4B91">
              <w:t>82</w:t>
            </w:r>
          </w:p>
        </w:tc>
        <w:tc>
          <w:tcPr>
            <w:tcW w:w="849" w:type="dxa"/>
            <w:hideMark/>
          </w:tcPr>
          <w:p w14:paraId="04166C69"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7E4B91">
              <w:t>85</w:t>
            </w:r>
          </w:p>
        </w:tc>
      </w:tr>
      <w:tr w:rsidR="009A0702" w:rsidRPr="00CF5471" w14:paraId="5DCD0FDD" w14:textId="77777777" w:rsidTr="00303BE5">
        <w:tc>
          <w:tcPr>
            <w:cnfStyle w:val="001000000000" w:firstRow="0" w:lastRow="0" w:firstColumn="1" w:lastColumn="0" w:oddVBand="0" w:evenVBand="0" w:oddHBand="0" w:evenHBand="0" w:firstRowFirstColumn="0" w:firstRowLastColumn="0" w:lastRowFirstColumn="0" w:lastRowLastColumn="0"/>
            <w:tcW w:w="4360" w:type="dxa"/>
            <w:tcBorders>
              <w:bottom w:val="single" w:sz="4" w:space="0" w:color="auto"/>
            </w:tcBorders>
            <w:hideMark/>
          </w:tcPr>
          <w:p w14:paraId="04526F8C" w14:textId="77777777" w:rsidR="009A0702" w:rsidRPr="00CF5471" w:rsidRDefault="009A0702" w:rsidP="008248EA">
            <w:pPr>
              <w:keepLines w:val="0"/>
              <w:autoSpaceDE w:val="0"/>
              <w:autoSpaceDN w:val="0"/>
              <w:adjustRightInd w:val="0"/>
              <w:rPr>
                <w:rFonts w:eastAsiaTheme="minorEastAsia" w:cstheme="majorHAnsi"/>
                <w:szCs w:val="17"/>
                <w:lang w:eastAsia="en-AU"/>
              </w:rPr>
            </w:pPr>
            <w:r w:rsidRPr="00CF5471">
              <w:rPr>
                <w:rFonts w:eastAsiaTheme="minorEastAsia" w:cstheme="majorHAnsi"/>
                <w:szCs w:val="17"/>
                <w:lang w:eastAsia="en-AU"/>
              </w:rPr>
              <w:t>Expenses from transactions</w:t>
            </w:r>
          </w:p>
        </w:tc>
        <w:tc>
          <w:tcPr>
            <w:tcW w:w="849" w:type="dxa"/>
            <w:tcBorders>
              <w:bottom w:val="single" w:sz="4" w:space="0" w:color="auto"/>
            </w:tcBorders>
            <w:hideMark/>
          </w:tcPr>
          <w:p w14:paraId="698DFBA3"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7E4B91">
              <w:t>(2)</w:t>
            </w:r>
          </w:p>
        </w:tc>
        <w:tc>
          <w:tcPr>
            <w:tcW w:w="848" w:type="dxa"/>
            <w:tcBorders>
              <w:bottom w:val="single" w:sz="4" w:space="0" w:color="auto"/>
            </w:tcBorders>
            <w:hideMark/>
          </w:tcPr>
          <w:p w14:paraId="06FB9BBF"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7E4B91">
              <w:t>(5)</w:t>
            </w:r>
          </w:p>
        </w:tc>
        <w:tc>
          <w:tcPr>
            <w:tcW w:w="849" w:type="dxa"/>
            <w:tcBorders>
              <w:bottom w:val="single" w:sz="4" w:space="0" w:color="auto"/>
            </w:tcBorders>
            <w:hideMark/>
          </w:tcPr>
          <w:p w14:paraId="7D92A7B4"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7E4B91">
              <w:t>(10)</w:t>
            </w:r>
          </w:p>
        </w:tc>
        <w:tc>
          <w:tcPr>
            <w:tcW w:w="849" w:type="dxa"/>
            <w:tcBorders>
              <w:bottom w:val="single" w:sz="4" w:space="0" w:color="auto"/>
            </w:tcBorders>
            <w:hideMark/>
          </w:tcPr>
          <w:p w14:paraId="7E38A2DE"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7E4B91">
              <w:t>(15)</w:t>
            </w:r>
          </w:p>
        </w:tc>
      </w:tr>
      <w:tr w:rsidR="009A0702" w:rsidRPr="00CF5471" w14:paraId="5D5E4F8C" w14:textId="77777777" w:rsidTr="00303BE5">
        <w:tc>
          <w:tcPr>
            <w:cnfStyle w:val="001000000000" w:firstRow="0" w:lastRow="0" w:firstColumn="1" w:lastColumn="0" w:oddVBand="0" w:evenVBand="0" w:oddHBand="0" w:evenHBand="0" w:firstRowFirstColumn="0" w:firstRowLastColumn="0" w:lastRowFirstColumn="0" w:lastRowLastColumn="0"/>
            <w:tcW w:w="4360" w:type="dxa"/>
            <w:tcBorders>
              <w:top w:val="single" w:sz="4" w:space="0" w:color="auto"/>
              <w:bottom w:val="nil"/>
            </w:tcBorders>
            <w:hideMark/>
          </w:tcPr>
          <w:p w14:paraId="1EE67CCF" w14:textId="77777777" w:rsidR="009A0702" w:rsidRPr="00E21084" w:rsidRDefault="009A0702" w:rsidP="008248EA">
            <w:pPr>
              <w:keepLines w:val="0"/>
              <w:autoSpaceDE w:val="0"/>
              <w:autoSpaceDN w:val="0"/>
              <w:adjustRightInd w:val="0"/>
              <w:rPr>
                <w:rFonts w:eastAsiaTheme="minorEastAsia" w:cstheme="majorHAnsi"/>
                <w:b/>
                <w:bCs/>
                <w:szCs w:val="17"/>
                <w:lang w:eastAsia="en-AU"/>
              </w:rPr>
            </w:pPr>
            <w:r w:rsidRPr="00E21084">
              <w:rPr>
                <w:rFonts w:eastAsiaTheme="minorEastAsia" w:cstheme="majorHAnsi"/>
                <w:b/>
                <w:bCs/>
                <w:szCs w:val="17"/>
                <w:lang w:eastAsia="en-AU"/>
              </w:rPr>
              <w:t>Net result from transactions</w:t>
            </w:r>
          </w:p>
        </w:tc>
        <w:tc>
          <w:tcPr>
            <w:tcW w:w="849" w:type="dxa"/>
            <w:tcBorders>
              <w:top w:val="single" w:sz="4" w:space="0" w:color="auto"/>
              <w:bottom w:val="nil"/>
            </w:tcBorders>
            <w:hideMark/>
          </w:tcPr>
          <w:p w14:paraId="0B4EDDC8"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79</w:t>
            </w:r>
          </w:p>
        </w:tc>
        <w:tc>
          <w:tcPr>
            <w:tcW w:w="848" w:type="dxa"/>
            <w:tcBorders>
              <w:top w:val="single" w:sz="4" w:space="0" w:color="auto"/>
              <w:bottom w:val="nil"/>
            </w:tcBorders>
            <w:hideMark/>
          </w:tcPr>
          <w:p w14:paraId="6B9EE731"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85</w:t>
            </w:r>
          </w:p>
        </w:tc>
        <w:tc>
          <w:tcPr>
            <w:tcW w:w="849" w:type="dxa"/>
            <w:tcBorders>
              <w:top w:val="single" w:sz="4" w:space="0" w:color="auto"/>
              <w:bottom w:val="nil"/>
            </w:tcBorders>
            <w:hideMark/>
          </w:tcPr>
          <w:p w14:paraId="4A184314"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91</w:t>
            </w:r>
          </w:p>
        </w:tc>
        <w:tc>
          <w:tcPr>
            <w:tcW w:w="849" w:type="dxa"/>
            <w:tcBorders>
              <w:top w:val="single" w:sz="4" w:space="0" w:color="auto"/>
              <w:bottom w:val="nil"/>
            </w:tcBorders>
            <w:hideMark/>
          </w:tcPr>
          <w:p w14:paraId="1FD22EE8"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99</w:t>
            </w:r>
          </w:p>
        </w:tc>
      </w:tr>
      <w:tr w:rsidR="009A0702" w:rsidRPr="00CF5471" w14:paraId="028BA5DB" w14:textId="77777777" w:rsidTr="00303BE5">
        <w:tc>
          <w:tcPr>
            <w:cnfStyle w:val="001000000000" w:firstRow="0" w:lastRow="0" w:firstColumn="1" w:lastColumn="0" w:oddVBand="0" w:evenVBand="0" w:oddHBand="0" w:evenHBand="0" w:firstRowFirstColumn="0" w:firstRowLastColumn="0" w:lastRowFirstColumn="0" w:lastRowLastColumn="0"/>
            <w:tcW w:w="4360" w:type="dxa"/>
            <w:tcBorders>
              <w:bottom w:val="single" w:sz="4" w:space="0" w:color="auto"/>
            </w:tcBorders>
            <w:hideMark/>
          </w:tcPr>
          <w:p w14:paraId="061EA2D4" w14:textId="77777777" w:rsidR="009A0702" w:rsidRPr="00E21084" w:rsidRDefault="009A0702" w:rsidP="008248EA">
            <w:pPr>
              <w:keepLines w:val="0"/>
              <w:autoSpaceDE w:val="0"/>
              <w:autoSpaceDN w:val="0"/>
              <w:adjustRightInd w:val="0"/>
              <w:rPr>
                <w:rFonts w:eastAsiaTheme="minorEastAsia" w:cstheme="majorHAnsi"/>
                <w:b/>
                <w:bCs/>
                <w:szCs w:val="17"/>
                <w:lang w:eastAsia="en-AU"/>
              </w:rPr>
            </w:pPr>
            <w:r w:rsidRPr="00E21084">
              <w:rPr>
                <w:rFonts w:eastAsiaTheme="minorEastAsia" w:cstheme="majorHAnsi"/>
                <w:b/>
                <w:bCs/>
                <w:szCs w:val="17"/>
                <w:lang w:eastAsia="en-AU"/>
              </w:rPr>
              <w:t>Net debt</w:t>
            </w:r>
          </w:p>
        </w:tc>
        <w:tc>
          <w:tcPr>
            <w:tcW w:w="849" w:type="dxa"/>
            <w:tcBorders>
              <w:bottom w:val="single" w:sz="4" w:space="0" w:color="auto"/>
            </w:tcBorders>
            <w:hideMark/>
          </w:tcPr>
          <w:p w14:paraId="605940E2"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(79)</w:t>
            </w:r>
          </w:p>
        </w:tc>
        <w:tc>
          <w:tcPr>
            <w:tcW w:w="848" w:type="dxa"/>
            <w:tcBorders>
              <w:bottom w:val="single" w:sz="4" w:space="0" w:color="auto"/>
            </w:tcBorders>
            <w:hideMark/>
          </w:tcPr>
          <w:p w14:paraId="5B1AFBD6"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(164)</w:t>
            </w:r>
          </w:p>
        </w:tc>
        <w:tc>
          <w:tcPr>
            <w:tcW w:w="849" w:type="dxa"/>
            <w:tcBorders>
              <w:bottom w:val="single" w:sz="4" w:space="0" w:color="auto"/>
            </w:tcBorders>
            <w:hideMark/>
          </w:tcPr>
          <w:p w14:paraId="353C2380"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(255)</w:t>
            </w:r>
          </w:p>
        </w:tc>
        <w:tc>
          <w:tcPr>
            <w:tcW w:w="849" w:type="dxa"/>
            <w:tcBorders>
              <w:bottom w:val="single" w:sz="4" w:space="0" w:color="auto"/>
            </w:tcBorders>
            <w:hideMark/>
          </w:tcPr>
          <w:p w14:paraId="5F2AA869"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(354)</w:t>
            </w:r>
          </w:p>
        </w:tc>
      </w:tr>
      <w:tr w:rsidR="009A0702" w:rsidRPr="00CF5471" w14:paraId="2FC53479" w14:textId="77777777" w:rsidTr="00303BE5">
        <w:tc>
          <w:tcPr>
            <w:cnfStyle w:val="001000000000" w:firstRow="0" w:lastRow="0" w:firstColumn="1" w:lastColumn="0" w:oddVBand="0" w:evenVBand="0" w:oddHBand="0" w:evenHBand="0" w:firstRowFirstColumn="0" w:firstRowLastColumn="0" w:lastRowFirstColumn="0" w:lastRowLastColumn="0"/>
            <w:tcW w:w="4360" w:type="dxa"/>
            <w:tcBorders>
              <w:top w:val="single" w:sz="4" w:space="0" w:color="auto"/>
            </w:tcBorders>
            <w:hideMark/>
          </w:tcPr>
          <w:p w14:paraId="426670A4" w14:textId="77777777" w:rsidR="009A0702" w:rsidRPr="00CF5471" w:rsidRDefault="009A0702" w:rsidP="00303BE5">
            <w:pPr>
              <w:keepLines w:val="0"/>
              <w:autoSpaceDE w:val="0"/>
              <w:autoSpaceDN w:val="0"/>
              <w:adjustRightInd w:val="0"/>
              <w:ind w:left="173" w:hanging="173"/>
              <w:rPr>
                <w:rFonts w:eastAsiaTheme="minorEastAsia" w:cstheme="majorHAnsi"/>
                <w:b/>
                <w:bCs/>
                <w:szCs w:val="17"/>
                <w:lang w:eastAsia="en-AU"/>
              </w:rPr>
            </w:pPr>
            <w:r w:rsidRPr="00CF5471">
              <w:rPr>
                <w:rFonts w:eastAsiaTheme="minorEastAsia" w:cstheme="majorHAnsi"/>
                <w:b/>
                <w:bCs/>
                <w:szCs w:val="17"/>
                <w:lang w:eastAsia="en-AU"/>
              </w:rPr>
              <w:t xml:space="preserve">Interest rates </w:t>
            </w:r>
            <w:r w:rsidRPr="00CF5471">
              <w:rPr>
                <w:rFonts w:eastAsiaTheme="minorEastAsia" w:cstheme="majorHAnsi"/>
                <w:b/>
                <w:bCs/>
                <w:szCs w:val="17"/>
                <w:vertAlign w:val="superscript"/>
                <w:lang w:eastAsia="en-AU"/>
              </w:rPr>
              <w:t>(i)</w:t>
            </w:r>
          </w:p>
        </w:tc>
        <w:tc>
          <w:tcPr>
            <w:tcW w:w="849" w:type="dxa"/>
            <w:tcBorders>
              <w:top w:val="single" w:sz="4" w:space="0" w:color="auto"/>
            </w:tcBorders>
          </w:tcPr>
          <w:p w14:paraId="6EFC1241"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p>
        </w:tc>
        <w:tc>
          <w:tcPr>
            <w:tcW w:w="848" w:type="dxa"/>
            <w:tcBorders>
              <w:top w:val="single" w:sz="4" w:space="0" w:color="auto"/>
            </w:tcBorders>
          </w:tcPr>
          <w:p w14:paraId="57552DD0"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p>
        </w:tc>
        <w:tc>
          <w:tcPr>
            <w:tcW w:w="849" w:type="dxa"/>
            <w:tcBorders>
              <w:top w:val="single" w:sz="4" w:space="0" w:color="auto"/>
            </w:tcBorders>
          </w:tcPr>
          <w:p w14:paraId="79CB7B78"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p>
        </w:tc>
        <w:tc>
          <w:tcPr>
            <w:tcW w:w="849" w:type="dxa"/>
            <w:tcBorders>
              <w:top w:val="single" w:sz="4" w:space="0" w:color="auto"/>
            </w:tcBorders>
          </w:tcPr>
          <w:p w14:paraId="0E4CB4EA" w14:textId="77777777" w:rsidR="009A0702" w:rsidRPr="0080250B" w:rsidRDefault="009A0702" w:rsidP="00303BE5">
            <w:pPr>
              <w:cnfStyle w:val="000000000000" w:firstRow="0" w:lastRow="0" w:firstColumn="0" w:lastColumn="0" w:oddVBand="0" w:evenVBand="0" w:oddHBand="0" w:evenHBand="0" w:firstRowFirstColumn="0" w:firstRowLastColumn="0" w:lastRowFirstColumn="0" w:lastRowLastColumn="0"/>
              <w:rPr>
                <w:rFonts w:cstheme="majorHAnsi"/>
              </w:rPr>
            </w:pPr>
          </w:p>
        </w:tc>
      </w:tr>
      <w:tr w:rsidR="009A0702" w:rsidRPr="00CF5471" w14:paraId="4C5CD511" w14:textId="77777777" w:rsidTr="00303BE5">
        <w:tc>
          <w:tcPr>
            <w:cnfStyle w:val="001000000000" w:firstRow="0" w:lastRow="0" w:firstColumn="1" w:lastColumn="0" w:oddVBand="0" w:evenVBand="0" w:oddHBand="0" w:evenHBand="0" w:firstRowFirstColumn="0" w:firstRowLastColumn="0" w:lastRowFirstColumn="0" w:lastRowLastColumn="0"/>
            <w:tcW w:w="4360" w:type="dxa"/>
            <w:hideMark/>
          </w:tcPr>
          <w:p w14:paraId="3B7ADA07" w14:textId="77777777" w:rsidR="009A0702" w:rsidRPr="00CF5471" w:rsidRDefault="009A0702" w:rsidP="008248EA">
            <w:pPr>
              <w:keepLines w:val="0"/>
              <w:autoSpaceDE w:val="0"/>
              <w:autoSpaceDN w:val="0"/>
              <w:adjustRightInd w:val="0"/>
              <w:rPr>
                <w:rFonts w:eastAsiaTheme="minorEastAsia" w:cstheme="majorHAnsi"/>
                <w:szCs w:val="17"/>
                <w:lang w:eastAsia="en-AU"/>
              </w:rPr>
            </w:pPr>
            <w:r w:rsidRPr="00CF5471">
              <w:rPr>
                <w:rFonts w:eastAsiaTheme="minorEastAsia" w:cstheme="majorHAnsi"/>
                <w:szCs w:val="17"/>
                <w:lang w:eastAsia="en-AU"/>
              </w:rPr>
              <w:t>Income from transactions</w:t>
            </w:r>
          </w:p>
        </w:tc>
        <w:tc>
          <w:tcPr>
            <w:tcW w:w="849" w:type="dxa"/>
          </w:tcPr>
          <w:p w14:paraId="730B10BD"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EE5A0B">
              <w:t>110</w:t>
            </w:r>
          </w:p>
        </w:tc>
        <w:tc>
          <w:tcPr>
            <w:tcW w:w="848" w:type="dxa"/>
          </w:tcPr>
          <w:p w14:paraId="0A8E0678"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EE5A0B">
              <w:t>105</w:t>
            </w:r>
          </w:p>
        </w:tc>
        <w:tc>
          <w:tcPr>
            <w:tcW w:w="849" w:type="dxa"/>
          </w:tcPr>
          <w:p w14:paraId="059ADAFA"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EE5A0B">
              <w:t>101</w:t>
            </w:r>
          </w:p>
        </w:tc>
        <w:tc>
          <w:tcPr>
            <w:tcW w:w="849" w:type="dxa"/>
          </w:tcPr>
          <w:p w14:paraId="20CF50D6"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EE5A0B">
              <w:t>98</w:t>
            </w:r>
          </w:p>
        </w:tc>
      </w:tr>
      <w:tr w:rsidR="009A0702" w:rsidRPr="00CF5471" w14:paraId="7E0FDA67" w14:textId="77777777" w:rsidTr="00303BE5">
        <w:tc>
          <w:tcPr>
            <w:cnfStyle w:val="001000000000" w:firstRow="0" w:lastRow="0" w:firstColumn="1" w:lastColumn="0" w:oddVBand="0" w:evenVBand="0" w:oddHBand="0" w:evenHBand="0" w:firstRowFirstColumn="0" w:firstRowLastColumn="0" w:lastRowFirstColumn="0" w:lastRowLastColumn="0"/>
            <w:tcW w:w="4360" w:type="dxa"/>
            <w:tcBorders>
              <w:bottom w:val="single" w:sz="4" w:space="0" w:color="auto"/>
            </w:tcBorders>
            <w:hideMark/>
          </w:tcPr>
          <w:p w14:paraId="2066D747" w14:textId="77777777" w:rsidR="009A0702" w:rsidRPr="00CF5471" w:rsidRDefault="009A0702" w:rsidP="008248EA">
            <w:pPr>
              <w:keepLines w:val="0"/>
              <w:autoSpaceDE w:val="0"/>
              <w:autoSpaceDN w:val="0"/>
              <w:adjustRightInd w:val="0"/>
              <w:rPr>
                <w:rFonts w:eastAsiaTheme="minorEastAsia" w:cstheme="majorHAnsi"/>
                <w:szCs w:val="17"/>
                <w:lang w:eastAsia="en-AU"/>
              </w:rPr>
            </w:pPr>
            <w:r w:rsidRPr="00CF5471">
              <w:rPr>
                <w:rFonts w:eastAsiaTheme="minorEastAsia" w:cstheme="majorHAnsi"/>
                <w:szCs w:val="17"/>
                <w:lang w:eastAsia="en-AU"/>
              </w:rPr>
              <w:t>Expenses from transactions</w:t>
            </w:r>
          </w:p>
        </w:tc>
        <w:tc>
          <w:tcPr>
            <w:tcW w:w="849" w:type="dxa"/>
            <w:tcBorders>
              <w:bottom w:val="single" w:sz="4" w:space="0" w:color="auto"/>
            </w:tcBorders>
          </w:tcPr>
          <w:p w14:paraId="245D7A10"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EE5A0B">
              <w:t>120</w:t>
            </w:r>
          </w:p>
        </w:tc>
        <w:tc>
          <w:tcPr>
            <w:tcW w:w="848" w:type="dxa"/>
            <w:tcBorders>
              <w:bottom w:val="single" w:sz="4" w:space="0" w:color="auto"/>
            </w:tcBorders>
          </w:tcPr>
          <w:p w14:paraId="3120854A"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EE5A0B">
              <w:t>491</w:t>
            </w:r>
          </w:p>
        </w:tc>
        <w:tc>
          <w:tcPr>
            <w:tcW w:w="849" w:type="dxa"/>
            <w:tcBorders>
              <w:bottom w:val="single" w:sz="4" w:space="0" w:color="auto"/>
            </w:tcBorders>
          </w:tcPr>
          <w:p w14:paraId="47A63AAE"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EE5A0B">
              <w:t>749</w:t>
            </w:r>
          </w:p>
        </w:tc>
        <w:tc>
          <w:tcPr>
            <w:tcW w:w="849" w:type="dxa"/>
            <w:tcBorders>
              <w:bottom w:val="single" w:sz="4" w:space="0" w:color="auto"/>
            </w:tcBorders>
          </w:tcPr>
          <w:p w14:paraId="4F25F409" w14:textId="77777777" w:rsidR="009A0702" w:rsidRPr="0080250B"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rPr>
            </w:pPr>
            <w:r w:rsidRPr="00EE5A0B">
              <w:t>1</w:t>
            </w:r>
            <w:r>
              <w:t xml:space="preserve"> </w:t>
            </w:r>
            <w:r w:rsidRPr="00EE5A0B">
              <w:t>019</w:t>
            </w:r>
          </w:p>
        </w:tc>
      </w:tr>
      <w:tr w:rsidR="009A0702" w:rsidRPr="00CF5471" w14:paraId="228FA821" w14:textId="77777777" w:rsidTr="00303BE5">
        <w:tc>
          <w:tcPr>
            <w:cnfStyle w:val="001000000000" w:firstRow="0" w:lastRow="0" w:firstColumn="1" w:lastColumn="0" w:oddVBand="0" w:evenVBand="0" w:oddHBand="0" w:evenHBand="0" w:firstRowFirstColumn="0" w:firstRowLastColumn="0" w:lastRowFirstColumn="0" w:lastRowLastColumn="0"/>
            <w:tcW w:w="4360" w:type="dxa"/>
            <w:tcBorders>
              <w:top w:val="single" w:sz="4" w:space="0" w:color="auto"/>
              <w:bottom w:val="nil"/>
              <w:right w:val="nil"/>
            </w:tcBorders>
            <w:hideMark/>
          </w:tcPr>
          <w:p w14:paraId="413A9927" w14:textId="77777777" w:rsidR="009A0702" w:rsidRPr="00E21084" w:rsidRDefault="009A0702" w:rsidP="008248EA">
            <w:pPr>
              <w:keepLines w:val="0"/>
              <w:autoSpaceDE w:val="0"/>
              <w:autoSpaceDN w:val="0"/>
              <w:adjustRightInd w:val="0"/>
              <w:rPr>
                <w:rFonts w:eastAsiaTheme="minorEastAsia" w:cstheme="majorHAnsi"/>
                <w:b/>
                <w:bCs/>
                <w:szCs w:val="17"/>
                <w:lang w:eastAsia="en-AU"/>
              </w:rPr>
            </w:pPr>
            <w:r w:rsidRPr="00E21084">
              <w:rPr>
                <w:rFonts w:eastAsiaTheme="minorEastAsia" w:cstheme="majorHAnsi"/>
                <w:b/>
                <w:bCs/>
                <w:szCs w:val="17"/>
                <w:lang w:eastAsia="en-AU"/>
              </w:rPr>
              <w:t>Net result from transactions</w:t>
            </w:r>
          </w:p>
        </w:tc>
        <w:tc>
          <w:tcPr>
            <w:tcW w:w="849" w:type="dxa"/>
            <w:tcBorders>
              <w:top w:val="single" w:sz="4" w:space="0" w:color="auto"/>
              <w:left w:val="nil"/>
              <w:bottom w:val="nil"/>
              <w:right w:val="nil"/>
            </w:tcBorders>
            <w:hideMark/>
          </w:tcPr>
          <w:p w14:paraId="00125134"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(11)</w:t>
            </w:r>
          </w:p>
        </w:tc>
        <w:tc>
          <w:tcPr>
            <w:tcW w:w="848" w:type="dxa"/>
            <w:tcBorders>
              <w:top w:val="single" w:sz="4" w:space="0" w:color="auto"/>
              <w:left w:val="nil"/>
              <w:bottom w:val="nil"/>
              <w:right w:val="nil"/>
            </w:tcBorders>
            <w:hideMark/>
          </w:tcPr>
          <w:p w14:paraId="59C1D7CF"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(386)</w:t>
            </w:r>
          </w:p>
        </w:tc>
        <w:tc>
          <w:tcPr>
            <w:tcW w:w="849" w:type="dxa"/>
            <w:tcBorders>
              <w:top w:val="single" w:sz="4" w:space="0" w:color="auto"/>
              <w:left w:val="nil"/>
              <w:bottom w:val="nil"/>
              <w:right w:val="nil"/>
            </w:tcBorders>
            <w:hideMark/>
          </w:tcPr>
          <w:p w14:paraId="7C810893"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(648)</w:t>
            </w:r>
          </w:p>
        </w:tc>
        <w:tc>
          <w:tcPr>
            <w:tcW w:w="849" w:type="dxa"/>
            <w:tcBorders>
              <w:top w:val="single" w:sz="4" w:space="0" w:color="auto"/>
              <w:left w:val="nil"/>
              <w:bottom w:val="nil"/>
            </w:tcBorders>
            <w:hideMark/>
          </w:tcPr>
          <w:p w14:paraId="7D32D7D9" w14:textId="77777777" w:rsidR="009A0702" w:rsidRPr="008248EA" w:rsidRDefault="009A0702" w:rsidP="008248EA">
            <w:pPr>
              <w:cnfStyle w:val="000000000000" w:firstRow="0" w:lastRow="0" w:firstColumn="0" w:lastColumn="0" w:oddVBand="0" w:evenVBand="0" w:oddHBand="0" w:evenHBand="0" w:firstRowFirstColumn="0" w:firstRowLastColumn="0" w:lastRowFirstColumn="0" w:lastRowLastColumn="0"/>
              <w:rPr>
                <w:rFonts w:cstheme="majorHAnsi"/>
                <w:b/>
                <w:bCs/>
              </w:rPr>
            </w:pPr>
            <w:r w:rsidRPr="008248EA">
              <w:rPr>
                <w:b/>
                <w:bCs/>
              </w:rPr>
              <w:t>(921)</w:t>
            </w:r>
          </w:p>
        </w:tc>
      </w:tr>
      <w:tr w:rsidR="009A0702" w:rsidRPr="00CF5471" w14:paraId="4A4DED1E" w14:textId="77777777" w:rsidTr="00303BE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0" w:type="dxa"/>
            <w:tcBorders>
              <w:top w:val="nil"/>
            </w:tcBorders>
            <w:hideMark/>
          </w:tcPr>
          <w:p w14:paraId="7C31BD0C" w14:textId="77777777" w:rsidR="009A0702" w:rsidRPr="00E21084" w:rsidRDefault="009A0702" w:rsidP="008248EA">
            <w:pPr>
              <w:keepLines w:val="0"/>
              <w:autoSpaceDE w:val="0"/>
              <w:autoSpaceDN w:val="0"/>
              <w:adjustRightInd w:val="0"/>
              <w:rPr>
                <w:rFonts w:eastAsiaTheme="minorEastAsia" w:cstheme="majorHAnsi"/>
                <w:bCs/>
                <w:szCs w:val="17"/>
                <w:lang w:eastAsia="en-AU"/>
              </w:rPr>
            </w:pPr>
            <w:r w:rsidRPr="00E21084">
              <w:rPr>
                <w:rFonts w:eastAsiaTheme="minorEastAsia" w:cstheme="majorHAnsi"/>
                <w:bCs/>
                <w:szCs w:val="17"/>
                <w:lang w:eastAsia="en-AU"/>
              </w:rPr>
              <w:t>Net debt</w:t>
            </w:r>
          </w:p>
        </w:tc>
        <w:tc>
          <w:tcPr>
            <w:tcW w:w="849" w:type="dxa"/>
            <w:tcBorders>
              <w:top w:val="nil"/>
            </w:tcBorders>
            <w:hideMark/>
          </w:tcPr>
          <w:p w14:paraId="1B2E6501" w14:textId="77777777" w:rsidR="009A0702" w:rsidRPr="0080250B" w:rsidRDefault="009A0702" w:rsidP="008248EA">
            <w:pPr>
              <w:cnfStyle w:val="010000000000" w:firstRow="0" w:lastRow="1" w:firstColumn="0" w:lastColumn="0" w:oddVBand="0" w:evenVBand="0" w:oddHBand="0" w:evenHBand="0" w:firstRowFirstColumn="0" w:firstRowLastColumn="0" w:lastRowFirstColumn="0" w:lastRowLastColumn="0"/>
              <w:rPr>
                <w:rFonts w:cstheme="majorHAnsi"/>
                <w:bCs/>
              </w:rPr>
            </w:pPr>
            <w:r w:rsidRPr="00EE5A0B">
              <w:t>11</w:t>
            </w:r>
          </w:p>
        </w:tc>
        <w:tc>
          <w:tcPr>
            <w:tcW w:w="848" w:type="dxa"/>
            <w:tcBorders>
              <w:top w:val="nil"/>
            </w:tcBorders>
            <w:hideMark/>
          </w:tcPr>
          <w:p w14:paraId="5DE5A3B7" w14:textId="77777777" w:rsidR="009A0702" w:rsidRPr="0080250B" w:rsidRDefault="009A0702" w:rsidP="008248EA">
            <w:pPr>
              <w:cnfStyle w:val="010000000000" w:firstRow="0" w:lastRow="1" w:firstColumn="0" w:lastColumn="0" w:oddVBand="0" w:evenVBand="0" w:oddHBand="0" w:evenHBand="0" w:firstRowFirstColumn="0" w:firstRowLastColumn="0" w:lastRowFirstColumn="0" w:lastRowLastColumn="0"/>
              <w:rPr>
                <w:rFonts w:cstheme="majorHAnsi"/>
                <w:bCs/>
              </w:rPr>
            </w:pPr>
            <w:r w:rsidRPr="00EE5A0B">
              <w:t>281</w:t>
            </w:r>
          </w:p>
        </w:tc>
        <w:tc>
          <w:tcPr>
            <w:tcW w:w="849" w:type="dxa"/>
            <w:tcBorders>
              <w:top w:val="nil"/>
            </w:tcBorders>
            <w:hideMark/>
          </w:tcPr>
          <w:p w14:paraId="4DC680D7" w14:textId="77777777" w:rsidR="009A0702" w:rsidRPr="0080250B" w:rsidRDefault="009A0702" w:rsidP="008248EA">
            <w:pPr>
              <w:cnfStyle w:val="010000000000" w:firstRow="0" w:lastRow="1" w:firstColumn="0" w:lastColumn="0" w:oddVBand="0" w:evenVBand="0" w:oddHBand="0" w:evenHBand="0" w:firstRowFirstColumn="0" w:firstRowLastColumn="0" w:lastRowFirstColumn="0" w:lastRowLastColumn="0"/>
              <w:rPr>
                <w:rFonts w:cstheme="majorHAnsi"/>
                <w:bCs/>
              </w:rPr>
            </w:pPr>
            <w:r w:rsidRPr="00EE5A0B">
              <w:t>815</w:t>
            </w:r>
          </w:p>
        </w:tc>
        <w:tc>
          <w:tcPr>
            <w:tcW w:w="849" w:type="dxa"/>
            <w:tcBorders>
              <w:top w:val="nil"/>
            </w:tcBorders>
            <w:hideMark/>
          </w:tcPr>
          <w:p w14:paraId="53499E62" w14:textId="77777777" w:rsidR="009A0702" w:rsidRPr="0080250B" w:rsidRDefault="009A0702" w:rsidP="008248EA">
            <w:pPr>
              <w:cnfStyle w:val="010000000000" w:firstRow="0" w:lastRow="1" w:firstColumn="0" w:lastColumn="0" w:oddVBand="0" w:evenVBand="0" w:oddHBand="0" w:evenHBand="0" w:firstRowFirstColumn="0" w:firstRowLastColumn="0" w:lastRowFirstColumn="0" w:lastRowLastColumn="0"/>
              <w:rPr>
                <w:rFonts w:cstheme="majorHAnsi"/>
                <w:bCs/>
              </w:rPr>
            </w:pPr>
            <w:r w:rsidRPr="00EE5A0B">
              <w:t>1</w:t>
            </w:r>
            <w:r>
              <w:t xml:space="preserve"> </w:t>
            </w:r>
            <w:r w:rsidRPr="00EE5A0B">
              <w:t>624</w:t>
            </w:r>
          </w:p>
        </w:tc>
      </w:tr>
    </w:tbl>
    <w:bookmarkEnd w:id="162"/>
    <w:p w14:paraId="2A8E77BC" w14:textId="77777777" w:rsidR="009A0702" w:rsidRDefault="009A0702" w:rsidP="00F22EE1">
      <w:pPr>
        <w:pStyle w:val="Note"/>
      </w:pPr>
      <w:r>
        <w:t>Notes:</w:t>
      </w:r>
    </w:p>
    <w:p w14:paraId="369426FD" w14:textId="77777777" w:rsidR="009A0702" w:rsidRDefault="009A0702" w:rsidP="00F22EE1">
      <w:pPr>
        <w:pStyle w:val="Note"/>
      </w:pPr>
      <w:r>
        <w:t>(a)</w:t>
      </w:r>
      <w:r>
        <w:tab/>
        <w:t>Variations are applied to the economic variables effective from the first day in the budget year (1 July 2022). It is assumed that each variable’s growth rate matches that under a no</w:t>
      </w:r>
      <w:r>
        <w:noBreakHyphen/>
        <w:t>variation scenario for the forward estimates period. This implies that the level of all economic variables (other than interest rates) is 1 per cent higher in level terms in each year of the budget and forward estimates. Interest rates are assumed to be 1 percentage point higher in each year of the budget and forward estimates.</w:t>
      </w:r>
    </w:p>
    <w:p w14:paraId="6CA87A85" w14:textId="77777777" w:rsidR="009A0702" w:rsidRDefault="009A0702" w:rsidP="00F22EE1">
      <w:pPr>
        <w:pStyle w:val="Note"/>
      </w:pPr>
      <w:r>
        <w:t>(b)</w:t>
      </w:r>
      <w:r>
        <w:tab/>
        <w:t>A positive number for income from transactions denotes an increase in revenue. A positive number for expenses from transactions denotes an increase in expenses (and hence a reduction in the net result from transactions). A positive number for the net result from transactions denotes a higher surplus or smaller deficit. A positive number for net debt denotes a higher level of net debt in the relevant year compared with a no</w:t>
      </w:r>
      <w:r>
        <w:noBreakHyphen/>
        <w:t xml:space="preserve">variation scenario. </w:t>
      </w:r>
    </w:p>
    <w:p w14:paraId="16712C84" w14:textId="77777777" w:rsidR="009A0702" w:rsidRDefault="009A0702" w:rsidP="00F22EE1">
      <w:pPr>
        <w:pStyle w:val="Note"/>
      </w:pPr>
      <w:r>
        <w:t>(c)</w:t>
      </w:r>
      <w:r>
        <w:tab/>
        <w:t>Only reasonably quantifiable impacts have been included in the analysis.</w:t>
      </w:r>
    </w:p>
    <w:p w14:paraId="0EC58286" w14:textId="77777777" w:rsidR="009A0702" w:rsidRDefault="009A0702" w:rsidP="00F22EE1">
      <w:pPr>
        <w:pStyle w:val="Note"/>
      </w:pPr>
      <w:r>
        <w:t>(d)</w:t>
      </w:r>
      <w:r>
        <w:tab/>
        <w:t>Estimates of net debt are approximately equal to the cumulative impact of the net result from transactions. The difference between the cumulative net result from transactions and net debt is due to non</w:t>
      </w:r>
      <w:r>
        <w:noBreakHyphen/>
        <w:t>cash expenses and gross sale proceeds (where applicable).</w:t>
      </w:r>
    </w:p>
    <w:p w14:paraId="4A2CF57E" w14:textId="77777777" w:rsidR="009A0702" w:rsidRDefault="009A0702" w:rsidP="00F22EE1">
      <w:pPr>
        <w:pStyle w:val="Note"/>
      </w:pPr>
      <w:r>
        <w:t>(e)</w:t>
      </w:r>
      <w:r>
        <w:tab/>
        <w:t xml:space="preserve">Figures may not add due to rounding. </w:t>
      </w:r>
    </w:p>
    <w:p w14:paraId="39D2C00F" w14:textId="77777777" w:rsidR="009A0702" w:rsidRDefault="009A0702" w:rsidP="00F22EE1">
      <w:pPr>
        <w:pStyle w:val="Note"/>
      </w:pPr>
      <w:r>
        <w:t>(f)</w:t>
      </w:r>
      <w:r>
        <w:tab/>
        <w:t xml:space="preserve">A shock to employment is assumed to impact payroll tax revenue. Both public and private sector employment levels are assumed to be 1 per cent higher across the four years, with the shares of full-time and part-time employment held constant. The rise in public sector employment boosts general government sector employee expenses. </w:t>
      </w:r>
    </w:p>
    <w:p w14:paraId="651EDEC2" w14:textId="77777777" w:rsidR="009A0702" w:rsidRDefault="009A0702" w:rsidP="00F22EE1">
      <w:pPr>
        <w:pStyle w:val="Note"/>
      </w:pPr>
      <w:bookmarkStart w:id="163" w:name="_Hlk113622382"/>
      <w:r w:rsidRPr="00484892">
        <w:t>(g)</w:t>
      </w:r>
      <w:r w:rsidRPr="00484892">
        <w:tab/>
        <w:t>Estimates assume that higher consumer prices flow through to government operating expenses, such as the purchase of supplies and consumables and the purchase of services. For simplicity, these estimates make no assumptions about agencies’ administrative actions or government policy responses to mitigate the effects of higher inflation on aggregate spending. It is assumed an increase in consumer prices within the budget year does not affect employee entitlements.</w:t>
      </w:r>
      <w:r w:rsidRPr="003F3614" w:rsidDel="003F3614">
        <w:t xml:space="preserve"> </w:t>
      </w:r>
      <w:bookmarkEnd w:id="163"/>
    </w:p>
    <w:p w14:paraId="6C54941D" w14:textId="77777777" w:rsidR="009A0702" w:rsidRPr="002E3E91" w:rsidRDefault="009A0702" w:rsidP="00F22EE1">
      <w:pPr>
        <w:pStyle w:val="Note"/>
      </w:pPr>
      <w:r>
        <w:t>(h)</w:t>
      </w:r>
      <w:r>
        <w:tab/>
        <w:t xml:space="preserve">A positive shock to average weekly </w:t>
      </w:r>
      <w:r w:rsidRPr="002E3E91">
        <w:t>earnings increases the expenses of public financial and non</w:t>
      </w:r>
      <w:r w:rsidRPr="002E3E91">
        <w:noBreakHyphen/>
        <w:t>financial corporations and reduces the general government sector</w:t>
      </w:r>
      <w:r>
        <w:t>’</w:t>
      </w:r>
      <w:r w:rsidRPr="002E3E91">
        <w:t xml:space="preserve">s income from dividends and ITEs. </w:t>
      </w:r>
    </w:p>
    <w:p w14:paraId="089B5B4C" w14:textId="307FFC5A" w:rsidR="009A0702" w:rsidRDefault="009A0702" w:rsidP="009A0702">
      <w:pPr>
        <w:pStyle w:val="Note"/>
      </w:pPr>
      <w:bookmarkStart w:id="164" w:name="_Hlk116977546"/>
      <w:r w:rsidRPr="00072EA3">
        <w:t>(i)</w:t>
      </w:r>
      <w:r w:rsidRPr="00072EA3">
        <w:tab/>
        <w:t>Interest rates on Treasury Corporation Victoria bonds and Victorian Government holdings of financial assets are assumed to be 1 percentage point higher in each year of the budget and forward estimates. The fiscal impact is based on the portion of government debt being refinanced, as well as new debt issuance.</w:t>
      </w:r>
      <w:bookmarkEnd w:id="164"/>
    </w:p>
    <w:p w14:paraId="1AFB5723" w14:textId="205F71BE" w:rsidR="009A0702" w:rsidRDefault="009A0702" w:rsidP="003610AD">
      <w:pPr>
        <w:sectPr w:rsidR="009A0702" w:rsidSect="008D6F13">
          <w:footerReference w:type="even" r:id="rId55"/>
          <w:footerReference w:type="default" r:id="rId56"/>
          <w:pgSz w:w="9979" w:h="14175" w:code="9"/>
          <w:pgMar w:top="1134" w:right="1134" w:bottom="1134" w:left="1134" w:header="624" w:footer="567" w:gutter="0"/>
          <w:cols w:space="708"/>
          <w:docGrid w:linePitch="360"/>
        </w:sectPr>
      </w:pPr>
    </w:p>
    <w:p w14:paraId="4EE12978" w14:textId="77777777" w:rsidR="008D6F13" w:rsidRDefault="008D6F13" w:rsidP="008D6F13">
      <w:pPr>
        <w:pStyle w:val="ChapterHeading"/>
      </w:pPr>
      <w:bookmarkStart w:id="165" w:name="_Toc117586271"/>
      <w:r>
        <w:lastRenderedPageBreak/>
        <w:t>Style conventions</w:t>
      </w:r>
      <w:bookmarkEnd w:id="165"/>
    </w:p>
    <w:p w14:paraId="54C3F262" w14:textId="77777777" w:rsidR="00AC196B" w:rsidRDefault="00AC196B" w:rsidP="00AC196B">
      <w:pPr>
        <w:keepLines w:val="0"/>
        <w:rPr>
          <w:rFonts w:ascii="Garamond" w:eastAsia="Times New Roman" w:hAnsi="Garamond" w:cs="Times New Roman"/>
          <w:color w:val="000000"/>
          <w:lang w:eastAsia="en-AU"/>
        </w:rPr>
      </w:pPr>
      <w:r>
        <w:rPr>
          <w:rFonts w:ascii="Garamond" w:eastAsia="Times New Roman" w:hAnsi="Garamond" w:cs="Times New Roman"/>
          <w:color w:val="000000"/>
          <w:lang w:eastAsia="en-AU"/>
        </w:rPr>
        <w:t>The source of data for tables and charts is the Department of Treasury and Finance unless specified otherwise.</w:t>
      </w:r>
    </w:p>
    <w:p w14:paraId="7C368801" w14:textId="77777777" w:rsidR="00AC196B" w:rsidRPr="00290F2A" w:rsidRDefault="00AC196B" w:rsidP="00AC196B">
      <w:pPr>
        <w:keepLines w:val="0"/>
        <w:rPr>
          <w:rFonts w:ascii="Garamond" w:eastAsia="Times New Roman" w:hAnsi="Garamond" w:cs="Times New Roman"/>
          <w:color w:val="000000"/>
          <w:lang w:eastAsia="en-AU"/>
        </w:rPr>
      </w:pPr>
      <w:r w:rsidRPr="00290F2A">
        <w:rPr>
          <w:rFonts w:ascii="Garamond" w:eastAsia="Times New Roman" w:hAnsi="Garamond" w:cs="Times New Roman"/>
          <w:color w:val="000000"/>
          <w:lang w:eastAsia="en-AU"/>
        </w:rPr>
        <w:t>Figures in the tables and in the text have been rounded. Discrepancies in tables between totals and sums of components reflect rounding. Percentage variations in all tables are based on the underlying unrounded amounts.</w:t>
      </w:r>
    </w:p>
    <w:p w14:paraId="530C942F" w14:textId="77777777" w:rsidR="00AC196B" w:rsidRPr="00290F2A" w:rsidRDefault="00AC196B" w:rsidP="00AC196B">
      <w:pPr>
        <w:keepLines w:val="0"/>
        <w:rPr>
          <w:rFonts w:ascii="Garamond" w:eastAsia="Times New Roman" w:hAnsi="Garamond" w:cs="Times New Roman"/>
          <w:color w:val="000000"/>
          <w:lang w:eastAsia="en-AU"/>
        </w:rPr>
      </w:pPr>
      <w:r w:rsidRPr="00290F2A">
        <w:rPr>
          <w:rFonts w:ascii="Garamond" w:eastAsia="Times New Roman" w:hAnsi="Garamond" w:cs="Times New Roman"/>
          <w:color w:val="000000"/>
          <w:lang w:eastAsia="en-AU"/>
        </w:rPr>
        <w:t>The notation used in the tables is as follows:</w:t>
      </w:r>
    </w:p>
    <w:p w14:paraId="249DB8CD" w14:textId="4F4F9A60" w:rsidR="00AC196B" w:rsidRPr="00290F2A" w:rsidRDefault="00AC196B" w:rsidP="00AC196B">
      <w:pPr>
        <w:keepLines w:val="0"/>
        <w:tabs>
          <w:tab w:val="left" w:pos="2410"/>
        </w:tabs>
        <w:ind w:left="851"/>
        <w:rPr>
          <w:rFonts w:ascii="Garamond" w:eastAsia="Times New Roman" w:hAnsi="Garamond" w:cs="Times New Roman"/>
          <w:color w:val="000000"/>
          <w:lang w:eastAsia="en-AU"/>
        </w:rPr>
      </w:pPr>
      <w:r w:rsidRPr="00290F2A">
        <w:rPr>
          <w:rFonts w:ascii="Garamond" w:eastAsia="Times New Roman" w:hAnsi="Garamond" w:cs="Times New Roman"/>
          <w:color w:val="000000"/>
          <w:lang w:eastAsia="en-AU"/>
        </w:rPr>
        <w:t>n.a.</w:t>
      </w:r>
      <w:r>
        <w:rPr>
          <w:rFonts w:ascii="Garamond" w:eastAsia="Times New Roman" w:hAnsi="Garamond" w:cs="Times New Roman"/>
          <w:color w:val="000000"/>
          <w:lang w:eastAsia="en-AU"/>
        </w:rPr>
        <w:tab/>
      </w:r>
      <w:r w:rsidRPr="00290F2A">
        <w:rPr>
          <w:rFonts w:ascii="Garamond" w:eastAsia="Times New Roman" w:hAnsi="Garamond" w:cs="Times New Roman"/>
          <w:color w:val="000000"/>
          <w:lang w:eastAsia="en-AU"/>
        </w:rPr>
        <w:t>not available or not applicable</w:t>
      </w:r>
    </w:p>
    <w:p w14:paraId="51C74F43" w14:textId="6D834708" w:rsidR="00AC196B" w:rsidRPr="00290F2A" w:rsidRDefault="00AC196B" w:rsidP="00AC196B">
      <w:pPr>
        <w:keepLines w:val="0"/>
        <w:tabs>
          <w:tab w:val="left" w:pos="2410"/>
        </w:tabs>
        <w:ind w:left="851"/>
        <w:rPr>
          <w:rFonts w:ascii="Garamond" w:eastAsia="Times New Roman" w:hAnsi="Garamond" w:cs="Times New Roman"/>
          <w:color w:val="000000"/>
          <w:lang w:eastAsia="en-AU"/>
        </w:rPr>
      </w:pPr>
      <w:r w:rsidRPr="00290F2A">
        <w:rPr>
          <w:rFonts w:ascii="Garamond" w:eastAsia="Times New Roman" w:hAnsi="Garamond" w:cs="Times New Roman"/>
          <w:color w:val="000000"/>
          <w:lang w:eastAsia="en-AU"/>
        </w:rPr>
        <w:t>1 billion</w:t>
      </w:r>
      <w:r>
        <w:rPr>
          <w:rFonts w:ascii="Garamond" w:eastAsia="Times New Roman" w:hAnsi="Garamond" w:cs="Times New Roman"/>
          <w:color w:val="000000"/>
          <w:lang w:eastAsia="en-AU"/>
        </w:rPr>
        <w:tab/>
      </w:r>
      <w:r w:rsidRPr="00290F2A">
        <w:rPr>
          <w:rFonts w:ascii="Garamond" w:eastAsia="Times New Roman" w:hAnsi="Garamond" w:cs="Times New Roman"/>
          <w:color w:val="000000"/>
          <w:lang w:eastAsia="en-AU"/>
        </w:rPr>
        <w:t>1 000 million</w:t>
      </w:r>
    </w:p>
    <w:p w14:paraId="66389F6B" w14:textId="17701F1A" w:rsidR="00AC196B" w:rsidRPr="00290F2A" w:rsidRDefault="00AC196B" w:rsidP="00AC196B">
      <w:pPr>
        <w:keepLines w:val="0"/>
        <w:tabs>
          <w:tab w:val="left" w:pos="2410"/>
        </w:tabs>
        <w:ind w:left="851"/>
        <w:rPr>
          <w:rFonts w:ascii="Garamond" w:eastAsia="Times New Roman" w:hAnsi="Garamond" w:cs="Times New Roman"/>
          <w:color w:val="000000"/>
          <w:lang w:eastAsia="en-AU"/>
        </w:rPr>
      </w:pPr>
      <w:r w:rsidRPr="00290F2A">
        <w:rPr>
          <w:rFonts w:ascii="Garamond" w:eastAsia="Times New Roman" w:hAnsi="Garamond" w:cs="Times New Roman"/>
          <w:color w:val="000000"/>
          <w:lang w:eastAsia="en-AU"/>
        </w:rPr>
        <w:t>1 basis point</w:t>
      </w:r>
      <w:r>
        <w:rPr>
          <w:rFonts w:ascii="Garamond" w:eastAsia="Times New Roman" w:hAnsi="Garamond" w:cs="Times New Roman"/>
          <w:color w:val="000000"/>
          <w:lang w:eastAsia="en-AU"/>
        </w:rPr>
        <w:tab/>
      </w:r>
      <w:r w:rsidRPr="00290F2A">
        <w:rPr>
          <w:rFonts w:ascii="Garamond" w:eastAsia="Times New Roman" w:hAnsi="Garamond" w:cs="Times New Roman"/>
          <w:color w:val="000000"/>
          <w:lang w:eastAsia="en-AU"/>
        </w:rPr>
        <w:t>0.01 per cent</w:t>
      </w:r>
    </w:p>
    <w:p w14:paraId="2548C329" w14:textId="7218B403" w:rsidR="00AC196B" w:rsidRPr="00290F2A" w:rsidRDefault="00AC196B" w:rsidP="00AC196B">
      <w:pPr>
        <w:keepLines w:val="0"/>
        <w:tabs>
          <w:tab w:val="left" w:pos="2410"/>
        </w:tabs>
        <w:ind w:left="851"/>
        <w:rPr>
          <w:rFonts w:ascii="Garamond" w:eastAsia="Times New Roman" w:hAnsi="Garamond" w:cs="Times New Roman"/>
          <w:color w:val="000000"/>
          <w:lang w:eastAsia="en-AU"/>
        </w:rPr>
      </w:pPr>
      <w:r w:rsidRPr="00290F2A">
        <w:rPr>
          <w:rFonts w:ascii="Garamond" w:eastAsia="Times New Roman" w:hAnsi="Garamond" w:cs="Times New Roman"/>
          <w:color w:val="000000"/>
          <w:lang w:eastAsia="en-AU"/>
        </w:rPr>
        <w:t>..</w:t>
      </w:r>
      <w:r>
        <w:rPr>
          <w:rFonts w:ascii="Garamond" w:eastAsia="Times New Roman" w:hAnsi="Garamond" w:cs="Times New Roman"/>
          <w:color w:val="000000"/>
          <w:lang w:eastAsia="en-AU"/>
        </w:rPr>
        <w:tab/>
      </w:r>
      <w:r w:rsidRPr="00290F2A">
        <w:rPr>
          <w:rFonts w:ascii="Garamond" w:eastAsia="Times New Roman" w:hAnsi="Garamond" w:cs="Times New Roman"/>
          <w:color w:val="000000"/>
          <w:lang w:eastAsia="en-AU"/>
        </w:rPr>
        <w:t>zero, or rounded to zero</w:t>
      </w:r>
    </w:p>
    <w:p w14:paraId="306A4156" w14:textId="50C9C2A0" w:rsidR="00AC196B" w:rsidRDefault="00AC196B" w:rsidP="00AC196B">
      <w:pPr>
        <w:keepLines w:val="0"/>
        <w:tabs>
          <w:tab w:val="left" w:pos="2410"/>
        </w:tabs>
        <w:ind w:left="851"/>
        <w:rPr>
          <w:rFonts w:ascii="Garamond" w:eastAsia="Times New Roman" w:hAnsi="Garamond" w:cs="Times New Roman"/>
          <w:color w:val="000000"/>
          <w:lang w:eastAsia="en-AU"/>
        </w:rPr>
      </w:pPr>
      <w:r>
        <w:rPr>
          <w:rFonts w:ascii="Garamond" w:eastAsia="Times New Roman" w:hAnsi="Garamond" w:cs="Times New Roman"/>
          <w:color w:val="000000"/>
          <w:lang w:eastAsia="en-AU"/>
        </w:rPr>
        <w:t>tbc</w:t>
      </w:r>
      <w:r>
        <w:rPr>
          <w:rFonts w:ascii="Garamond" w:eastAsia="Times New Roman" w:hAnsi="Garamond" w:cs="Times New Roman"/>
          <w:color w:val="000000"/>
          <w:lang w:eastAsia="en-AU"/>
        </w:rPr>
        <w:tab/>
        <w:t>to be confirmed</w:t>
      </w:r>
    </w:p>
    <w:p w14:paraId="7373B5F6" w14:textId="5B9CFB87" w:rsidR="00AC196B" w:rsidRPr="00290F2A" w:rsidRDefault="00AC196B" w:rsidP="00AC196B">
      <w:pPr>
        <w:keepLines w:val="0"/>
        <w:tabs>
          <w:tab w:val="left" w:pos="2410"/>
        </w:tabs>
        <w:ind w:left="851"/>
        <w:rPr>
          <w:rFonts w:ascii="Garamond" w:eastAsia="Times New Roman" w:hAnsi="Garamond" w:cs="Times New Roman"/>
          <w:color w:val="000000"/>
          <w:lang w:eastAsia="en-AU"/>
        </w:rPr>
      </w:pPr>
      <w:r w:rsidRPr="00290F2A">
        <w:rPr>
          <w:rFonts w:ascii="Garamond" w:eastAsia="Times New Roman" w:hAnsi="Garamond" w:cs="Times New Roman"/>
          <w:color w:val="000000"/>
          <w:lang w:eastAsia="en-AU"/>
        </w:rPr>
        <w:t>(x xxx.x)</w:t>
      </w:r>
      <w:r>
        <w:rPr>
          <w:rFonts w:ascii="Garamond" w:eastAsia="Times New Roman" w:hAnsi="Garamond" w:cs="Times New Roman"/>
          <w:color w:val="000000"/>
          <w:lang w:eastAsia="en-AU"/>
        </w:rPr>
        <w:tab/>
      </w:r>
      <w:r w:rsidRPr="00290F2A">
        <w:rPr>
          <w:rFonts w:ascii="Garamond" w:eastAsia="Times New Roman" w:hAnsi="Garamond" w:cs="Times New Roman"/>
          <w:color w:val="000000"/>
          <w:lang w:eastAsia="en-AU"/>
        </w:rPr>
        <w:t xml:space="preserve"> negative amount</w:t>
      </w:r>
    </w:p>
    <w:p w14:paraId="391895CE" w14:textId="792A1C2B" w:rsidR="00AC196B" w:rsidRPr="00290F2A" w:rsidRDefault="00AC196B" w:rsidP="00AC196B">
      <w:pPr>
        <w:keepLines w:val="0"/>
        <w:tabs>
          <w:tab w:val="left" w:pos="2410"/>
        </w:tabs>
        <w:ind w:left="851"/>
        <w:rPr>
          <w:rFonts w:ascii="Garamond" w:eastAsia="Times New Roman" w:hAnsi="Garamond" w:cs="Times New Roman"/>
          <w:color w:val="000000"/>
          <w:lang w:eastAsia="en-AU"/>
        </w:rPr>
      </w:pPr>
      <w:r w:rsidRPr="00290F2A">
        <w:rPr>
          <w:rFonts w:ascii="Garamond" w:eastAsia="Times New Roman" w:hAnsi="Garamond" w:cs="Times New Roman"/>
          <w:color w:val="000000"/>
          <w:lang w:eastAsia="en-AU"/>
        </w:rPr>
        <w:t>x xxx.0</w:t>
      </w:r>
      <w:r>
        <w:rPr>
          <w:rFonts w:ascii="Garamond" w:eastAsia="Times New Roman" w:hAnsi="Garamond" w:cs="Times New Roman"/>
          <w:color w:val="000000"/>
          <w:lang w:eastAsia="en-AU"/>
        </w:rPr>
        <w:tab/>
      </w:r>
      <w:r w:rsidRPr="00290F2A">
        <w:rPr>
          <w:rFonts w:ascii="Garamond" w:eastAsia="Times New Roman" w:hAnsi="Garamond" w:cs="Times New Roman"/>
          <w:color w:val="000000"/>
          <w:lang w:eastAsia="en-AU"/>
        </w:rPr>
        <w:t>rounded amount</w:t>
      </w:r>
    </w:p>
    <w:p w14:paraId="1A00320B" w14:textId="102506D6" w:rsidR="00AC196B" w:rsidRPr="00290F2A" w:rsidRDefault="00AC196B" w:rsidP="00AC196B">
      <w:pPr>
        <w:keepLines w:val="0"/>
        <w:rPr>
          <w:rFonts w:ascii="Garamond" w:eastAsia="Times New Roman" w:hAnsi="Garamond" w:cs="Times New Roman"/>
          <w:color w:val="000000"/>
          <w:lang w:eastAsia="en-AU"/>
        </w:rPr>
      </w:pPr>
    </w:p>
    <w:p w14:paraId="148C90AA" w14:textId="7CAD8E8B" w:rsidR="00AC196B" w:rsidRPr="00290F2A" w:rsidRDefault="00AC196B" w:rsidP="00AC196B">
      <w:pPr>
        <w:keepLines w:val="0"/>
        <w:rPr>
          <w:rFonts w:ascii="Garamond" w:eastAsia="Times New Roman" w:hAnsi="Garamond" w:cs="Times New Roman"/>
          <w:color w:val="000000"/>
          <w:lang w:eastAsia="en-AU"/>
        </w:rPr>
      </w:pPr>
      <w:r w:rsidRPr="00290F2A">
        <w:rPr>
          <w:rFonts w:ascii="Garamond" w:eastAsia="Times New Roman" w:hAnsi="Garamond" w:cs="Times New Roman"/>
          <w:color w:val="000000"/>
          <w:lang w:eastAsia="en-AU"/>
        </w:rPr>
        <w:t xml:space="preserve">Please refer to the </w:t>
      </w:r>
      <w:r w:rsidRPr="00290F2A">
        <w:rPr>
          <w:rFonts w:ascii="Garamond" w:eastAsia="Times New Roman" w:hAnsi="Garamond" w:cs="Times New Roman"/>
          <w:b/>
          <w:bCs/>
          <w:color w:val="000000"/>
          <w:lang w:eastAsia="en-AU"/>
        </w:rPr>
        <w:t>T</w:t>
      </w:r>
      <w:r w:rsidR="00AE31D1">
        <w:rPr>
          <w:rFonts w:ascii="Garamond" w:eastAsia="Times New Roman" w:hAnsi="Garamond" w:cs="Times New Roman"/>
          <w:b/>
          <w:bCs/>
          <w:color w:val="000000"/>
          <w:lang w:eastAsia="en-AU"/>
        </w:rPr>
        <w:t>r</w:t>
      </w:r>
      <w:r w:rsidRPr="00290F2A">
        <w:rPr>
          <w:rFonts w:ascii="Garamond" w:eastAsia="Times New Roman" w:hAnsi="Garamond" w:cs="Times New Roman"/>
          <w:b/>
          <w:bCs/>
          <w:color w:val="000000"/>
          <w:lang w:eastAsia="en-AU"/>
        </w:rPr>
        <w:t xml:space="preserve">easury and Finance glossary for budget and financial reports </w:t>
      </w:r>
      <w:r w:rsidRPr="00290F2A">
        <w:rPr>
          <w:rFonts w:ascii="Garamond" w:eastAsia="Times New Roman" w:hAnsi="Garamond" w:cs="Times New Roman"/>
          <w:color w:val="000000"/>
          <w:lang w:eastAsia="en-AU"/>
        </w:rPr>
        <w:t xml:space="preserve">at </w:t>
      </w:r>
      <w:r w:rsidRPr="00290F2A">
        <w:rPr>
          <w:lang w:eastAsia="en-AU"/>
        </w:rPr>
        <w:t>dtf.vic.gov.au</w:t>
      </w:r>
      <w:r w:rsidRPr="00290F2A">
        <w:rPr>
          <w:rFonts w:ascii="Garamond" w:eastAsia="Times New Roman" w:hAnsi="Garamond" w:cs="Times New Roman"/>
          <w:color w:val="000000"/>
          <w:lang w:eastAsia="en-AU"/>
        </w:rPr>
        <w:t xml:space="preserve"> for additional terms and references.</w:t>
      </w:r>
    </w:p>
    <w:p w14:paraId="6F9673DD" w14:textId="77777777" w:rsidR="00AC196B" w:rsidRPr="00290F2A" w:rsidRDefault="00AC196B" w:rsidP="00AC196B">
      <w:pPr>
        <w:keepLines w:val="0"/>
        <w:rPr>
          <w:rFonts w:ascii="Garamond" w:eastAsia="Times New Roman" w:hAnsi="Garamond" w:cs="Times New Roman"/>
          <w:color w:val="000000"/>
          <w:lang w:eastAsia="en-AU"/>
        </w:rPr>
      </w:pPr>
      <w:r w:rsidRPr="00290F2A">
        <w:rPr>
          <w:rFonts w:ascii="Garamond" w:eastAsia="Times New Roman" w:hAnsi="Garamond" w:cs="Times New Roman"/>
          <w:color w:val="000000"/>
          <w:lang w:eastAsia="en-AU"/>
        </w:rPr>
        <w:t> </w:t>
      </w:r>
    </w:p>
    <w:p w14:paraId="25D47938" w14:textId="77777777" w:rsidR="008D6F13" w:rsidRPr="00BC54D5" w:rsidRDefault="008D6F13" w:rsidP="008D6F13"/>
    <w:p w14:paraId="7F8A8EE5" w14:textId="77777777" w:rsidR="00E909D5" w:rsidRDefault="00E909D5" w:rsidP="00444BC7">
      <w:pPr>
        <w:sectPr w:rsidR="00E909D5" w:rsidSect="00444BC7">
          <w:footerReference w:type="even" r:id="rId57"/>
          <w:footerReference w:type="default" r:id="rId58"/>
          <w:type w:val="continuous"/>
          <w:pgSz w:w="9979" w:h="14175" w:code="34"/>
          <w:pgMar w:top="1134" w:right="1134" w:bottom="1134" w:left="1134" w:header="624" w:footer="567" w:gutter="0"/>
          <w:cols w:space="708"/>
          <w:docGrid w:linePitch="360"/>
        </w:sectPr>
      </w:pPr>
    </w:p>
    <w:p w14:paraId="6D87460B" w14:textId="5533C2C6" w:rsidR="00E909D5" w:rsidRDefault="00E909D5" w:rsidP="00E909D5">
      <w:r>
        <w:lastRenderedPageBreak/>
        <w:t xml:space="preserve">If you would like to receive this publication </w:t>
      </w:r>
      <w:r>
        <w:br/>
        <w:t xml:space="preserve">in an accessible format please email </w:t>
      </w:r>
      <w:r>
        <w:br/>
        <w:t xml:space="preserve">information@dtf.vic.gov.au or telephone </w:t>
      </w:r>
      <w:r>
        <w:br/>
        <w:t>(03) 9651 5111.</w:t>
      </w:r>
    </w:p>
    <w:p w14:paraId="79970669" w14:textId="77777777" w:rsidR="00E909D5" w:rsidRDefault="00E909D5" w:rsidP="00E909D5"/>
    <w:p w14:paraId="373D7C87" w14:textId="265FB5E6" w:rsidR="00F139C4" w:rsidRPr="00387283" w:rsidRDefault="00E909D5" w:rsidP="00E909D5">
      <w:r>
        <w:t xml:space="preserve">This document is available in PDF and </w:t>
      </w:r>
      <w:r>
        <w:br/>
        <w:t>Word format at dtf.vic.gov.au.</w:t>
      </w:r>
    </w:p>
    <w:sectPr w:rsidR="00F139C4" w:rsidRPr="00387283" w:rsidSect="00E909D5">
      <w:pgSz w:w="9979" w:h="14175" w:code="34"/>
      <w:pgMar w:top="1134" w:right="1134" w:bottom="1134" w:left="1134" w:header="624" w:footer="567"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DAC13" w14:textId="77777777" w:rsidR="005A7369" w:rsidRDefault="005A7369" w:rsidP="00F2052E">
      <w:pPr>
        <w:spacing w:before="0"/>
      </w:pPr>
      <w:r>
        <w:separator/>
      </w:r>
    </w:p>
  </w:endnote>
  <w:endnote w:type="continuationSeparator" w:id="0">
    <w:p w14:paraId="1F60A56D" w14:textId="77777777" w:rsidR="005A7369" w:rsidRDefault="005A7369" w:rsidP="00F2052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Italic">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47E93" w14:textId="77777777" w:rsidR="00D01AF0" w:rsidRDefault="00D01AF0" w:rsidP="00D01AF0">
    <w:pPr>
      <w:pStyle w:val="Footer"/>
      <w:pBdr>
        <w:top w:val="none" w:sz="0" w:space="0"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8FF06" w14:textId="0F1F566F" w:rsidR="00B70498" w:rsidRDefault="00B70498" w:rsidP="00CD78F6">
    <w:pPr>
      <w:pStyle w:val="FooterOddPage"/>
    </w:pPr>
    <w:r>
      <w:fldChar w:fldCharType="begin"/>
    </w:r>
    <w:r>
      <w:instrText xml:space="preserve"> DOCPROPERTY  Subject  \* MERGEFORMAT </w:instrText>
    </w:r>
    <w:r>
      <w:fldChar w:fldCharType="end"/>
    </w:r>
    <w:r w:rsidRPr="00E36759">
      <w:tab/>
      <w:t>Chapter X</w:t>
    </w:r>
    <w:r w:rsidRPr="00E36759">
      <w:tab/>
      <w:t xml:space="preserve">Page </w:t>
    </w:r>
    <w:r w:rsidRPr="00E36759">
      <w:fldChar w:fldCharType="begin"/>
    </w:r>
    <w:r w:rsidRPr="00E36759">
      <w:instrText xml:space="preserve"> PAGE   \* MERGEFORMAT </w:instrText>
    </w:r>
    <w:r w:rsidRPr="00E36759">
      <w:fldChar w:fldCharType="separate"/>
    </w:r>
    <w:r>
      <w:t>3</w:t>
    </w:r>
    <w:r w:rsidRPr="00E36759">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624E3" w14:textId="7AAF7AF8" w:rsidR="005A7369" w:rsidRDefault="005A7369" w:rsidP="00E36759">
    <w:pPr>
      <w:pStyle w:val="FooterEvenPage"/>
    </w:pPr>
    <w:r>
      <w:fldChar w:fldCharType="begin"/>
    </w:r>
    <w:r>
      <w:instrText xml:space="preserve"> PAGE   \* MERGEFORMAT </w:instrText>
    </w:r>
    <w:r>
      <w:fldChar w:fldCharType="separate"/>
    </w:r>
    <w:r>
      <w:t>1</w:t>
    </w:r>
    <w:r>
      <w:fldChar w:fldCharType="end"/>
    </w:r>
    <w:r>
      <w:tab/>
      <w:t>Chapter 1</w:t>
    </w:r>
    <w:r>
      <w:tab/>
    </w:r>
    <w:fldSimple w:instr=" DOCPROPERTY  Title  \* MERGEFORMAT ">
      <w:r w:rsidR="00087BE6">
        <w:t>2022 Victorian Economic and Fiscal Update</w:t>
      </w:r>
    </w:fldSimple>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8E608" w14:textId="56467745" w:rsidR="005A7369" w:rsidRPr="00E36759" w:rsidRDefault="002C0DD9" w:rsidP="00E36759">
    <w:pPr>
      <w:pStyle w:val="FooterOddPage"/>
    </w:pPr>
    <w:fldSimple w:instr=" DOCPROPERTY  Title  \* MERGEFORMAT ">
      <w:r w:rsidR="00087BE6">
        <w:t>2022 Victorian Economic and Fiscal Update</w:t>
      </w:r>
    </w:fldSimple>
    <w:r w:rsidR="005A7369" w:rsidRPr="00E36759">
      <w:tab/>
      <w:t xml:space="preserve">Chapter </w:t>
    </w:r>
    <w:r w:rsidR="005A7369">
      <w:t>1</w:t>
    </w:r>
    <w:r w:rsidR="005A7369" w:rsidRPr="00E36759">
      <w:tab/>
    </w:r>
    <w:r w:rsidR="005A7369" w:rsidRPr="00E36759">
      <w:fldChar w:fldCharType="begin"/>
    </w:r>
    <w:r w:rsidR="005A7369" w:rsidRPr="00E36759">
      <w:instrText xml:space="preserve"> PAGE   \* MERGEFORMAT </w:instrText>
    </w:r>
    <w:r w:rsidR="005A7369" w:rsidRPr="00E36759">
      <w:fldChar w:fldCharType="separate"/>
    </w:r>
    <w:r w:rsidR="005A7369" w:rsidRPr="00E36759">
      <w:t>1</w:t>
    </w:r>
    <w:r w:rsidR="005A7369" w:rsidRPr="00E36759">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A23D" w14:textId="6EB6E2CA" w:rsidR="005A7369" w:rsidRDefault="005579A5" w:rsidP="00CD78F6">
    <w:pPr>
      <w:pStyle w:val="FooterOddPage"/>
    </w:pPr>
    <w:r>
      <w:fldChar w:fldCharType="begin"/>
    </w:r>
    <w:r>
      <w:instrText xml:space="preserve"> DOCPROPERTY  Subject  \* MERGEFORMAT </w:instrText>
    </w:r>
    <w:r>
      <w:fldChar w:fldCharType="end"/>
    </w:r>
    <w:r w:rsidR="005A7369" w:rsidRPr="00E36759">
      <w:tab/>
      <w:t>Chapter X</w:t>
    </w:r>
    <w:r w:rsidR="005A7369" w:rsidRPr="00E36759">
      <w:tab/>
      <w:t xml:space="preserve">Page </w:t>
    </w:r>
    <w:r w:rsidR="005A7369" w:rsidRPr="00E36759">
      <w:fldChar w:fldCharType="begin"/>
    </w:r>
    <w:r w:rsidR="005A7369" w:rsidRPr="00E36759">
      <w:instrText xml:space="preserve"> PAGE   \* MERGEFORMAT </w:instrText>
    </w:r>
    <w:r w:rsidR="005A7369" w:rsidRPr="00E36759">
      <w:fldChar w:fldCharType="separate"/>
    </w:r>
    <w:r w:rsidR="005A7369">
      <w:t>3</w:t>
    </w:r>
    <w:r w:rsidR="005A7369" w:rsidRPr="00E36759">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77B7" w14:textId="73911195" w:rsidR="005A7369" w:rsidRDefault="005A7369" w:rsidP="00E36759">
    <w:pPr>
      <w:pStyle w:val="FooterEvenPage"/>
    </w:pPr>
    <w:r>
      <w:fldChar w:fldCharType="begin"/>
    </w:r>
    <w:r>
      <w:instrText xml:space="preserve"> PAGE   \* MERGEFORMAT </w:instrText>
    </w:r>
    <w:r>
      <w:fldChar w:fldCharType="separate"/>
    </w:r>
    <w:r>
      <w:t>1</w:t>
    </w:r>
    <w:r>
      <w:fldChar w:fldCharType="end"/>
    </w:r>
    <w:r>
      <w:tab/>
      <w:t>Chapter 2</w:t>
    </w:r>
    <w:r>
      <w:tab/>
    </w:r>
    <w:fldSimple w:instr=" DOCPROPERTY  Title  \* MERGEFORMAT ">
      <w:r w:rsidR="00087BE6">
        <w:t>2022 Victorian Economic and Fiscal Update</w:t>
      </w:r>
    </w:fldSimple>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1EAF" w14:textId="39D1F786" w:rsidR="005A7369" w:rsidRPr="00E36759" w:rsidRDefault="002C0DD9" w:rsidP="00E36759">
    <w:pPr>
      <w:pStyle w:val="FooterOddPage"/>
    </w:pPr>
    <w:fldSimple w:instr=" DOCPROPERTY  Title  \* MERGEFORMAT ">
      <w:r w:rsidR="00087BE6">
        <w:t>2022 Victorian Economic and Fiscal Update</w:t>
      </w:r>
    </w:fldSimple>
    <w:r w:rsidR="005A7369" w:rsidRPr="00E36759">
      <w:tab/>
      <w:t xml:space="preserve">Chapter </w:t>
    </w:r>
    <w:r w:rsidR="005A7369">
      <w:t>2</w:t>
    </w:r>
    <w:r w:rsidR="005A7369" w:rsidRPr="00E36759">
      <w:tab/>
    </w:r>
    <w:r w:rsidR="005A7369" w:rsidRPr="00E36759">
      <w:fldChar w:fldCharType="begin"/>
    </w:r>
    <w:r w:rsidR="005A7369" w:rsidRPr="00E36759">
      <w:instrText xml:space="preserve"> PAGE   \* MERGEFORMAT </w:instrText>
    </w:r>
    <w:r w:rsidR="005A7369" w:rsidRPr="00E36759">
      <w:fldChar w:fldCharType="separate"/>
    </w:r>
    <w:r w:rsidR="005A7369" w:rsidRPr="00E36759">
      <w:t>1</w:t>
    </w:r>
    <w:r w:rsidR="005A7369" w:rsidRPr="00E36759">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5B168" w14:textId="0BEEC180" w:rsidR="005A7369" w:rsidRDefault="005579A5" w:rsidP="00CD78F6">
    <w:pPr>
      <w:pStyle w:val="FooterOddPage"/>
    </w:pPr>
    <w:r>
      <w:fldChar w:fldCharType="begin"/>
    </w:r>
    <w:r>
      <w:instrText xml:space="preserve"> DOCPROPERTY  Subject  \* MERGEFORMAT </w:instrText>
    </w:r>
    <w:r>
      <w:fldChar w:fldCharType="end"/>
    </w:r>
    <w:r w:rsidR="005A7369" w:rsidRPr="00E36759">
      <w:tab/>
      <w:t>Chapter X</w:t>
    </w:r>
    <w:r w:rsidR="005A7369" w:rsidRPr="00E36759">
      <w:tab/>
      <w:t xml:space="preserve">Page </w:t>
    </w:r>
    <w:r w:rsidR="005A7369" w:rsidRPr="00E36759">
      <w:fldChar w:fldCharType="begin"/>
    </w:r>
    <w:r w:rsidR="005A7369" w:rsidRPr="00E36759">
      <w:instrText xml:space="preserve"> PAGE   \* MERGEFORMAT </w:instrText>
    </w:r>
    <w:r w:rsidR="005A7369" w:rsidRPr="00E36759">
      <w:fldChar w:fldCharType="separate"/>
    </w:r>
    <w:r w:rsidR="005A7369">
      <w:t>3</w:t>
    </w:r>
    <w:r w:rsidR="005A7369" w:rsidRPr="00E36759">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B1DA2" w14:textId="53A0E8AC" w:rsidR="00C424E5" w:rsidRDefault="00C424E5" w:rsidP="00096395">
    <w:pPr>
      <w:pStyle w:val="FooterEvenPage"/>
    </w:pPr>
    <w:r>
      <w:fldChar w:fldCharType="begin"/>
    </w:r>
    <w:r>
      <w:instrText xml:space="preserve"> PAGE   \* MERGEFORMAT </w:instrText>
    </w:r>
    <w:r>
      <w:fldChar w:fldCharType="separate"/>
    </w:r>
    <w:r>
      <w:t>1</w:t>
    </w:r>
    <w:r>
      <w:fldChar w:fldCharType="end"/>
    </w:r>
    <w:r>
      <w:tab/>
      <w:t>Chapter 3</w:t>
    </w:r>
    <w:r>
      <w:tab/>
    </w:r>
    <w:fldSimple w:instr=" DOCPROPERTY  Title  \* MERGEFORMAT ">
      <w:r w:rsidR="00087BE6">
        <w:t>2022 Victorian Economic and Fiscal Update</w:t>
      </w:r>
    </w:fldSimple>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017C" w14:textId="41629F9C" w:rsidR="00C424E5" w:rsidRPr="00096395" w:rsidRDefault="002C0DD9" w:rsidP="00096395">
    <w:pPr>
      <w:pStyle w:val="FooterOddPage"/>
    </w:pPr>
    <w:fldSimple w:instr=" DOCPROPERTY  Title  \* MERGEFORMAT ">
      <w:r w:rsidR="00087BE6">
        <w:t>2022 Victorian Economic and Fiscal Update</w:t>
      </w:r>
    </w:fldSimple>
    <w:r w:rsidR="00C424E5" w:rsidRPr="00096395">
      <w:tab/>
      <w:t>Chapter 3</w:t>
    </w:r>
    <w:r w:rsidR="00C424E5" w:rsidRPr="00096395">
      <w:tab/>
    </w:r>
    <w:r w:rsidR="00C424E5" w:rsidRPr="00096395">
      <w:fldChar w:fldCharType="begin"/>
    </w:r>
    <w:r w:rsidR="00C424E5" w:rsidRPr="00096395">
      <w:instrText xml:space="preserve"> PAGE   \* MERGEFORMAT </w:instrText>
    </w:r>
    <w:r w:rsidR="00C424E5" w:rsidRPr="00096395">
      <w:fldChar w:fldCharType="separate"/>
    </w:r>
    <w:r w:rsidR="00C424E5" w:rsidRPr="00096395">
      <w:t>1</w:t>
    </w:r>
    <w:r w:rsidR="00C424E5" w:rsidRPr="00096395">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E33E" w14:textId="77777777" w:rsidR="00C424E5" w:rsidRPr="00647267" w:rsidRDefault="00C424E5" w:rsidP="00647267">
    <w:pPr>
      <w:pStyle w:val="FooterEvenPage"/>
    </w:pPr>
    <w:r>
      <w:t xml:space="preserve">Page </w:t>
    </w:r>
    <w:r>
      <w:fldChar w:fldCharType="begin"/>
    </w:r>
    <w:r>
      <w:instrText xml:space="preserve"> PAGE   \* MERGEFORMAT </w:instrText>
    </w:r>
    <w:r>
      <w:fldChar w:fldCharType="separate"/>
    </w:r>
    <w:r>
      <w:t>14</w:t>
    </w:r>
    <w:r>
      <w:fldChar w:fldCharType="end"/>
    </w:r>
    <w:r>
      <w:tab/>
      <w:t>Chapter 3</w:t>
    </w:r>
    <w:r>
      <w:tab/>
    </w:r>
    <w:r w:rsidRPr="00AC183C">
      <w:t>2022 Victorian Economic and Fiscal Update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ED89" w14:textId="77777777" w:rsidR="00D01AF0" w:rsidRDefault="00D01AF0" w:rsidP="00D01AF0">
    <w:pPr>
      <w:pStyle w:val="Footer"/>
      <w:pBdr>
        <w:top w:val="none" w:sz="0" w:space="0" w:color="auto"/>
      </w:pBd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EF65E" w14:textId="77777777" w:rsidR="00C424E5" w:rsidRPr="00647267" w:rsidRDefault="00C424E5" w:rsidP="00647267">
    <w:pPr>
      <w:pStyle w:val="FooterEvenPage"/>
    </w:pPr>
    <w:r>
      <w:t xml:space="preserve">Page </w:t>
    </w:r>
    <w:r>
      <w:fldChar w:fldCharType="begin"/>
    </w:r>
    <w:r>
      <w:instrText xml:space="preserve"> PAGE   \* MERGEFORMAT </w:instrText>
    </w:r>
    <w:r>
      <w:fldChar w:fldCharType="separate"/>
    </w:r>
    <w:r>
      <w:t>14</w:t>
    </w:r>
    <w:r>
      <w:fldChar w:fldCharType="end"/>
    </w:r>
    <w:r>
      <w:tab/>
      <w:t>Chapter 4</w:t>
    </w:r>
    <w:r>
      <w:tab/>
    </w:r>
    <w:r w:rsidRPr="00AC183C">
      <w:t>2022 Victorian Economic and Fiscal Update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E84EF" w14:textId="77777777" w:rsidR="00C424E5" w:rsidRPr="00647267" w:rsidRDefault="00C424E5" w:rsidP="00647267">
    <w:pPr>
      <w:pStyle w:val="FooterEvenPage"/>
    </w:pPr>
    <w:r>
      <w:t xml:space="preserve">Page </w:t>
    </w:r>
    <w:r>
      <w:fldChar w:fldCharType="begin"/>
    </w:r>
    <w:r>
      <w:instrText xml:space="preserve"> PAGE   \* MERGEFORMAT </w:instrText>
    </w:r>
    <w:r>
      <w:fldChar w:fldCharType="separate"/>
    </w:r>
    <w:r>
      <w:t>14</w:t>
    </w:r>
    <w:r>
      <w:fldChar w:fldCharType="end"/>
    </w:r>
    <w:r>
      <w:tab/>
      <w:t>Chapter 3</w:t>
    </w:r>
    <w:r>
      <w:tab/>
    </w:r>
    <w:r w:rsidRPr="00AC183C">
      <w:t>2022 Victorian Economic and Fiscal Update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B5213" w14:textId="77777777" w:rsidR="00C424E5" w:rsidRPr="001D3DBA" w:rsidRDefault="00C424E5" w:rsidP="001D3DBA">
    <w:pPr>
      <w:pStyle w:val="FooterOddPage"/>
    </w:pPr>
    <w:r w:rsidRPr="00675B4A">
      <w:t>2022 Victorian Economic and Fiscal Update</w:t>
    </w:r>
    <w:r w:rsidRPr="00E36759">
      <w:tab/>
      <w:t xml:space="preserve">Chapter </w:t>
    </w:r>
    <w:r>
      <w:t>3</w:t>
    </w:r>
    <w:r w:rsidRPr="00E36759">
      <w:tab/>
      <w:t xml:space="preserve">Page </w:t>
    </w:r>
    <w:r w:rsidRPr="00E36759">
      <w:fldChar w:fldCharType="begin"/>
    </w:r>
    <w:r w:rsidRPr="00E36759">
      <w:instrText xml:space="preserve"> PAGE   \* MERGEFORMAT </w:instrText>
    </w:r>
    <w:r w:rsidRPr="00E36759">
      <w:fldChar w:fldCharType="separate"/>
    </w:r>
    <w:r>
      <w:t>15</w:t>
    </w:r>
    <w:r w:rsidRPr="00E36759">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DDDE3" w14:textId="1BDA5D3E" w:rsidR="005A7369" w:rsidRDefault="006C0754" w:rsidP="00CD78F6">
    <w:pPr>
      <w:pStyle w:val="FooterOddPage"/>
    </w:pPr>
    <w:r>
      <w:fldChar w:fldCharType="begin"/>
    </w:r>
    <w:r>
      <w:instrText xml:space="preserve"> DOCPROPERTY  Subject  \* MERGEFORMAT </w:instrText>
    </w:r>
    <w:r>
      <w:fldChar w:fldCharType="end"/>
    </w:r>
    <w:r w:rsidR="005A7369" w:rsidRPr="00E36759">
      <w:tab/>
      <w:t>Chapter X</w:t>
    </w:r>
    <w:r w:rsidR="005A7369" w:rsidRPr="00E36759">
      <w:tab/>
      <w:t xml:space="preserve">Page </w:t>
    </w:r>
    <w:r w:rsidR="005A7369" w:rsidRPr="00E36759">
      <w:fldChar w:fldCharType="begin"/>
    </w:r>
    <w:r w:rsidR="005A7369" w:rsidRPr="00E36759">
      <w:instrText xml:space="preserve"> PAGE   \* MERGEFORMAT </w:instrText>
    </w:r>
    <w:r w:rsidR="005A7369" w:rsidRPr="00E36759">
      <w:fldChar w:fldCharType="separate"/>
    </w:r>
    <w:r w:rsidR="005A7369">
      <w:t>3</w:t>
    </w:r>
    <w:r w:rsidR="005A7369" w:rsidRPr="00E36759">
      <w:fldChar w:fldCharType="end"/>
    </w:r>
  </w:p>
  <w:p w14:paraId="1CBF2CD4" w14:textId="77777777" w:rsidR="0026369B" w:rsidRDefault="0026369B"/>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1B63" w14:textId="300D8353" w:rsidR="005A7369" w:rsidRPr="00CD0B31" w:rsidRDefault="005A7369" w:rsidP="00CD0B31">
    <w:pPr>
      <w:pStyle w:val="FooterEvenPage"/>
    </w:pPr>
    <w:r>
      <w:fldChar w:fldCharType="begin"/>
    </w:r>
    <w:r>
      <w:instrText xml:space="preserve"> PAGE   \* MERGEFORMAT </w:instrText>
    </w:r>
    <w:r>
      <w:fldChar w:fldCharType="separate"/>
    </w:r>
    <w:r>
      <w:t>1</w:t>
    </w:r>
    <w:r>
      <w:fldChar w:fldCharType="end"/>
    </w:r>
    <w:r>
      <w:tab/>
      <w:t>Chapter 4</w:t>
    </w:r>
    <w:r>
      <w:tab/>
    </w:r>
    <w:fldSimple w:instr=" DOCPROPERTY  Title  \* MERGEFORMAT ">
      <w:r w:rsidR="00087BE6">
        <w:t>2022 Victorian Economic and Fiscal Update</w:t>
      </w:r>
    </w:fldSimple>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7D68E" w14:textId="25298658" w:rsidR="005A7369" w:rsidRPr="00E36759" w:rsidRDefault="002C0DD9" w:rsidP="0020345D">
    <w:pPr>
      <w:pStyle w:val="FooterOddPage"/>
    </w:pPr>
    <w:fldSimple w:instr=" DOCPROPERTY  Title  \* MERGEFORMAT ">
      <w:r w:rsidR="00087BE6">
        <w:t>2022 Victorian Economic and Fiscal Update</w:t>
      </w:r>
    </w:fldSimple>
    <w:r w:rsidR="005A7369" w:rsidRPr="00E36759">
      <w:tab/>
      <w:t xml:space="preserve">Chapter </w:t>
    </w:r>
    <w:r w:rsidR="005A7369">
      <w:t>4</w:t>
    </w:r>
    <w:r w:rsidR="005A7369" w:rsidRPr="00E36759">
      <w:tab/>
    </w:r>
    <w:r w:rsidR="005A7369" w:rsidRPr="00E36759">
      <w:fldChar w:fldCharType="begin"/>
    </w:r>
    <w:r w:rsidR="005A7369" w:rsidRPr="00E36759">
      <w:instrText xml:space="preserve"> PAGE   \* MERGEFORMAT </w:instrText>
    </w:r>
    <w:r w:rsidR="005A7369" w:rsidRPr="00E36759">
      <w:fldChar w:fldCharType="separate"/>
    </w:r>
    <w:r w:rsidR="005A7369" w:rsidRPr="00E36759">
      <w:t>1</w:t>
    </w:r>
    <w:r w:rsidR="005A7369" w:rsidRPr="00E36759">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4D6F8" w14:textId="1E6E69AB" w:rsidR="005A7369" w:rsidRPr="00647267" w:rsidRDefault="005A7369" w:rsidP="0031078F">
    <w:pPr>
      <w:pStyle w:val="FooterEvenPage"/>
    </w:pPr>
    <w:r>
      <w:t xml:space="preserve">Page </w:t>
    </w:r>
    <w:r>
      <w:fldChar w:fldCharType="begin"/>
    </w:r>
    <w:r>
      <w:instrText xml:space="preserve"> PAGE   \* MERGEFORMAT </w:instrText>
    </w:r>
    <w:r>
      <w:fldChar w:fldCharType="separate"/>
    </w:r>
    <w:r>
      <w:t>14</w:t>
    </w:r>
    <w:r>
      <w:fldChar w:fldCharType="end"/>
    </w:r>
    <w:r>
      <w:tab/>
      <w:t>Chapter 4</w:t>
    </w:r>
    <w:r>
      <w:tab/>
    </w:r>
    <w:r w:rsidR="006C0754">
      <w:fldChar w:fldCharType="begin"/>
    </w:r>
    <w:r w:rsidR="006C0754">
      <w:instrText xml:space="preserve"> DOCPROPERTY </w:instrText>
    </w:r>
    <w:r w:rsidR="00901119">
      <w:instrText>Title</w:instrText>
    </w:r>
    <w:r w:rsidR="006C0754">
      <w:instrText xml:space="preserve">  \* MERGEFORMAT </w:instrText>
    </w:r>
    <w:r w:rsidR="006C0754">
      <w:fldChar w:fldCharType="separate"/>
    </w:r>
    <w:r w:rsidR="00087BE6">
      <w:t>2022 Victorian Economic and Fiscal Update</w:t>
    </w:r>
    <w:r w:rsidR="006C0754">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183E1" w14:textId="6BECE555" w:rsidR="005A7369" w:rsidRPr="002C530B" w:rsidRDefault="005A7369" w:rsidP="0031078F">
    <w:pPr>
      <w:pStyle w:val="FooterEvenPage"/>
    </w:pPr>
    <w:r w:rsidRPr="002C530B">
      <w:fldChar w:fldCharType="begin"/>
    </w:r>
    <w:r w:rsidRPr="002C530B">
      <w:instrText xml:space="preserve"> PAGE </w:instrText>
    </w:r>
    <w:r w:rsidRPr="002C530B">
      <w:fldChar w:fldCharType="separate"/>
    </w:r>
    <w:r w:rsidRPr="002C530B">
      <w:t>2</w:t>
    </w:r>
    <w:r w:rsidRPr="002C530B">
      <w:fldChar w:fldCharType="end"/>
    </w:r>
    <w:r w:rsidRPr="002C530B">
      <w:tab/>
    </w:r>
    <w:r>
      <w:t>Appendix A</w:t>
    </w:r>
    <w:r w:rsidRPr="002C530B">
      <w:tab/>
    </w:r>
    <w:fldSimple w:instr=" DOCPROPERTY  Title  \* MERGEFORMAT ">
      <w:r w:rsidR="00087BE6">
        <w:t>2022 Victorian Economic and Fiscal Update</w:t>
      </w:r>
    </w:fldSimple>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06EC" w14:textId="3FCB0CEE" w:rsidR="005A7369" w:rsidRPr="00E36759" w:rsidRDefault="002C0DD9" w:rsidP="00CD0B31">
    <w:pPr>
      <w:pStyle w:val="FooterOddPage"/>
    </w:pPr>
    <w:fldSimple w:instr=" DOCPROPERTY  Title  \* MERGEFORMAT ">
      <w:r w:rsidR="00087BE6">
        <w:t>2022 Victorian Economic and Fiscal Update</w:t>
      </w:r>
    </w:fldSimple>
    <w:r w:rsidR="005A7369" w:rsidRPr="00E36759">
      <w:tab/>
    </w:r>
    <w:r w:rsidR="005A7369">
      <w:t>Appendix A</w:t>
    </w:r>
    <w:r w:rsidR="005A7369" w:rsidRPr="00E36759">
      <w:tab/>
    </w:r>
    <w:r w:rsidR="005A7369" w:rsidRPr="00E36759">
      <w:fldChar w:fldCharType="begin"/>
    </w:r>
    <w:r w:rsidR="005A7369" w:rsidRPr="00E36759">
      <w:instrText xml:space="preserve"> PAGE   \* MERGEFORMAT </w:instrText>
    </w:r>
    <w:r w:rsidR="005A7369" w:rsidRPr="00E36759">
      <w:fldChar w:fldCharType="separate"/>
    </w:r>
    <w:r w:rsidR="005A7369" w:rsidRPr="00E36759">
      <w:t>1</w:t>
    </w:r>
    <w:r w:rsidR="005A7369" w:rsidRPr="00E36759">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F039" w14:textId="23CC224C" w:rsidR="005A7369" w:rsidRPr="00647267" w:rsidRDefault="005A7369" w:rsidP="0031078F">
    <w:pPr>
      <w:pStyle w:val="FooterEvenPage"/>
    </w:pPr>
    <w:r>
      <w:t xml:space="preserve">Page </w:t>
    </w:r>
    <w:r>
      <w:fldChar w:fldCharType="begin"/>
    </w:r>
    <w:r>
      <w:instrText xml:space="preserve"> PAGE   \* MERGEFORMAT </w:instrText>
    </w:r>
    <w:r>
      <w:fldChar w:fldCharType="separate"/>
    </w:r>
    <w:r>
      <w:t>14</w:t>
    </w:r>
    <w:r>
      <w:fldChar w:fldCharType="end"/>
    </w:r>
    <w:r>
      <w:tab/>
      <w:t>Chapter 4</w:t>
    </w:r>
    <w:r>
      <w:tab/>
    </w:r>
    <w:r w:rsidR="005579A5">
      <w:fldChar w:fldCharType="begin"/>
    </w:r>
    <w:r w:rsidR="005579A5">
      <w:instrText xml:space="preserve"> DOCPROPERTY  Subject  \* MERGEFORMAT </w:instrText>
    </w:r>
    <w:r w:rsidR="005579A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CF54" w14:textId="77777777" w:rsidR="00087BE6" w:rsidRDefault="00087BE6">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A13A0" w14:textId="39FEEC97" w:rsidR="005A7369" w:rsidRPr="002C530B" w:rsidRDefault="009A0702" w:rsidP="009A0702">
    <w:pPr>
      <w:pStyle w:val="FooterEvenPage"/>
    </w:pPr>
    <w:r w:rsidRPr="002C530B">
      <w:fldChar w:fldCharType="begin"/>
    </w:r>
    <w:r w:rsidRPr="002C530B">
      <w:instrText xml:space="preserve"> PAGE </w:instrText>
    </w:r>
    <w:r w:rsidRPr="002C530B">
      <w:fldChar w:fldCharType="separate"/>
    </w:r>
    <w:r>
      <w:t>92</w:t>
    </w:r>
    <w:r w:rsidRPr="002C530B">
      <w:fldChar w:fldCharType="end"/>
    </w:r>
    <w:r w:rsidR="005A7369" w:rsidRPr="002C530B">
      <w:tab/>
    </w:r>
    <w:r w:rsidR="005A7369">
      <w:t xml:space="preserve">Appendix </w:t>
    </w:r>
    <w:r w:rsidR="00CD0B31">
      <w:t>B</w:t>
    </w:r>
    <w:r w:rsidR="005A7369" w:rsidRPr="002C530B">
      <w:tab/>
    </w:r>
    <w:fldSimple w:instr=" DOCPROPERTY  Title  \* MERGEFORMAT ">
      <w:r w:rsidR="00087BE6">
        <w:t>2022 Victorian Economic and Fiscal Update</w:t>
      </w:r>
    </w:fldSimple>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ED122" w14:textId="093D025D" w:rsidR="005A7369" w:rsidRPr="002C530B" w:rsidRDefault="002C0DD9" w:rsidP="0031078F">
    <w:pPr>
      <w:pStyle w:val="FooterOddPage"/>
    </w:pPr>
    <w:fldSimple w:instr=" DOCPROPERTY  Title  \* MERGEFORMAT ">
      <w:r w:rsidR="00087BE6">
        <w:t>2022 Victorian Economic and Fiscal Update</w:t>
      </w:r>
    </w:fldSimple>
    <w:r w:rsidR="005A7369" w:rsidRPr="002C530B">
      <w:tab/>
    </w:r>
    <w:r w:rsidR="005A7369">
      <w:t xml:space="preserve">Appendix </w:t>
    </w:r>
    <w:r w:rsidR="009A0702">
      <w:t>B</w:t>
    </w:r>
    <w:r w:rsidR="005A7369" w:rsidRPr="002C530B">
      <w:tab/>
    </w:r>
    <w:r w:rsidR="005A7369" w:rsidRPr="002C530B">
      <w:fldChar w:fldCharType="begin"/>
    </w:r>
    <w:r w:rsidR="005A7369" w:rsidRPr="002C530B">
      <w:instrText xml:space="preserve"> PAGE </w:instrText>
    </w:r>
    <w:r w:rsidR="005A7369" w:rsidRPr="002C530B">
      <w:fldChar w:fldCharType="separate"/>
    </w:r>
    <w:r w:rsidR="005A7369" w:rsidRPr="002C530B">
      <w:t>1</w:t>
    </w:r>
    <w:r w:rsidR="005A7369" w:rsidRPr="002C530B">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59F0A" w14:textId="2DF3301B" w:rsidR="00E00690" w:rsidRPr="00B8555F" w:rsidRDefault="00E00690" w:rsidP="00E00690"/>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96369" w14:textId="2EDE4177" w:rsidR="0020345D" w:rsidRPr="0020345D" w:rsidRDefault="002C0DD9" w:rsidP="00444BC7">
    <w:pPr>
      <w:pStyle w:val="FooterOddPage"/>
    </w:pPr>
    <w:fldSimple w:instr=" DOCPROPERTY  Title  \* MERGEFORMAT ">
      <w:r w:rsidR="00087BE6">
        <w:t>2022 Victorian Economic and Fiscal Update</w:t>
      </w:r>
    </w:fldSimple>
    <w:r w:rsidR="00444BC7" w:rsidRPr="002C530B">
      <w:tab/>
    </w:r>
    <w:r w:rsidR="00444BC7">
      <w:t>Style conventions</w:t>
    </w:r>
    <w:r w:rsidR="00444BC7" w:rsidRPr="002C530B">
      <w:tab/>
    </w:r>
    <w:r w:rsidR="00444BC7" w:rsidRPr="002C530B">
      <w:fldChar w:fldCharType="begin"/>
    </w:r>
    <w:r w:rsidR="00444BC7" w:rsidRPr="002C530B">
      <w:instrText xml:space="preserve"> PAGE </w:instrText>
    </w:r>
    <w:r w:rsidR="00444BC7" w:rsidRPr="002C530B">
      <w:fldChar w:fldCharType="separate"/>
    </w:r>
    <w:r w:rsidR="00444BC7">
      <w:t>121</w:t>
    </w:r>
    <w:r w:rsidR="00444BC7" w:rsidRPr="002C530B">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CAACD" w14:textId="77777777" w:rsidR="00D01AF0" w:rsidRDefault="00D01AF0" w:rsidP="00D01AF0">
    <w:pPr>
      <w:pStyle w:val="Footer"/>
      <w:pBdr>
        <w:top w:val="none" w:sz="0" w:space="0" w:color="auto"/>
      </w:pBd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C83C" w14:textId="79777FBF" w:rsidR="005A7369" w:rsidRPr="00D57611" w:rsidRDefault="005A7369" w:rsidP="00D5761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462DD" w14:textId="76CD7A36" w:rsidR="005A7369" w:rsidRPr="00D57611" w:rsidRDefault="005A7369" w:rsidP="00D5761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2DC4" w14:textId="788AA20B" w:rsidR="005A7369" w:rsidRPr="00D57611" w:rsidRDefault="005A7369" w:rsidP="00D5761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5EE5" w14:textId="5ED34D1D" w:rsidR="00B70498" w:rsidRDefault="00B70498" w:rsidP="00E36759">
    <w:pPr>
      <w:pStyle w:val="FooterEvenPage"/>
    </w:pPr>
    <w:r>
      <w:fldChar w:fldCharType="begin"/>
    </w:r>
    <w:r>
      <w:instrText xml:space="preserve"> PAGE   \* MERGEFORMAT </w:instrText>
    </w:r>
    <w:r>
      <w:fldChar w:fldCharType="separate"/>
    </w:r>
    <w:r>
      <w:t>1</w:t>
    </w:r>
    <w:r>
      <w:fldChar w:fldCharType="end"/>
    </w:r>
    <w:r>
      <w:tab/>
    </w:r>
    <w:r w:rsidR="00CC4889">
      <w:t>Overview</w:t>
    </w:r>
    <w:r>
      <w:tab/>
    </w:r>
    <w:fldSimple w:instr=" DOCPROPERTY  Title  \* MERGEFORMAT ">
      <w:r w:rsidR="00087BE6">
        <w:t>2022 Victorian Economic and Fiscal Update</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A886" w14:textId="674CD39A" w:rsidR="00B70498" w:rsidRPr="00E36759" w:rsidRDefault="002C0DD9" w:rsidP="00E36759">
    <w:pPr>
      <w:pStyle w:val="FooterOddPage"/>
    </w:pPr>
    <w:fldSimple w:instr=" DOCPROPERTY  Title  \* MERGEFORMAT ">
      <w:r w:rsidR="00087BE6">
        <w:t>2022 Victorian Economic and Fiscal Update</w:t>
      </w:r>
    </w:fldSimple>
    <w:r w:rsidR="00B70498" w:rsidRPr="00E36759">
      <w:tab/>
    </w:r>
    <w:r w:rsidR="00CC4889">
      <w:t>Overview</w:t>
    </w:r>
    <w:r w:rsidR="00B70498" w:rsidRPr="00E36759">
      <w:tab/>
    </w:r>
    <w:r w:rsidR="00B70498" w:rsidRPr="00E36759">
      <w:fldChar w:fldCharType="begin"/>
    </w:r>
    <w:r w:rsidR="00B70498" w:rsidRPr="00E36759">
      <w:instrText xml:space="preserve"> PAGE   \* MERGEFORMAT </w:instrText>
    </w:r>
    <w:r w:rsidR="00B70498" w:rsidRPr="00E36759">
      <w:fldChar w:fldCharType="separate"/>
    </w:r>
    <w:r w:rsidR="00B70498" w:rsidRPr="00E36759">
      <w:t>1</w:t>
    </w:r>
    <w:r w:rsidR="00B70498" w:rsidRPr="00E3675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41B2D" w14:textId="77777777" w:rsidR="005A7369" w:rsidRDefault="005A7369" w:rsidP="00F2052E">
      <w:pPr>
        <w:spacing w:before="0"/>
      </w:pPr>
      <w:r>
        <w:separator/>
      </w:r>
    </w:p>
  </w:footnote>
  <w:footnote w:type="continuationSeparator" w:id="0">
    <w:p w14:paraId="06567A87" w14:textId="77777777" w:rsidR="005A7369" w:rsidRDefault="005A7369" w:rsidP="00F2052E">
      <w:pPr>
        <w:spacing w:before="0"/>
      </w:pPr>
      <w:r>
        <w:continuationSeparator/>
      </w:r>
    </w:p>
  </w:footnote>
  <w:footnote w:id="1">
    <w:p w14:paraId="11CBE905" w14:textId="77777777" w:rsidR="009A0702" w:rsidRDefault="009A0702" w:rsidP="00F22EE1">
      <w:pPr>
        <w:pStyle w:val="FootnoteText"/>
      </w:pPr>
      <w:r>
        <w:rPr>
          <w:rStyle w:val="FootnoteReference"/>
        </w:rPr>
        <w:footnoteRef/>
      </w:r>
      <w:r>
        <w:t xml:space="preserve"> The Department of Treasury and Finance maintains a set of elasticities covering the relationships between major economic parameters and revenue and expenditure lines, including superannuation, and dividends and income tax equivalents from the public financial and non-financial corporations.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31FFF" w14:textId="77777777" w:rsidR="00087BE6" w:rsidRDefault="00087B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06F0" w14:textId="77777777" w:rsidR="00087BE6" w:rsidRDefault="00087B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8C3A7" w14:textId="77777777" w:rsidR="00087BE6" w:rsidRDefault="00087B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9C4D" w14:textId="77777777" w:rsidR="005A7369" w:rsidRPr="007D4EBC" w:rsidRDefault="005A7369" w:rsidP="007D4EB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02E15" w14:textId="77777777" w:rsidR="005A7369" w:rsidRPr="00637E59" w:rsidRDefault="005A7369" w:rsidP="00637E59">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9AA16" w14:textId="77777777" w:rsidR="00C424E5" w:rsidRDefault="00C424E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00211" w14:textId="77777777" w:rsidR="00C424E5" w:rsidRDefault="00C424E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B113" w14:textId="77777777" w:rsidR="00C424E5" w:rsidRDefault="00C42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CAE811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DD2A4B2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D0E18D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0B7BBB"/>
    <w:multiLevelType w:val="multilevel"/>
    <w:tmpl w:val="42E253BE"/>
    <w:styleLink w:val="A"/>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03CA09F2"/>
    <w:multiLevelType w:val="singleLevel"/>
    <w:tmpl w:val="3AE00BBA"/>
    <w:lvl w:ilvl="0">
      <w:start w:val="1"/>
      <w:numFmt w:val="bullet"/>
      <w:lvlText w:val=""/>
      <w:lvlJc w:val="left"/>
      <w:pPr>
        <w:tabs>
          <w:tab w:val="num" w:pos="360"/>
        </w:tabs>
        <w:ind w:left="360" w:hanging="360"/>
      </w:pPr>
      <w:rPr>
        <w:rFonts w:ascii="Symbol" w:hAnsi="Symbol" w:hint="default"/>
        <w:sz w:val="16"/>
      </w:rPr>
    </w:lvl>
  </w:abstractNum>
  <w:abstractNum w:abstractNumId="6" w15:restartNumberingAfterBreak="0">
    <w:nsid w:val="06EE77F9"/>
    <w:multiLevelType w:val="multilevel"/>
    <w:tmpl w:val="F104AB12"/>
    <w:lvl w:ilvl="0">
      <w:start w:val="1"/>
      <w:numFmt w:val="decimal"/>
      <w:lvlText w:val="%1."/>
      <w:lvlJc w:val="left"/>
      <w:pPr>
        <w:ind w:left="397" w:hanging="397"/>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7BB4F5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F0443E2"/>
    <w:multiLevelType w:val="hybridMultilevel"/>
    <w:tmpl w:val="0BB8CEE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 w15:restartNumberingAfterBreak="0">
    <w:nsid w:val="26C937B4"/>
    <w:multiLevelType w:val="hybridMultilevel"/>
    <w:tmpl w:val="2CE0FB82"/>
    <w:lvl w:ilvl="0" w:tplc="E82A48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3B293C"/>
    <w:multiLevelType w:val="hybridMultilevel"/>
    <w:tmpl w:val="B540C8D6"/>
    <w:lvl w:ilvl="0" w:tplc="BF24713E">
      <w:start w:val="1"/>
      <w:numFmt w:val="bullet"/>
      <w:lvlText w:val=""/>
      <w:lvlJc w:val="left"/>
      <w:pPr>
        <w:tabs>
          <w:tab w:val="num" w:pos="426"/>
        </w:tabs>
        <w:ind w:left="42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8DD71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901256"/>
    <w:multiLevelType w:val="multilevel"/>
    <w:tmpl w:val="B36E24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B6D27D6"/>
    <w:multiLevelType w:val="multilevel"/>
    <w:tmpl w:val="69FA1FC4"/>
    <w:styleLink w:val="ListNotes"/>
    <w:lvl w:ilvl="0">
      <w:start w:val="1"/>
      <w:numFmt w:val="none"/>
      <w:lvlText w:val=""/>
      <w:lvlJc w:val="left"/>
      <w:pPr>
        <w:ind w:left="360" w:hanging="360"/>
      </w:pPr>
      <w:rPr>
        <w:rFonts w:hint="default"/>
      </w:rPr>
    </w:lvl>
    <w:lvl w:ilvl="1">
      <w:start w:val="1"/>
      <w:numFmt w:val="none"/>
      <w:lvlText w:val="–"/>
      <w:lvlJc w:val="left"/>
      <w:pPr>
        <w:ind w:left="454" w:hanging="17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EFC2ED0"/>
    <w:multiLevelType w:val="multilevel"/>
    <w:tmpl w:val="EC9019A2"/>
    <w:styleLink w:val="HeadingNumbering"/>
    <w:lvl w:ilvl="0">
      <w:start w:val="1"/>
      <w:numFmt w:val="decimal"/>
      <w:pStyle w:val="Heading1"/>
      <w:lvlText w:val="%1."/>
      <w:lvlJc w:val="left"/>
      <w:pPr>
        <w:ind w:left="397" w:hanging="397"/>
      </w:pPr>
      <w:rPr>
        <w:rFonts w:hint="default"/>
      </w:rPr>
    </w:lvl>
    <w:lvl w:ilvl="1">
      <w:start w:val="1"/>
      <w:numFmt w:val="decimal"/>
      <w:pStyle w:val="Heading2"/>
      <w:lvlText w:val="%1.%2"/>
      <w:lvlJc w:val="left"/>
      <w:pPr>
        <w:ind w:left="624" w:hanging="624"/>
      </w:pPr>
      <w:rPr>
        <w:rFonts w:hint="default"/>
      </w:rPr>
    </w:lvl>
    <w:lvl w:ilvl="2">
      <w:start w:val="1"/>
      <w:numFmt w:val="decimal"/>
      <w:pStyle w:val="Heading3"/>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1B22F78"/>
    <w:multiLevelType w:val="multilevel"/>
    <w:tmpl w:val="A3E2C706"/>
    <w:styleLink w:val="ListNumbering"/>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7" w:hanging="283"/>
      </w:pPr>
      <w:rPr>
        <w:rFonts w:hint="default"/>
      </w:rPr>
    </w:lvl>
    <w:lvl w:ilvl="2">
      <w:start w:val="1"/>
      <w:numFmt w:val="lowerRoman"/>
      <w:pStyle w:val="ListNumber3"/>
      <w:lvlText w:val="%3."/>
      <w:lvlJc w:val="left"/>
      <w:pPr>
        <w:ind w:left="851"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2203926"/>
    <w:multiLevelType w:val="hybridMultilevel"/>
    <w:tmpl w:val="2E5248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32940CD5"/>
    <w:multiLevelType w:val="multilevel"/>
    <w:tmpl w:val="5E22C0F8"/>
    <w:styleLink w:val="Bulle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363C4A03"/>
    <w:multiLevelType w:val="multilevel"/>
    <w:tmpl w:val="C4383D94"/>
    <w:lvl w:ilvl="0">
      <w:start w:val="1"/>
      <w:numFmt w:val="bullet"/>
      <w:lvlText w:val=""/>
      <w:lvlJc w:val="left"/>
      <w:pPr>
        <w:ind w:left="284" w:hanging="284"/>
      </w:pPr>
      <w:rPr>
        <w:rFonts w:ascii="Symbol" w:hAnsi="Symbol" w:hint="default"/>
      </w:rPr>
    </w:lvl>
    <w:lvl w:ilvl="1">
      <w:start w:val="1"/>
      <w:numFmt w:val="none"/>
      <w:lvlText w:val="–"/>
      <w:lvlJc w:val="left"/>
      <w:pPr>
        <w:ind w:left="567" w:hanging="283"/>
      </w:pPr>
      <w:rPr>
        <w:rFonts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BC4409"/>
    <w:multiLevelType w:val="hybridMultilevel"/>
    <w:tmpl w:val="84ECE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4F7386"/>
    <w:multiLevelType w:val="multilevel"/>
    <w:tmpl w:val="7500EB92"/>
    <w:styleLink w:val="Number"/>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7F969AD"/>
    <w:multiLevelType w:val="multilevel"/>
    <w:tmpl w:val="FC004AA0"/>
    <w:lvl w:ilvl="0">
      <w:start w:val="1"/>
      <w:numFmt w:val="bullet"/>
      <w:lvlText w:val=""/>
      <w:lvlJc w:val="left"/>
      <w:pPr>
        <w:ind w:left="284" w:hanging="284"/>
      </w:pPr>
      <w:rPr>
        <w:rFonts w:ascii="Symbol" w:hAnsi="Symbol" w:hint="default"/>
      </w:rPr>
    </w:lvl>
    <w:lvl w:ilvl="1">
      <w:start w:val="1"/>
      <w:numFmt w:val="none"/>
      <w:lvlText w:val="–"/>
      <w:lvlJc w:val="left"/>
      <w:pPr>
        <w:ind w:left="567" w:hanging="283"/>
      </w:pPr>
      <w:rPr>
        <w:rFonts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157CA1"/>
    <w:multiLevelType w:val="multilevel"/>
    <w:tmpl w:val="292E3846"/>
    <w:styleLink w:val="ListContinueIndents"/>
    <w:lvl w:ilvl="0">
      <w:start w:val="1"/>
      <w:numFmt w:val="none"/>
      <w:pStyle w:val="ListContinue"/>
      <w:lvlText w:val="%1"/>
      <w:lvlJc w:val="left"/>
      <w:pPr>
        <w:ind w:left="284" w:hanging="284"/>
      </w:pPr>
      <w:rPr>
        <w:rFonts w:hint="default"/>
      </w:rPr>
    </w:lvl>
    <w:lvl w:ilvl="1">
      <w:start w:val="1"/>
      <w:numFmt w:val="none"/>
      <w:pStyle w:val="ListContinue2"/>
      <w:lvlText w:val=""/>
      <w:lvlJc w:val="left"/>
      <w:pPr>
        <w:ind w:left="567" w:hanging="283"/>
      </w:pPr>
      <w:rPr>
        <w:rFonts w:hint="default"/>
      </w:rPr>
    </w:lvl>
    <w:lvl w:ilvl="2">
      <w:start w:val="1"/>
      <w:numFmt w:val="none"/>
      <w:pStyle w:val="ListContinue3"/>
      <w:lvlText w:val=""/>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A0D1EA1"/>
    <w:multiLevelType w:val="hybridMultilevel"/>
    <w:tmpl w:val="8AB83C72"/>
    <w:lvl w:ilvl="0" w:tplc="3A66BD7A">
      <w:start w:val="1"/>
      <w:numFmt w:val="bullet"/>
      <w:pStyle w:val="Note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6367C4"/>
    <w:multiLevelType w:val="multilevel"/>
    <w:tmpl w:val="F104AB12"/>
    <w:styleLink w:val="NumberedHeadings"/>
    <w:lvl w:ilvl="0">
      <w:start w:val="1"/>
      <w:numFmt w:val="decimal"/>
      <w:lvlText w:val="%1."/>
      <w:lvlJc w:val="left"/>
      <w:pPr>
        <w:ind w:left="397" w:hanging="397"/>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4B695180"/>
    <w:multiLevelType w:val="multilevel"/>
    <w:tmpl w:val="5E22C0F8"/>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578D7962"/>
    <w:multiLevelType w:val="hybridMultilevel"/>
    <w:tmpl w:val="08D08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8B11F2"/>
    <w:multiLevelType w:val="multilevel"/>
    <w:tmpl w:val="5E22C0F8"/>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sz w:val="20"/>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633D7291"/>
    <w:multiLevelType w:val="multilevel"/>
    <w:tmpl w:val="2CA64D24"/>
    <w:numStyleLink w:val="ListBullets"/>
  </w:abstractNum>
  <w:abstractNum w:abstractNumId="29" w15:restartNumberingAfterBreak="0">
    <w:nsid w:val="6524619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6C5B3202"/>
    <w:multiLevelType w:val="hybridMultilevel"/>
    <w:tmpl w:val="C060CD32"/>
    <w:lvl w:ilvl="0" w:tplc="9CEC70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FF3731"/>
    <w:multiLevelType w:val="multilevel"/>
    <w:tmpl w:val="7500EB92"/>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2" w15:restartNumberingAfterBreak="0">
    <w:nsid w:val="6EE34E10"/>
    <w:multiLevelType w:val="multilevel"/>
    <w:tmpl w:val="D9F407CA"/>
    <w:lvl w:ilvl="0">
      <w:start w:val="1"/>
      <w:numFmt w:val="upperLetter"/>
      <w:lvlText w:val="(%1)"/>
      <w:lvlJc w:val="left"/>
      <w:pPr>
        <w:tabs>
          <w:tab w:val="num" w:pos="720"/>
        </w:tabs>
        <w:ind w:left="720" w:hanging="720"/>
      </w:pPr>
      <w:rPr>
        <w:rFonts w:ascii="Calibri" w:hAnsi="Calibri" w:hint="default"/>
        <w:sz w:val="24"/>
        <w:szCs w:val="24"/>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29D40A8"/>
    <w:multiLevelType w:val="multilevel"/>
    <w:tmpl w:val="94863BDC"/>
    <w:lvl w:ilvl="0">
      <w:start w:val="1"/>
      <w:numFmt w:val="bullet"/>
      <w:lvlText w:val=""/>
      <w:lvlJc w:val="left"/>
      <w:pPr>
        <w:ind w:left="284" w:hanging="284"/>
      </w:pPr>
      <w:rPr>
        <w:rFonts w:ascii="Symbol" w:hAnsi="Symbol" w:hint="default"/>
      </w:rPr>
    </w:lvl>
    <w:lvl w:ilvl="1">
      <w:start w:val="1"/>
      <w:numFmt w:val="none"/>
      <w:lvlText w:val="–"/>
      <w:lvlJc w:val="left"/>
      <w:pPr>
        <w:ind w:left="567" w:hanging="283"/>
      </w:pPr>
      <w:rPr>
        <w:rFonts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2E2230F"/>
    <w:multiLevelType w:val="hybridMultilevel"/>
    <w:tmpl w:val="7DB29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2530F3"/>
    <w:multiLevelType w:val="multilevel"/>
    <w:tmpl w:val="2CA64D24"/>
    <w:styleLink w:val="ListBullets"/>
    <w:lvl w:ilvl="0">
      <w:start w:val="1"/>
      <w:numFmt w:val="bullet"/>
      <w:pStyle w:val="ListBullet"/>
      <w:lvlText w:val=""/>
      <w:lvlJc w:val="left"/>
      <w:pPr>
        <w:ind w:left="284" w:hanging="284"/>
      </w:pPr>
      <w:rPr>
        <w:rFonts w:ascii="Symbol" w:hAnsi="Symbol" w:hint="default"/>
      </w:rPr>
    </w:lvl>
    <w:lvl w:ilvl="1">
      <w:start w:val="1"/>
      <w:numFmt w:val="none"/>
      <w:pStyle w:val="ListBullet2"/>
      <w:lvlText w:val="–"/>
      <w:lvlJc w:val="left"/>
      <w:pPr>
        <w:ind w:left="567" w:hanging="283"/>
      </w:pPr>
      <w:rPr>
        <w:rFonts w:hint="default"/>
      </w:rPr>
    </w:lvl>
    <w:lvl w:ilvl="2">
      <w:start w:val="1"/>
      <w:numFmt w:val="bullet"/>
      <w:pStyle w:val="ListBullet3"/>
      <w:lvlText w:val=""/>
      <w:lvlJc w:val="left"/>
      <w:pPr>
        <w:ind w:left="851" w:hanging="284"/>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B809B4"/>
    <w:multiLevelType w:val="multilevel"/>
    <w:tmpl w:val="5E22C0F8"/>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7" w15:restartNumberingAfterBreak="0">
    <w:nsid w:val="77E71996"/>
    <w:multiLevelType w:val="multilevel"/>
    <w:tmpl w:val="5CF81E6C"/>
    <w:styleLink w:val="Headingstyles"/>
    <w:lvl w:ilvl="0">
      <w:start w:val="1"/>
      <w:numFmt w:val="decimal"/>
      <w:lvlText w:val="%1."/>
      <w:lvlJc w:val="left"/>
      <w:pPr>
        <w:ind w:left="432" w:hanging="432"/>
      </w:pPr>
      <w:rPr>
        <w:rFonts w:hint="default"/>
        <w:b/>
        <w:i w:val="0"/>
        <w:color w:val="4472C4" w:themeColor="accent1"/>
        <w:sz w:val="32"/>
      </w:rPr>
    </w:lvl>
    <w:lvl w:ilvl="1">
      <w:start w:val="1"/>
      <w:numFmt w:val="decimal"/>
      <w:lvlText w:val="%1.%2"/>
      <w:lvlJc w:val="left"/>
      <w:pPr>
        <w:ind w:left="576" w:hanging="576"/>
      </w:pPr>
      <w:rPr>
        <w:rFonts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7D0A3648"/>
    <w:multiLevelType w:val="multilevel"/>
    <w:tmpl w:val="5C22E358"/>
    <w:lvl w:ilvl="0">
      <w:start w:val="1"/>
      <w:numFmt w:val="lowerLetter"/>
      <w:lvlText w:val="(%1)"/>
      <w:lvlJc w:val="left"/>
      <w:pPr>
        <w:ind w:left="284" w:hanging="284"/>
      </w:pPr>
      <w:rPr>
        <w:rFonts w:asciiTheme="majorHAnsi" w:eastAsiaTheme="minorHAnsi" w:hAnsiTheme="majorHAnsi" w:cstheme="minorBidi"/>
        <w:i/>
        <w:iCs/>
      </w:rPr>
    </w:lvl>
    <w:lvl w:ilvl="1">
      <w:start w:val="1"/>
      <w:numFmt w:val="bullet"/>
      <w:lvlText w:val="–"/>
      <w:lvlJc w:val="left"/>
      <w:pPr>
        <w:ind w:left="568" w:hanging="284"/>
      </w:pPr>
      <w:rPr>
        <w:rFonts w:ascii="Arial" w:hAnsi="Arial" w:hint="default"/>
        <w:sz w:val="20"/>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9" w15:restartNumberingAfterBreak="0">
    <w:nsid w:val="7FF82B74"/>
    <w:multiLevelType w:val="hybridMultilevel"/>
    <w:tmpl w:val="7400A8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35"/>
  </w:num>
  <w:num w:numId="6">
    <w:abstractNumId w:val="15"/>
  </w:num>
  <w:num w:numId="7">
    <w:abstractNumId w:val="28"/>
  </w:num>
  <w:num w:numId="8">
    <w:abstractNumId w:val="22"/>
  </w:num>
  <w:num w:numId="9">
    <w:abstractNumId w:val="17"/>
  </w:num>
  <w:num w:numId="10">
    <w:abstractNumId w:val="25"/>
  </w:num>
  <w:num w:numId="11">
    <w:abstractNumId w:val="4"/>
  </w:num>
  <w:num w:numId="12">
    <w:abstractNumId w:val="23"/>
  </w:num>
  <w:num w:numId="13">
    <w:abstractNumId w:val="12"/>
  </w:num>
  <w:num w:numId="14">
    <w:abstractNumId w:val="20"/>
  </w:num>
  <w:num w:numId="15">
    <w:abstractNumId w:val="24"/>
  </w:num>
  <w:num w:numId="16">
    <w:abstractNumId w:val="31"/>
  </w:num>
  <w:num w:numId="17">
    <w:abstractNumId w:val="1"/>
  </w:num>
  <w:num w:numId="18">
    <w:abstractNumId w:val="0"/>
  </w:num>
  <w:num w:numId="19">
    <w:abstractNumId w:val="11"/>
  </w:num>
  <w:num w:numId="20">
    <w:abstractNumId w:val="7"/>
  </w:num>
  <w:num w:numId="21">
    <w:abstractNumId w:val="29"/>
  </w:num>
  <w:num w:numId="22">
    <w:abstractNumId w:val="6"/>
  </w:num>
  <w:num w:numId="23">
    <w:abstractNumId w:val="37"/>
  </w:num>
  <w:num w:numId="24">
    <w:abstractNumId w:val="5"/>
  </w:num>
  <w:num w:numId="25">
    <w:abstractNumId w:val="32"/>
  </w:num>
  <w:num w:numId="26">
    <w:abstractNumId w:val="10"/>
  </w:num>
  <w:num w:numId="27">
    <w:abstractNumId w:val="13"/>
  </w:num>
  <w:num w:numId="28">
    <w:abstractNumId w:val="34"/>
  </w:num>
  <w:num w:numId="29">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3"/>
  </w:num>
  <w:num w:numId="34">
    <w:abstractNumId w:val="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19"/>
  </w:num>
  <w:num w:numId="39">
    <w:abstractNumId w:val="27"/>
  </w:num>
  <w:num w:numId="40">
    <w:abstractNumId w:val="38"/>
  </w:num>
  <w:num w:numId="41">
    <w:abstractNumId w:val="30"/>
  </w:num>
  <w:num w:numId="42">
    <w:abstractNumId w:val="8"/>
  </w:num>
  <w:num w:numId="43">
    <w:abstractNumId w:val="33"/>
  </w:num>
  <w:num w:numId="44">
    <w:abstractNumId w:val="21"/>
  </w:num>
  <w:num w:numId="45">
    <w:abstractNumId w:val="36"/>
  </w:num>
  <w:num w:numId="46">
    <w:abstractNumId w:val="16"/>
  </w:num>
  <w:num w:numId="47">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trackedChanges" w:enforcement="0"/>
  <w:defaultTabStop w:val="720"/>
  <w:evenAndOddHeaders/>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F13"/>
    <w:rsid w:val="00001DAD"/>
    <w:rsid w:val="00004B0D"/>
    <w:rsid w:val="00007ADD"/>
    <w:rsid w:val="000118CB"/>
    <w:rsid w:val="00012924"/>
    <w:rsid w:val="000160E9"/>
    <w:rsid w:val="00030E1D"/>
    <w:rsid w:val="00041FCE"/>
    <w:rsid w:val="0004654B"/>
    <w:rsid w:val="0004769D"/>
    <w:rsid w:val="00050FF5"/>
    <w:rsid w:val="0005323B"/>
    <w:rsid w:val="000636B6"/>
    <w:rsid w:val="000671B4"/>
    <w:rsid w:val="00087BE6"/>
    <w:rsid w:val="000B2B6C"/>
    <w:rsid w:val="000B3C73"/>
    <w:rsid w:val="000C2241"/>
    <w:rsid w:val="000C2AFC"/>
    <w:rsid w:val="000D2D2C"/>
    <w:rsid w:val="000D54DB"/>
    <w:rsid w:val="000E28BB"/>
    <w:rsid w:val="000E50DC"/>
    <w:rsid w:val="00104E8F"/>
    <w:rsid w:val="001239F1"/>
    <w:rsid w:val="001265E2"/>
    <w:rsid w:val="00126A6E"/>
    <w:rsid w:val="001270A1"/>
    <w:rsid w:val="00132B28"/>
    <w:rsid w:val="00137005"/>
    <w:rsid w:val="00146F5B"/>
    <w:rsid w:val="00157131"/>
    <w:rsid w:val="001606D1"/>
    <w:rsid w:val="00161E12"/>
    <w:rsid w:val="00164155"/>
    <w:rsid w:val="001712B8"/>
    <w:rsid w:val="0018013F"/>
    <w:rsid w:val="00187656"/>
    <w:rsid w:val="001977A7"/>
    <w:rsid w:val="001C29A9"/>
    <w:rsid w:val="001E17E8"/>
    <w:rsid w:val="001E646B"/>
    <w:rsid w:val="001F5FE3"/>
    <w:rsid w:val="0020345D"/>
    <w:rsid w:val="00216BE3"/>
    <w:rsid w:val="00221429"/>
    <w:rsid w:val="0023028C"/>
    <w:rsid w:val="00231812"/>
    <w:rsid w:val="00234937"/>
    <w:rsid w:val="002516FD"/>
    <w:rsid w:val="00251770"/>
    <w:rsid w:val="00253AF8"/>
    <w:rsid w:val="0026369B"/>
    <w:rsid w:val="00266787"/>
    <w:rsid w:val="00270D40"/>
    <w:rsid w:val="00277466"/>
    <w:rsid w:val="00280888"/>
    <w:rsid w:val="00291C52"/>
    <w:rsid w:val="002976FD"/>
    <w:rsid w:val="002A2E8A"/>
    <w:rsid w:val="002B22AE"/>
    <w:rsid w:val="002C0DD9"/>
    <w:rsid w:val="002E1C52"/>
    <w:rsid w:val="002E4CB0"/>
    <w:rsid w:val="0031078F"/>
    <w:rsid w:val="0032362A"/>
    <w:rsid w:val="00355DF4"/>
    <w:rsid w:val="00357AFE"/>
    <w:rsid w:val="003610AD"/>
    <w:rsid w:val="003664BD"/>
    <w:rsid w:val="00387283"/>
    <w:rsid w:val="003A6C27"/>
    <w:rsid w:val="003C06B2"/>
    <w:rsid w:val="003C2C8C"/>
    <w:rsid w:val="003E0591"/>
    <w:rsid w:val="003E4089"/>
    <w:rsid w:val="003E4BD6"/>
    <w:rsid w:val="003F6107"/>
    <w:rsid w:val="00406935"/>
    <w:rsid w:val="004171D4"/>
    <w:rsid w:val="004210F7"/>
    <w:rsid w:val="004321C6"/>
    <w:rsid w:val="00444BC7"/>
    <w:rsid w:val="00445FCA"/>
    <w:rsid w:val="0045208C"/>
    <w:rsid w:val="00476239"/>
    <w:rsid w:val="00494B34"/>
    <w:rsid w:val="004A4CE3"/>
    <w:rsid w:val="004C6CDF"/>
    <w:rsid w:val="004D107B"/>
    <w:rsid w:val="004D328D"/>
    <w:rsid w:val="004E2A3D"/>
    <w:rsid w:val="004E47E9"/>
    <w:rsid w:val="004E7021"/>
    <w:rsid w:val="004E73BC"/>
    <w:rsid w:val="00502A1B"/>
    <w:rsid w:val="005255DB"/>
    <w:rsid w:val="00526573"/>
    <w:rsid w:val="00532BF8"/>
    <w:rsid w:val="0054093F"/>
    <w:rsid w:val="0054170B"/>
    <w:rsid w:val="005579A5"/>
    <w:rsid w:val="00573E8F"/>
    <w:rsid w:val="0058107A"/>
    <w:rsid w:val="005827FD"/>
    <w:rsid w:val="005A2A15"/>
    <w:rsid w:val="005A7369"/>
    <w:rsid w:val="005B3D1D"/>
    <w:rsid w:val="005C0244"/>
    <w:rsid w:val="005F79AF"/>
    <w:rsid w:val="00600B9E"/>
    <w:rsid w:val="00604E2C"/>
    <w:rsid w:val="006206EF"/>
    <w:rsid w:val="0062428F"/>
    <w:rsid w:val="00627D3A"/>
    <w:rsid w:val="00631710"/>
    <w:rsid w:val="00637E59"/>
    <w:rsid w:val="00644543"/>
    <w:rsid w:val="006448B4"/>
    <w:rsid w:val="00670D78"/>
    <w:rsid w:val="00694FFD"/>
    <w:rsid w:val="006B3286"/>
    <w:rsid w:val="006B41DB"/>
    <w:rsid w:val="006C0754"/>
    <w:rsid w:val="006E5E80"/>
    <w:rsid w:val="006F1F75"/>
    <w:rsid w:val="006F5897"/>
    <w:rsid w:val="00701198"/>
    <w:rsid w:val="007139BD"/>
    <w:rsid w:val="0072368B"/>
    <w:rsid w:val="00724945"/>
    <w:rsid w:val="0074123E"/>
    <w:rsid w:val="00745EA6"/>
    <w:rsid w:val="00747444"/>
    <w:rsid w:val="00750191"/>
    <w:rsid w:val="007769DB"/>
    <w:rsid w:val="007A2CEC"/>
    <w:rsid w:val="007C647B"/>
    <w:rsid w:val="007C73B2"/>
    <w:rsid w:val="007D236E"/>
    <w:rsid w:val="007D4EBC"/>
    <w:rsid w:val="007E0B75"/>
    <w:rsid w:val="007E422F"/>
    <w:rsid w:val="007F1FE4"/>
    <w:rsid w:val="007F3DE0"/>
    <w:rsid w:val="007F4FF1"/>
    <w:rsid w:val="008104AC"/>
    <w:rsid w:val="00810818"/>
    <w:rsid w:val="008118A9"/>
    <w:rsid w:val="00813A68"/>
    <w:rsid w:val="00823904"/>
    <w:rsid w:val="00830207"/>
    <w:rsid w:val="00836D1E"/>
    <w:rsid w:val="00837231"/>
    <w:rsid w:val="008414BC"/>
    <w:rsid w:val="00843FBD"/>
    <w:rsid w:val="0085347F"/>
    <w:rsid w:val="008571FF"/>
    <w:rsid w:val="00864E1E"/>
    <w:rsid w:val="00865346"/>
    <w:rsid w:val="00870D18"/>
    <w:rsid w:val="008B48BC"/>
    <w:rsid w:val="008B5936"/>
    <w:rsid w:val="008B6134"/>
    <w:rsid w:val="008C39B9"/>
    <w:rsid w:val="008D6F13"/>
    <w:rsid w:val="008D778A"/>
    <w:rsid w:val="008E0D25"/>
    <w:rsid w:val="008E0E15"/>
    <w:rsid w:val="008E26CD"/>
    <w:rsid w:val="008E5F03"/>
    <w:rsid w:val="008F10E1"/>
    <w:rsid w:val="00901119"/>
    <w:rsid w:val="00910998"/>
    <w:rsid w:val="00925B88"/>
    <w:rsid w:val="00926BFD"/>
    <w:rsid w:val="00945345"/>
    <w:rsid w:val="0095606C"/>
    <w:rsid w:val="0096299D"/>
    <w:rsid w:val="00992C63"/>
    <w:rsid w:val="00992E52"/>
    <w:rsid w:val="00993A31"/>
    <w:rsid w:val="00996D3A"/>
    <w:rsid w:val="00996E06"/>
    <w:rsid w:val="009A0702"/>
    <w:rsid w:val="009B2BDF"/>
    <w:rsid w:val="009D1D22"/>
    <w:rsid w:val="009D63FC"/>
    <w:rsid w:val="009F51B4"/>
    <w:rsid w:val="009F52D2"/>
    <w:rsid w:val="009F65EE"/>
    <w:rsid w:val="00A255B9"/>
    <w:rsid w:val="00A330B7"/>
    <w:rsid w:val="00A40E54"/>
    <w:rsid w:val="00A44575"/>
    <w:rsid w:val="00A51211"/>
    <w:rsid w:val="00A55896"/>
    <w:rsid w:val="00A73E97"/>
    <w:rsid w:val="00A81FB3"/>
    <w:rsid w:val="00A8365C"/>
    <w:rsid w:val="00A93679"/>
    <w:rsid w:val="00A93A47"/>
    <w:rsid w:val="00A95B6B"/>
    <w:rsid w:val="00AB6CD4"/>
    <w:rsid w:val="00AB73C9"/>
    <w:rsid w:val="00AC196B"/>
    <w:rsid w:val="00AD4FDC"/>
    <w:rsid w:val="00AE31D1"/>
    <w:rsid w:val="00B017D0"/>
    <w:rsid w:val="00B133BE"/>
    <w:rsid w:val="00B14515"/>
    <w:rsid w:val="00B20465"/>
    <w:rsid w:val="00B318F6"/>
    <w:rsid w:val="00B41134"/>
    <w:rsid w:val="00B566A4"/>
    <w:rsid w:val="00B574E9"/>
    <w:rsid w:val="00B6646F"/>
    <w:rsid w:val="00B70498"/>
    <w:rsid w:val="00B71AC4"/>
    <w:rsid w:val="00B723D3"/>
    <w:rsid w:val="00B77FAD"/>
    <w:rsid w:val="00B77FBC"/>
    <w:rsid w:val="00B8555F"/>
    <w:rsid w:val="00BB17CB"/>
    <w:rsid w:val="00BB2337"/>
    <w:rsid w:val="00BC7189"/>
    <w:rsid w:val="00BD1E8D"/>
    <w:rsid w:val="00BD4C35"/>
    <w:rsid w:val="00BD6E48"/>
    <w:rsid w:val="00BE69F8"/>
    <w:rsid w:val="00BE6A2D"/>
    <w:rsid w:val="00C050A9"/>
    <w:rsid w:val="00C101E5"/>
    <w:rsid w:val="00C1204A"/>
    <w:rsid w:val="00C237B0"/>
    <w:rsid w:val="00C424E5"/>
    <w:rsid w:val="00C4459F"/>
    <w:rsid w:val="00C458E1"/>
    <w:rsid w:val="00C52DB6"/>
    <w:rsid w:val="00C57002"/>
    <w:rsid w:val="00C7198A"/>
    <w:rsid w:val="00C75156"/>
    <w:rsid w:val="00C86AAE"/>
    <w:rsid w:val="00C873CC"/>
    <w:rsid w:val="00C94CDC"/>
    <w:rsid w:val="00CA65C6"/>
    <w:rsid w:val="00CB5E47"/>
    <w:rsid w:val="00CC2B5C"/>
    <w:rsid w:val="00CC4554"/>
    <w:rsid w:val="00CC4889"/>
    <w:rsid w:val="00CC7A55"/>
    <w:rsid w:val="00CD0448"/>
    <w:rsid w:val="00CD0B31"/>
    <w:rsid w:val="00CD5A1C"/>
    <w:rsid w:val="00CD78F6"/>
    <w:rsid w:val="00D01AF0"/>
    <w:rsid w:val="00D056BB"/>
    <w:rsid w:val="00D06284"/>
    <w:rsid w:val="00D53107"/>
    <w:rsid w:val="00D57611"/>
    <w:rsid w:val="00D67483"/>
    <w:rsid w:val="00D70534"/>
    <w:rsid w:val="00DB4F3C"/>
    <w:rsid w:val="00DD1804"/>
    <w:rsid w:val="00DD54EA"/>
    <w:rsid w:val="00E00690"/>
    <w:rsid w:val="00E13E11"/>
    <w:rsid w:val="00E164C3"/>
    <w:rsid w:val="00E16CD5"/>
    <w:rsid w:val="00E32AB3"/>
    <w:rsid w:val="00E36759"/>
    <w:rsid w:val="00E36A8C"/>
    <w:rsid w:val="00E537BA"/>
    <w:rsid w:val="00E66BCA"/>
    <w:rsid w:val="00E672A6"/>
    <w:rsid w:val="00E6788E"/>
    <w:rsid w:val="00E73924"/>
    <w:rsid w:val="00E74DB6"/>
    <w:rsid w:val="00E808AD"/>
    <w:rsid w:val="00E8124A"/>
    <w:rsid w:val="00E84CF3"/>
    <w:rsid w:val="00E909D5"/>
    <w:rsid w:val="00E91D91"/>
    <w:rsid w:val="00E97223"/>
    <w:rsid w:val="00EA1A11"/>
    <w:rsid w:val="00EB27D8"/>
    <w:rsid w:val="00EC014A"/>
    <w:rsid w:val="00EC0292"/>
    <w:rsid w:val="00EC2B3F"/>
    <w:rsid w:val="00EC5703"/>
    <w:rsid w:val="00EC7D1E"/>
    <w:rsid w:val="00ED45F9"/>
    <w:rsid w:val="00EE2764"/>
    <w:rsid w:val="00F139C4"/>
    <w:rsid w:val="00F2052E"/>
    <w:rsid w:val="00F22F00"/>
    <w:rsid w:val="00F3105A"/>
    <w:rsid w:val="00F31D60"/>
    <w:rsid w:val="00F51471"/>
    <w:rsid w:val="00F616A9"/>
    <w:rsid w:val="00F70B1C"/>
    <w:rsid w:val="00F81017"/>
    <w:rsid w:val="00F843A2"/>
    <w:rsid w:val="00FA5BB8"/>
    <w:rsid w:val="00FB6F66"/>
    <w:rsid w:val="00FB71BE"/>
    <w:rsid w:val="00FC3EAA"/>
    <w:rsid w:val="00FE4A4D"/>
    <w:rsid w:val="00FE747F"/>
    <w:rsid w:val="00FF6ED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774CA1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1" w:unhideWhenUsed="1"/>
    <w:lsdException w:name="toc 4" w:semiHidden="1" w:uiPriority="96" w:unhideWhenUsed="1"/>
    <w:lsdException w:name="toc 5" w:semiHidden="1" w:uiPriority="96" w:unhideWhenUsed="1"/>
    <w:lsdException w:name="toc 6" w:semiHidden="1" w:uiPriority="96" w:unhideWhenUsed="1"/>
    <w:lsdException w:name="toc 7" w:semiHidden="1" w:uiPriority="96" w:unhideWhenUsed="1"/>
    <w:lsdException w:name="toc 8" w:semiHidden="1" w:uiPriority="96"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9" w:qFormat="1"/>
    <w:lsdException w:name="List Number" w:semiHidden="1" w:unhideWhenUsed="1" w:qFormat="1"/>
    <w:lsdException w:name="List 2" w:semiHidden="1" w:uiPriority="29" w:unhideWhenUsed="1"/>
    <w:lsdException w:name="List 3" w:semiHidden="1" w:uiPriority="29" w:unhideWhenUsed="1"/>
    <w:lsdException w:name="List 4" w:semiHidden="1" w:uiPriority="29" w:unhideWhenUsed="1"/>
    <w:lsdException w:name="List 5" w:semiHidden="1" w:uiPriority="29" w:unhideWhenUsed="1"/>
    <w:lsdException w:name="List Bullet 2" w:uiPriority="19"/>
    <w:lsdException w:name="List Bullet 3" w:uiPriority="19"/>
    <w:lsdException w:name="List Bullet 4" w:semiHidden="1" w:uiPriority="19" w:unhideWhenUsed="1"/>
    <w:lsdException w:name="List Bullet 5" w:semiHidden="1" w:uiPriority="19" w:unhideWhenUsed="1"/>
    <w:lsdException w:name="List Number 2" w:semiHidden="1" w:unhideWhenUsed="1"/>
    <w:lsdException w:name="List Number 3" w:semiHidden="1" w:unhideWhenUsed="1"/>
    <w:lsdException w:name="List Number 4" w:semiHidden="1" w:uiPriority="19" w:unhideWhenUsed="1"/>
    <w:lsdException w:name="List Number 5" w:semiHidden="1" w:uiPriority="19"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iPriority="24" w:unhideWhenUsed="1"/>
    <w:lsdException w:name="List Continue 5" w:semiHidden="1" w:uiPriority="24"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8" w:qFormat="1"/>
    <w:lsdException w:name="Emphasis" w:semiHidden="1" w:uiPriority="9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qFormat="1"/>
    <w:lsdException w:name="Intense Emphasis" w:semiHidden="1" w:uiPriority="98"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9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65C"/>
    <w:pPr>
      <w:keepLines/>
    </w:pPr>
  </w:style>
  <w:style w:type="paragraph" w:styleId="Heading10">
    <w:name w:val="heading 1"/>
    <w:basedOn w:val="Normal"/>
    <w:next w:val="Normal"/>
    <w:link w:val="Heading1Char"/>
    <w:uiPriority w:val="9"/>
    <w:qFormat/>
    <w:rsid w:val="0023028C"/>
    <w:pPr>
      <w:keepNext/>
      <w:spacing w:before="360"/>
      <w:outlineLvl w:val="0"/>
    </w:pPr>
    <w:rPr>
      <w:rFonts w:asciiTheme="majorHAnsi" w:eastAsiaTheme="majorEastAsia" w:hAnsiTheme="majorHAnsi" w:cstheme="majorBidi"/>
      <w:b/>
      <w:caps/>
      <w:sz w:val="26"/>
      <w:szCs w:val="32"/>
    </w:rPr>
  </w:style>
  <w:style w:type="paragraph" w:styleId="Heading20">
    <w:name w:val="heading 2"/>
    <w:basedOn w:val="Heading10"/>
    <w:next w:val="Normal"/>
    <w:link w:val="Heading2Char"/>
    <w:uiPriority w:val="9"/>
    <w:unhideWhenUsed/>
    <w:qFormat/>
    <w:rsid w:val="0023028C"/>
    <w:pPr>
      <w:spacing w:before="240"/>
      <w:outlineLvl w:val="1"/>
    </w:pPr>
    <w:rPr>
      <w:caps w:val="0"/>
      <w:szCs w:val="26"/>
    </w:rPr>
  </w:style>
  <w:style w:type="paragraph" w:styleId="Heading30">
    <w:name w:val="heading 3"/>
    <w:basedOn w:val="Heading20"/>
    <w:next w:val="Normal"/>
    <w:link w:val="Heading3Char"/>
    <w:uiPriority w:val="9"/>
    <w:unhideWhenUsed/>
    <w:qFormat/>
    <w:rsid w:val="0023028C"/>
    <w:pPr>
      <w:tabs>
        <w:tab w:val="right" w:pos="7711"/>
      </w:tabs>
      <w:outlineLvl w:val="2"/>
    </w:pPr>
    <w:rPr>
      <w:sz w:val="23"/>
      <w:szCs w:val="24"/>
    </w:rPr>
  </w:style>
  <w:style w:type="paragraph" w:styleId="Heading4">
    <w:name w:val="heading 4"/>
    <w:basedOn w:val="Heading30"/>
    <w:next w:val="Normal"/>
    <w:link w:val="Heading4Char"/>
    <w:uiPriority w:val="9"/>
    <w:unhideWhenUsed/>
    <w:qFormat/>
    <w:rsid w:val="0023028C"/>
    <w:pPr>
      <w:spacing w:before="180"/>
      <w:outlineLvl w:val="3"/>
    </w:pPr>
    <w:rPr>
      <w:b w:val="0"/>
      <w:i/>
      <w:iCs/>
    </w:rPr>
  </w:style>
  <w:style w:type="paragraph" w:styleId="Heading5">
    <w:name w:val="heading 5"/>
    <w:basedOn w:val="Heading4"/>
    <w:next w:val="Normal"/>
    <w:link w:val="Heading5Char"/>
    <w:uiPriority w:val="9"/>
    <w:unhideWhenUsed/>
    <w:qFormat/>
    <w:rsid w:val="0023028C"/>
    <w:pPr>
      <w:outlineLvl w:val="4"/>
    </w:pPr>
    <w:rPr>
      <w:b/>
      <w:i w:val="0"/>
      <w:sz w:val="21"/>
    </w:rPr>
  </w:style>
  <w:style w:type="paragraph" w:styleId="Heading6">
    <w:name w:val="heading 6"/>
    <w:basedOn w:val="Normal"/>
    <w:next w:val="Normal"/>
    <w:link w:val="Heading6Char"/>
    <w:uiPriority w:val="9"/>
    <w:unhideWhenUsed/>
    <w:qFormat/>
    <w:rsid w:val="0023028C"/>
    <w:pPr>
      <w:keepNext/>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rsid w:val="008D6F13"/>
    <w:pPr>
      <w:keepNext/>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8D6F13"/>
    <w:pPr>
      <w:keepNext/>
      <w:spacing w:before="200"/>
      <w:ind w:left="1440" w:hanging="144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8D6F13"/>
    <w:pPr>
      <w:keepNext/>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ing">
    <w:name w:val="Chapter Heading"/>
    <w:basedOn w:val="Normal"/>
    <w:next w:val="Normal"/>
    <w:link w:val="ChapterHeadingChar"/>
    <w:uiPriority w:val="89"/>
    <w:qFormat/>
    <w:rsid w:val="0023028C"/>
    <w:pPr>
      <w:keepNext/>
      <w:pBdr>
        <w:bottom w:val="single" w:sz="12" w:space="1" w:color="auto"/>
      </w:pBdr>
      <w:spacing w:before="1440" w:after="360"/>
    </w:pPr>
    <w:rPr>
      <w:rFonts w:asciiTheme="majorHAnsi" w:hAnsiTheme="majorHAnsi"/>
      <w:b/>
      <w:caps/>
      <w:sz w:val="36"/>
    </w:rPr>
  </w:style>
  <w:style w:type="character" w:customStyle="1" w:styleId="Heading1Char">
    <w:name w:val="Heading 1 Char"/>
    <w:basedOn w:val="DefaultParagraphFont"/>
    <w:link w:val="Heading10"/>
    <w:uiPriority w:val="9"/>
    <w:rsid w:val="0023028C"/>
    <w:rPr>
      <w:rFonts w:asciiTheme="majorHAnsi" w:eastAsiaTheme="majorEastAsia" w:hAnsiTheme="majorHAnsi" w:cstheme="majorBidi"/>
      <w:b/>
      <w:caps/>
      <w:sz w:val="26"/>
      <w:szCs w:val="32"/>
    </w:rPr>
  </w:style>
  <w:style w:type="character" w:customStyle="1" w:styleId="Heading2Char">
    <w:name w:val="Heading 2 Char"/>
    <w:basedOn w:val="DefaultParagraphFont"/>
    <w:link w:val="Heading20"/>
    <w:uiPriority w:val="9"/>
    <w:rsid w:val="0023028C"/>
    <w:rPr>
      <w:rFonts w:asciiTheme="majorHAnsi" w:eastAsiaTheme="majorEastAsia" w:hAnsiTheme="majorHAnsi" w:cstheme="majorBidi"/>
      <w:b/>
      <w:sz w:val="26"/>
      <w:szCs w:val="26"/>
    </w:rPr>
  </w:style>
  <w:style w:type="character" w:customStyle="1" w:styleId="Heading3Char">
    <w:name w:val="Heading 3 Char"/>
    <w:basedOn w:val="DefaultParagraphFont"/>
    <w:link w:val="Heading30"/>
    <w:uiPriority w:val="9"/>
    <w:rsid w:val="0023028C"/>
    <w:rPr>
      <w:rFonts w:asciiTheme="majorHAnsi" w:eastAsiaTheme="majorEastAsia" w:hAnsiTheme="majorHAnsi" w:cstheme="majorBidi"/>
      <w:b/>
      <w:sz w:val="23"/>
      <w:szCs w:val="24"/>
    </w:rPr>
  </w:style>
  <w:style w:type="character" w:customStyle="1" w:styleId="Heading4Char">
    <w:name w:val="Heading 4 Char"/>
    <w:basedOn w:val="DefaultParagraphFont"/>
    <w:link w:val="Heading4"/>
    <w:uiPriority w:val="9"/>
    <w:rsid w:val="0023028C"/>
    <w:rPr>
      <w:rFonts w:asciiTheme="majorHAnsi" w:eastAsiaTheme="majorEastAsia" w:hAnsiTheme="majorHAnsi" w:cstheme="majorBidi"/>
      <w:i/>
      <w:iCs/>
      <w:sz w:val="23"/>
      <w:szCs w:val="24"/>
    </w:rPr>
  </w:style>
  <w:style w:type="character" w:customStyle="1" w:styleId="Heading5Char">
    <w:name w:val="Heading 5 Char"/>
    <w:basedOn w:val="DefaultParagraphFont"/>
    <w:link w:val="Heading5"/>
    <w:uiPriority w:val="9"/>
    <w:rsid w:val="0023028C"/>
    <w:rPr>
      <w:rFonts w:asciiTheme="majorHAnsi" w:eastAsiaTheme="majorEastAsia" w:hAnsiTheme="majorHAnsi" w:cstheme="majorBidi"/>
      <w:b/>
      <w:iCs/>
      <w:sz w:val="21"/>
      <w:szCs w:val="24"/>
    </w:rPr>
  </w:style>
  <w:style w:type="paragraph" w:customStyle="1" w:styleId="Heading1">
    <w:name w:val="Heading 1 (#)"/>
    <w:basedOn w:val="Heading10"/>
    <w:next w:val="Normal"/>
    <w:link w:val="Heading1Char0"/>
    <w:uiPriority w:val="14"/>
    <w:qFormat/>
    <w:rsid w:val="0023028C"/>
    <w:pPr>
      <w:numPr>
        <w:numId w:val="4"/>
      </w:numPr>
    </w:pPr>
  </w:style>
  <w:style w:type="paragraph" w:customStyle="1" w:styleId="Heading2">
    <w:name w:val="Heading 2 (#)"/>
    <w:basedOn w:val="Heading20"/>
    <w:next w:val="Normal"/>
    <w:link w:val="Heading2Char0"/>
    <w:uiPriority w:val="14"/>
    <w:qFormat/>
    <w:rsid w:val="0023028C"/>
    <w:pPr>
      <w:numPr>
        <w:ilvl w:val="1"/>
        <w:numId w:val="4"/>
      </w:numPr>
    </w:pPr>
  </w:style>
  <w:style w:type="paragraph" w:customStyle="1" w:styleId="Heading3">
    <w:name w:val="Heading 3 (#)"/>
    <w:basedOn w:val="Heading30"/>
    <w:next w:val="Normal"/>
    <w:link w:val="Heading3Char0"/>
    <w:uiPriority w:val="14"/>
    <w:qFormat/>
    <w:rsid w:val="0023028C"/>
    <w:pPr>
      <w:numPr>
        <w:ilvl w:val="2"/>
        <w:numId w:val="4"/>
      </w:numPr>
    </w:pPr>
  </w:style>
  <w:style w:type="paragraph" w:styleId="Header">
    <w:name w:val="header"/>
    <w:basedOn w:val="Normal"/>
    <w:link w:val="HeaderChar"/>
    <w:uiPriority w:val="85"/>
    <w:unhideWhenUsed/>
    <w:rsid w:val="0023028C"/>
    <w:pPr>
      <w:tabs>
        <w:tab w:val="center" w:pos="4513"/>
        <w:tab w:val="right" w:pos="9026"/>
      </w:tabs>
      <w:spacing w:after="180"/>
    </w:pPr>
    <w:rPr>
      <w:rFonts w:asciiTheme="majorHAnsi" w:hAnsiTheme="majorHAnsi"/>
      <w:b/>
      <w:caps/>
      <w:color w:val="53565A"/>
    </w:rPr>
  </w:style>
  <w:style w:type="character" w:customStyle="1" w:styleId="HeaderChar">
    <w:name w:val="Header Char"/>
    <w:basedOn w:val="DefaultParagraphFont"/>
    <w:link w:val="Header"/>
    <w:uiPriority w:val="85"/>
    <w:rsid w:val="0023028C"/>
    <w:rPr>
      <w:rFonts w:asciiTheme="majorHAnsi" w:hAnsiTheme="majorHAnsi"/>
      <w:b/>
      <w:caps/>
      <w:color w:val="53565A"/>
    </w:rPr>
  </w:style>
  <w:style w:type="paragraph" w:styleId="Footer">
    <w:name w:val="footer"/>
    <w:basedOn w:val="Normal"/>
    <w:link w:val="FooterChar"/>
    <w:uiPriority w:val="84"/>
    <w:rsid w:val="0023028C"/>
    <w:pPr>
      <w:pBdr>
        <w:top w:val="single" w:sz="6" w:space="1" w:color="auto"/>
      </w:pBdr>
      <w:tabs>
        <w:tab w:val="right" w:pos="7711"/>
      </w:tabs>
      <w:spacing w:before="0"/>
    </w:pPr>
    <w:rPr>
      <w:rFonts w:asciiTheme="majorHAnsi" w:hAnsiTheme="majorHAnsi"/>
      <w:sz w:val="18"/>
    </w:rPr>
  </w:style>
  <w:style w:type="character" w:customStyle="1" w:styleId="FooterChar">
    <w:name w:val="Footer Char"/>
    <w:basedOn w:val="DefaultParagraphFont"/>
    <w:link w:val="Footer"/>
    <w:uiPriority w:val="84"/>
    <w:rsid w:val="0023028C"/>
    <w:rPr>
      <w:rFonts w:asciiTheme="majorHAnsi" w:hAnsiTheme="majorHAnsi"/>
      <w:sz w:val="18"/>
    </w:rPr>
  </w:style>
  <w:style w:type="numbering" w:customStyle="1" w:styleId="HeadingNumbering">
    <w:name w:val="Heading Numbering"/>
    <w:uiPriority w:val="99"/>
    <w:rsid w:val="0023028C"/>
    <w:pPr>
      <w:numPr>
        <w:numId w:val="4"/>
      </w:numPr>
    </w:pPr>
  </w:style>
  <w:style w:type="paragraph" w:styleId="ListBullet">
    <w:name w:val="List Bullet"/>
    <w:basedOn w:val="ListBaseParagraph"/>
    <w:link w:val="ListBulletChar"/>
    <w:uiPriority w:val="19"/>
    <w:qFormat/>
    <w:rsid w:val="0023028C"/>
    <w:pPr>
      <w:numPr>
        <w:numId w:val="7"/>
      </w:numPr>
    </w:pPr>
  </w:style>
  <w:style w:type="paragraph" w:styleId="ListBullet2">
    <w:name w:val="List Bullet 2"/>
    <w:basedOn w:val="ListBullet"/>
    <w:uiPriority w:val="19"/>
    <w:rsid w:val="0023028C"/>
    <w:pPr>
      <w:numPr>
        <w:ilvl w:val="1"/>
      </w:numPr>
    </w:pPr>
  </w:style>
  <w:style w:type="paragraph" w:styleId="ListBullet3">
    <w:name w:val="List Bullet 3"/>
    <w:basedOn w:val="ListBullet2"/>
    <w:uiPriority w:val="19"/>
    <w:rsid w:val="0023028C"/>
    <w:pPr>
      <w:numPr>
        <w:ilvl w:val="2"/>
      </w:numPr>
      <w:ind w:left="852"/>
    </w:pPr>
  </w:style>
  <w:style w:type="numbering" w:customStyle="1" w:styleId="ListBullets">
    <w:name w:val="List Bullets"/>
    <w:uiPriority w:val="99"/>
    <w:rsid w:val="0023028C"/>
    <w:pPr>
      <w:numPr>
        <w:numId w:val="5"/>
      </w:numPr>
    </w:pPr>
  </w:style>
  <w:style w:type="paragraph" w:styleId="ListNumber">
    <w:name w:val="List Number"/>
    <w:basedOn w:val="ListBaseParagraph"/>
    <w:uiPriority w:val="19"/>
    <w:qFormat/>
    <w:rsid w:val="0023028C"/>
    <w:pPr>
      <w:numPr>
        <w:numId w:val="6"/>
      </w:numPr>
    </w:pPr>
  </w:style>
  <w:style w:type="paragraph" w:styleId="ListNumber2">
    <w:name w:val="List Number 2"/>
    <w:basedOn w:val="ListNumber"/>
    <w:uiPriority w:val="19"/>
    <w:rsid w:val="0023028C"/>
    <w:pPr>
      <w:numPr>
        <w:ilvl w:val="1"/>
      </w:numPr>
    </w:pPr>
  </w:style>
  <w:style w:type="paragraph" w:styleId="ListNumber3">
    <w:name w:val="List Number 3"/>
    <w:basedOn w:val="ListNumber2"/>
    <w:uiPriority w:val="19"/>
    <w:rsid w:val="0023028C"/>
    <w:pPr>
      <w:numPr>
        <w:ilvl w:val="2"/>
      </w:numPr>
    </w:pPr>
  </w:style>
  <w:style w:type="numbering" w:customStyle="1" w:styleId="ListNumbering">
    <w:name w:val="List Numbering"/>
    <w:uiPriority w:val="99"/>
    <w:rsid w:val="0023028C"/>
    <w:pPr>
      <w:numPr>
        <w:numId w:val="6"/>
      </w:numPr>
    </w:pPr>
  </w:style>
  <w:style w:type="paragraph" w:styleId="ListContinue">
    <w:name w:val="List Continue"/>
    <w:basedOn w:val="ListBaseParagraph"/>
    <w:uiPriority w:val="24"/>
    <w:qFormat/>
    <w:rsid w:val="0023028C"/>
    <w:pPr>
      <w:numPr>
        <w:numId w:val="8"/>
      </w:numPr>
    </w:pPr>
  </w:style>
  <w:style w:type="paragraph" w:styleId="ListContinue2">
    <w:name w:val="List Continue 2"/>
    <w:basedOn w:val="ListContinue"/>
    <w:uiPriority w:val="24"/>
    <w:rsid w:val="0023028C"/>
    <w:pPr>
      <w:numPr>
        <w:ilvl w:val="1"/>
      </w:numPr>
    </w:pPr>
  </w:style>
  <w:style w:type="paragraph" w:customStyle="1" w:styleId="TableHeading">
    <w:name w:val="Table Heading"/>
    <w:basedOn w:val="Normal"/>
    <w:next w:val="Normal"/>
    <w:link w:val="TableHeadingChar"/>
    <w:uiPriority w:val="49"/>
    <w:qFormat/>
    <w:rsid w:val="0023028C"/>
    <w:pPr>
      <w:keepNext/>
      <w:tabs>
        <w:tab w:val="left" w:pos="1021"/>
        <w:tab w:val="right" w:pos="7711"/>
      </w:tabs>
      <w:spacing w:before="180" w:after="60"/>
      <w:ind w:left="1021" w:hanging="1021"/>
    </w:pPr>
    <w:rPr>
      <w:rFonts w:asciiTheme="majorHAnsi" w:hAnsiTheme="majorHAnsi"/>
      <w:b/>
      <w:sz w:val="20"/>
    </w:rPr>
  </w:style>
  <w:style w:type="paragraph" w:customStyle="1" w:styleId="TableUnits">
    <w:name w:val="Table Units"/>
    <w:basedOn w:val="Normal"/>
    <w:next w:val="Normal"/>
    <w:link w:val="TableUnitsChar"/>
    <w:uiPriority w:val="49"/>
    <w:qFormat/>
    <w:rsid w:val="0023028C"/>
    <w:pPr>
      <w:spacing w:before="0" w:after="60"/>
      <w:jc w:val="right"/>
    </w:pPr>
    <w:rPr>
      <w:rFonts w:asciiTheme="majorHAnsi" w:hAnsiTheme="majorHAnsi"/>
      <w:b/>
      <w:sz w:val="20"/>
    </w:rPr>
  </w:style>
  <w:style w:type="paragraph" w:customStyle="1" w:styleId="Note">
    <w:name w:val="Note"/>
    <w:basedOn w:val="Normal"/>
    <w:link w:val="NoteChar"/>
    <w:uiPriority w:val="52"/>
    <w:qFormat/>
    <w:rsid w:val="0023028C"/>
    <w:pPr>
      <w:tabs>
        <w:tab w:val="left" w:pos="284"/>
      </w:tabs>
      <w:spacing w:before="0"/>
      <w:ind w:left="284" w:hanging="284"/>
    </w:pPr>
    <w:rPr>
      <w:rFonts w:asciiTheme="majorHAnsi" w:hAnsiTheme="majorHAnsi"/>
      <w:i/>
      <w:sz w:val="14"/>
    </w:rPr>
  </w:style>
  <w:style w:type="paragraph" w:customStyle="1" w:styleId="Source">
    <w:name w:val="Source"/>
    <w:basedOn w:val="Normal"/>
    <w:next w:val="Normal"/>
    <w:link w:val="SourceChar"/>
    <w:uiPriority w:val="51"/>
    <w:qFormat/>
    <w:rsid w:val="0023028C"/>
    <w:pPr>
      <w:tabs>
        <w:tab w:val="left" w:pos="567"/>
      </w:tabs>
      <w:spacing w:before="20" w:after="60"/>
      <w:ind w:left="567" w:hanging="567"/>
    </w:pPr>
    <w:rPr>
      <w:rFonts w:asciiTheme="majorHAnsi" w:hAnsiTheme="majorHAnsi"/>
      <w:i/>
      <w:sz w:val="14"/>
    </w:rPr>
  </w:style>
  <w:style w:type="paragraph" w:customStyle="1" w:styleId="Note2">
    <w:name w:val="Note 2"/>
    <w:basedOn w:val="Note"/>
    <w:next w:val="Note"/>
    <w:uiPriority w:val="52"/>
    <w:rsid w:val="0023028C"/>
    <w:pPr>
      <w:numPr>
        <w:ilvl w:val="1"/>
      </w:numPr>
      <w:tabs>
        <w:tab w:val="left" w:pos="454"/>
      </w:tabs>
      <w:spacing w:before="20"/>
      <w:ind w:left="454" w:hanging="454"/>
      <w:contextualSpacing/>
    </w:pPr>
  </w:style>
  <w:style w:type="paragraph" w:customStyle="1" w:styleId="HighlightBoxHeading">
    <w:name w:val="Highlight Box Heading"/>
    <w:basedOn w:val="Normal"/>
    <w:next w:val="HighlightBoxText"/>
    <w:uiPriority w:val="59"/>
    <w:qFormat/>
    <w:rsid w:val="00216BE3"/>
    <w:pPr>
      <w:keepNext/>
      <w:pBdr>
        <w:top w:val="single" w:sz="6" w:space="1" w:color="auto"/>
        <w:left w:val="single" w:sz="6" w:space="4" w:color="auto"/>
        <w:bottom w:val="single" w:sz="6" w:space="1" w:color="auto"/>
        <w:right w:val="single" w:sz="6" w:space="4" w:color="auto"/>
      </w:pBdr>
      <w:shd w:val="clear" w:color="auto" w:fill="F2F2F2" w:themeFill="background1" w:themeFillShade="F2"/>
      <w:tabs>
        <w:tab w:val="left" w:pos="851"/>
        <w:tab w:val="left" w:pos="1134"/>
      </w:tabs>
    </w:pPr>
    <w:rPr>
      <w:rFonts w:asciiTheme="majorHAnsi" w:hAnsiTheme="majorHAnsi"/>
      <w:b/>
      <w:sz w:val="21"/>
    </w:rPr>
  </w:style>
  <w:style w:type="paragraph" w:customStyle="1" w:styleId="HighlightBoxText">
    <w:name w:val="Highlight Box Text"/>
    <w:basedOn w:val="HighlightBoxHeading"/>
    <w:link w:val="HighlightBoxTextChar"/>
    <w:uiPriority w:val="59"/>
    <w:qFormat/>
    <w:rsid w:val="0023028C"/>
    <w:rPr>
      <w:rFonts w:asciiTheme="minorHAnsi" w:hAnsiTheme="minorHAnsi"/>
      <w:b w:val="0"/>
      <w:sz w:val="22"/>
    </w:rPr>
  </w:style>
  <w:style w:type="paragraph" w:customStyle="1" w:styleId="HighlightBoxBullet">
    <w:name w:val="Highlight Box Bullet"/>
    <w:basedOn w:val="ListBullet"/>
    <w:link w:val="HighlightBoxBulletChar"/>
    <w:uiPriority w:val="60"/>
    <w:qFormat/>
    <w:rsid w:val="0023028C"/>
    <w:pPr>
      <w:pBdr>
        <w:top w:val="single" w:sz="6" w:space="1" w:color="auto"/>
        <w:left w:val="single" w:sz="6" w:space="4" w:color="auto"/>
        <w:bottom w:val="single" w:sz="6" w:space="1" w:color="auto"/>
        <w:right w:val="single" w:sz="6" w:space="4" w:color="auto"/>
      </w:pBdr>
      <w:shd w:val="clear" w:color="auto" w:fill="F2F2F2" w:themeFill="background1" w:themeFillShade="F2"/>
    </w:pPr>
  </w:style>
  <w:style w:type="paragraph" w:customStyle="1" w:styleId="FooterOddPage">
    <w:name w:val="Footer [Odd Page]"/>
    <w:basedOn w:val="Footer"/>
    <w:next w:val="Footer"/>
    <w:uiPriority w:val="84"/>
    <w:rsid w:val="006206EF"/>
    <w:pPr>
      <w:tabs>
        <w:tab w:val="center" w:pos="5103"/>
      </w:tabs>
    </w:pPr>
  </w:style>
  <w:style w:type="paragraph" w:customStyle="1" w:styleId="FooterEvenPage">
    <w:name w:val="Footer [Even Page]"/>
    <w:basedOn w:val="Footer"/>
    <w:next w:val="Footer"/>
    <w:uiPriority w:val="84"/>
    <w:rsid w:val="006206EF"/>
    <w:pPr>
      <w:tabs>
        <w:tab w:val="center" w:pos="2552"/>
      </w:tabs>
    </w:pPr>
  </w:style>
  <w:style w:type="paragraph" w:styleId="ListContinue3">
    <w:name w:val="List Continue 3"/>
    <w:basedOn w:val="ListContinue2"/>
    <w:uiPriority w:val="24"/>
    <w:unhideWhenUsed/>
    <w:rsid w:val="0023028C"/>
    <w:pPr>
      <w:numPr>
        <w:ilvl w:val="2"/>
      </w:numPr>
    </w:pPr>
  </w:style>
  <w:style w:type="paragraph" w:customStyle="1" w:styleId="ListBaseParagraph">
    <w:name w:val="List Base Paragraph"/>
    <w:basedOn w:val="Normal"/>
    <w:next w:val="Normal"/>
    <w:uiPriority w:val="19"/>
    <w:semiHidden/>
    <w:qFormat/>
    <w:rsid w:val="0023028C"/>
    <w:pPr>
      <w:spacing w:before="60"/>
    </w:pPr>
  </w:style>
  <w:style w:type="paragraph" w:styleId="TOC1">
    <w:name w:val="toc 1"/>
    <w:basedOn w:val="Normal"/>
    <w:next w:val="Normal"/>
    <w:uiPriority w:val="39"/>
    <w:unhideWhenUsed/>
    <w:rsid w:val="00FE4A4D"/>
    <w:pPr>
      <w:keepNext/>
      <w:tabs>
        <w:tab w:val="right" w:leader="dot" w:pos="7711"/>
      </w:tabs>
      <w:spacing w:before="60"/>
      <w:ind w:right="851"/>
    </w:pPr>
    <w:rPr>
      <w:rFonts w:asciiTheme="majorHAnsi" w:hAnsiTheme="majorHAnsi"/>
      <w:b/>
      <w:sz w:val="21"/>
    </w:rPr>
  </w:style>
  <w:style w:type="paragraph" w:styleId="TOC2">
    <w:name w:val="toc 2"/>
    <w:basedOn w:val="Normal"/>
    <w:next w:val="Normal"/>
    <w:uiPriority w:val="39"/>
    <w:unhideWhenUsed/>
    <w:rsid w:val="00D57611"/>
    <w:pPr>
      <w:tabs>
        <w:tab w:val="right" w:leader="dot" w:pos="7711"/>
      </w:tabs>
      <w:spacing w:before="20"/>
      <w:ind w:left="568" w:right="567" w:hanging="284"/>
    </w:pPr>
    <w:rPr>
      <w:rFonts w:asciiTheme="majorHAnsi" w:hAnsiTheme="majorHAnsi"/>
      <w:sz w:val="20"/>
    </w:rPr>
  </w:style>
  <w:style w:type="numbering" w:customStyle="1" w:styleId="ListContinueIndents">
    <w:name w:val="List Continue Indents"/>
    <w:uiPriority w:val="99"/>
    <w:rsid w:val="0023028C"/>
    <w:pPr>
      <w:numPr>
        <w:numId w:val="8"/>
      </w:numPr>
    </w:pPr>
  </w:style>
  <w:style w:type="table" w:styleId="TableGrid">
    <w:name w:val="Table Grid"/>
    <w:basedOn w:val="TableNormal"/>
    <w:uiPriority w:val="39"/>
    <w:rsid w:val="0023028C"/>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TFTableText">
    <w:name w:val="DTF Table [Text]"/>
    <w:basedOn w:val="TableNormal"/>
    <w:uiPriority w:val="99"/>
    <w:rsid w:val="004C6CDF"/>
    <w:pPr>
      <w:spacing w:before="60" w:after="60"/>
    </w:pPr>
    <w:rPr>
      <w:rFonts w:asciiTheme="majorHAnsi" w:hAnsiTheme="majorHAnsi"/>
      <w:sz w:val="18"/>
    </w:rPr>
    <w:tblPr>
      <w:tblStyleRowBandSize w:val="1"/>
      <w:tblBorders>
        <w:bottom w:val="single" w:sz="6" w:space="0" w:color="auto"/>
      </w:tblBorders>
      <w:tblCellMar>
        <w:left w:w="57" w:type="dxa"/>
        <w:right w:w="57" w:type="dxa"/>
      </w:tblCellMar>
    </w:tblPr>
    <w:tblStylePr w:type="firstRow">
      <w:pPr>
        <w:keepNext/>
        <w:wordWrap/>
        <w:spacing w:beforeLines="0" w:before="20" w:beforeAutospacing="0" w:afterLines="0" w:after="20" w:afterAutospacing="0"/>
      </w:pPr>
      <w:rPr>
        <w:i/>
      </w:rPr>
      <w:tblPr/>
      <w:tcPr>
        <w:tcBorders>
          <w:top w:val="nil"/>
          <w:left w:val="nil"/>
          <w:bottom w:val="nil"/>
          <w:right w:val="nil"/>
          <w:insideH w:val="nil"/>
          <w:insideV w:val="nil"/>
          <w:tl2br w:val="nil"/>
          <w:tr2bl w:val="nil"/>
        </w:tcBorders>
        <w:shd w:val="clear" w:color="auto" w:fill="000000" w:themeFill="text1"/>
      </w:tcPr>
    </w:tblStylePr>
    <w:tblStylePr w:type="lastRow">
      <w:rPr>
        <w:b/>
        <w:i w:val="0"/>
      </w:rPr>
      <w:tblPr/>
      <w:tcPr>
        <w:tcBorders>
          <w:top w:val="single" w:sz="6" w:space="0" w:color="auto"/>
          <w:left w:val="nil"/>
          <w:bottom w:val="single" w:sz="6" w:space="0" w:color="auto"/>
          <w:right w:val="nil"/>
          <w:insideH w:val="nil"/>
          <w:insideV w:val="nil"/>
          <w:tl2br w:val="nil"/>
          <w:tr2bl w:val="nil"/>
        </w:tcBorders>
      </w:tcPr>
    </w:tblStylePr>
    <w:tblStylePr w:type="lastCol">
      <w:rPr>
        <w:b/>
      </w:rPr>
    </w:tblStylePr>
    <w:tblStylePr w:type="band1Horz">
      <w:tblPr/>
      <w:tcPr>
        <w:tcBorders>
          <w:top w:val="nil"/>
          <w:left w:val="nil"/>
          <w:bottom w:val="single" w:sz="6" w:space="0" w:color="auto"/>
          <w:right w:val="nil"/>
          <w:insideH w:val="nil"/>
          <w:insideV w:val="nil"/>
          <w:tl2br w:val="nil"/>
          <w:tr2bl w:val="nil"/>
        </w:tcBorders>
      </w:tcPr>
    </w:tblStylePr>
    <w:tblStylePr w:type="band2Horz">
      <w:tblPr/>
      <w:tcPr>
        <w:tcBorders>
          <w:top w:val="nil"/>
          <w:left w:val="nil"/>
          <w:bottom w:val="single" w:sz="6" w:space="0" w:color="auto"/>
          <w:right w:val="nil"/>
          <w:insideH w:val="nil"/>
          <w:insideV w:val="nil"/>
          <w:tl2br w:val="nil"/>
          <w:tr2bl w:val="nil"/>
        </w:tcBorders>
      </w:tcPr>
    </w:tblStylePr>
  </w:style>
  <w:style w:type="table" w:customStyle="1" w:styleId="DTFTableShadedText">
    <w:name w:val="DTF Table [Shaded Text]"/>
    <w:basedOn w:val="DTFTableText"/>
    <w:uiPriority w:val="99"/>
    <w:rsid w:val="004C6CDF"/>
    <w:tblPr>
      <w:tblStyleColBandSize w:val="1"/>
      <w:tblBorders>
        <w:top w:val="single" w:sz="6" w:space="0" w:color="auto"/>
        <w:bottom w:val="none" w:sz="0" w:space="0" w:color="auto"/>
        <w:insideH w:val="single" w:sz="6" w:space="0" w:color="auto"/>
      </w:tblBorders>
    </w:tblPr>
    <w:tblStylePr w:type="firstRow">
      <w:pPr>
        <w:keepNext/>
        <w:wordWrap/>
        <w:spacing w:beforeLines="0" w:before="20" w:beforeAutospacing="0" w:afterLines="0" w:after="20" w:afterAutospacing="0"/>
      </w:pPr>
      <w:rPr>
        <w:i/>
      </w:rPr>
      <w:tblPr/>
      <w:tcPr>
        <w:tcBorders>
          <w:top w:val="nil"/>
          <w:left w:val="nil"/>
          <w:bottom w:val="nil"/>
          <w:right w:val="nil"/>
          <w:insideH w:val="nil"/>
          <w:insideV w:val="nil"/>
          <w:tl2br w:val="nil"/>
          <w:tr2bl w:val="nil"/>
        </w:tcBorders>
        <w:shd w:val="clear" w:color="auto" w:fill="000000" w:themeFill="text1"/>
      </w:tcPr>
    </w:tblStylePr>
    <w:tblStylePr w:type="lastRow">
      <w:rPr>
        <w:b/>
        <w:i w:val="0"/>
      </w:rPr>
      <w:tblPr/>
      <w:tcPr>
        <w:tcBorders>
          <w:top w:val="single" w:sz="6" w:space="0" w:color="auto"/>
          <w:left w:val="nil"/>
          <w:bottom w:val="single" w:sz="6" w:space="0" w:color="auto"/>
          <w:right w:val="nil"/>
          <w:insideH w:val="nil"/>
          <w:insideV w:val="nil"/>
          <w:tl2br w:val="nil"/>
          <w:tr2bl w:val="nil"/>
        </w:tcBorders>
      </w:tcPr>
    </w:tblStylePr>
    <w:tblStylePr w:type="lastCol">
      <w:rPr>
        <w:b/>
      </w:rPr>
    </w:tblStylePr>
    <w:tblStylePr w:type="band1Vert">
      <w:tblPr/>
      <w:tcPr>
        <w:tcBorders>
          <w:top w:val="nil"/>
          <w:left w:val="nil"/>
          <w:bottom w:val="single" w:sz="4" w:space="0" w:color="auto"/>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single" w:sz="6" w:space="0" w:color="auto"/>
          <w:left w:val="nil"/>
          <w:bottom w:val="single" w:sz="6" w:space="0" w:color="auto"/>
          <w:right w:val="nil"/>
          <w:insideH w:val="nil"/>
          <w:insideV w:val="nil"/>
          <w:tl2br w:val="nil"/>
          <w:tr2bl w:val="nil"/>
        </w:tcBorders>
      </w:tcPr>
    </w:tblStylePr>
    <w:tblStylePr w:type="band2Horz">
      <w:tblPr/>
      <w:tcPr>
        <w:tcBorders>
          <w:top w:val="single" w:sz="6" w:space="0" w:color="auto"/>
          <w:left w:val="nil"/>
          <w:bottom w:val="single" w:sz="6" w:space="0" w:color="auto"/>
          <w:right w:val="nil"/>
          <w:insideH w:val="nil"/>
          <w:insideV w:val="nil"/>
          <w:tl2br w:val="nil"/>
          <w:tr2bl w:val="nil"/>
        </w:tcBorders>
        <w:shd w:val="clear" w:color="auto" w:fill="F2F2F2" w:themeFill="background1" w:themeFillShade="F2"/>
      </w:tcPr>
    </w:tblStylePr>
  </w:style>
  <w:style w:type="table" w:customStyle="1" w:styleId="DTFTableNumeric">
    <w:name w:val="DTF Table [Numeric]"/>
    <w:basedOn w:val="DTFTableText"/>
    <w:uiPriority w:val="99"/>
    <w:rsid w:val="004C6CDF"/>
    <w:pPr>
      <w:spacing w:before="20" w:after="20"/>
      <w:jc w:val="right"/>
    </w:pPr>
    <w:rPr>
      <w:sz w:val="17"/>
    </w:rPr>
    <w:tblPr>
      <w:tblBorders>
        <w:bottom w:val="single" w:sz="12" w:space="0" w:color="auto"/>
      </w:tblBorders>
    </w:tblPr>
    <w:tblStylePr w:type="firstRow">
      <w:pPr>
        <w:keepNext/>
        <w:wordWrap/>
        <w:spacing w:beforeLines="0" w:before="20" w:beforeAutospacing="0" w:afterLines="0" w:after="20" w:afterAutospacing="0"/>
      </w:pPr>
      <w:rPr>
        <w:i/>
      </w:rPr>
      <w:tblPr/>
      <w:tcPr>
        <w:tcBorders>
          <w:top w:val="nil"/>
          <w:left w:val="nil"/>
          <w:bottom w:val="nil"/>
          <w:right w:val="nil"/>
          <w:insideH w:val="nil"/>
          <w:insideV w:val="nil"/>
          <w:tl2br w:val="nil"/>
          <w:tr2bl w:val="nil"/>
        </w:tcBorders>
        <w:shd w:val="clear" w:color="auto" w:fill="000000" w:themeFill="text1"/>
        <w:vAlign w:val="bottom"/>
      </w:tcPr>
    </w:tblStylePr>
    <w:tblStylePr w:type="lastRow">
      <w:rPr>
        <w:b/>
        <w:i w:val="0"/>
      </w:rPr>
      <w:tblPr/>
      <w:tcPr>
        <w:tcBorders>
          <w:top w:val="single" w:sz="6" w:space="0" w:color="auto"/>
          <w:left w:val="nil"/>
          <w:bottom w:val="single" w:sz="12" w:space="0" w:color="auto"/>
          <w:right w:val="nil"/>
          <w:insideH w:val="nil"/>
          <w:insideV w:val="nil"/>
          <w:tl2br w:val="nil"/>
          <w:tr2bl w:val="nil"/>
        </w:tcBorders>
      </w:tcPr>
    </w:tblStylePr>
    <w:tblStylePr w:type="firstCol">
      <w:pPr>
        <w:wordWrap/>
        <w:ind w:leftChars="0" w:left="170" w:rightChars="0" w:right="0" w:firstLineChars="0" w:hanging="170"/>
        <w:mirrorIndents w:val="0"/>
        <w:jc w:val="left"/>
      </w:pPr>
    </w:tblStylePr>
    <w:tblStylePr w:type="lastCol">
      <w:rPr>
        <w:b/>
      </w:rPr>
    </w:tblStylePr>
    <w:tblStylePr w:type="band1Horz">
      <w:tblPr/>
      <w:tcPr>
        <w:tcBorders>
          <w:top w:val="nil"/>
          <w:left w:val="nil"/>
          <w:bottom w:val="single" w:sz="6" w:space="0" w:color="auto"/>
          <w:right w:val="nil"/>
          <w:insideH w:val="nil"/>
          <w:insideV w:val="nil"/>
          <w:tl2br w:val="nil"/>
          <w:tr2bl w:val="nil"/>
        </w:tcBorders>
      </w:tcPr>
    </w:tblStylePr>
    <w:tblStylePr w:type="band2Horz">
      <w:tblPr>
        <w:tblCellMar>
          <w:top w:w="0" w:type="dxa"/>
          <w:left w:w="57" w:type="dxa"/>
          <w:bottom w:w="0" w:type="dxa"/>
          <w:right w:w="57" w:type="dxa"/>
        </w:tblCellMar>
      </w:tblPr>
      <w:tcPr>
        <w:tcBorders>
          <w:top w:val="single" w:sz="6" w:space="0" w:color="auto"/>
          <w:left w:val="nil"/>
          <w:bottom w:val="single" w:sz="6" w:space="0" w:color="auto"/>
          <w:right w:val="nil"/>
          <w:insideH w:val="nil"/>
          <w:insideV w:val="nil"/>
          <w:tl2br w:val="nil"/>
          <w:tr2bl w:val="nil"/>
        </w:tcBorders>
      </w:tcPr>
    </w:tblStylePr>
  </w:style>
  <w:style w:type="character" w:customStyle="1" w:styleId="Heading6Char">
    <w:name w:val="Heading 6 Char"/>
    <w:basedOn w:val="DefaultParagraphFont"/>
    <w:link w:val="Heading6"/>
    <w:uiPriority w:val="9"/>
    <w:rsid w:val="0023028C"/>
    <w:rPr>
      <w:rFonts w:asciiTheme="majorHAnsi" w:eastAsiaTheme="majorEastAsia" w:hAnsiTheme="majorHAnsi" w:cstheme="majorBidi"/>
      <w:color w:val="1F3763" w:themeColor="accent1" w:themeShade="7F"/>
    </w:rPr>
  </w:style>
  <w:style w:type="paragraph" w:styleId="FootnoteText">
    <w:name w:val="footnote text"/>
    <w:basedOn w:val="Normal"/>
    <w:link w:val="FootnoteTextChar"/>
    <w:uiPriority w:val="99"/>
    <w:unhideWhenUsed/>
    <w:rsid w:val="0023028C"/>
    <w:pPr>
      <w:spacing w:before="0"/>
    </w:pPr>
    <w:rPr>
      <w:sz w:val="20"/>
      <w:szCs w:val="20"/>
    </w:rPr>
  </w:style>
  <w:style w:type="character" w:customStyle="1" w:styleId="FootnoteTextChar">
    <w:name w:val="Footnote Text Char"/>
    <w:basedOn w:val="DefaultParagraphFont"/>
    <w:link w:val="FootnoteText"/>
    <w:uiPriority w:val="99"/>
    <w:rsid w:val="0023028C"/>
    <w:rPr>
      <w:sz w:val="20"/>
      <w:szCs w:val="20"/>
    </w:rPr>
  </w:style>
  <w:style w:type="character" w:styleId="FootnoteReference">
    <w:name w:val="footnote reference"/>
    <w:basedOn w:val="DefaultParagraphFont"/>
    <w:uiPriority w:val="99"/>
    <w:unhideWhenUsed/>
    <w:rsid w:val="0023028C"/>
    <w:rPr>
      <w:vertAlign w:val="superscript"/>
    </w:rPr>
  </w:style>
  <w:style w:type="paragraph" w:styleId="List">
    <w:name w:val="List"/>
    <w:basedOn w:val="Normal"/>
    <w:uiPriority w:val="99"/>
    <w:unhideWhenUsed/>
    <w:rsid w:val="0023028C"/>
    <w:pPr>
      <w:ind w:left="283" w:hanging="283"/>
      <w:contextualSpacing/>
    </w:pPr>
  </w:style>
  <w:style w:type="paragraph" w:styleId="TOC9">
    <w:name w:val="toc 9"/>
    <w:basedOn w:val="Normal"/>
    <w:next w:val="Normal"/>
    <w:autoRedefine/>
    <w:uiPriority w:val="39"/>
    <w:unhideWhenUsed/>
    <w:rsid w:val="0023028C"/>
    <w:pPr>
      <w:tabs>
        <w:tab w:val="left" w:pos="567"/>
        <w:tab w:val="center" w:leader="dot" w:pos="3629"/>
      </w:tabs>
      <w:spacing w:after="100"/>
      <w:ind w:left="567" w:hanging="567"/>
    </w:pPr>
    <w:rPr>
      <w:spacing w:val="-2"/>
      <w:sz w:val="20"/>
    </w:rPr>
  </w:style>
  <w:style w:type="paragraph" w:styleId="CommentText">
    <w:name w:val="annotation text"/>
    <w:basedOn w:val="Normal"/>
    <w:link w:val="CommentTextChar"/>
    <w:uiPriority w:val="99"/>
    <w:unhideWhenUsed/>
    <w:rsid w:val="0023028C"/>
    <w:rPr>
      <w:sz w:val="20"/>
      <w:szCs w:val="20"/>
    </w:rPr>
  </w:style>
  <w:style w:type="character" w:customStyle="1" w:styleId="CommentTextChar">
    <w:name w:val="Comment Text Char"/>
    <w:basedOn w:val="DefaultParagraphFont"/>
    <w:link w:val="CommentText"/>
    <w:uiPriority w:val="99"/>
    <w:rsid w:val="0023028C"/>
    <w:rPr>
      <w:sz w:val="20"/>
      <w:szCs w:val="20"/>
    </w:rPr>
  </w:style>
  <w:style w:type="character" w:styleId="CommentReference">
    <w:name w:val="annotation reference"/>
    <w:basedOn w:val="DefaultParagraphFont"/>
    <w:uiPriority w:val="99"/>
    <w:semiHidden/>
    <w:unhideWhenUsed/>
    <w:rsid w:val="0023028C"/>
    <w:rPr>
      <w:sz w:val="16"/>
      <w:szCs w:val="16"/>
    </w:rPr>
  </w:style>
  <w:style w:type="character" w:styleId="Hyperlink">
    <w:name w:val="Hyperlink"/>
    <w:basedOn w:val="DefaultParagraphFont"/>
    <w:uiPriority w:val="99"/>
    <w:rsid w:val="0023028C"/>
    <w:rPr>
      <w:color w:val="0000FF"/>
      <w:u w:val="single"/>
    </w:rPr>
  </w:style>
  <w:style w:type="paragraph" w:styleId="ListParagraph">
    <w:name w:val="List Paragraph"/>
    <w:basedOn w:val="Normal"/>
    <w:uiPriority w:val="34"/>
    <w:qFormat/>
    <w:rsid w:val="0023028C"/>
    <w:pPr>
      <w:ind w:left="720"/>
      <w:contextualSpacing/>
    </w:pPr>
  </w:style>
  <w:style w:type="character" w:customStyle="1" w:styleId="Heading3Char0">
    <w:name w:val="Heading 3 (#) Char"/>
    <w:basedOn w:val="Heading3Char"/>
    <w:link w:val="Heading3"/>
    <w:uiPriority w:val="14"/>
    <w:rsid w:val="0023028C"/>
    <w:rPr>
      <w:rFonts w:asciiTheme="majorHAnsi" w:eastAsiaTheme="majorEastAsia" w:hAnsiTheme="majorHAnsi" w:cstheme="majorBidi"/>
      <w:b/>
      <w:sz w:val="23"/>
      <w:szCs w:val="24"/>
    </w:rPr>
  </w:style>
  <w:style w:type="character" w:customStyle="1" w:styleId="TableHeadingChar">
    <w:name w:val="Table Heading Char"/>
    <w:basedOn w:val="DefaultParagraphFont"/>
    <w:link w:val="TableHeading"/>
    <w:uiPriority w:val="49"/>
    <w:rsid w:val="0023028C"/>
    <w:rPr>
      <w:rFonts w:asciiTheme="majorHAnsi" w:hAnsiTheme="majorHAnsi"/>
      <w:b/>
      <w:sz w:val="20"/>
    </w:rPr>
  </w:style>
  <w:style w:type="character" w:customStyle="1" w:styleId="TableUnitsChar">
    <w:name w:val="Table Units Char"/>
    <w:basedOn w:val="DefaultParagraphFont"/>
    <w:link w:val="TableUnits"/>
    <w:uiPriority w:val="49"/>
    <w:rsid w:val="0023028C"/>
    <w:rPr>
      <w:rFonts w:asciiTheme="majorHAnsi" w:hAnsiTheme="majorHAnsi"/>
      <w:b/>
      <w:sz w:val="20"/>
    </w:rPr>
  </w:style>
  <w:style w:type="character" w:customStyle="1" w:styleId="NoteChar">
    <w:name w:val="Note Char"/>
    <w:basedOn w:val="DefaultParagraphFont"/>
    <w:link w:val="Note"/>
    <w:uiPriority w:val="52"/>
    <w:rsid w:val="0023028C"/>
    <w:rPr>
      <w:rFonts w:asciiTheme="majorHAnsi" w:hAnsiTheme="majorHAnsi"/>
      <w:i/>
      <w:sz w:val="14"/>
    </w:rPr>
  </w:style>
  <w:style w:type="numbering" w:customStyle="1" w:styleId="Bullet">
    <w:name w:val="Bullet"/>
    <w:uiPriority w:val="99"/>
    <w:rsid w:val="008D6F13"/>
    <w:pPr>
      <w:numPr>
        <w:numId w:val="9"/>
      </w:numPr>
    </w:pPr>
  </w:style>
  <w:style w:type="character" w:customStyle="1" w:styleId="SourceChar">
    <w:name w:val="Source Char"/>
    <w:link w:val="Source"/>
    <w:uiPriority w:val="51"/>
    <w:locked/>
    <w:rsid w:val="008D6F13"/>
    <w:rPr>
      <w:rFonts w:asciiTheme="majorHAnsi" w:hAnsiTheme="majorHAnsi"/>
      <w:i/>
      <w:sz w:val="14"/>
    </w:rPr>
  </w:style>
  <w:style w:type="character" w:customStyle="1" w:styleId="ListBulletChar">
    <w:name w:val="List Bullet Char"/>
    <w:basedOn w:val="DefaultParagraphFont"/>
    <w:link w:val="ListBullet"/>
    <w:uiPriority w:val="19"/>
    <w:rsid w:val="008D6F13"/>
  </w:style>
  <w:style w:type="character" w:customStyle="1" w:styleId="HighlightBoxTextChar">
    <w:name w:val="Highlight Box Text Char"/>
    <w:basedOn w:val="DefaultParagraphFont"/>
    <w:link w:val="HighlightBoxText"/>
    <w:uiPriority w:val="59"/>
    <w:rsid w:val="008D6F13"/>
    <w:rPr>
      <w:shd w:val="clear" w:color="auto" w:fill="F2F2F2" w:themeFill="background1" w:themeFillShade="F2"/>
    </w:rPr>
  </w:style>
  <w:style w:type="table" w:customStyle="1" w:styleId="DTFTable">
    <w:name w:val="DTF Table"/>
    <w:basedOn w:val="TableNormal"/>
    <w:uiPriority w:val="99"/>
    <w:rsid w:val="008D6F13"/>
    <w:pPr>
      <w:spacing w:before="20" w:after="20"/>
      <w:jc w:val="right"/>
    </w:pPr>
    <w:rPr>
      <w:rFonts w:asciiTheme="majorHAnsi" w:hAnsiTheme="majorHAnsi"/>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7E6E6" w:themeFill="background2"/>
      </w:tcPr>
    </w:tblStylePr>
    <w:tblStylePr w:type="band1Horz">
      <w:tblPr/>
      <w:tcPr>
        <w:shd w:val="clear" w:color="auto" w:fill="E7E6E6" w:themeFill="background2"/>
      </w:tcPr>
    </w:tblStylePr>
    <w:tblStylePr w:type="band2Horz">
      <w:tblPr/>
      <w:tcPr>
        <w:shd w:val="clear" w:color="auto" w:fill="FFFFFF" w:themeFill="background1"/>
      </w:tcPr>
    </w:tblStylePr>
  </w:style>
  <w:style w:type="character" w:customStyle="1" w:styleId="HighlightBoxBulletChar">
    <w:name w:val="Highlight Box Bullet Char"/>
    <w:basedOn w:val="DefaultParagraphFont"/>
    <w:link w:val="HighlightBoxBullet"/>
    <w:uiPriority w:val="60"/>
    <w:rsid w:val="008D6F13"/>
    <w:rPr>
      <w:shd w:val="clear" w:color="auto" w:fill="F2F2F2" w:themeFill="background1" w:themeFillShade="F2"/>
    </w:rPr>
  </w:style>
  <w:style w:type="paragraph" w:customStyle="1" w:styleId="HighlightBoxSource">
    <w:name w:val="Highlight Box Source"/>
    <w:basedOn w:val="HighlightBoxText"/>
    <w:qFormat/>
    <w:rsid w:val="002976FD"/>
    <w:pPr>
      <w:keepNext w:val="0"/>
      <w:spacing w:before="20" w:after="60"/>
    </w:pPr>
    <w:rPr>
      <w:rFonts w:ascii="Calibri" w:hAnsi="Calibri"/>
      <w:i/>
      <w:sz w:val="14"/>
    </w:rPr>
  </w:style>
  <w:style w:type="paragraph" w:customStyle="1" w:styleId="HighlightBoxNote">
    <w:name w:val="Highlight Box Note"/>
    <w:basedOn w:val="HighlightBoxSource"/>
    <w:qFormat/>
    <w:rsid w:val="008D6F13"/>
    <w:pPr>
      <w:spacing w:before="0" w:after="0"/>
      <w:ind w:left="289" w:hanging="289"/>
    </w:pPr>
  </w:style>
  <w:style w:type="character" w:customStyle="1" w:styleId="Heading7Char">
    <w:name w:val="Heading 7 Char"/>
    <w:basedOn w:val="DefaultParagraphFont"/>
    <w:link w:val="Heading7"/>
    <w:uiPriority w:val="9"/>
    <w:semiHidden/>
    <w:rsid w:val="008D6F1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D6F1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D6F13"/>
    <w:rPr>
      <w:rFonts w:asciiTheme="majorHAnsi" w:eastAsiaTheme="majorEastAsia" w:hAnsiTheme="majorHAnsi" w:cstheme="majorBidi"/>
      <w:i/>
      <w:iCs/>
      <w:color w:val="404040" w:themeColor="text1" w:themeTint="BF"/>
    </w:rPr>
  </w:style>
  <w:style w:type="character" w:customStyle="1" w:styleId="Heading2Char0">
    <w:name w:val="Heading 2 (#) Char"/>
    <w:basedOn w:val="Heading2Char"/>
    <w:link w:val="Heading2"/>
    <w:uiPriority w:val="14"/>
    <w:rsid w:val="008D6F13"/>
    <w:rPr>
      <w:rFonts w:asciiTheme="majorHAnsi" w:eastAsiaTheme="majorEastAsia" w:hAnsiTheme="majorHAnsi" w:cstheme="majorBidi"/>
      <w:b/>
      <w:sz w:val="26"/>
      <w:szCs w:val="26"/>
    </w:rPr>
  </w:style>
  <w:style w:type="numbering" w:customStyle="1" w:styleId="A">
    <w:name w:val="(A)"/>
    <w:uiPriority w:val="99"/>
    <w:rsid w:val="008D6F13"/>
    <w:pPr>
      <w:numPr>
        <w:numId w:val="11"/>
      </w:numPr>
    </w:pPr>
  </w:style>
  <w:style w:type="table" w:styleId="LightShading-Accent1">
    <w:name w:val="Light Shading Accent 1"/>
    <w:basedOn w:val="TableNormal"/>
    <w:uiPriority w:val="60"/>
    <w:rsid w:val="008D6F13"/>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
    <w:name w:val="Light Shading"/>
    <w:basedOn w:val="TableNormal"/>
    <w:uiPriority w:val="60"/>
    <w:rsid w:val="008D6F1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8D6F13"/>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customStyle="1" w:styleId="DecimalAligned">
    <w:name w:val="Decimal Aligned"/>
    <w:basedOn w:val="Normal"/>
    <w:uiPriority w:val="40"/>
    <w:semiHidden/>
    <w:rsid w:val="008D6F13"/>
    <w:pPr>
      <w:tabs>
        <w:tab w:val="decimal" w:pos="360"/>
      </w:tabs>
      <w:spacing w:after="200" w:line="276" w:lineRule="auto"/>
    </w:pPr>
    <w:rPr>
      <w:lang w:val="en-US" w:eastAsia="ja-JP"/>
    </w:rPr>
  </w:style>
  <w:style w:type="paragraph" w:customStyle="1" w:styleId="Heading1Non-TOC">
    <w:name w:val="Heading 1 [Non-TOC]"/>
    <w:basedOn w:val="Heading10"/>
    <w:qFormat/>
    <w:rsid w:val="00CB5E47"/>
    <w:rPr>
      <w:bCs/>
      <w:szCs w:val="28"/>
      <w:lang w:eastAsia="en-AU"/>
    </w:rPr>
  </w:style>
  <w:style w:type="table" w:styleId="MediumShading2-Accent5">
    <w:name w:val="Medium Shading 2 Accent 5"/>
    <w:basedOn w:val="TableNormal"/>
    <w:uiPriority w:val="64"/>
    <w:rsid w:val="008D6F13"/>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styleId="111111">
    <w:name w:val="Outline List 2"/>
    <w:basedOn w:val="NoList"/>
    <w:uiPriority w:val="99"/>
    <w:semiHidden/>
    <w:unhideWhenUsed/>
    <w:rsid w:val="008D6F13"/>
    <w:pPr>
      <w:numPr>
        <w:numId w:val="19"/>
      </w:numPr>
    </w:pPr>
  </w:style>
  <w:style w:type="paragraph" w:customStyle="1" w:styleId="NoteDash">
    <w:name w:val="Note Dash"/>
    <w:basedOn w:val="Note"/>
    <w:next w:val="Note"/>
    <w:uiPriority w:val="53"/>
    <w:rsid w:val="008D6F13"/>
    <w:pPr>
      <w:numPr>
        <w:numId w:val="12"/>
      </w:numPr>
      <w:tabs>
        <w:tab w:val="clear" w:pos="284"/>
      </w:tabs>
      <w:spacing w:before="20"/>
      <w:ind w:left="568" w:hanging="284"/>
      <w:contextualSpacing/>
    </w:pPr>
    <w:rPr>
      <w:spacing w:val="-2"/>
    </w:rPr>
  </w:style>
  <w:style w:type="paragraph" w:styleId="TOC3">
    <w:name w:val="toc 3"/>
    <w:basedOn w:val="Normal"/>
    <w:next w:val="Normal"/>
    <w:uiPriority w:val="91"/>
    <w:rsid w:val="008D6F13"/>
    <w:pPr>
      <w:spacing w:after="100"/>
      <w:ind w:left="420"/>
    </w:pPr>
  </w:style>
  <w:style w:type="paragraph" w:styleId="TOC4">
    <w:name w:val="toc 4"/>
    <w:next w:val="Normal"/>
    <w:uiPriority w:val="96"/>
    <w:rsid w:val="008D6F13"/>
    <w:pPr>
      <w:tabs>
        <w:tab w:val="left" w:pos="1021"/>
        <w:tab w:val="right" w:leader="dot" w:pos="9072"/>
      </w:tabs>
      <w:spacing w:after="100"/>
    </w:pPr>
    <w:rPr>
      <w:rFonts w:asciiTheme="majorHAnsi" w:hAnsiTheme="majorHAnsi"/>
      <w:spacing w:val="2"/>
    </w:rPr>
  </w:style>
  <w:style w:type="paragraph" w:styleId="BalloonText">
    <w:name w:val="Balloon Text"/>
    <w:basedOn w:val="Normal"/>
    <w:link w:val="BalloonTextChar"/>
    <w:uiPriority w:val="99"/>
    <w:semiHidden/>
    <w:unhideWhenUsed/>
    <w:rsid w:val="008D6F13"/>
    <w:rPr>
      <w:rFonts w:ascii="Tahoma" w:hAnsi="Tahoma" w:cs="Tahoma"/>
      <w:sz w:val="16"/>
      <w:szCs w:val="16"/>
    </w:rPr>
  </w:style>
  <w:style w:type="character" w:customStyle="1" w:styleId="BalloonTextChar">
    <w:name w:val="Balloon Text Char"/>
    <w:basedOn w:val="DefaultParagraphFont"/>
    <w:link w:val="BalloonText"/>
    <w:uiPriority w:val="99"/>
    <w:semiHidden/>
    <w:rsid w:val="008D6F13"/>
    <w:rPr>
      <w:rFonts w:ascii="Tahoma" w:hAnsi="Tahoma" w:cs="Tahoma"/>
      <w:sz w:val="16"/>
      <w:szCs w:val="16"/>
    </w:rPr>
  </w:style>
  <w:style w:type="table" w:styleId="LightShading-Accent2">
    <w:name w:val="Light Shading Accent 2"/>
    <w:basedOn w:val="TableNormal"/>
    <w:uiPriority w:val="60"/>
    <w:rsid w:val="008D6F13"/>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umber">
    <w:name w:val="Number"/>
    <w:uiPriority w:val="99"/>
    <w:rsid w:val="008D6F13"/>
    <w:pPr>
      <w:numPr>
        <w:numId w:val="14"/>
      </w:numPr>
    </w:pPr>
  </w:style>
  <w:style w:type="character" w:customStyle="1" w:styleId="Heading1Char0">
    <w:name w:val="Heading 1 (#) Char"/>
    <w:basedOn w:val="Heading1Char"/>
    <w:link w:val="Heading1"/>
    <w:uiPriority w:val="14"/>
    <w:rsid w:val="008D6F13"/>
    <w:rPr>
      <w:rFonts w:asciiTheme="majorHAnsi" w:eastAsiaTheme="majorEastAsia" w:hAnsiTheme="majorHAnsi" w:cstheme="majorBidi"/>
      <w:b/>
      <w:caps/>
      <w:sz w:val="26"/>
      <w:szCs w:val="32"/>
    </w:rPr>
  </w:style>
  <w:style w:type="table" w:styleId="LightList">
    <w:name w:val="Light List"/>
    <w:basedOn w:val="TableNormal"/>
    <w:uiPriority w:val="61"/>
    <w:rsid w:val="008D6F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Number4">
    <w:name w:val="List Number 4"/>
    <w:basedOn w:val="Normal"/>
    <w:uiPriority w:val="19"/>
    <w:semiHidden/>
    <w:unhideWhenUsed/>
    <w:rsid w:val="008D6F13"/>
    <w:pPr>
      <w:ind w:left="1136" w:hanging="284"/>
      <w:contextualSpacing/>
    </w:pPr>
  </w:style>
  <w:style w:type="paragraph" w:styleId="ListNumber5">
    <w:name w:val="List Number 5"/>
    <w:basedOn w:val="Normal"/>
    <w:uiPriority w:val="19"/>
    <w:semiHidden/>
    <w:unhideWhenUsed/>
    <w:rsid w:val="008D6F13"/>
    <w:pPr>
      <w:ind w:left="1420" w:hanging="284"/>
      <w:contextualSpacing/>
    </w:pPr>
  </w:style>
  <w:style w:type="numbering" w:customStyle="1" w:styleId="NumberedHeadings">
    <w:name w:val="Numbered Headings"/>
    <w:uiPriority w:val="99"/>
    <w:rsid w:val="008D6F13"/>
    <w:pPr>
      <w:numPr>
        <w:numId w:val="15"/>
      </w:numPr>
    </w:pPr>
  </w:style>
  <w:style w:type="paragraph" w:styleId="ListBullet4">
    <w:name w:val="List Bullet 4"/>
    <w:basedOn w:val="Normal"/>
    <w:uiPriority w:val="19"/>
    <w:semiHidden/>
    <w:unhideWhenUsed/>
    <w:rsid w:val="008D6F13"/>
    <w:pPr>
      <w:numPr>
        <w:numId w:val="17"/>
      </w:numPr>
      <w:tabs>
        <w:tab w:val="clear" w:pos="1209"/>
      </w:tabs>
      <w:ind w:left="360"/>
      <w:contextualSpacing/>
    </w:pPr>
  </w:style>
  <w:style w:type="paragraph" w:styleId="ListBullet5">
    <w:name w:val="List Bullet 5"/>
    <w:basedOn w:val="Normal"/>
    <w:uiPriority w:val="19"/>
    <w:semiHidden/>
    <w:unhideWhenUsed/>
    <w:rsid w:val="008D6F13"/>
    <w:pPr>
      <w:numPr>
        <w:numId w:val="18"/>
      </w:numPr>
      <w:contextualSpacing/>
    </w:pPr>
  </w:style>
  <w:style w:type="paragraph" w:styleId="ListContinue4">
    <w:name w:val="List Continue 4"/>
    <w:basedOn w:val="Normal"/>
    <w:uiPriority w:val="24"/>
    <w:semiHidden/>
    <w:unhideWhenUsed/>
    <w:rsid w:val="008D6F13"/>
    <w:pPr>
      <w:spacing w:after="120"/>
      <w:ind w:left="1132"/>
      <w:contextualSpacing/>
    </w:pPr>
  </w:style>
  <w:style w:type="paragraph" w:styleId="ListContinue5">
    <w:name w:val="List Continue 5"/>
    <w:basedOn w:val="Normal"/>
    <w:uiPriority w:val="24"/>
    <w:semiHidden/>
    <w:unhideWhenUsed/>
    <w:rsid w:val="008D6F13"/>
    <w:pPr>
      <w:spacing w:after="120"/>
      <w:ind w:left="1415"/>
      <w:contextualSpacing/>
    </w:pPr>
  </w:style>
  <w:style w:type="paragraph" w:styleId="TOC7">
    <w:name w:val="toc 7"/>
    <w:basedOn w:val="Normal"/>
    <w:next w:val="Normal"/>
    <w:autoRedefine/>
    <w:uiPriority w:val="96"/>
    <w:semiHidden/>
    <w:rsid w:val="008D6F13"/>
    <w:pPr>
      <w:spacing w:after="100"/>
      <w:ind w:left="1320"/>
    </w:pPr>
  </w:style>
  <w:style w:type="numbering" w:styleId="1ai">
    <w:name w:val="Outline List 1"/>
    <w:basedOn w:val="NoList"/>
    <w:uiPriority w:val="99"/>
    <w:semiHidden/>
    <w:unhideWhenUsed/>
    <w:rsid w:val="008D6F13"/>
    <w:pPr>
      <w:numPr>
        <w:numId w:val="20"/>
      </w:numPr>
    </w:pPr>
  </w:style>
  <w:style w:type="numbering" w:styleId="ArticleSection">
    <w:name w:val="Outline List 3"/>
    <w:basedOn w:val="NoList"/>
    <w:uiPriority w:val="99"/>
    <w:semiHidden/>
    <w:unhideWhenUsed/>
    <w:rsid w:val="008D6F13"/>
    <w:pPr>
      <w:numPr>
        <w:numId w:val="21"/>
      </w:numPr>
    </w:pPr>
  </w:style>
  <w:style w:type="paragraph" w:styleId="Bibliography">
    <w:name w:val="Bibliography"/>
    <w:basedOn w:val="Normal"/>
    <w:next w:val="Normal"/>
    <w:uiPriority w:val="37"/>
    <w:semiHidden/>
    <w:unhideWhenUsed/>
    <w:rsid w:val="008D6F13"/>
  </w:style>
  <w:style w:type="paragraph" w:styleId="BlockText">
    <w:name w:val="Block Text"/>
    <w:basedOn w:val="Normal"/>
    <w:uiPriority w:val="99"/>
    <w:semiHidden/>
    <w:unhideWhenUsed/>
    <w:rsid w:val="008D6F13"/>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8D6F13"/>
    <w:pPr>
      <w:spacing w:after="120"/>
    </w:pPr>
  </w:style>
  <w:style w:type="character" w:customStyle="1" w:styleId="BodyTextChar">
    <w:name w:val="Body Text Char"/>
    <w:basedOn w:val="DefaultParagraphFont"/>
    <w:link w:val="BodyText"/>
    <w:uiPriority w:val="99"/>
    <w:semiHidden/>
    <w:rsid w:val="008D6F13"/>
  </w:style>
  <w:style w:type="paragraph" w:styleId="BodyText2">
    <w:name w:val="Body Text 2"/>
    <w:basedOn w:val="Normal"/>
    <w:link w:val="BodyText2Char"/>
    <w:uiPriority w:val="99"/>
    <w:semiHidden/>
    <w:unhideWhenUsed/>
    <w:rsid w:val="008D6F13"/>
    <w:pPr>
      <w:spacing w:after="120" w:line="480" w:lineRule="auto"/>
    </w:pPr>
  </w:style>
  <w:style w:type="character" w:customStyle="1" w:styleId="BodyText2Char">
    <w:name w:val="Body Text 2 Char"/>
    <w:basedOn w:val="DefaultParagraphFont"/>
    <w:link w:val="BodyText2"/>
    <w:uiPriority w:val="99"/>
    <w:semiHidden/>
    <w:rsid w:val="008D6F13"/>
  </w:style>
  <w:style w:type="paragraph" w:styleId="BodyText3">
    <w:name w:val="Body Text 3"/>
    <w:basedOn w:val="Normal"/>
    <w:link w:val="BodyText3Char"/>
    <w:uiPriority w:val="99"/>
    <w:semiHidden/>
    <w:unhideWhenUsed/>
    <w:rsid w:val="008D6F13"/>
    <w:pPr>
      <w:spacing w:after="120"/>
    </w:pPr>
    <w:rPr>
      <w:sz w:val="16"/>
      <w:szCs w:val="16"/>
    </w:rPr>
  </w:style>
  <w:style w:type="character" w:customStyle="1" w:styleId="BodyText3Char">
    <w:name w:val="Body Text 3 Char"/>
    <w:basedOn w:val="DefaultParagraphFont"/>
    <w:link w:val="BodyText3"/>
    <w:uiPriority w:val="99"/>
    <w:semiHidden/>
    <w:rsid w:val="008D6F13"/>
    <w:rPr>
      <w:sz w:val="16"/>
      <w:szCs w:val="16"/>
    </w:rPr>
  </w:style>
  <w:style w:type="paragraph" w:styleId="BodyTextFirstIndent">
    <w:name w:val="Body Text First Indent"/>
    <w:basedOn w:val="BodyText"/>
    <w:link w:val="BodyTextFirstIndentChar"/>
    <w:uiPriority w:val="99"/>
    <w:semiHidden/>
    <w:unhideWhenUsed/>
    <w:rsid w:val="008D6F13"/>
    <w:pPr>
      <w:spacing w:after="0"/>
      <w:ind w:firstLine="360"/>
    </w:pPr>
  </w:style>
  <w:style w:type="character" w:customStyle="1" w:styleId="BodyTextFirstIndentChar">
    <w:name w:val="Body Text First Indent Char"/>
    <w:basedOn w:val="BodyTextChar"/>
    <w:link w:val="BodyTextFirstIndent"/>
    <w:uiPriority w:val="99"/>
    <w:semiHidden/>
    <w:rsid w:val="008D6F13"/>
  </w:style>
  <w:style w:type="paragraph" w:styleId="BodyTextIndent">
    <w:name w:val="Body Text Indent"/>
    <w:basedOn w:val="Normal"/>
    <w:link w:val="BodyTextIndentChar"/>
    <w:uiPriority w:val="99"/>
    <w:semiHidden/>
    <w:unhideWhenUsed/>
    <w:rsid w:val="008D6F13"/>
    <w:pPr>
      <w:spacing w:after="120"/>
      <w:ind w:left="283"/>
    </w:pPr>
  </w:style>
  <w:style w:type="character" w:customStyle="1" w:styleId="BodyTextIndentChar">
    <w:name w:val="Body Text Indent Char"/>
    <w:basedOn w:val="DefaultParagraphFont"/>
    <w:link w:val="BodyTextIndent"/>
    <w:uiPriority w:val="99"/>
    <w:semiHidden/>
    <w:rsid w:val="008D6F13"/>
  </w:style>
  <w:style w:type="paragraph" w:styleId="BodyTextFirstIndent2">
    <w:name w:val="Body Text First Indent 2"/>
    <w:basedOn w:val="BodyTextIndent"/>
    <w:link w:val="BodyTextFirstIndent2Char"/>
    <w:uiPriority w:val="99"/>
    <w:semiHidden/>
    <w:unhideWhenUsed/>
    <w:rsid w:val="008D6F13"/>
    <w:pPr>
      <w:spacing w:after="0"/>
      <w:ind w:left="360" w:firstLine="360"/>
    </w:pPr>
  </w:style>
  <w:style w:type="character" w:customStyle="1" w:styleId="BodyTextFirstIndent2Char">
    <w:name w:val="Body Text First Indent 2 Char"/>
    <w:basedOn w:val="BodyTextIndentChar"/>
    <w:link w:val="BodyTextFirstIndent2"/>
    <w:uiPriority w:val="99"/>
    <w:semiHidden/>
    <w:rsid w:val="008D6F13"/>
  </w:style>
  <w:style w:type="paragraph" w:styleId="BodyTextIndent2">
    <w:name w:val="Body Text Indent 2"/>
    <w:basedOn w:val="Normal"/>
    <w:link w:val="BodyTextIndent2Char"/>
    <w:uiPriority w:val="99"/>
    <w:semiHidden/>
    <w:unhideWhenUsed/>
    <w:rsid w:val="008D6F13"/>
    <w:pPr>
      <w:spacing w:after="120" w:line="480" w:lineRule="auto"/>
      <w:ind w:left="283"/>
    </w:pPr>
  </w:style>
  <w:style w:type="character" w:customStyle="1" w:styleId="BodyTextIndent2Char">
    <w:name w:val="Body Text Indent 2 Char"/>
    <w:basedOn w:val="DefaultParagraphFont"/>
    <w:link w:val="BodyTextIndent2"/>
    <w:uiPriority w:val="99"/>
    <w:semiHidden/>
    <w:rsid w:val="008D6F13"/>
  </w:style>
  <w:style w:type="paragraph" w:styleId="BodyTextIndent3">
    <w:name w:val="Body Text Indent 3"/>
    <w:basedOn w:val="Normal"/>
    <w:link w:val="BodyTextIndent3Char"/>
    <w:uiPriority w:val="99"/>
    <w:semiHidden/>
    <w:unhideWhenUsed/>
    <w:rsid w:val="008D6F1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D6F13"/>
    <w:rPr>
      <w:sz w:val="16"/>
      <w:szCs w:val="16"/>
    </w:rPr>
  </w:style>
  <w:style w:type="paragraph" w:styleId="Caption">
    <w:name w:val="caption"/>
    <w:basedOn w:val="Normal"/>
    <w:next w:val="Normal"/>
    <w:uiPriority w:val="35"/>
    <w:semiHidden/>
    <w:unhideWhenUsed/>
    <w:rsid w:val="008D6F13"/>
    <w:pPr>
      <w:spacing w:before="0" w:after="200"/>
    </w:pPr>
    <w:rPr>
      <w:b/>
      <w:bCs/>
      <w:color w:val="4472C4" w:themeColor="accent1"/>
      <w:sz w:val="18"/>
      <w:szCs w:val="18"/>
    </w:rPr>
  </w:style>
  <w:style w:type="paragraph" w:styleId="Closing">
    <w:name w:val="Closing"/>
    <w:basedOn w:val="Normal"/>
    <w:link w:val="ClosingChar"/>
    <w:uiPriority w:val="99"/>
    <w:semiHidden/>
    <w:unhideWhenUsed/>
    <w:rsid w:val="008D6F13"/>
    <w:pPr>
      <w:spacing w:before="0"/>
      <w:ind w:left="4252"/>
    </w:pPr>
  </w:style>
  <w:style w:type="character" w:customStyle="1" w:styleId="ClosingChar">
    <w:name w:val="Closing Char"/>
    <w:basedOn w:val="DefaultParagraphFont"/>
    <w:link w:val="Closing"/>
    <w:uiPriority w:val="99"/>
    <w:semiHidden/>
    <w:rsid w:val="008D6F13"/>
  </w:style>
  <w:style w:type="table" w:styleId="ColorfulGrid">
    <w:name w:val="Colorful Grid"/>
    <w:basedOn w:val="TableNormal"/>
    <w:uiPriority w:val="73"/>
    <w:rsid w:val="008D6F13"/>
    <w:pPr>
      <w:spacing w:before="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D6F13"/>
    <w:pPr>
      <w:spacing w:before="0"/>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8D6F13"/>
    <w:pPr>
      <w:spacing w:before="0"/>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8D6F13"/>
    <w:pPr>
      <w:spacing w:before="0"/>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8D6F13"/>
    <w:pPr>
      <w:spacing w:before="0"/>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8D6F13"/>
    <w:pPr>
      <w:spacing w:before="0"/>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8D6F13"/>
    <w:pPr>
      <w:spacing w:before="0"/>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8D6F13"/>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D6F13"/>
    <w:pPr>
      <w:spacing w:before="0"/>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8D6F13"/>
    <w:pPr>
      <w:spacing w:before="0"/>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8D6F13"/>
    <w:pPr>
      <w:spacing w:before="0"/>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8D6F13"/>
    <w:pPr>
      <w:spacing w:before="0"/>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8D6F13"/>
    <w:pPr>
      <w:spacing w:before="0"/>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8D6F13"/>
    <w:pPr>
      <w:spacing w:before="0"/>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8D6F13"/>
    <w:pPr>
      <w:spacing w:before="0"/>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D6F13"/>
    <w:pPr>
      <w:spacing w:before="0"/>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D6F13"/>
    <w:pPr>
      <w:spacing w:before="0"/>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D6F13"/>
    <w:pPr>
      <w:spacing w:before="0"/>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8D6F13"/>
    <w:pPr>
      <w:spacing w:before="0"/>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D6F13"/>
    <w:pPr>
      <w:spacing w:before="0"/>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D6F13"/>
    <w:pPr>
      <w:spacing w:before="0"/>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unhideWhenUsed/>
    <w:rsid w:val="008D6F13"/>
    <w:rPr>
      <w:b/>
      <w:bCs/>
    </w:rPr>
  </w:style>
  <w:style w:type="character" w:customStyle="1" w:styleId="CommentSubjectChar">
    <w:name w:val="Comment Subject Char"/>
    <w:basedOn w:val="CommentTextChar"/>
    <w:link w:val="CommentSubject"/>
    <w:uiPriority w:val="99"/>
    <w:semiHidden/>
    <w:rsid w:val="008D6F13"/>
    <w:rPr>
      <w:b/>
      <w:bCs/>
      <w:sz w:val="20"/>
      <w:szCs w:val="20"/>
    </w:rPr>
  </w:style>
  <w:style w:type="table" w:styleId="DarkList">
    <w:name w:val="Dark List"/>
    <w:basedOn w:val="TableNormal"/>
    <w:uiPriority w:val="70"/>
    <w:rsid w:val="008D6F13"/>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D6F13"/>
    <w:pPr>
      <w:spacing w:before="0"/>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8D6F13"/>
    <w:pPr>
      <w:spacing w:before="0"/>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8D6F13"/>
    <w:pPr>
      <w:spacing w:before="0"/>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8D6F13"/>
    <w:pPr>
      <w:spacing w:before="0"/>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8D6F13"/>
    <w:pPr>
      <w:spacing w:before="0"/>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8D6F13"/>
    <w:pPr>
      <w:spacing w:before="0"/>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8D6F13"/>
  </w:style>
  <w:style w:type="character" w:customStyle="1" w:styleId="DateChar">
    <w:name w:val="Date Char"/>
    <w:basedOn w:val="DefaultParagraphFont"/>
    <w:link w:val="Date"/>
    <w:uiPriority w:val="99"/>
    <w:semiHidden/>
    <w:rsid w:val="008D6F13"/>
  </w:style>
  <w:style w:type="paragraph" w:styleId="DocumentMap">
    <w:name w:val="Document Map"/>
    <w:basedOn w:val="Normal"/>
    <w:link w:val="DocumentMapChar"/>
    <w:uiPriority w:val="99"/>
    <w:semiHidden/>
    <w:unhideWhenUsed/>
    <w:rsid w:val="008D6F13"/>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8D6F13"/>
    <w:rPr>
      <w:rFonts w:ascii="Tahoma" w:hAnsi="Tahoma" w:cs="Tahoma"/>
      <w:sz w:val="16"/>
      <w:szCs w:val="16"/>
    </w:rPr>
  </w:style>
  <w:style w:type="paragraph" w:styleId="E-mailSignature">
    <w:name w:val="E-mail Signature"/>
    <w:basedOn w:val="Normal"/>
    <w:link w:val="E-mailSignatureChar"/>
    <w:uiPriority w:val="99"/>
    <w:semiHidden/>
    <w:unhideWhenUsed/>
    <w:rsid w:val="008D6F13"/>
    <w:pPr>
      <w:spacing w:before="0"/>
    </w:pPr>
  </w:style>
  <w:style w:type="character" w:customStyle="1" w:styleId="E-mailSignatureChar">
    <w:name w:val="E-mail Signature Char"/>
    <w:basedOn w:val="DefaultParagraphFont"/>
    <w:link w:val="E-mailSignature"/>
    <w:uiPriority w:val="99"/>
    <w:semiHidden/>
    <w:rsid w:val="008D6F13"/>
  </w:style>
  <w:style w:type="character" w:styleId="EndnoteReference">
    <w:name w:val="endnote reference"/>
    <w:basedOn w:val="DefaultParagraphFont"/>
    <w:uiPriority w:val="99"/>
    <w:semiHidden/>
    <w:unhideWhenUsed/>
    <w:rsid w:val="008D6F13"/>
    <w:rPr>
      <w:vertAlign w:val="superscript"/>
    </w:rPr>
  </w:style>
  <w:style w:type="paragraph" w:styleId="EndnoteText">
    <w:name w:val="endnote text"/>
    <w:basedOn w:val="Normal"/>
    <w:link w:val="EndnoteTextChar"/>
    <w:uiPriority w:val="99"/>
    <w:semiHidden/>
    <w:unhideWhenUsed/>
    <w:rsid w:val="008D6F13"/>
    <w:pPr>
      <w:spacing w:before="0"/>
    </w:pPr>
    <w:rPr>
      <w:sz w:val="20"/>
      <w:szCs w:val="20"/>
    </w:rPr>
  </w:style>
  <w:style w:type="character" w:customStyle="1" w:styleId="EndnoteTextChar">
    <w:name w:val="Endnote Text Char"/>
    <w:basedOn w:val="DefaultParagraphFont"/>
    <w:link w:val="EndnoteText"/>
    <w:uiPriority w:val="99"/>
    <w:semiHidden/>
    <w:rsid w:val="008D6F13"/>
    <w:rPr>
      <w:sz w:val="20"/>
      <w:szCs w:val="20"/>
    </w:rPr>
  </w:style>
  <w:style w:type="paragraph" w:styleId="EnvelopeAddress">
    <w:name w:val="envelope address"/>
    <w:basedOn w:val="Normal"/>
    <w:uiPriority w:val="99"/>
    <w:semiHidden/>
    <w:unhideWhenUsed/>
    <w:rsid w:val="008D6F13"/>
    <w:pPr>
      <w:framePr w:w="7920" w:h="1980" w:hRule="exact" w:hSpace="180" w:wrap="auto" w:hAnchor="page" w:xAlign="center" w:yAlign="bottom"/>
      <w:spacing w:before="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D6F1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D6F13"/>
    <w:rPr>
      <w:color w:val="954F72" w:themeColor="followedHyperlink"/>
      <w:u w:val="single"/>
    </w:rPr>
  </w:style>
  <w:style w:type="character" w:styleId="HTMLAcronym">
    <w:name w:val="HTML Acronym"/>
    <w:basedOn w:val="DefaultParagraphFont"/>
    <w:uiPriority w:val="99"/>
    <w:semiHidden/>
    <w:unhideWhenUsed/>
    <w:rsid w:val="008D6F13"/>
  </w:style>
  <w:style w:type="paragraph" w:styleId="HTMLAddress">
    <w:name w:val="HTML Address"/>
    <w:basedOn w:val="Normal"/>
    <w:link w:val="HTMLAddressChar"/>
    <w:uiPriority w:val="99"/>
    <w:semiHidden/>
    <w:unhideWhenUsed/>
    <w:rsid w:val="008D6F13"/>
    <w:pPr>
      <w:spacing w:before="0"/>
    </w:pPr>
    <w:rPr>
      <w:i/>
      <w:iCs/>
    </w:rPr>
  </w:style>
  <w:style w:type="character" w:customStyle="1" w:styleId="HTMLAddressChar">
    <w:name w:val="HTML Address Char"/>
    <w:basedOn w:val="DefaultParagraphFont"/>
    <w:link w:val="HTMLAddress"/>
    <w:uiPriority w:val="99"/>
    <w:semiHidden/>
    <w:rsid w:val="008D6F13"/>
    <w:rPr>
      <w:i/>
      <w:iCs/>
    </w:rPr>
  </w:style>
  <w:style w:type="character" w:styleId="HTMLCite">
    <w:name w:val="HTML Cite"/>
    <w:basedOn w:val="DefaultParagraphFont"/>
    <w:uiPriority w:val="99"/>
    <w:semiHidden/>
    <w:unhideWhenUsed/>
    <w:rsid w:val="008D6F13"/>
    <w:rPr>
      <w:i/>
      <w:iCs/>
    </w:rPr>
  </w:style>
  <w:style w:type="character" w:styleId="HTMLCode">
    <w:name w:val="HTML Code"/>
    <w:basedOn w:val="DefaultParagraphFont"/>
    <w:uiPriority w:val="99"/>
    <w:semiHidden/>
    <w:unhideWhenUsed/>
    <w:rsid w:val="008D6F13"/>
    <w:rPr>
      <w:rFonts w:ascii="Consolas" w:hAnsi="Consolas" w:cs="Consolas"/>
      <w:sz w:val="20"/>
      <w:szCs w:val="20"/>
    </w:rPr>
  </w:style>
  <w:style w:type="character" w:styleId="HTMLDefinition">
    <w:name w:val="HTML Definition"/>
    <w:basedOn w:val="DefaultParagraphFont"/>
    <w:uiPriority w:val="99"/>
    <w:semiHidden/>
    <w:unhideWhenUsed/>
    <w:rsid w:val="008D6F13"/>
    <w:rPr>
      <w:i/>
      <w:iCs/>
    </w:rPr>
  </w:style>
  <w:style w:type="character" w:styleId="HTMLKeyboard">
    <w:name w:val="HTML Keyboard"/>
    <w:basedOn w:val="DefaultParagraphFont"/>
    <w:uiPriority w:val="99"/>
    <w:semiHidden/>
    <w:unhideWhenUsed/>
    <w:rsid w:val="008D6F13"/>
    <w:rPr>
      <w:rFonts w:ascii="Consolas" w:hAnsi="Consolas" w:cs="Consolas"/>
      <w:sz w:val="20"/>
      <w:szCs w:val="20"/>
    </w:rPr>
  </w:style>
  <w:style w:type="paragraph" w:styleId="HTMLPreformatted">
    <w:name w:val="HTML Preformatted"/>
    <w:basedOn w:val="Normal"/>
    <w:link w:val="HTMLPreformattedChar"/>
    <w:uiPriority w:val="99"/>
    <w:semiHidden/>
    <w:unhideWhenUsed/>
    <w:rsid w:val="008D6F13"/>
    <w:pPr>
      <w:spacing w:befor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D6F13"/>
    <w:rPr>
      <w:rFonts w:ascii="Consolas" w:hAnsi="Consolas" w:cs="Consolas"/>
      <w:sz w:val="20"/>
      <w:szCs w:val="20"/>
    </w:rPr>
  </w:style>
  <w:style w:type="character" w:styleId="HTMLSample">
    <w:name w:val="HTML Sample"/>
    <w:basedOn w:val="DefaultParagraphFont"/>
    <w:uiPriority w:val="99"/>
    <w:semiHidden/>
    <w:unhideWhenUsed/>
    <w:rsid w:val="008D6F13"/>
    <w:rPr>
      <w:rFonts w:ascii="Consolas" w:hAnsi="Consolas" w:cs="Consolas"/>
      <w:sz w:val="24"/>
      <w:szCs w:val="24"/>
    </w:rPr>
  </w:style>
  <w:style w:type="character" w:styleId="HTMLTypewriter">
    <w:name w:val="HTML Typewriter"/>
    <w:basedOn w:val="DefaultParagraphFont"/>
    <w:uiPriority w:val="99"/>
    <w:semiHidden/>
    <w:unhideWhenUsed/>
    <w:rsid w:val="008D6F13"/>
    <w:rPr>
      <w:rFonts w:ascii="Consolas" w:hAnsi="Consolas" w:cs="Consolas"/>
      <w:sz w:val="20"/>
      <w:szCs w:val="20"/>
    </w:rPr>
  </w:style>
  <w:style w:type="character" w:styleId="HTMLVariable">
    <w:name w:val="HTML Variable"/>
    <w:basedOn w:val="DefaultParagraphFont"/>
    <w:uiPriority w:val="99"/>
    <w:semiHidden/>
    <w:unhideWhenUsed/>
    <w:rsid w:val="008D6F13"/>
    <w:rPr>
      <w:i/>
      <w:iCs/>
    </w:rPr>
  </w:style>
  <w:style w:type="paragraph" w:styleId="Index1">
    <w:name w:val="index 1"/>
    <w:basedOn w:val="Normal"/>
    <w:next w:val="Normal"/>
    <w:link w:val="Index1Char"/>
    <w:autoRedefine/>
    <w:uiPriority w:val="99"/>
    <w:semiHidden/>
    <w:unhideWhenUsed/>
    <w:rsid w:val="008D6F13"/>
    <w:pPr>
      <w:spacing w:before="0"/>
      <w:ind w:left="220" w:hanging="220"/>
    </w:pPr>
  </w:style>
  <w:style w:type="paragraph" w:styleId="Index2">
    <w:name w:val="index 2"/>
    <w:basedOn w:val="Normal"/>
    <w:next w:val="Normal"/>
    <w:autoRedefine/>
    <w:uiPriority w:val="99"/>
    <w:semiHidden/>
    <w:unhideWhenUsed/>
    <w:rsid w:val="008D6F13"/>
    <w:pPr>
      <w:spacing w:before="0"/>
      <w:ind w:left="440" w:hanging="220"/>
    </w:pPr>
  </w:style>
  <w:style w:type="paragraph" w:styleId="Index3">
    <w:name w:val="index 3"/>
    <w:basedOn w:val="Normal"/>
    <w:next w:val="Normal"/>
    <w:autoRedefine/>
    <w:uiPriority w:val="99"/>
    <w:semiHidden/>
    <w:unhideWhenUsed/>
    <w:rsid w:val="008D6F13"/>
    <w:pPr>
      <w:spacing w:before="0"/>
      <w:ind w:left="660" w:hanging="220"/>
    </w:pPr>
  </w:style>
  <w:style w:type="paragraph" w:styleId="Index4">
    <w:name w:val="index 4"/>
    <w:basedOn w:val="Normal"/>
    <w:next w:val="Normal"/>
    <w:autoRedefine/>
    <w:uiPriority w:val="99"/>
    <w:semiHidden/>
    <w:unhideWhenUsed/>
    <w:rsid w:val="008D6F13"/>
    <w:pPr>
      <w:spacing w:before="0"/>
      <w:ind w:left="880" w:hanging="220"/>
    </w:pPr>
  </w:style>
  <w:style w:type="paragraph" w:styleId="Index5">
    <w:name w:val="index 5"/>
    <w:basedOn w:val="Normal"/>
    <w:next w:val="Normal"/>
    <w:autoRedefine/>
    <w:uiPriority w:val="99"/>
    <w:semiHidden/>
    <w:unhideWhenUsed/>
    <w:rsid w:val="008D6F13"/>
    <w:pPr>
      <w:spacing w:before="0"/>
      <w:ind w:left="1100" w:hanging="220"/>
    </w:pPr>
  </w:style>
  <w:style w:type="paragraph" w:styleId="Index6">
    <w:name w:val="index 6"/>
    <w:basedOn w:val="Normal"/>
    <w:next w:val="Normal"/>
    <w:autoRedefine/>
    <w:uiPriority w:val="99"/>
    <w:semiHidden/>
    <w:unhideWhenUsed/>
    <w:rsid w:val="008D6F13"/>
    <w:pPr>
      <w:spacing w:before="0"/>
      <w:ind w:left="1320" w:hanging="220"/>
    </w:pPr>
  </w:style>
  <w:style w:type="paragraph" w:styleId="Index7">
    <w:name w:val="index 7"/>
    <w:basedOn w:val="Normal"/>
    <w:next w:val="Normal"/>
    <w:autoRedefine/>
    <w:uiPriority w:val="99"/>
    <w:semiHidden/>
    <w:unhideWhenUsed/>
    <w:rsid w:val="008D6F13"/>
    <w:pPr>
      <w:spacing w:before="0"/>
      <w:ind w:left="1540" w:hanging="220"/>
    </w:pPr>
  </w:style>
  <w:style w:type="paragraph" w:styleId="Index8">
    <w:name w:val="index 8"/>
    <w:basedOn w:val="Normal"/>
    <w:next w:val="Normal"/>
    <w:autoRedefine/>
    <w:uiPriority w:val="99"/>
    <w:semiHidden/>
    <w:unhideWhenUsed/>
    <w:rsid w:val="008D6F13"/>
    <w:pPr>
      <w:spacing w:before="0"/>
      <w:ind w:left="1760" w:hanging="220"/>
    </w:pPr>
  </w:style>
  <w:style w:type="paragraph" w:styleId="Index9">
    <w:name w:val="index 9"/>
    <w:basedOn w:val="Normal"/>
    <w:next w:val="Normal"/>
    <w:autoRedefine/>
    <w:uiPriority w:val="99"/>
    <w:semiHidden/>
    <w:unhideWhenUsed/>
    <w:rsid w:val="008D6F13"/>
    <w:pPr>
      <w:spacing w:before="0"/>
      <w:ind w:left="1980" w:hanging="220"/>
    </w:pPr>
  </w:style>
  <w:style w:type="paragraph" w:styleId="IndexHeading">
    <w:name w:val="index heading"/>
    <w:basedOn w:val="Normal"/>
    <w:next w:val="Index1"/>
    <w:uiPriority w:val="99"/>
    <w:semiHidden/>
    <w:unhideWhenUsed/>
    <w:rsid w:val="008D6F13"/>
    <w:rPr>
      <w:rFonts w:asciiTheme="majorHAnsi" w:eastAsiaTheme="majorEastAsia" w:hAnsiTheme="majorHAnsi" w:cstheme="majorBidi"/>
      <w:b/>
      <w:bCs/>
    </w:rPr>
  </w:style>
  <w:style w:type="character" w:styleId="IntenseEmphasis">
    <w:name w:val="Intense Emphasis"/>
    <w:basedOn w:val="DefaultParagraphFont"/>
    <w:uiPriority w:val="98"/>
    <w:rsid w:val="008D6F13"/>
    <w:rPr>
      <w:b/>
      <w:bCs/>
      <w:i/>
      <w:iCs/>
      <w:color w:val="4472C4" w:themeColor="accent1"/>
    </w:rPr>
  </w:style>
  <w:style w:type="character" w:styleId="IntenseReference">
    <w:name w:val="Intense Reference"/>
    <w:basedOn w:val="DefaultParagraphFont"/>
    <w:uiPriority w:val="32"/>
    <w:rsid w:val="008D6F13"/>
    <w:rPr>
      <w:b/>
      <w:bCs/>
      <w:smallCaps/>
      <w:color w:val="ED7D31" w:themeColor="accent2"/>
      <w:spacing w:val="5"/>
      <w:u w:val="single"/>
    </w:rPr>
  </w:style>
  <w:style w:type="table" w:styleId="LightGrid">
    <w:name w:val="Light Grid"/>
    <w:basedOn w:val="TableNormal"/>
    <w:uiPriority w:val="62"/>
    <w:rsid w:val="008D6F13"/>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D6F13"/>
    <w:pPr>
      <w:spacing w:before="0"/>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8D6F13"/>
    <w:pPr>
      <w:spacing w:before="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8D6F13"/>
    <w:pPr>
      <w:spacing w:before="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8D6F13"/>
    <w:pPr>
      <w:spacing w:before="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8D6F13"/>
    <w:pPr>
      <w:spacing w:before="0"/>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8D6F13"/>
    <w:pPr>
      <w:spacing w:before="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Accent1">
    <w:name w:val="Light List Accent 1"/>
    <w:basedOn w:val="TableNormal"/>
    <w:uiPriority w:val="61"/>
    <w:rsid w:val="008D6F13"/>
    <w:pPr>
      <w:spacing w:before="0"/>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8D6F13"/>
    <w:pPr>
      <w:spacing w:before="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8D6F13"/>
    <w:pPr>
      <w:spacing w:before="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8D6F13"/>
    <w:pPr>
      <w:spacing w:before="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8D6F13"/>
    <w:pPr>
      <w:spacing w:before="0"/>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8D6F13"/>
    <w:pPr>
      <w:spacing w:before="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Accent3">
    <w:name w:val="Light Shading Accent 3"/>
    <w:basedOn w:val="TableNormal"/>
    <w:uiPriority w:val="60"/>
    <w:rsid w:val="008D6F13"/>
    <w:pPr>
      <w:spacing w:before="0"/>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5">
    <w:name w:val="Light Shading Accent 5"/>
    <w:basedOn w:val="TableNormal"/>
    <w:uiPriority w:val="60"/>
    <w:rsid w:val="008D6F13"/>
    <w:pPr>
      <w:spacing w:before="0"/>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8D6F13"/>
    <w:pPr>
      <w:spacing w:before="0"/>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8D6F13"/>
  </w:style>
  <w:style w:type="paragraph" w:styleId="List2">
    <w:name w:val="List 2"/>
    <w:basedOn w:val="Normal"/>
    <w:uiPriority w:val="29"/>
    <w:semiHidden/>
    <w:rsid w:val="008D6F13"/>
    <w:pPr>
      <w:ind w:left="566" w:hanging="283"/>
      <w:contextualSpacing/>
    </w:pPr>
  </w:style>
  <w:style w:type="paragraph" w:styleId="List3">
    <w:name w:val="List 3"/>
    <w:basedOn w:val="Normal"/>
    <w:uiPriority w:val="29"/>
    <w:semiHidden/>
    <w:unhideWhenUsed/>
    <w:rsid w:val="008D6F13"/>
    <w:pPr>
      <w:ind w:left="849" w:hanging="283"/>
      <w:contextualSpacing/>
    </w:pPr>
  </w:style>
  <w:style w:type="paragraph" w:styleId="List4">
    <w:name w:val="List 4"/>
    <w:basedOn w:val="Normal"/>
    <w:uiPriority w:val="29"/>
    <w:semiHidden/>
    <w:unhideWhenUsed/>
    <w:rsid w:val="008D6F13"/>
    <w:pPr>
      <w:ind w:left="1132" w:hanging="283"/>
      <w:contextualSpacing/>
    </w:pPr>
  </w:style>
  <w:style w:type="paragraph" w:styleId="List5">
    <w:name w:val="List 5"/>
    <w:basedOn w:val="Normal"/>
    <w:uiPriority w:val="29"/>
    <w:semiHidden/>
    <w:unhideWhenUsed/>
    <w:rsid w:val="008D6F13"/>
    <w:pPr>
      <w:ind w:left="1415" w:hanging="283"/>
      <w:contextualSpacing/>
    </w:pPr>
  </w:style>
  <w:style w:type="paragraph" w:styleId="MacroText">
    <w:name w:val="macro"/>
    <w:link w:val="MacroTextChar"/>
    <w:uiPriority w:val="99"/>
    <w:semiHidden/>
    <w:unhideWhenUsed/>
    <w:rsid w:val="008D6F13"/>
    <w:pPr>
      <w:keepLines/>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8D6F13"/>
    <w:rPr>
      <w:rFonts w:ascii="Consolas" w:hAnsi="Consolas" w:cs="Consolas"/>
      <w:sz w:val="20"/>
      <w:szCs w:val="20"/>
    </w:rPr>
  </w:style>
  <w:style w:type="table" w:styleId="MediumGrid1">
    <w:name w:val="Medium Grid 1"/>
    <w:basedOn w:val="TableNormal"/>
    <w:uiPriority w:val="67"/>
    <w:rsid w:val="008D6F13"/>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D6F13"/>
    <w:pPr>
      <w:spacing w:before="0"/>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8D6F13"/>
    <w:pPr>
      <w:spacing w:before="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8D6F13"/>
    <w:pPr>
      <w:spacing w:before="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8D6F13"/>
    <w:pPr>
      <w:spacing w:before="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8D6F13"/>
    <w:pPr>
      <w:spacing w:before="0"/>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8D6F13"/>
    <w:pPr>
      <w:spacing w:before="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8D6F1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D6F1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D6F1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D6F1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D6F1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D6F1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D6F1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D6F1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D6F1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8D6F1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8D6F1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8D6F1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8D6F1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8D6F1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8D6F13"/>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D6F13"/>
    <w:pPr>
      <w:spacing w:before="0"/>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8D6F13"/>
    <w:pPr>
      <w:spacing w:before="0"/>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8D6F13"/>
    <w:pPr>
      <w:spacing w:before="0"/>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8D6F13"/>
    <w:pPr>
      <w:spacing w:before="0"/>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8D6F13"/>
    <w:pPr>
      <w:spacing w:before="0"/>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8D6F13"/>
    <w:pPr>
      <w:spacing w:before="0"/>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8D6F1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D6F1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D6F1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D6F1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D6F1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D6F1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D6F1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D6F13"/>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D6F13"/>
    <w:pPr>
      <w:spacing w:before="0"/>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D6F13"/>
    <w:pPr>
      <w:spacing w:before="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D6F13"/>
    <w:pPr>
      <w:spacing w:before="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D6F13"/>
    <w:pPr>
      <w:spacing w:before="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D6F13"/>
    <w:pPr>
      <w:spacing w:before="0"/>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D6F13"/>
    <w:pPr>
      <w:spacing w:before="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D6F1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D6F1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D6F1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D6F1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D6F1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D6F1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8D6F13"/>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D6F13"/>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8D6F13"/>
    <w:rPr>
      <w:rFonts w:ascii="Times New Roman" w:hAnsi="Times New Roman" w:cs="Times New Roman"/>
      <w:sz w:val="24"/>
      <w:szCs w:val="24"/>
    </w:rPr>
  </w:style>
  <w:style w:type="paragraph" w:styleId="NormalIndent">
    <w:name w:val="Normal Indent"/>
    <w:basedOn w:val="Normal"/>
    <w:uiPriority w:val="99"/>
    <w:semiHidden/>
    <w:unhideWhenUsed/>
    <w:rsid w:val="008D6F13"/>
    <w:pPr>
      <w:ind w:left="720"/>
    </w:pPr>
  </w:style>
  <w:style w:type="paragraph" w:styleId="NoteHeading">
    <w:name w:val="Note Heading"/>
    <w:basedOn w:val="Normal"/>
    <w:next w:val="Normal"/>
    <w:link w:val="NoteHeadingChar"/>
    <w:uiPriority w:val="99"/>
    <w:semiHidden/>
    <w:unhideWhenUsed/>
    <w:rsid w:val="008D6F13"/>
    <w:pPr>
      <w:spacing w:before="0"/>
    </w:pPr>
  </w:style>
  <w:style w:type="character" w:customStyle="1" w:styleId="NoteHeadingChar">
    <w:name w:val="Note Heading Char"/>
    <w:basedOn w:val="DefaultParagraphFont"/>
    <w:link w:val="NoteHeading"/>
    <w:uiPriority w:val="99"/>
    <w:semiHidden/>
    <w:rsid w:val="008D6F13"/>
  </w:style>
  <w:style w:type="character" w:styleId="PlaceholderText">
    <w:name w:val="Placeholder Text"/>
    <w:basedOn w:val="DefaultParagraphFont"/>
    <w:uiPriority w:val="99"/>
    <w:semiHidden/>
    <w:rsid w:val="008D6F13"/>
    <w:rPr>
      <w:color w:val="808080"/>
    </w:rPr>
  </w:style>
  <w:style w:type="paragraph" w:styleId="PlainText">
    <w:name w:val="Plain Text"/>
    <w:basedOn w:val="Normal"/>
    <w:link w:val="PlainTextChar"/>
    <w:uiPriority w:val="99"/>
    <w:semiHidden/>
    <w:unhideWhenUsed/>
    <w:rsid w:val="008D6F13"/>
    <w:pPr>
      <w:spacing w:before="0"/>
    </w:pPr>
    <w:rPr>
      <w:rFonts w:ascii="Consolas" w:hAnsi="Consolas" w:cs="Consolas"/>
      <w:sz w:val="21"/>
      <w:szCs w:val="21"/>
    </w:rPr>
  </w:style>
  <w:style w:type="character" w:customStyle="1" w:styleId="PlainTextChar">
    <w:name w:val="Plain Text Char"/>
    <w:basedOn w:val="DefaultParagraphFont"/>
    <w:link w:val="PlainText"/>
    <w:uiPriority w:val="99"/>
    <w:semiHidden/>
    <w:rsid w:val="008D6F13"/>
    <w:rPr>
      <w:rFonts w:ascii="Consolas" w:hAnsi="Consolas" w:cs="Consolas"/>
      <w:sz w:val="21"/>
      <w:szCs w:val="21"/>
    </w:rPr>
  </w:style>
  <w:style w:type="paragraph" w:styleId="Quote">
    <w:name w:val="Quote"/>
    <w:basedOn w:val="Normal"/>
    <w:next w:val="Normal"/>
    <w:link w:val="QuoteChar"/>
    <w:uiPriority w:val="29"/>
    <w:rsid w:val="008D6F13"/>
    <w:rPr>
      <w:i/>
      <w:iCs/>
      <w:color w:val="000000" w:themeColor="text1"/>
    </w:rPr>
  </w:style>
  <w:style w:type="character" w:customStyle="1" w:styleId="QuoteChar">
    <w:name w:val="Quote Char"/>
    <w:basedOn w:val="DefaultParagraphFont"/>
    <w:link w:val="Quote"/>
    <w:uiPriority w:val="29"/>
    <w:rsid w:val="008D6F13"/>
    <w:rPr>
      <w:i/>
      <w:iCs/>
      <w:color w:val="000000" w:themeColor="text1"/>
    </w:rPr>
  </w:style>
  <w:style w:type="paragraph" w:styleId="Salutation">
    <w:name w:val="Salutation"/>
    <w:basedOn w:val="Normal"/>
    <w:next w:val="Normal"/>
    <w:link w:val="SalutationChar"/>
    <w:uiPriority w:val="99"/>
    <w:semiHidden/>
    <w:unhideWhenUsed/>
    <w:rsid w:val="008D6F13"/>
  </w:style>
  <w:style w:type="character" w:customStyle="1" w:styleId="SalutationChar">
    <w:name w:val="Salutation Char"/>
    <w:basedOn w:val="DefaultParagraphFont"/>
    <w:link w:val="Salutation"/>
    <w:uiPriority w:val="99"/>
    <w:semiHidden/>
    <w:rsid w:val="008D6F13"/>
  </w:style>
  <w:style w:type="paragraph" w:styleId="Signature">
    <w:name w:val="Signature"/>
    <w:basedOn w:val="Normal"/>
    <w:link w:val="SignatureChar"/>
    <w:uiPriority w:val="99"/>
    <w:semiHidden/>
    <w:unhideWhenUsed/>
    <w:rsid w:val="008D6F13"/>
    <w:pPr>
      <w:spacing w:before="0"/>
      <w:ind w:left="4252"/>
    </w:pPr>
  </w:style>
  <w:style w:type="character" w:customStyle="1" w:styleId="SignatureChar">
    <w:name w:val="Signature Char"/>
    <w:basedOn w:val="DefaultParagraphFont"/>
    <w:link w:val="Signature"/>
    <w:uiPriority w:val="99"/>
    <w:semiHidden/>
    <w:rsid w:val="008D6F13"/>
  </w:style>
  <w:style w:type="character" w:styleId="Strong">
    <w:name w:val="Strong"/>
    <w:basedOn w:val="DefaultParagraphFont"/>
    <w:uiPriority w:val="98"/>
    <w:rsid w:val="008D6F13"/>
    <w:rPr>
      <w:b/>
      <w:bCs/>
    </w:rPr>
  </w:style>
  <w:style w:type="table" w:styleId="Table3Deffects1">
    <w:name w:val="Table 3D effects 1"/>
    <w:basedOn w:val="TableNormal"/>
    <w:uiPriority w:val="99"/>
    <w:semiHidden/>
    <w:unhideWhenUsed/>
    <w:rsid w:val="008D6F13"/>
    <w:pPr>
      <w:keepLine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D6F13"/>
    <w:pPr>
      <w:keepLine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D6F13"/>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D6F13"/>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D6F13"/>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D6F13"/>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D6F13"/>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D6F13"/>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D6F13"/>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D6F13"/>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D6F13"/>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D6F13"/>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D6F13"/>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D6F13"/>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D6F13"/>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D6F13"/>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D6F13"/>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D6F13"/>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D6F13"/>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D6F13"/>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D6F13"/>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D6F13"/>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D6F13"/>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D6F13"/>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D6F13"/>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D6F13"/>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D6F13"/>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D6F13"/>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D6F13"/>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D6F13"/>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D6F13"/>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D6F13"/>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D6F13"/>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D6F13"/>
    <w:pPr>
      <w:ind w:left="220" w:hanging="220"/>
    </w:pPr>
  </w:style>
  <w:style w:type="paragraph" w:styleId="TableofFigures">
    <w:name w:val="table of figures"/>
    <w:basedOn w:val="Normal"/>
    <w:next w:val="Normal"/>
    <w:uiPriority w:val="99"/>
    <w:semiHidden/>
    <w:unhideWhenUsed/>
    <w:rsid w:val="008D6F13"/>
  </w:style>
  <w:style w:type="table" w:styleId="TableProfessional">
    <w:name w:val="Table Professional"/>
    <w:basedOn w:val="TableNormal"/>
    <w:uiPriority w:val="99"/>
    <w:semiHidden/>
    <w:unhideWhenUsed/>
    <w:rsid w:val="008D6F13"/>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D6F13"/>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D6F13"/>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D6F13"/>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D6F13"/>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D6F13"/>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D6F13"/>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D6F13"/>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D6F13"/>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D6F13"/>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8D6F13"/>
    <w:rPr>
      <w:rFonts w:asciiTheme="majorHAnsi" w:eastAsiaTheme="majorEastAsia" w:hAnsiTheme="majorHAnsi" w:cstheme="majorBidi"/>
      <w:b/>
      <w:bCs/>
      <w:sz w:val="24"/>
      <w:szCs w:val="24"/>
    </w:rPr>
  </w:style>
  <w:style w:type="paragraph" w:styleId="TOC5">
    <w:name w:val="toc 5"/>
    <w:basedOn w:val="Normal"/>
    <w:next w:val="Normal"/>
    <w:autoRedefine/>
    <w:uiPriority w:val="96"/>
    <w:rsid w:val="008D6F13"/>
    <w:pPr>
      <w:spacing w:after="100"/>
      <w:ind w:left="880"/>
    </w:pPr>
  </w:style>
  <w:style w:type="paragraph" w:styleId="TOC6">
    <w:name w:val="toc 6"/>
    <w:basedOn w:val="Normal"/>
    <w:next w:val="Normal"/>
    <w:autoRedefine/>
    <w:uiPriority w:val="96"/>
    <w:semiHidden/>
    <w:rsid w:val="008D6F13"/>
    <w:pPr>
      <w:spacing w:after="100"/>
      <w:ind w:left="1100"/>
    </w:pPr>
  </w:style>
  <w:style w:type="paragraph" w:styleId="TOC8">
    <w:name w:val="toc 8"/>
    <w:basedOn w:val="Normal"/>
    <w:next w:val="Normal"/>
    <w:autoRedefine/>
    <w:uiPriority w:val="96"/>
    <w:semiHidden/>
    <w:rsid w:val="008D6F13"/>
    <w:pPr>
      <w:spacing w:after="100"/>
      <w:ind w:left="1540"/>
    </w:pPr>
  </w:style>
  <w:style w:type="paragraph" w:styleId="TOCHeading">
    <w:name w:val="TOC Heading"/>
    <w:basedOn w:val="Heading10"/>
    <w:next w:val="Normal"/>
    <w:uiPriority w:val="90"/>
    <w:semiHidden/>
    <w:unhideWhenUsed/>
    <w:rsid w:val="008D6F13"/>
    <w:pPr>
      <w:spacing w:before="480"/>
      <w:outlineLvl w:val="9"/>
    </w:pPr>
    <w:rPr>
      <w:bCs/>
      <w:caps w:val="0"/>
      <w:color w:val="2F5496" w:themeColor="accent1" w:themeShade="BF"/>
      <w:sz w:val="28"/>
      <w:szCs w:val="28"/>
    </w:rPr>
  </w:style>
  <w:style w:type="paragraph" w:customStyle="1" w:styleId="ObjectiveHeading">
    <w:name w:val="Objective Heading"/>
    <w:basedOn w:val="Normal"/>
    <w:next w:val="Normal"/>
    <w:uiPriority w:val="62"/>
    <w:qFormat/>
    <w:rsid w:val="008D6F13"/>
    <w:pPr>
      <w:keepNext/>
      <w:pBdr>
        <w:top w:val="single" w:sz="6" w:space="3" w:color="auto"/>
        <w:left w:val="single" w:sz="6" w:space="5" w:color="auto"/>
        <w:bottom w:val="single" w:sz="6" w:space="3" w:color="auto"/>
        <w:right w:val="single" w:sz="6" w:space="5" w:color="auto"/>
      </w:pBdr>
      <w:shd w:val="clear" w:color="auto" w:fill="F2F2F2" w:themeFill="background1" w:themeFillShade="F2"/>
    </w:pPr>
    <w:rPr>
      <w:rFonts w:asciiTheme="majorHAnsi" w:hAnsiTheme="majorHAnsi"/>
      <w:b/>
      <w:sz w:val="24"/>
    </w:rPr>
  </w:style>
  <w:style w:type="table" w:customStyle="1" w:styleId="DTFFinancialTable">
    <w:name w:val="DTF Financial Table"/>
    <w:basedOn w:val="TableNormal"/>
    <w:uiPriority w:val="99"/>
    <w:rsid w:val="008D6F13"/>
    <w:pPr>
      <w:spacing w:before="20" w:after="20"/>
      <w:jc w:val="right"/>
    </w:pPr>
    <w:rPr>
      <w:rFonts w:asciiTheme="majorHAnsi" w:hAnsiTheme="majorHAnsi"/>
      <w:spacing w:val="4"/>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7E6E6" w:themeFill="background2"/>
      </w:tcPr>
    </w:tblStylePr>
    <w:tblStylePr w:type="band1Horz">
      <w:tblPr/>
      <w:tcPr>
        <w:shd w:val="clear" w:color="auto" w:fill="E7E6E6" w:themeFill="background2"/>
      </w:tcPr>
    </w:tblStylePr>
    <w:tblStylePr w:type="band2Horz">
      <w:tblPr/>
      <w:tcPr>
        <w:shd w:val="clear" w:color="auto" w:fill="FFFFFF" w:themeFill="background1"/>
      </w:tcPr>
    </w:tblStylePr>
  </w:style>
  <w:style w:type="numbering" w:customStyle="1" w:styleId="Headingstyles">
    <w:name w:val="Heading styles"/>
    <w:uiPriority w:val="99"/>
    <w:rsid w:val="008D6F13"/>
    <w:pPr>
      <w:numPr>
        <w:numId w:val="23"/>
      </w:numPr>
    </w:pPr>
  </w:style>
  <w:style w:type="paragraph" w:customStyle="1" w:styleId="ControlledEntitiesDepartment">
    <w:name w:val="Controlled Entities Department"/>
    <w:basedOn w:val="Normal"/>
    <w:next w:val="Normal"/>
    <w:uiPriority w:val="97"/>
    <w:qFormat/>
    <w:rsid w:val="008D6F13"/>
    <w:pPr>
      <w:shd w:val="clear" w:color="auto" w:fill="D9D9D9" w:themeFill="background1" w:themeFillShade="D9"/>
      <w:spacing w:before="40"/>
    </w:pPr>
    <w:rPr>
      <w:rFonts w:asciiTheme="majorHAnsi" w:eastAsia="Times New Roman" w:hAnsiTheme="majorHAnsi" w:cs="Times New Roman"/>
      <w:b/>
      <w:bCs/>
      <w:color w:val="000000" w:themeColor="text1"/>
      <w:sz w:val="18"/>
      <w:szCs w:val="18"/>
      <w:lang w:eastAsia="en-AU"/>
    </w:rPr>
  </w:style>
  <w:style w:type="paragraph" w:customStyle="1" w:styleId="ControlledEntitiesSector">
    <w:name w:val="Controlled Entities Sector"/>
    <w:basedOn w:val="Normal"/>
    <w:next w:val="ControlledEntitiesDepartment"/>
    <w:uiPriority w:val="98"/>
    <w:qFormat/>
    <w:rsid w:val="008D6F13"/>
    <w:pPr>
      <w:shd w:val="clear" w:color="auto" w:fill="000000" w:themeFill="text1"/>
      <w:spacing w:before="20" w:after="60"/>
      <w:jc w:val="center"/>
    </w:pPr>
    <w:rPr>
      <w:rFonts w:asciiTheme="majorHAnsi" w:eastAsia="Times New Roman" w:hAnsiTheme="majorHAnsi" w:cstheme="minorHAnsi"/>
      <w:b/>
      <w:i/>
      <w:color w:val="FFFFFF" w:themeColor="background1"/>
      <w:sz w:val="18"/>
      <w:lang w:eastAsia="en-AU"/>
    </w:rPr>
  </w:style>
  <w:style w:type="paragraph" w:customStyle="1" w:styleId="TableofContentsheading">
    <w:name w:val="Table of Contents heading"/>
    <w:basedOn w:val="ChapterHeading"/>
    <w:next w:val="Normal"/>
    <w:uiPriority w:val="89"/>
    <w:rsid w:val="008D6F13"/>
    <w:pPr>
      <w:keepLines w:val="0"/>
      <w:pBdr>
        <w:bottom w:val="single" w:sz="12" w:space="7" w:color="auto"/>
      </w:pBdr>
    </w:pPr>
    <w:rPr>
      <w:rFonts w:ascii="Calibri" w:eastAsia="Times New Roman" w:hAnsi="Calibri" w:cs="Times New Roman"/>
      <w:szCs w:val="28"/>
    </w:rPr>
  </w:style>
  <w:style w:type="paragraph" w:customStyle="1" w:styleId="DashText">
    <w:name w:val="Dash Text"/>
    <w:basedOn w:val="Normal"/>
    <w:uiPriority w:val="29"/>
    <w:qFormat/>
    <w:rsid w:val="008D6F13"/>
    <w:pPr>
      <w:keepLines w:val="0"/>
      <w:tabs>
        <w:tab w:val="num" w:pos="720"/>
      </w:tabs>
      <w:spacing w:before="0" w:after="120"/>
      <w:ind w:left="720" w:hanging="360"/>
    </w:pPr>
    <w:rPr>
      <w:rFonts w:eastAsia="Times New Roman" w:cs="Times New Roman"/>
      <w:szCs w:val="20"/>
    </w:rPr>
  </w:style>
  <w:style w:type="paragraph" w:customStyle="1" w:styleId="TableofContentscontinued">
    <w:name w:val="Table of Contents continued"/>
    <w:basedOn w:val="Normal"/>
    <w:uiPriority w:val="90"/>
    <w:rsid w:val="008D6F13"/>
    <w:pPr>
      <w:keepNext/>
      <w:keepLines w:val="0"/>
      <w:tabs>
        <w:tab w:val="left" w:pos="1152"/>
      </w:tabs>
      <w:spacing w:before="240" w:after="120"/>
      <w:ind w:left="1152" w:hanging="1152"/>
      <w:outlineLvl w:val="1"/>
    </w:pPr>
    <w:rPr>
      <w:rFonts w:ascii="Calibri" w:eastAsia="Times New Roman" w:hAnsi="Calibri" w:cs="Times New Roman"/>
      <w:b/>
      <w:kern w:val="28"/>
      <w:sz w:val="26"/>
    </w:rPr>
  </w:style>
  <w:style w:type="character" w:styleId="SubtleEmphasis">
    <w:name w:val="Subtle Emphasis"/>
    <w:basedOn w:val="DefaultParagraphFont"/>
    <w:uiPriority w:val="98"/>
    <w:rsid w:val="008D6F13"/>
    <w:rPr>
      <w:i/>
      <w:iCs/>
      <w:color w:val="7F7F7F" w:themeColor="text1" w:themeTint="80"/>
    </w:rPr>
  </w:style>
  <w:style w:type="character" w:styleId="BookTitle">
    <w:name w:val="Book Title"/>
    <w:basedOn w:val="DefaultParagraphFont"/>
    <w:uiPriority w:val="33"/>
    <w:rsid w:val="008D6F13"/>
    <w:rPr>
      <w:b/>
      <w:bCs/>
      <w:smallCaps/>
      <w:spacing w:val="5"/>
    </w:rPr>
  </w:style>
  <w:style w:type="paragraph" w:styleId="IntenseQuote">
    <w:name w:val="Intense Quote"/>
    <w:basedOn w:val="Normal"/>
    <w:next w:val="Normal"/>
    <w:link w:val="IntenseQuoteChar"/>
    <w:uiPriority w:val="30"/>
    <w:rsid w:val="008D6F13"/>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8D6F13"/>
    <w:rPr>
      <w:b/>
      <w:bCs/>
      <w:i/>
      <w:iCs/>
      <w:color w:val="4472C4" w:themeColor="accent1"/>
    </w:rPr>
  </w:style>
  <w:style w:type="paragraph" w:styleId="Subtitle">
    <w:name w:val="Subtitle"/>
    <w:basedOn w:val="Normal"/>
    <w:next w:val="Normal"/>
    <w:link w:val="SubtitleChar"/>
    <w:uiPriority w:val="11"/>
    <w:rsid w:val="008D6F13"/>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D6F13"/>
    <w:rPr>
      <w:rFonts w:asciiTheme="majorHAnsi" w:eastAsiaTheme="majorEastAsia" w:hAnsiTheme="majorHAnsi" w:cstheme="majorBidi"/>
      <w:i/>
      <w:iCs/>
      <w:color w:val="4472C4" w:themeColor="accent1"/>
      <w:spacing w:val="15"/>
      <w:sz w:val="24"/>
      <w:szCs w:val="24"/>
    </w:rPr>
  </w:style>
  <w:style w:type="character" w:styleId="SubtleReference">
    <w:name w:val="Subtle Reference"/>
    <w:basedOn w:val="DefaultParagraphFont"/>
    <w:uiPriority w:val="31"/>
    <w:rsid w:val="008D6F13"/>
    <w:rPr>
      <w:smallCaps/>
      <w:color w:val="ED7D31" w:themeColor="accent2"/>
      <w:u w:val="single"/>
    </w:rPr>
  </w:style>
  <w:style w:type="paragraph" w:styleId="Title">
    <w:name w:val="Title"/>
    <w:basedOn w:val="Normal"/>
    <w:next w:val="Normal"/>
    <w:link w:val="TitleChar"/>
    <w:uiPriority w:val="10"/>
    <w:rsid w:val="008D6F13"/>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D6F13"/>
    <w:rPr>
      <w:rFonts w:asciiTheme="majorHAnsi" w:eastAsiaTheme="majorEastAsia" w:hAnsiTheme="majorHAnsi" w:cstheme="majorBidi"/>
      <w:color w:val="323E4F" w:themeColor="text2" w:themeShade="BF"/>
      <w:spacing w:val="5"/>
      <w:kern w:val="28"/>
      <w:sz w:val="52"/>
      <w:szCs w:val="52"/>
    </w:rPr>
  </w:style>
  <w:style w:type="paragraph" w:styleId="Revision">
    <w:name w:val="Revision"/>
    <w:hidden/>
    <w:uiPriority w:val="99"/>
    <w:semiHidden/>
    <w:rsid w:val="008D6F13"/>
    <w:pPr>
      <w:spacing w:before="0"/>
    </w:pPr>
  </w:style>
  <w:style w:type="paragraph" w:customStyle="1" w:styleId="Default">
    <w:name w:val="Default"/>
    <w:semiHidden/>
    <w:rsid w:val="008D6F13"/>
    <w:pPr>
      <w:autoSpaceDE w:val="0"/>
      <w:autoSpaceDN w:val="0"/>
      <w:adjustRightInd w:val="0"/>
      <w:spacing w:before="0"/>
    </w:pPr>
    <w:rPr>
      <w:rFonts w:ascii="Garamond" w:eastAsia="Times New Roman" w:hAnsi="Garamond" w:cs="Garamond"/>
      <w:color w:val="000000"/>
      <w:sz w:val="24"/>
      <w:szCs w:val="24"/>
      <w:lang w:eastAsia="en-AU"/>
    </w:rPr>
  </w:style>
  <w:style w:type="character" w:customStyle="1" w:styleId="Index1Char">
    <w:name w:val="Index 1 Char"/>
    <w:basedOn w:val="DefaultParagraphFont"/>
    <w:link w:val="Index1"/>
    <w:uiPriority w:val="99"/>
    <w:semiHidden/>
    <w:rsid w:val="008D6F13"/>
  </w:style>
  <w:style w:type="paragraph" w:customStyle="1" w:styleId="NormalKeepWithNext">
    <w:name w:val="Normal [Keep With Next]"/>
    <w:basedOn w:val="Normal"/>
    <w:next w:val="Normal"/>
    <w:uiPriority w:val="98"/>
    <w:semiHidden/>
    <w:qFormat/>
    <w:rsid w:val="008D6F13"/>
    <w:pPr>
      <w:keepNext/>
    </w:pPr>
  </w:style>
  <w:style w:type="paragraph" w:customStyle="1" w:styleId="NormalPageBreakBefore">
    <w:name w:val="Normal [Page Break Before]"/>
    <w:basedOn w:val="Normal"/>
    <w:next w:val="Normal"/>
    <w:uiPriority w:val="98"/>
    <w:semiHidden/>
    <w:qFormat/>
    <w:rsid w:val="008D6F13"/>
    <w:pPr>
      <w:pageBreakBefore/>
    </w:pPr>
  </w:style>
  <w:style w:type="numbering" w:customStyle="1" w:styleId="ListNotes">
    <w:name w:val="List Notes"/>
    <w:uiPriority w:val="99"/>
    <w:rsid w:val="008D6F13"/>
    <w:pPr>
      <w:numPr>
        <w:numId w:val="27"/>
      </w:numPr>
    </w:pPr>
  </w:style>
  <w:style w:type="character" w:styleId="Emphasis">
    <w:name w:val="Emphasis"/>
    <w:basedOn w:val="DefaultParagraphFont"/>
    <w:uiPriority w:val="98"/>
    <w:rsid w:val="008D6F13"/>
    <w:rPr>
      <w:i/>
      <w:iCs/>
    </w:rPr>
  </w:style>
  <w:style w:type="character" w:styleId="PageNumber">
    <w:name w:val="page number"/>
    <w:semiHidden/>
    <w:rsid w:val="006206EF"/>
    <w:rPr>
      <w:rFonts w:asciiTheme="minorHAnsi" w:hAnsiTheme="minorHAnsi"/>
      <w:sz w:val="18"/>
    </w:rPr>
  </w:style>
  <w:style w:type="paragraph" w:styleId="NoSpacing">
    <w:name w:val="No Spacing"/>
    <w:uiPriority w:val="1"/>
    <w:rsid w:val="006206EF"/>
    <w:pPr>
      <w:keepLines/>
      <w:spacing w:before="0"/>
    </w:pPr>
    <w:rPr>
      <w:rFonts w:eastAsia="SimSun"/>
    </w:rPr>
  </w:style>
  <w:style w:type="paragraph" w:customStyle="1" w:styleId="Chartheading">
    <w:name w:val="Chart heading"/>
    <w:basedOn w:val="TableHeading"/>
    <w:next w:val="Normal"/>
    <w:link w:val="ChartheadingChar"/>
    <w:qFormat/>
    <w:rsid w:val="009A0702"/>
    <w:pPr>
      <w:keepLines w:val="0"/>
      <w:tabs>
        <w:tab w:val="clear" w:pos="1021"/>
        <w:tab w:val="clear" w:pos="7711"/>
      </w:tabs>
      <w:spacing w:before="240" w:after="120"/>
      <w:ind w:left="1152" w:hanging="1152"/>
    </w:pPr>
    <w:rPr>
      <w:rFonts w:ascii="Calibri" w:eastAsia="Times New Roman" w:hAnsi="Calibri" w:cs="Times New Roman"/>
      <w:sz w:val="22"/>
      <w:szCs w:val="20"/>
    </w:rPr>
  </w:style>
  <w:style w:type="character" w:customStyle="1" w:styleId="ChartheadingChar">
    <w:name w:val="Chart heading Char"/>
    <w:link w:val="Chartheading"/>
    <w:locked/>
    <w:rsid w:val="009A0702"/>
    <w:rPr>
      <w:rFonts w:ascii="Calibri" w:eastAsia="Times New Roman" w:hAnsi="Calibri" w:cs="Times New Roman"/>
      <w:b/>
      <w:szCs w:val="20"/>
    </w:rPr>
  </w:style>
  <w:style w:type="character" w:customStyle="1" w:styleId="ChapterHeadingChar">
    <w:name w:val="Chapter Heading Char"/>
    <w:basedOn w:val="DefaultParagraphFont"/>
    <w:link w:val="ChapterHeading"/>
    <w:uiPriority w:val="89"/>
    <w:rsid w:val="009A0702"/>
    <w:rPr>
      <w:rFonts w:asciiTheme="majorHAnsi" w:hAnsiTheme="majorHAnsi"/>
      <w:b/>
      <w:cap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image" Target="media/image2.emf"/><Relationship Id="rId39" Type="http://schemas.openxmlformats.org/officeDocument/2006/relationships/footer" Target="footer17.xml"/><Relationship Id="rId21" Type="http://schemas.openxmlformats.org/officeDocument/2006/relationships/header" Target="header5.xml"/><Relationship Id="rId34" Type="http://schemas.openxmlformats.org/officeDocument/2006/relationships/footer" Target="footer14.xml"/><Relationship Id="rId42" Type="http://schemas.openxmlformats.org/officeDocument/2006/relationships/footer" Target="footer19.xml"/><Relationship Id="rId47" Type="http://schemas.openxmlformats.org/officeDocument/2006/relationships/footer" Target="footer24.xml"/><Relationship Id="rId50" Type="http://schemas.openxmlformats.org/officeDocument/2006/relationships/footer" Target="footer27.xml"/><Relationship Id="rId55" Type="http://schemas.openxmlformats.org/officeDocument/2006/relationships/footer" Target="footer3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10.xml"/><Relationship Id="rId33" Type="http://schemas.openxmlformats.org/officeDocument/2006/relationships/oleObject" Target="file:///\\P05097\dtfdata02$\SECURED\Budget\EcoStmnt\Chapter2\Link_Chapter%202%20Budget%20Position%20and%20Outlook.xlsx!Chart2.2_NetDebt!%5bLink_Chapter%202%20Budget%20Position%20and%20Outlook.xlsx%5dChart2.2_NetDebt%20Chart%206" TargetMode="External"/><Relationship Id="rId38" Type="http://schemas.openxmlformats.org/officeDocument/2006/relationships/header" Target="header7.xml"/><Relationship Id="rId46" Type="http://schemas.openxmlformats.org/officeDocument/2006/relationships/footer" Target="footer23.xm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6.xml"/><Relationship Id="rId29" Type="http://schemas.openxmlformats.org/officeDocument/2006/relationships/footer" Target="footer12.xml"/><Relationship Id="rId41" Type="http://schemas.openxmlformats.org/officeDocument/2006/relationships/header" Target="header8.xml"/><Relationship Id="rId54"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image" Target="media/image5.emf"/><Relationship Id="rId37" Type="http://schemas.openxmlformats.org/officeDocument/2006/relationships/header" Target="header6.xml"/><Relationship Id="rId40" Type="http://schemas.openxmlformats.org/officeDocument/2006/relationships/footer" Target="footer18.xml"/><Relationship Id="rId45" Type="http://schemas.openxmlformats.org/officeDocument/2006/relationships/footer" Target="footer22.xml"/><Relationship Id="rId53" Type="http://schemas.openxmlformats.org/officeDocument/2006/relationships/chart" Target="charts/chart1.xml"/><Relationship Id="rId58" Type="http://schemas.openxmlformats.org/officeDocument/2006/relationships/footer" Target="footer33.xml"/><Relationship Id="rId5" Type="http://schemas.openxmlformats.org/officeDocument/2006/relationships/settings" Target="settings.xml"/><Relationship Id="rId15" Type="http://schemas.openxmlformats.org/officeDocument/2006/relationships/hyperlink" Target="http://creativecommons.org/licenses/by/3.0/au/" TargetMode="Externa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footer" Target="footer16.xml"/><Relationship Id="rId49" Type="http://schemas.openxmlformats.org/officeDocument/2006/relationships/footer" Target="footer26.xml"/><Relationship Id="rId57" Type="http://schemas.openxmlformats.org/officeDocument/2006/relationships/footer" Target="footer32.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image" Target="media/image4.emf"/><Relationship Id="rId44" Type="http://schemas.openxmlformats.org/officeDocument/2006/relationships/footer" Target="footer21.xml"/><Relationship Id="rId52" Type="http://schemas.openxmlformats.org/officeDocument/2006/relationships/footer" Target="footer29.xml"/><Relationship Id="rId60"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image" Target="media/image3.emf"/><Relationship Id="rId30" Type="http://schemas.openxmlformats.org/officeDocument/2006/relationships/footer" Target="footer13.xml"/><Relationship Id="rId35" Type="http://schemas.openxmlformats.org/officeDocument/2006/relationships/footer" Target="footer15.xml"/><Relationship Id="rId43" Type="http://schemas.openxmlformats.org/officeDocument/2006/relationships/footer" Target="footer20.xml"/><Relationship Id="rId48" Type="http://schemas.openxmlformats.org/officeDocument/2006/relationships/footer" Target="footer25.xml"/><Relationship Id="rId56" Type="http://schemas.openxmlformats.org/officeDocument/2006/relationships/footer" Target="footer31.xml"/><Relationship Id="rId8" Type="http://schemas.openxmlformats.org/officeDocument/2006/relationships/endnotes" Target="endnotes.xml"/><Relationship Id="rId51" Type="http://schemas.openxmlformats.org/officeDocument/2006/relationships/footer" Target="footer28.xml"/><Relationship Id="rId3" Type="http://schemas.openxmlformats.org/officeDocument/2006/relationships/numbering" Target="numbering.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937426541692663"/>
          <c:y val="3.7849457238241339E-2"/>
          <c:w val="0.77139887082264125"/>
          <c:h val="0.84748863297080579"/>
        </c:manualLayout>
      </c:layout>
      <c:lineChart>
        <c:grouping val="standard"/>
        <c:varyColors val="0"/>
        <c:ser>
          <c:idx val="1"/>
          <c:order val="0"/>
          <c:tx>
            <c:strRef>
              <c:f>'COVID-19 cases - data'!$A$23</c:f>
              <c:strCache>
                <c:ptCount val="1"/>
                <c:pt idx="0">
                  <c:v>Asia &amp; Pacific</c:v>
                </c:pt>
              </c:strCache>
            </c:strRef>
          </c:tx>
          <c:spPr>
            <a:ln w="22225" cap="rnd">
              <a:solidFill>
                <a:sysClr val="windowText" lastClr="000000">
                  <a:lumMod val="95000"/>
                  <a:lumOff val="5000"/>
                </a:sysClr>
              </a:solidFill>
              <a:prstDash val="solid"/>
              <a:round/>
            </a:ln>
            <a:effectLst/>
          </c:spPr>
          <c:marker>
            <c:symbol val="none"/>
          </c:marker>
          <c:cat>
            <c:numRef>
              <c:f>'COVID-19 cases - data'!$B$1:$ALH$1</c:f>
              <c:numCache>
                <c:formatCode>mmm\-yy</c:formatCode>
                <c:ptCount val="995"/>
                <c:pt idx="0">
                  <c:v>43852</c:v>
                </c:pt>
                <c:pt idx="1">
                  <c:v>43853</c:v>
                </c:pt>
                <c:pt idx="2">
                  <c:v>43854</c:v>
                </c:pt>
                <c:pt idx="3">
                  <c:v>43855</c:v>
                </c:pt>
                <c:pt idx="4">
                  <c:v>43856</c:v>
                </c:pt>
                <c:pt idx="5">
                  <c:v>43857</c:v>
                </c:pt>
                <c:pt idx="6">
                  <c:v>43858</c:v>
                </c:pt>
                <c:pt idx="7">
                  <c:v>43859</c:v>
                </c:pt>
                <c:pt idx="8">
                  <c:v>43860</c:v>
                </c:pt>
                <c:pt idx="9">
                  <c:v>43861</c:v>
                </c:pt>
                <c:pt idx="10">
                  <c:v>43862</c:v>
                </c:pt>
                <c:pt idx="11">
                  <c:v>43863</c:v>
                </c:pt>
                <c:pt idx="12">
                  <c:v>43864</c:v>
                </c:pt>
                <c:pt idx="13">
                  <c:v>43865</c:v>
                </c:pt>
                <c:pt idx="14">
                  <c:v>43866</c:v>
                </c:pt>
                <c:pt idx="15">
                  <c:v>43867</c:v>
                </c:pt>
                <c:pt idx="16">
                  <c:v>43868</c:v>
                </c:pt>
                <c:pt idx="17">
                  <c:v>43869</c:v>
                </c:pt>
                <c:pt idx="18">
                  <c:v>43870</c:v>
                </c:pt>
                <c:pt idx="19">
                  <c:v>43871</c:v>
                </c:pt>
                <c:pt idx="20">
                  <c:v>43872</c:v>
                </c:pt>
                <c:pt idx="21">
                  <c:v>43873</c:v>
                </c:pt>
                <c:pt idx="22">
                  <c:v>43874</c:v>
                </c:pt>
                <c:pt idx="23">
                  <c:v>43875</c:v>
                </c:pt>
                <c:pt idx="24">
                  <c:v>43876</c:v>
                </c:pt>
                <c:pt idx="25">
                  <c:v>43877</c:v>
                </c:pt>
                <c:pt idx="26">
                  <c:v>43878</c:v>
                </c:pt>
                <c:pt idx="27">
                  <c:v>43879</c:v>
                </c:pt>
                <c:pt idx="28">
                  <c:v>43880</c:v>
                </c:pt>
                <c:pt idx="29">
                  <c:v>43881</c:v>
                </c:pt>
                <c:pt idx="30">
                  <c:v>43882</c:v>
                </c:pt>
                <c:pt idx="31">
                  <c:v>43883</c:v>
                </c:pt>
                <c:pt idx="32">
                  <c:v>43884</c:v>
                </c:pt>
                <c:pt idx="33">
                  <c:v>43885</c:v>
                </c:pt>
                <c:pt idx="34">
                  <c:v>43886</c:v>
                </c:pt>
                <c:pt idx="35">
                  <c:v>43887</c:v>
                </c:pt>
                <c:pt idx="36">
                  <c:v>43888</c:v>
                </c:pt>
                <c:pt idx="37">
                  <c:v>43889</c:v>
                </c:pt>
                <c:pt idx="38">
                  <c:v>43890</c:v>
                </c:pt>
                <c:pt idx="39">
                  <c:v>43891</c:v>
                </c:pt>
                <c:pt idx="40">
                  <c:v>43892</c:v>
                </c:pt>
                <c:pt idx="41">
                  <c:v>43893</c:v>
                </c:pt>
                <c:pt idx="42">
                  <c:v>43894</c:v>
                </c:pt>
                <c:pt idx="43">
                  <c:v>43895</c:v>
                </c:pt>
                <c:pt idx="44">
                  <c:v>43896</c:v>
                </c:pt>
                <c:pt idx="45">
                  <c:v>43897</c:v>
                </c:pt>
                <c:pt idx="46">
                  <c:v>43898</c:v>
                </c:pt>
                <c:pt idx="47">
                  <c:v>43899</c:v>
                </c:pt>
                <c:pt idx="48">
                  <c:v>43900</c:v>
                </c:pt>
                <c:pt idx="49">
                  <c:v>43901</c:v>
                </c:pt>
                <c:pt idx="50">
                  <c:v>43902</c:v>
                </c:pt>
                <c:pt idx="51">
                  <c:v>43903</c:v>
                </c:pt>
                <c:pt idx="52">
                  <c:v>43904</c:v>
                </c:pt>
                <c:pt idx="53">
                  <c:v>43905</c:v>
                </c:pt>
                <c:pt idx="54">
                  <c:v>43906</c:v>
                </c:pt>
                <c:pt idx="55">
                  <c:v>43907</c:v>
                </c:pt>
                <c:pt idx="56">
                  <c:v>43908</c:v>
                </c:pt>
                <c:pt idx="57">
                  <c:v>43909</c:v>
                </c:pt>
                <c:pt idx="58">
                  <c:v>43910</c:v>
                </c:pt>
                <c:pt idx="59">
                  <c:v>43911</c:v>
                </c:pt>
                <c:pt idx="60">
                  <c:v>43912</c:v>
                </c:pt>
                <c:pt idx="61">
                  <c:v>43913</c:v>
                </c:pt>
                <c:pt idx="62">
                  <c:v>43914</c:v>
                </c:pt>
                <c:pt idx="63">
                  <c:v>43915</c:v>
                </c:pt>
                <c:pt idx="64">
                  <c:v>43916</c:v>
                </c:pt>
                <c:pt idx="65">
                  <c:v>43917</c:v>
                </c:pt>
                <c:pt idx="66">
                  <c:v>43918</c:v>
                </c:pt>
                <c:pt idx="67">
                  <c:v>43919</c:v>
                </c:pt>
                <c:pt idx="68">
                  <c:v>43920</c:v>
                </c:pt>
                <c:pt idx="69">
                  <c:v>43921</c:v>
                </c:pt>
                <c:pt idx="70">
                  <c:v>43922</c:v>
                </c:pt>
                <c:pt idx="71">
                  <c:v>43923</c:v>
                </c:pt>
                <c:pt idx="72">
                  <c:v>43924</c:v>
                </c:pt>
                <c:pt idx="73">
                  <c:v>43925</c:v>
                </c:pt>
                <c:pt idx="74">
                  <c:v>43926</c:v>
                </c:pt>
                <c:pt idx="75">
                  <c:v>43927</c:v>
                </c:pt>
                <c:pt idx="76">
                  <c:v>43928</c:v>
                </c:pt>
                <c:pt idx="77">
                  <c:v>43929</c:v>
                </c:pt>
                <c:pt idx="78">
                  <c:v>43930</c:v>
                </c:pt>
                <c:pt idx="79">
                  <c:v>43931</c:v>
                </c:pt>
                <c:pt idx="80">
                  <c:v>43932</c:v>
                </c:pt>
                <c:pt idx="81">
                  <c:v>43933</c:v>
                </c:pt>
                <c:pt idx="82">
                  <c:v>43934</c:v>
                </c:pt>
                <c:pt idx="83">
                  <c:v>43935</c:v>
                </c:pt>
                <c:pt idx="84">
                  <c:v>43936</c:v>
                </c:pt>
                <c:pt idx="85">
                  <c:v>43937</c:v>
                </c:pt>
                <c:pt idx="86">
                  <c:v>43938</c:v>
                </c:pt>
                <c:pt idx="87">
                  <c:v>43939</c:v>
                </c:pt>
                <c:pt idx="88">
                  <c:v>43940</c:v>
                </c:pt>
                <c:pt idx="89">
                  <c:v>43941</c:v>
                </c:pt>
                <c:pt idx="90">
                  <c:v>43942</c:v>
                </c:pt>
                <c:pt idx="91">
                  <c:v>43943</c:v>
                </c:pt>
                <c:pt idx="92">
                  <c:v>43944</c:v>
                </c:pt>
                <c:pt idx="93">
                  <c:v>43945</c:v>
                </c:pt>
                <c:pt idx="94">
                  <c:v>43946</c:v>
                </c:pt>
                <c:pt idx="95">
                  <c:v>43947</c:v>
                </c:pt>
                <c:pt idx="96">
                  <c:v>43948</c:v>
                </c:pt>
                <c:pt idx="97">
                  <c:v>43949</c:v>
                </c:pt>
                <c:pt idx="98">
                  <c:v>43950</c:v>
                </c:pt>
                <c:pt idx="99">
                  <c:v>43951</c:v>
                </c:pt>
                <c:pt idx="100">
                  <c:v>43952</c:v>
                </c:pt>
                <c:pt idx="101">
                  <c:v>43953</c:v>
                </c:pt>
                <c:pt idx="102">
                  <c:v>43954</c:v>
                </c:pt>
                <c:pt idx="103">
                  <c:v>43955</c:v>
                </c:pt>
                <c:pt idx="104">
                  <c:v>43956</c:v>
                </c:pt>
                <c:pt idx="105">
                  <c:v>43957</c:v>
                </c:pt>
                <c:pt idx="106">
                  <c:v>43958</c:v>
                </c:pt>
                <c:pt idx="107">
                  <c:v>43959</c:v>
                </c:pt>
                <c:pt idx="108">
                  <c:v>43960</c:v>
                </c:pt>
                <c:pt idx="109">
                  <c:v>43961</c:v>
                </c:pt>
                <c:pt idx="110">
                  <c:v>43962</c:v>
                </c:pt>
                <c:pt idx="111">
                  <c:v>43963</c:v>
                </c:pt>
                <c:pt idx="112">
                  <c:v>43964</c:v>
                </c:pt>
                <c:pt idx="113">
                  <c:v>43965</c:v>
                </c:pt>
                <c:pt idx="114">
                  <c:v>43966</c:v>
                </c:pt>
                <c:pt idx="115">
                  <c:v>43967</c:v>
                </c:pt>
                <c:pt idx="116">
                  <c:v>43968</c:v>
                </c:pt>
                <c:pt idx="117">
                  <c:v>43969</c:v>
                </c:pt>
                <c:pt idx="118">
                  <c:v>43970</c:v>
                </c:pt>
                <c:pt idx="119">
                  <c:v>43971</c:v>
                </c:pt>
                <c:pt idx="120">
                  <c:v>43972</c:v>
                </c:pt>
                <c:pt idx="121">
                  <c:v>43973</c:v>
                </c:pt>
                <c:pt idx="122">
                  <c:v>43974</c:v>
                </c:pt>
                <c:pt idx="123">
                  <c:v>43975</c:v>
                </c:pt>
                <c:pt idx="124">
                  <c:v>43976</c:v>
                </c:pt>
                <c:pt idx="125">
                  <c:v>43977</c:v>
                </c:pt>
                <c:pt idx="126">
                  <c:v>43978</c:v>
                </c:pt>
                <c:pt idx="127">
                  <c:v>43979</c:v>
                </c:pt>
                <c:pt idx="128">
                  <c:v>43980</c:v>
                </c:pt>
                <c:pt idx="129">
                  <c:v>43981</c:v>
                </c:pt>
                <c:pt idx="130">
                  <c:v>43982</c:v>
                </c:pt>
                <c:pt idx="131">
                  <c:v>43983</c:v>
                </c:pt>
                <c:pt idx="132">
                  <c:v>43984</c:v>
                </c:pt>
                <c:pt idx="133">
                  <c:v>43985</c:v>
                </c:pt>
                <c:pt idx="134">
                  <c:v>43986</c:v>
                </c:pt>
                <c:pt idx="135">
                  <c:v>43987</c:v>
                </c:pt>
                <c:pt idx="136">
                  <c:v>43988</c:v>
                </c:pt>
                <c:pt idx="137">
                  <c:v>43989</c:v>
                </c:pt>
                <c:pt idx="138">
                  <c:v>43990</c:v>
                </c:pt>
                <c:pt idx="139">
                  <c:v>43991</c:v>
                </c:pt>
                <c:pt idx="140">
                  <c:v>43992</c:v>
                </c:pt>
                <c:pt idx="141">
                  <c:v>43993</c:v>
                </c:pt>
                <c:pt idx="142">
                  <c:v>43994</c:v>
                </c:pt>
                <c:pt idx="143">
                  <c:v>43995</c:v>
                </c:pt>
                <c:pt idx="144">
                  <c:v>43996</c:v>
                </c:pt>
                <c:pt idx="145">
                  <c:v>43997</c:v>
                </c:pt>
                <c:pt idx="146">
                  <c:v>43998</c:v>
                </c:pt>
                <c:pt idx="147">
                  <c:v>43999</c:v>
                </c:pt>
                <c:pt idx="148">
                  <c:v>44000</c:v>
                </c:pt>
                <c:pt idx="149">
                  <c:v>44001</c:v>
                </c:pt>
                <c:pt idx="150">
                  <c:v>44002</c:v>
                </c:pt>
                <c:pt idx="151">
                  <c:v>44003</c:v>
                </c:pt>
                <c:pt idx="152">
                  <c:v>44004</c:v>
                </c:pt>
                <c:pt idx="153">
                  <c:v>44005</c:v>
                </c:pt>
                <c:pt idx="154">
                  <c:v>44006</c:v>
                </c:pt>
                <c:pt idx="155">
                  <c:v>44007</c:v>
                </c:pt>
                <c:pt idx="156">
                  <c:v>44008</c:v>
                </c:pt>
                <c:pt idx="157">
                  <c:v>44009</c:v>
                </c:pt>
                <c:pt idx="158">
                  <c:v>44010</c:v>
                </c:pt>
                <c:pt idx="159">
                  <c:v>44011</c:v>
                </c:pt>
                <c:pt idx="160">
                  <c:v>44012</c:v>
                </c:pt>
                <c:pt idx="161">
                  <c:v>44013</c:v>
                </c:pt>
                <c:pt idx="162">
                  <c:v>44014</c:v>
                </c:pt>
                <c:pt idx="163">
                  <c:v>44015</c:v>
                </c:pt>
                <c:pt idx="164">
                  <c:v>44016</c:v>
                </c:pt>
                <c:pt idx="165">
                  <c:v>44017</c:v>
                </c:pt>
                <c:pt idx="166">
                  <c:v>44018</c:v>
                </c:pt>
                <c:pt idx="167">
                  <c:v>44019</c:v>
                </c:pt>
                <c:pt idx="168">
                  <c:v>44020</c:v>
                </c:pt>
                <c:pt idx="169">
                  <c:v>44021</c:v>
                </c:pt>
                <c:pt idx="170">
                  <c:v>44022</c:v>
                </c:pt>
                <c:pt idx="171">
                  <c:v>44023</c:v>
                </c:pt>
                <c:pt idx="172">
                  <c:v>44024</c:v>
                </c:pt>
                <c:pt idx="173">
                  <c:v>44025</c:v>
                </c:pt>
                <c:pt idx="174">
                  <c:v>44026</c:v>
                </c:pt>
                <c:pt idx="175">
                  <c:v>44027</c:v>
                </c:pt>
                <c:pt idx="176">
                  <c:v>44028</c:v>
                </c:pt>
                <c:pt idx="177">
                  <c:v>44029</c:v>
                </c:pt>
                <c:pt idx="178">
                  <c:v>44030</c:v>
                </c:pt>
                <c:pt idx="179">
                  <c:v>44031</c:v>
                </c:pt>
                <c:pt idx="180">
                  <c:v>44032</c:v>
                </c:pt>
                <c:pt idx="181">
                  <c:v>44033</c:v>
                </c:pt>
                <c:pt idx="182">
                  <c:v>44034</c:v>
                </c:pt>
                <c:pt idx="183">
                  <c:v>44035</c:v>
                </c:pt>
                <c:pt idx="184">
                  <c:v>44036</c:v>
                </c:pt>
                <c:pt idx="185">
                  <c:v>44037</c:v>
                </c:pt>
                <c:pt idx="186">
                  <c:v>44038</c:v>
                </c:pt>
                <c:pt idx="187">
                  <c:v>44039</c:v>
                </c:pt>
                <c:pt idx="188">
                  <c:v>44040</c:v>
                </c:pt>
                <c:pt idx="189">
                  <c:v>44041</c:v>
                </c:pt>
                <c:pt idx="190">
                  <c:v>44042</c:v>
                </c:pt>
                <c:pt idx="191">
                  <c:v>44043</c:v>
                </c:pt>
                <c:pt idx="192">
                  <c:v>44044</c:v>
                </c:pt>
                <c:pt idx="193">
                  <c:v>44045</c:v>
                </c:pt>
                <c:pt idx="194">
                  <c:v>44046</c:v>
                </c:pt>
                <c:pt idx="195">
                  <c:v>44047</c:v>
                </c:pt>
                <c:pt idx="196">
                  <c:v>44048</c:v>
                </c:pt>
                <c:pt idx="197">
                  <c:v>44049</c:v>
                </c:pt>
                <c:pt idx="198">
                  <c:v>44050</c:v>
                </c:pt>
                <c:pt idx="199">
                  <c:v>44051</c:v>
                </c:pt>
                <c:pt idx="200">
                  <c:v>44052</c:v>
                </c:pt>
                <c:pt idx="201">
                  <c:v>44053</c:v>
                </c:pt>
                <c:pt idx="202">
                  <c:v>44054</c:v>
                </c:pt>
                <c:pt idx="203">
                  <c:v>44055</c:v>
                </c:pt>
                <c:pt idx="204">
                  <c:v>44056</c:v>
                </c:pt>
                <c:pt idx="205">
                  <c:v>44057</c:v>
                </c:pt>
                <c:pt idx="206">
                  <c:v>44058</c:v>
                </c:pt>
                <c:pt idx="207">
                  <c:v>44059</c:v>
                </c:pt>
                <c:pt idx="208">
                  <c:v>44060</c:v>
                </c:pt>
                <c:pt idx="209">
                  <c:v>44061</c:v>
                </c:pt>
                <c:pt idx="210">
                  <c:v>44062</c:v>
                </c:pt>
                <c:pt idx="211">
                  <c:v>44063</c:v>
                </c:pt>
                <c:pt idx="212">
                  <c:v>44064</c:v>
                </c:pt>
                <c:pt idx="213">
                  <c:v>44065</c:v>
                </c:pt>
                <c:pt idx="214">
                  <c:v>44066</c:v>
                </c:pt>
                <c:pt idx="215">
                  <c:v>44067</c:v>
                </c:pt>
                <c:pt idx="216">
                  <c:v>44068</c:v>
                </c:pt>
                <c:pt idx="217">
                  <c:v>44069</c:v>
                </c:pt>
                <c:pt idx="218">
                  <c:v>44070</c:v>
                </c:pt>
                <c:pt idx="219">
                  <c:v>44071</c:v>
                </c:pt>
                <c:pt idx="220">
                  <c:v>44072</c:v>
                </c:pt>
                <c:pt idx="221">
                  <c:v>44073</c:v>
                </c:pt>
                <c:pt idx="222">
                  <c:v>44074</c:v>
                </c:pt>
                <c:pt idx="223">
                  <c:v>44075</c:v>
                </c:pt>
                <c:pt idx="224">
                  <c:v>44076</c:v>
                </c:pt>
                <c:pt idx="225">
                  <c:v>44077</c:v>
                </c:pt>
                <c:pt idx="226">
                  <c:v>44078</c:v>
                </c:pt>
                <c:pt idx="227">
                  <c:v>44079</c:v>
                </c:pt>
                <c:pt idx="228">
                  <c:v>44080</c:v>
                </c:pt>
                <c:pt idx="229">
                  <c:v>44081</c:v>
                </c:pt>
                <c:pt idx="230">
                  <c:v>44082</c:v>
                </c:pt>
                <c:pt idx="231">
                  <c:v>44083</c:v>
                </c:pt>
                <c:pt idx="232">
                  <c:v>44084</c:v>
                </c:pt>
                <c:pt idx="233">
                  <c:v>44085</c:v>
                </c:pt>
                <c:pt idx="234">
                  <c:v>44086</c:v>
                </c:pt>
                <c:pt idx="235">
                  <c:v>44087</c:v>
                </c:pt>
                <c:pt idx="236">
                  <c:v>44088</c:v>
                </c:pt>
                <c:pt idx="237">
                  <c:v>44089</c:v>
                </c:pt>
                <c:pt idx="238">
                  <c:v>44090</c:v>
                </c:pt>
                <c:pt idx="239">
                  <c:v>44091</c:v>
                </c:pt>
                <c:pt idx="240">
                  <c:v>44092</c:v>
                </c:pt>
                <c:pt idx="241">
                  <c:v>44093</c:v>
                </c:pt>
                <c:pt idx="242">
                  <c:v>44094</c:v>
                </c:pt>
                <c:pt idx="243">
                  <c:v>44095</c:v>
                </c:pt>
                <c:pt idx="244">
                  <c:v>44096</c:v>
                </c:pt>
                <c:pt idx="245">
                  <c:v>44097</c:v>
                </c:pt>
                <c:pt idx="246">
                  <c:v>44098</c:v>
                </c:pt>
                <c:pt idx="247">
                  <c:v>44099</c:v>
                </c:pt>
                <c:pt idx="248">
                  <c:v>44100</c:v>
                </c:pt>
                <c:pt idx="249">
                  <c:v>44101</c:v>
                </c:pt>
                <c:pt idx="250">
                  <c:v>44102</c:v>
                </c:pt>
                <c:pt idx="251">
                  <c:v>44103</c:v>
                </c:pt>
                <c:pt idx="252">
                  <c:v>44104</c:v>
                </c:pt>
                <c:pt idx="253">
                  <c:v>44105</c:v>
                </c:pt>
                <c:pt idx="254">
                  <c:v>44106</c:v>
                </c:pt>
                <c:pt idx="255">
                  <c:v>44107</c:v>
                </c:pt>
                <c:pt idx="256">
                  <c:v>44108</c:v>
                </c:pt>
                <c:pt idx="257">
                  <c:v>44109</c:v>
                </c:pt>
                <c:pt idx="258">
                  <c:v>44110</c:v>
                </c:pt>
                <c:pt idx="259">
                  <c:v>44111</c:v>
                </c:pt>
                <c:pt idx="260">
                  <c:v>44112</c:v>
                </c:pt>
                <c:pt idx="261">
                  <c:v>44113</c:v>
                </c:pt>
                <c:pt idx="262">
                  <c:v>44114</c:v>
                </c:pt>
                <c:pt idx="263">
                  <c:v>44115</c:v>
                </c:pt>
                <c:pt idx="264">
                  <c:v>44116</c:v>
                </c:pt>
                <c:pt idx="265">
                  <c:v>44117</c:v>
                </c:pt>
                <c:pt idx="266">
                  <c:v>44118</c:v>
                </c:pt>
                <c:pt idx="267">
                  <c:v>44119</c:v>
                </c:pt>
                <c:pt idx="268">
                  <c:v>44120</c:v>
                </c:pt>
                <c:pt idx="269">
                  <c:v>44121</c:v>
                </c:pt>
                <c:pt idx="270">
                  <c:v>44122</c:v>
                </c:pt>
                <c:pt idx="271">
                  <c:v>44123</c:v>
                </c:pt>
                <c:pt idx="272">
                  <c:v>44124</c:v>
                </c:pt>
                <c:pt idx="273">
                  <c:v>44125</c:v>
                </c:pt>
                <c:pt idx="274">
                  <c:v>44126</c:v>
                </c:pt>
                <c:pt idx="275">
                  <c:v>44127</c:v>
                </c:pt>
                <c:pt idx="276">
                  <c:v>44128</c:v>
                </c:pt>
                <c:pt idx="277">
                  <c:v>44129</c:v>
                </c:pt>
                <c:pt idx="278">
                  <c:v>44130</c:v>
                </c:pt>
                <c:pt idx="279">
                  <c:v>44131</c:v>
                </c:pt>
                <c:pt idx="280">
                  <c:v>44132</c:v>
                </c:pt>
                <c:pt idx="281">
                  <c:v>44133</c:v>
                </c:pt>
                <c:pt idx="282">
                  <c:v>44134</c:v>
                </c:pt>
                <c:pt idx="283">
                  <c:v>44135</c:v>
                </c:pt>
                <c:pt idx="284">
                  <c:v>44136</c:v>
                </c:pt>
                <c:pt idx="285">
                  <c:v>44137</c:v>
                </c:pt>
                <c:pt idx="286">
                  <c:v>44138</c:v>
                </c:pt>
                <c:pt idx="287">
                  <c:v>44139</c:v>
                </c:pt>
                <c:pt idx="288">
                  <c:v>44140</c:v>
                </c:pt>
                <c:pt idx="289">
                  <c:v>44141</c:v>
                </c:pt>
                <c:pt idx="290">
                  <c:v>44142</c:v>
                </c:pt>
                <c:pt idx="291">
                  <c:v>44143</c:v>
                </c:pt>
                <c:pt idx="292">
                  <c:v>44144</c:v>
                </c:pt>
                <c:pt idx="293">
                  <c:v>44145</c:v>
                </c:pt>
                <c:pt idx="294">
                  <c:v>44146</c:v>
                </c:pt>
                <c:pt idx="295">
                  <c:v>44147</c:v>
                </c:pt>
                <c:pt idx="296">
                  <c:v>44148</c:v>
                </c:pt>
                <c:pt idx="297">
                  <c:v>44149</c:v>
                </c:pt>
                <c:pt idx="298">
                  <c:v>44150</c:v>
                </c:pt>
                <c:pt idx="299">
                  <c:v>44151</c:v>
                </c:pt>
                <c:pt idx="300">
                  <c:v>44152</c:v>
                </c:pt>
                <c:pt idx="301">
                  <c:v>44153</c:v>
                </c:pt>
                <c:pt idx="302">
                  <c:v>44154</c:v>
                </c:pt>
                <c:pt idx="303">
                  <c:v>44155</c:v>
                </c:pt>
                <c:pt idx="304">
                  <c:v>44156</c:v>
                </c:pt>
                <c:pt idx="305">
                  <c:v>44157</c:v>
                </c:pt>
                <c:pt idx="306">
                  <c:v>44158</c:v>
                </c:pt>
                <c:pt idx="307">
                  <c:v>44159</c:v>
                </c:pt>
                <c:pt idx="308">
                  <c:v>44160</c:v>
                </c:pt>
                <c:pt idx="309">
                  <c:v>44161</c:v>
                </c:pt>
                <c:pt idx="310">
                  <c:v>44162</c:v>
                </c:pt>
                <c:pt idx="311">
                  <c:v>44163</c:v>
                </c:pt>
                <c:pt idx="312">
                  <c:v>44164</c:v>
                </c:pt>
                <c:pt idx="313">
                  <c:v>44165</c:v>
                </c:pt>
                <c:pt idx="314">
                  <c:v>44166</c:v>
                </c:pt>
                <c:pt idx="315">
                  <c:v>44167</c:v>
                </c:pt>
                <c:pt idx="316">
                  <c:v>44168</c:v>
                </c:pt>
                <c:pt idx="317">
                  <c:v>44169</c:v>
                </c:pt>
                <c:pt idx="318">
                  <c:v>44170</c:v>
                </c:pt>
                <c:pt idx="319">
                  <c:v>44171</c:v>
                </c:pt>
                <c:pt idx="320">
                  <c:v>44172</c:v>
                </c:pt>
                <c:pt idx="321">
                  <c:v>44173</c:v>
                </c:pt>
                <c:pt idx="322">
                  <c:v>44174</c:v>
                </c:pt>
                <c:pt idx="323">
                  <c:v>44175</c:v>
                </c:pt>
                <c:pt idx="324">
                  <c:v>44176</c:v>
                </c:pt>
                <c:pt idx="325">
                  <c:v>44177</c:v>
                </c:pt>
                <c:pt idx="326">
                  <c:v>44178</c:v>
                </c:pt>
                <c:pt idx="327">
                  <c:v>44179</c:v>
                </c:pt>
                <c:pt idx="328">
                  <c:v>44180</c:v>
                </c:pt>
                <c:pt idx="329">
                  <c:v>44181</c:v>
                </c:pt>
                <c:pt idx="330">
                  <c:v>44182</c:v>
                </c:pt>
                <c:pt idx="331">
                  <c:v>44183</c:v>
                </c:pt>
                <c:pt idx="332">
                  <c:v>44184</c:v>
                </c:pt>
                <c:pt idx="333">
                  <c:v>44185</c:v>
                </c:pt>
                <c:pt idx="334">
                  <c:v>44186</c:v>
                </c:pt>
                <c:pt idx="335">
                  <c:v>44187</c:v>
                </c:pt>
                <c:pt idx="336">
                  <c:v>44188</c:v>
                </c:pt>
                <c:pt idx="337">
                  <c:v>44189</c:v>
                </c:pt>
                <c:pt idx="338">
                  <c:v>44190</c:v>
                </c:pt>
                <c:pt idx="339">
                  <c:v>44191</c:v>
                </c:pt>
                <c:pt idx="340">
                  <c:v>44192</c:v>
                </c:pt>
                <c:pt idx="341">
                  <c:v>44193</c:v>
                </c:pt>
                <c:pt idx="342">
                  <c:v>44194</c:v>
                </c:pt>
                <c:pt idx="343">
                  <c:v>44195</c:v>
                </c:pt>
                <c:pt idx="344">
                  <c:v>44196</c:v>
                </c:pt>
                <c:pt idx="345">
                  <c:v>44197</c:v>
                </c:pt>
                <c:pt idx="346">
                  <c:v>44198</c:v>
                </c:pt>
                <c:pt idx="347">
                  <c:v>44199</c:v>
                </c:pt>
                <c:pt idx="348">
                  <c:v>44200</c:v>
                </c:pt>
                <c:pt idx="349">
                  <c:v>44201</c:v>
                </c:pt>
                <c:pt idx="350">
                  <c:v>44202</c:v>
                </c:pt>
                <c:pt idx="351">
                  <c:v>44203</c:v>
                </c:pt>
                <c:pt idx="352">
                  <c:v>44204</c:v>
                </c:pt>
                <c:pt idx="353">
                  <c:v>44205</c:v>
                </c:pt>
                <c:pt idx="354">
                  <c:v>44206</c:v>
                </c:pt>
                <c:pt idx="355">
                  <c:v>44207</c:v>
                </c:pt>
                <c:pt idx="356">
                  <c:v>44208</c:v>
                </c:pt>
                <c:pt idx="357">
                  <c:v>44209</c:v>
                </c:pt>
                <c:pt idx="358">
                  <c:v>44210</c:v>
                </c:pt>
                <c:pt idx="359">
                  <c:v>44211</c:v>
                </c:pt>
                <c:pt idx="360">
                  <c:v>44212</c:v>
                </c:pt>
                <c:pt idx="361">
                  <c:v>44213</c:v>
                </c:pt>
                <c:pt idx="362">
                  <c:v>44214</c:v>
                </c:pt>
                <c:pt idx="363">
                  <c:v>44215</c:v>
                </c:pt>
                <c:pt idx="364">
                  <c:v>44216</c:v>
                </c:pt>
                <c:pt idx="365">
                  <c:v>44217</c:v>
                </c:pt>
                <c:pt idx="366">
                  <c:v>44218</c:v>
                </c:pt>
                <c:pt idx="367">
                  <c:v>44219</c:v>
                </c:pt>
                <c:pt idx="368">
                  <c:v>44220</c:v>
                </c:pt>
                <c:pt idx="369">
                  <c:v>44221</c:v>
                </c:pt>
                <c:pt idx="370">
                  <c:v>44222</c:v>
                </c:pt>
                <c:pt idx="371">
                  <c:v>44223</c:v>
                </c:pt>
                <c:pt idx="372">
                  <c:v>44224</c:v>
                </c:pt>
                <c:pt idx="373">
                  <c:v>44225</c:v>
                </c:pt>
                <c:pt idx="374">
                  <c:v>44226</c:v>
                </c:pt>
                <c:pt idx="375">
                  <c:v>44227</c:v>
                </c:pt>
                <c:pt idx="376">
                  <c:v>44228</c:v>
                </c:pt>
                <c:pt idx="377">
                  <c:v>44229</c:v>
                </c:pt>
                <c:pt idx="378">
                  <c:v>44230</c:v>
                </c:pt>
                <c:pt idx="379">
                  <c:v>44231</c:v>
                </c:pt>
                <c:pt idx="380">
                  <c:v>44232</c:v>
                </c:pt>
                <c:pt idx="381">
                  <c:v>44233</c:v>
                </c:pt>
                <c:pt idx="382">
                  <c:v>44234</c:v>
                </c:pt>
                <c:pt idx="383">
                  <c:v>44235</c:v>
                </c:pt>
                <c:pt idx="384">
                  <c:v>44236</c:v>
                </c:pt>
                <c:pt idx="385">
                  <c:v>44237</c:v>
                </c:pt>
                <c:pt idx="386">
                  <c:v>44238</c:v>
                </c:pt>
                <c:pt idx="387">
                  <c:v>44239</c:v>
                </c:pt>
                <c:pt idx="388">
                  <c:v>44240</c:v>
                </c:pt>
                <c:pt idx="389">
                  <c:v>44241</c:v>
                </c:pt>
                <c:pt idx="390">
                  <c:v>44242</c:v>
                </c:pt>
                <c:pt idx="391">
                  <c:v>44243</c:v>
                </c:pt>
                <c:pt idx="392">
                  <c:v>44244</c:v>
                </c:pt>
                <c:pt idx="393">
                  <c:v>44245</c:v>
                </c:pt>
                <c:pt idx="394">
                  <c:v>44246</c:v>
                </c:pt>
                <c:pt idx="395">
                  <c:v>44247</c:v>
                </c:pt>
                <c:pt idx="396">
                  <c:v>44248</c:v>
                </c:pt>
                <c:pt idx="397">
                  <c:v>44249</c:v>
                </c:pt>
                <c:pt idx="398">
                  <c:v>44250</c:v>
                </c:pt>
                <c:pt idx="399">
                  <c:v>44251</c:v>
                </c:pt>
                <c:pt idx="400">
                  <c:v>44252</c:v>
                </c:pt>
                <c:pt idx="401">
                  <c:v>44253</c:v>
                </c:pt>
                <c:pt idx="402">
                  <c:v>44254</c:v>
                </c:pt>
                <c:pt idx="403">
                  <c:v>44255</c:v>
                </c:pt>
                <c:pt idx="404">
                  <c:v>44256</c:v>
                </c:pt>
                <c:pt idx="405">
                  <c:v>44257</c:v>
                </c:pt>
                <c:pt idx="406">
                  <c:v>44258</c:v>
                </c:pt>
                <c:pt idx="407">
                  <c:v>44259</c:v>
                </c:pt>
                <c:pt idx="408">
                  <c:v>44260</c:v>
                </c:pt>
                <c:pt idx="409">
                  <c:v>44261</c:v>
                </c:pt>
                <c:pt idx="410">
                  <c:v>44262</c:v>
                </c:pt>
                <c:pt idx="411">
                  <c:v>44263</c:v>
                </c:pt>
                <c:pt idx="412">
                  <c:v>44264</c:v>
                </c:pt>
                <c:pt idx="413">
                  <c:v>44265</c:v>
                </c:pt>
                <c:pt idx="414">
                  <c:v>44266</c:v>
                </c:pt>
                <c:pt idx="415">
                  <c:v>44267</c:v>
                </c:pt>
                <c:pt idx="416">
                  <c:v>44268</c:v>
                </c:pt>
                <c:pt idx="417">
                  <c:v>44269</c:v>
                </c:pt>
                <c:pt idx="418">
                  <c:v>44270</c:v>
                </c:pt>
                <c:pt idx="419">
                  <c:v>44271</c:v>
                </c:pt>
                <c:pt idx="420">
                  <c:v>44272</c:v>
                </c:pt>
                <c:pt idx="421">
                  <c:v>44273</c:v>
                </c:pt>
                <c:pt idx="422">
                  <c:v>44274</c:v>
                </c:pt>
                <c:pt idx="423">
                  <c:v>44275</c:v>
                </c:pt>
                <c:pt idx="424">
                  <c:v>44276</c:v>
                </c:pt>
                <c:pt idx="425">
                  <c:v>44277</c:v>
                </c:pt>
                <c:pt idx="426">
                  <c:v>44278</c:v>
                </c:pt>
                <c:pt idx="427">
                  <c:v>44279</c:v>
                </c:pt>
                <c:pt idx="428">
                  <c:v>44280</c:v>
                </c:pt>
                <c:pt idx="429">
                  <c:v>44281</c:v>
                </c:pt>
                <c:pt idx="430">
                  <c:v>44282</c:v>
                </c:pt>
                <c:pt idx="431">
                  <c:v>44283</c:v>
                </c:pt>
                <c:pt idx="432">
                  <c:v>44284</c:v>
                </c:pt>
                <c:pt idx="433">
                  <c:v>44285</c:v>
                </c:pt>
                <c:pt idx="434">
                  <c:v>44286</c:v>
                </c:pt>
                <c:pt idx="435">
                  <c:v>44287</c:v>
                </c:pt>
                <c:pt idx="436">
                  <c:v>44288</c:v>
                </c:pt>
                <c:pt idx="437">
                  <c:v>44289</c:v>
                </c:pt>
                <c:pt idx="438">
                  <c:v>44290</c:v>
                </c:pt>
                <c:pt idx="439">
                  <c:v>44291</c:v>
                </c:pt>
                <c:pt idx="440">
                  <c:v>44292</c:v>
                </c:pt>
                <c:pt idx="441">
                  <c:v>44293</c:v>
                </c:pt>
                <c:pt idx="442">
                  <c:v>44294</c:v>
                </c:pt>
                <c:pt idx="443">
                  <c:v>44295</c:v>
                </c:pt>
                <c:pt idx="444">
                  <c:v>44296</c:v>
                </c:pt>
                <c:pt idx="445">
                  <c:v>44297</c:v>
                </c:pt>
                <c:pt idx="446">
                  <c:v>44298</c:v>
                </c:pt>
                <c:pt idx="447">
                  <c:v>44299</c:v>
                </c:pt>
                <c:pt idx="448">
                  <c:v>44300</c:v>
                </c:pt>
                <c:pt idx="449">
                  <c:v>44301</c:v>
                </c:pt>
                <c:pt idx="450">
                  <c:v>44302</c:v>
                </c:pt>
                <c:pt idx="451">
                  <c:v>44303</c:v>
                </c:pt>
                <c:pt idx="452">
                  <c:v>44304</c:v>
                </c:pt>
                <c:pt idx="453">
                  <c:v>44305</c:v>
                </c:pt>
                <c:pt idx="454">
                  <c:v>44306</c:v>
                </c:pt>
                <c:pt idx="455">
                  <c:v>44307</c:v>
                </c:pt>
                <c:pt idx="456">
                  <c:v>44308</c:v>
                </c:pt>
                <c:pt idx="457">
                  <c:v>44309</c:v>
                </c:pt>
                <c:pt idx="458">
                  <c:v>44310</c:v>
                </c:pt>
                <c:pt idx="459">
                  <c:v>44311</c:v>
                </c:pt>
                <c:pt idx="460">
                  <c:v>44312</c:v>
                </c:pt>
                <c:pt idx="461">
                  <c:v>44313</c:v>
                </c:pt>
                <c:pt idx="462">
                  <c:v>44314</c:v>
                </c:pt>
                <c:pt idx="463">
                  <c:v>44315</c:v>
                </c:pt>
                <c:pt idx="464">
                  <c:v>44316</c:v>
                </c:pt>
                <c:pt idx="465">
                  <c:v>44317</c:v>
                </c:pt>
                <c:pt idx="466">
                  <c:v>44318</c:v>
                </c:pt>
                <c:pt idx="467">
                  <c:v>44319</c:v>
                </c:pt>
                <c:pt idx="468">
                  <c:v>44320</c:v>
                </c:pt>
                <c:pt idx="469">
                  <c:v>44321</c:v>
                </c:pt>
                <c:pt idx="470">
                  <c:v>44322</c:v>
                </c:pt>
                <c:pt idx="471">
                  <c:v>44323</c:v>
                </c:pt>
                <c:pt idx="472">
                  <c:v>44324</c:v>
                </c:pt>
                <c:pt idx="473">
                  <c:v>44325</c:v>
                </c:pt>
                <c:pt idx="474">
                  <c:v>44326</c:v>
                </c:pt>
                <c:pt idx="475">
                  <c:v>44327</c:v>
                </c:pt>
                <c:pt idx="476">
                  <c:v>44328</c:v>
                </c:pt>
                <c:pt idx="477">
                  <c:v>44329</c:v>
                </c:pt>
                <c:pt idx="478">
                  <c:v>44330</c:v>
                </c:pt>
                <c:pt idx="479">
                  <c:v>44331</c:v>
                </c:pt>
                <c:pt idx="480">
                  <c:v>44332</c:v>
                </c:pt>
                <c:pt idx="481">
                  <c:v>44333</c:v>
                </c:pt>
                <c:pt idx="482">
                  <c:v>44334</c:v>
                </c:pt>
                <c:pt idx="483">
                  <c:v>44335</c:v>
                </c:pt>
                <c:pt idx="484">
                  <c:v>44336</c:v>
                </c:pt>
                <c:pt idx="485">
                  <c:v>44337</c:v>
                </c:pt>
                <c:pt idx="486">
                  <c:v>44338</c:v>
                </c:pt>
                <c:pt idx="487">
                  <c:v>44339</c:v>
                </c:pt>
                <c:pt idx="488">
                  <c:v>44340</c:v>
                </c:pt>
                <c:pt idx="489">
                  <c:v>44341</c:v>
                </c:pt>
                <c:pt idx="490">
                  <c:v>44342</c:v>
                </c:pt>
                <c:pt idx="491">
                  <c:v>44343</c:v>
                </c:pt>
                <c:pt idx="492">
                  <c:v>44344</c:v>
                </c:pt>
                <c:pt idx="493">
                  <c:v>44345</c:v>
                </c:pt>
                <c:pt idx="494">
                  <c:v>44346</c:v>
                </c:pt>
                <c:pt idx="495">
                  <c:v>44347</c:v>
                </c:pt>
                <c:pt idx="496">
                  <c:v>44348</c:v>
                </c:pt>
                <c:pt idx="497">
                  <c:v>44349</c:v>
                </c:pt>
                <c:pt idx="498">
                  <c:v>44350</c:v>
                </c:pt>
                <c:pt idx="499">
                  <c:v>44351</c:v>
                </c:pt>
                <c:pt idx="500">
                  <c:v>44352</c:v>
                </c:pt>
                <c:pt idx="501">
                  <c:v>44353</c:v>
                </c:pt>
                <c:pt idx="502">
                  <c:v>44354</c:v>
                </c:pt>
                <c:pt idx="503">
                  <c:v>44355</c:v>
                </c:pt>
                <c:pt idx="504">
                  <c:v>44356</c:v>
                </c:pt>
                <c:pt idx="505">
                  <c:v>44357</c:v>
                </c:pt>
                <c:pt idx="506">
                  <c:v>44358</c:v>
                </c:pt>
                <c:pt idx="507">
                  <c:v>44359</c:v>
                </c:pt>
                <c:pt idx="508">
                  <c:v>44360</c:v>
                </c:pt>
                <c:pt idx="509">
                  <c:v>44361</c:v>
                </c:pt>
                <c:pt idx="510">
                  <c:v>44362</c:v>
                </c:pt>
                <c:pt idx="511">
                  <c:v>44363</c:v>
                </c:pt>
                <c:pt idx="512">
                  <c:v>44364</c:v>
                </c:pt>
                <c:pt idx="513">
                  <c:v>44365</c:v>
                </c:pt>
                <c:pt idx="514">
                  <c:v>44366</c:v>
                </c:pt>
                <c:pt idx="515">
                  <c:v>44367</c:v>
                </c:pt>
                <c:pt idx="516">
                  <c:v>44368</c:v>
                </c:pt>
                <c:pt idx="517">
                  <c:v>44369</c:v>
                </c:pt>
                <c:pt idx="518">
                  <c:v>44370</c:v>
                </c:pt>
                <c:pt idx="519">
                  <c:v>44371</c:v>
                </c:pt>
                <c:pt idx="520">
                  <c:v>44372</c:v>
                </c:pt>
                <c:pt idx="521">
                  <c:v>44373</c:v>
                </c:pt>
                <c:pt idx="522">
                  <c:v>44374</c:v>
                </c:pt>
                <c:pt idx="523">
                  <c:v>44375</c:v>
                </c:pt>
                <c:pt idx="524">
                  <c:v>44376</c:v>
                </c:pt>
                <c:pt idx="525">
                  <c:v>44377</c:v>
                </c:pt>
                <c:pt idx="526">
                  <c:v>44378</c:v>
                </c:pt>
                <c:pt idx="527">
                  <c:v>44379</c:v>
                </c:pt>
                <c:pt idx="528">
                  <c:v>44380</c:v>
                </c:pt>
                <c:pt idx="529">
                  <c:v>44381</c:v>
                </c:pt>
                <c:pt idx="530">
                  <c:v>44382</c:v>
                </c:pt>
                <c:pt idx="531">
                  <c:v>44383</c:v>
                </c:pt>
                <c:pt idx="532">
                  <c:v>44384</c:v>
                </c:pt>
                <c:pt idx="533">
                  <c:v>44385</c:v>
                </c:pt>
                <c:pt idx="534">
                  <c:v>44386</c:v>
                </c:pt>
                <c:pt idx="535">
                  <c:v>44387</c:v>
                </c:pt>
                <c:pt idx="536">
                  <c:v>44388</c:v>
                </c:pt>
                <c:pt idx="537">
                  <c:v>44389</c:v>
                </c:pt>
                <c:pt idx="538">
                  <c:v>44390</c:v>
                </c:pt>
                <c:pt idx="539">
                  <c:v>44391</c:v>
                </c:pt>
                <c:pt idx="540">
                  <c:v>44392</c:v>
                </c:pt>
                <c:pt idx="541">
                  <c:v>44393</c:v>
                </c:pt>
                <c:pt idx="542">
                  <c:v>44394</c:v>
                </c:pt>
                <c:pt idx="543">
                  <c:v>44395</c:v>
                </c:pt>
                <c:pt idx="544">
                  <c:v>44396</c:v>
                </c:pt>
                <c:pt idx="545">
                  <c:v>44397</c:v>
                </c:pt>
                <c:pt idx="546">
                  <c:v>44398</c:v>
                </c:pt>
                <c:pt idx="547">
                  <c:v>44399</c:v>
                </c:pt>
                <c:pt idx="548">
                  <c:v>44400</c:v>
                </c:pt>
                <c:pt idx="549">
                  <c:v>44401</c:v>
                </c:pt>
                <c:pt idx="550">
                  <c:v>44402</c:v>
                </c:pt>
                <c:pt idx="551">
                  <c:v>44403</c:v>
                </c:pt>
                <c:pt idx="552">
                  <c:v>44404</c:v>
                </c:pt>
                <c:pt idx="553">
                  <c:v>44405</c:v>
                </c:pt>
                <c:pt idx="554">
                  <c:v>44406</c:v>
                </c:pt>
                <c:pt idx="555">
                  <c:v>44407</c:v>
                </c:pt>
                <c:pt idx="556">
                  <c:v>44408</c:v>
                </c:pt>
                <c:pt idx="557">
                  <c:v>44409</c:v>
                </c:pt>
                <c:pt idx="558">
                  <c:v>44410</c:v>
                </c:pt>
                <c:pt idx="559">
                  <c:v>44411</c:v>
                </c:pt>
                <c:pt idx="560">
                  <c:v>44412</c:v>
                </c:pt>
                <c:pt idx="561">
                  <c:v>44413</c:v>
                </c:pt>
                <c:pt idx="562">
                  <c:v>44414</c:v>
                </c:pt>
                <c:pt idx="563">
                  <c:v>44415</c:v>
                </c:pt>
                <c:pt idx="564">
                  <c:v>44416</c:v>
                </c:pt>
                <c:pt idx="565">
                  <c:v>44417</c:v>
                </c:pt>
                <c:pt idx="566">
                  <c:v>44418</c:v>
                </c:pt>
                <c:pt idx="567">
                  <c:v>44419</c:v>
                </c:pt>
                <c:pt idx="568">
                  <c:v>44420</c:v>
                </c:pt>
                <c:pt idx="569">
                  <c:v>44421</c:v>
                </c:pt>
                <c:pt idx="570">
                  <c:v>44422</c:v>
                </c:pt>
                <c:pt idx="571">
                  <c:v>44423</c:v>
                </c:pt>
                <c:pt idx="572">
                  <c:v>44424</c:v>
                </c:pt>
                <c:pt idx="573">
                  <c:v>44425</c:v>
                </c:pt>
                <c:pt idx="574">
                  <c:v>44426</c:v>
                </c:pt>
                <c:pt idx="575">
                  <c:v>44427</c:v>
                </c:pt>
                <c:pt idx="576">
                  <c:v>44428</c:v>
                </c:pt>
                <c:pt idx="577">
                  <c:v>44429</c:v>
                </c:pt>
                <c:pt idx="578">
                  <c:v>44430</c:v>
                </c:pt>
                <c:pt idx="579">
                  <c:v>44431</c:v>
                </c:pt>
                <c:pt idx="580">
                  <c:v>44432</c:v>
                </c:pt>
                <c:pt idx="581">
                  <c:v>44433</c:v>
                </c:pt>
                <c:pt idx="582">
                  <c:v>44434</c:v>
                </c:pt>
                <c:pt idx="583">
                  <c:v>44435</c:v>
                </c:pt>
                <c:pt idx="584">
                  <c:v>44436</c:v>
                </c:pt>
                <c:pt idx="585">
                  <c:v>44437</c:v>
                </c:pt>
                <c:pt idx="586">
                  <c:v>44438</c:v>
                </c:pt>
                <c:pt idx="587">
                  <c:v>44439</c:v>
                </c:pt>
                <c:pt idx="588">
                  <c:v>44440</c:v>
                </c:pt>
                <c:pt idx="589">
                  <c:v>44441</c:v>
                </c:pt>
                <c:pt idx="590">
                  <c:v>44442</c:v>
                </c:pt>
                <c:pt idx="591">
                  <c:v>44443</c:v>
                </c:pt>
                <c:pt idx="592">
                  <c:v>44444</c:v>
                </c:pt>
                <c:pt idx="593">
                  <c:v>44445</c:v>
                </c:pt>
                <c:pt idx="594">
                  <c:v>44446</c:v>
                </c:pt>
                <c:pt idx="595">
                  <c:v>44447</c:v>
                </c:pt>
                <c:pt idx="596">
                  <c:v>44448</c:v>
                </c:pt>
                <c:pt idx="597">
                  <c:v>44449</c:v>
                </c:pt>
                <c:pt idx="598">
                  <c:v>44450</c:v>
                </c:pt>
                <c:pt idx="599">
                  <c:v>44451</c:v>
                </c:pt>
                <c:pt idx="600">
                  <c:v>44452</c:v>
                </c:pt>
                <c:pt idx="601">
                  <c:v>44453</c:v>
                </c:pt>
                <c:pt idx="602">
                  <c:v>44454</c:v>
                </c:pt>
                <c:pt idx="603">
                  <c:v>44455</c:v>
                </c:pt>
                <c:pt idx="604">
                  <c:v>44456</c:v>
                </c:pt>
                <c:pt idx="605">
                  <c:v>44457</c:v>
                </c:pt>
                <c:pt idx="606">
                  <c:v>44458</c:v>
                </c:pt>
                <c:pt idx="607">
                  <c:v>44459</c:v>
                </c:pt>
                <c:pt idx="608">
                  <c:v>44460</c:v>
                </c:pt>
                <c:pt idx="609">
                  <c:v>44461</c:v>
                </c:pt>
                <c:pt idx="610">
                  <c:v>44462</c:v>
                </c:pt>
                <c:pt idx="611">
                  <c:v>44463</c:v>
                </c:pt>
                <c:pt idx="612">
                  <c:v>44464</c:v>
                </c:pt>
                <c:pt idx="613">
                  <c:v>44465</c:v>
                </c:pt>
                <c:pt idx="614">
                  <c:v>44466</c:v>
                </c:pt>
                <c:pt idx="615">
                  <c:v>44467</c:v>
                </c:pt>
                <c:pt idx="616">
                  <c:v>44468</c:v>
                </c:pt>
                <c:pt idx="617">
                  <c:v>44469</c:v>
                </c:pt>
                <c:pt idx="618">
                  <c:v>44470</c:v>
                </c:pt>
                <c:pt idx="619">
                  <c:v>44471</c:v>
                </c:pt>
                <c:pt idx="620">
                  <c:v>44472</c:v>
                </c:pt>
                <c:pt idx="621">
                  <c:v>44473</c:v>
                </c:pt>
                <c:pt idx="622">
                  <c:v>44474</c:v>
                </c:pt>
                <c:pt idx="623">
                  <c:v>44475</c:v>
                </c:pt>
                <c:pt idx="624">
                  <c:v>44476</c:v>
                </c:pt>
                <c:pt idx="625">
                  <c:v>44477</c:v>
                </c:pt>
                <c:pt idx="626">
                  <c:v>44478</c:v>
                </c:pt>
                <c:pt idx="627">
                  <c:v>44479</c:v>
                </c:pt>
                <c:pt idx="628">
                  <c:v>44480</c:v>
                </c:pt>
                <c:pt idx="629">
                  <c:v>44481</c:v>
                </c:pt>
                <c:pt idx="630">
                  <c:v>44482</c:v>
                </c:pt>
                <c:pt idx="631">
                  <c:v>44483</c:v>
                </c:pt>
                <c:pt idx="632">
                  <c:v>44484</c:v>
                </c:pt>
                <c:pt idx="633">
                  <c:v>44485</c:v>
                </c:pt>
                <c:pt idx="634">
                  <c:v>44486</c:v>
                </c:pt>
                <c:pt idx="635">
                  <c:v>44487</c:v>
                </c:pt>
                <c:pt idx="636">
                  <c:v>44488</c:v>
                </c:pt>
                <c:pt idx="637">
                  <c:v>44489</c:v>
                </c:pt>
                <c:pt idx="638">
                  <c:v>44490</c:v>
                </c:pt>
                <c:pt idx="639">
                  <c:v>44491</c:v>
                </c:pt>
                <c:pt idx="640">
                  <c:v>44492</c:v>
                </c:pt>
                <c:pt idx="641">
                  <c:v>44493</c:v>
                </c:pt>
                <c:pt idx="642">
                  <c:v>44494</c:v>
                </c:pt>
                <c:pt idx="643">
                  <c:v>44495</c:v>
                </c:pt>
                <c:pt idx="644">
                  <c:v>44496</c:v>
                </c:pt>
                <c:pt idx="645">
                  <c:v>44497</c:v>
                </c:pt>
                <c:pt idx="646">
                  <c:v>44498</c:v>
                </c:pt>
                <c:pt idx="647">
                  <c:v>44499</c:v>
                </c:pt>
                <c:pt idx="648">
                  <c:v>44500</c:v>
                </c:pt>
                <c:pt idx="649">
                  <c:v>44501</c:v>
                </c:pt>
                <c:pt idx="650">
                  <c:v>44502</c:v>
                </c:pt>
                <c:pt idx="651">
                  <c:v>44503</c:v>
                </c:pt>
                <c:pt idx="652">
                  <c:v>44504</c:v>
                </c:pt>
                <c:pt idx="653">
                  <c:v>44505</c:v>
                </c:pt>
                <c:pt idx="654">
                  <c:v>44506</c:v>
                </c:pt>
                <c:pt idx="655">
                  <c:v>44507</c:v>
                </c:pt>
                <c:pt idx="656">
                  <c:v>44508</c:v>
                </c:pt>
                <c:pt idx="657">
                  <c:v>44509</c:v>
                </c:pt>
                <c:pt idx="658">
                  <c:v>44510</c:v>
                </c:pt>
                <c:pt idx="659">
                  <c:v>44511</c:v>
                </c:pt>
                <c:pt idx="660">
                  <c:v>44512</c:v>
                </c:pt>
                <c:pt idx="661">
                  <c:v>44513</c:v>
                </c:pt>
                <c:pt idx="662">
                  <c:v>44514</c:v>
                </c:pt>
                <c:pt idx="663">
                  <c:v>44515</c:v>
                </c:pt>
                <c:pt idx="664">
                  <c:v>44516</c:v>
                </c:pt>
                <c:pt idx="665">
                  <c:v>44517</c:v>
                </c:pt>
                <c:pt idx="666">
                  <c:v>44518</c:v>
                </c:pt>
                <c:pt idx="667">
                  <c:v>44519</c:v>
                </c:pt>
                <c:pt idx="668">
                  <c:v>44520</c:v>
                </c:pt>
                <c:pt idx="669">
                  <c:v>44521</c:v>
                </c:pt>
                <c:pt idx="670">
                  <c:v>44522</c:v>
                </c:pt>
                <c:pt idx="671">
                  <c:v>44523</c:v>
                </c:pt>
                <c:pt idx="672">
                  <c:v>44524</c:v>
                </c:pt>
                <c:pt idx="673">
                  <c:v>44525</c:v>
                </c:pt>
                <c:pt idx="674">
                  <c:v>44526</c:v>
                </c:pt>
                <c:pt idx="675">
                  <c:v>44527</c:v>
                </c:pt>
                <c:pt idx="676">
                  <c:v>44528</c:v>
                </c:pt>
                <c:pt idx="677">
                  <c:v>44529</c:v>
                </c:pt>
                <c:pt idx="678">
                  <c:v>44530</c:v>
                </c:pt>
                <c:pt idx="679">
                  <c:v>44531</c:v>
                </c:pt>
                <c:pt idx="680">
                  <c:v>44532</c:v>
                </c:pt>
                <c:pt idx="681">
                  <c:v>44533</c:v>
                </c:pt>
                <c:pt idx="682">
                  <c:v>44534</c:v>
                </c:pt>
                <c:pt idx="683">
                  <c:v>44535</c:v>
                </c:pt>
                <c:pt idx="684">
                  <c:v>44536</c:v>
                </c:pt>
                <c:pt idx="685">
                  <c:v>44537</c:v>
                </c:pt>
                <c:pt idx="686">
                  <c:v>44538</c:v>
                </c:pt>
                <c:pt idx="687">
                  <c:v>44539</c:v>
                </c:pt>
                <c:pt idx="688">
                  <c:v>44540</c:v>
                </c:pt>
                <c:pt idx="689">
                  <c:v>44541</c:v>
                </c:pt>
                <c:pt idx="690">
                  <c:v>44542</c:v>
                </c:pt>
                <c:pt idx="691">
                  <c:v>44543</c:v>
                </c:pt>
                <c:pt idx="692">
                  <c:v>44544</c:v>
                </c:pt>
                <c:pt idx="693">
                  <c:v>44545</c:v>
                </c:pt>
                <c:pt idx="694">
                  <c:v>44546</c:v>
                </c:pt>
                <c:pt idx="695">
                  <c:v>44547</c:v>
                </c:pt>
                <c:pt idx="696">
                  <c:v>44548</c:v>
                </c:pt>
                <c:pt idx="697">
                  <c:v>44549</c:v>
                </c:pt>
                <c:pt idx="698">
                  <c:v>44550</c:v>
                </c:pt>
                <c:pt idx="699">
                  <c:v>44551</c:v>
                </c:pt>
                <c:pt idx="700">
                  <c:v>44552</c:v>
                </c:pt>
                <c:pt idx="701">
                  <c:v>44553</c:v>
                </c:pt>
                <c:pt idx="702">
                  <c:v>44554</c:v>
                </c:pt>
                <c:pt idx="703">
                  <c:v>44555</c:v>
                </c:pt>
                <c:pt idx="704">
                  <c:v>44556</c:v>
                </c:pt>
                <c:pt idx="705">
                  <c:v>44557</c:v>
                </c:pt>
                <c:pt idx="706">
                  <c:v>44558</c:v>
                </c:pt>
                <c:pt idx="707">
                  <c:v>44559</c:v>
                </c:pt>
                <c:pt idx="708">
                  <c:v>44560</c:v>
                </c:pt>
                <c:pt idx="709">
                  <c:v>44561</c:v>
                </c:pt>
                <c:pt idx="710">
                  <c:v>44562</c:v>
                </c:pt>
                <c:pt idx="711">
                  <c:v>44563</c:v>
                </c:pt>
                <c:pt idx="712">
                  <c:v>44564</c:v>
                </c:pt>
                <c:pt idx="713">
                  <c:v>44565</c:v>
                </c:pt>
                <c:pt idx="714">
                  <c:v>44566</c:v>
                </c:pt>
                <c:pt idx="715">
                  <c:v>44567</c:v>
                </c:pt>
                <c:pt idx="716">
                  <c:v>44568</c:v>
                </c:pt>
                <c:pt idx="717">
                  <c:v>44569</c:v>
                </c:pt>
                <c:pt idx="718">
                  <c:v>44570</c:v>
                </c:pt>
                <c:pt idx="719">
                  <c:v>44571</c:v>
                </c:pt>
                <c:pt idx="720">
                  <c:v>44572</c:v>
                </c:pt>
                <c:pt idx="721">
                  <c:v>44573</c:v>
                </c:pt>
                <c:pt idx="722">
                  <c:v>44574</c:v>
                </c:pt>
                <c:pt idx="723">
                  <c:v>44575</c:v>
                </c:pt>
                <c:pt idx="724">
                  <c:v>44576</c:v>
                </c:pt>
                <c:pt idx="725">
                  <c:v>44577</c:v>
                </c:pt>
                <c:pt idx="726">
                  <c:v>44578</c:v>
                </c:pt>
                <c:pt idx="727">
                  <c:v>44579</c:v>
                </c:pt>
                <c:pt idx="728">
                  <c:v>44580</c:v>
                </c:pt>
                <c:pt idx="729">
                  <c:v>44581</c:v>
                </c:pt>
                <c:pt idx="730">
                  <c:v>44582</c:v>
                </c:pt>
                <c:pt idx="731">
                  <c:v>44583</c:v>
                </c:pt>
                <c:pt idx="732">
                  <c:v>44584</c:v>
                </c:pt>
                <c:pt idx="733">
                  <c:v>44585</c:v>
                </c:pt>
                <c:pt idx="734">
                  <c:v>44586</c:v>
                </c:pt>
                <c:pt idx="735">
                  <c:v>44587</c:v>
                </c:pt>
                <c:pt idx="736">
                  <c:v>44588</c:v>
                </c:pt>
                <c:pt idx="737">
                  <c:v>44589</c:v>
                </c:pt>
                <c:pt idx="738">
                  <c:v>44590</c:v>
                </c:pt>
                <c:pt idx="739">
                  <c:v>44591</c:v>
                </c:pt>
                <c:pt idx="740">
                  <c:v>44592</c:v>
                </c:pt>
                <c:pt idx="741">
                  <c:v>44593</c:v>
                </c:pt>
                <c:pt idx="742">
                  <c:v>44594</c:v>
                </c:pt>
                <c:pt idx="743">
                  <c:v>44595</c:v>
                </c:pt>
                <c:pt idx="744">
                  <c:v>44596</c:v>
                </c:pt>
                <c:pt idx="745">
                  <c:v>44597</c:v>
                </c:pt>
                <c:pt idx="746">
                  <c:v>44598</c:v>
                </c:pt>
                <c:pt idx="747">
                  <c:v>44599</c:v>
                </c:pt>
                <c:pt idx="748">
                  <c:v>44600</c:v>
                </c:pt>
                <c:pt idx="749">
                  <c:v>44601</c:v>
                </c:pt>
                <c:pt idx="750">
                  <c:v>44602</c:v>
                </c:pt>
                <c:pt idx="751">
                  <c:v>44603</c:v>
                </c:pt>
                <c:pt idx="752">
                  <c:v>44604</c:v>
                </c:pt>
                <c:pt idx="753">
                  <c:v>44605</c:v>
                </c:pt>
                <c:pt idx="754">
                  <c:v>44606</c:v>
                </c:pt>
                <c:pt idx="755">
                  <c:v>44607</c:v>
                </c:pt>
                <c:pt idx="756">
                  <c:v>44608</c:v>
                </c:pt>
                <c:pt idx="757">
                  <c:v>44609</c:v>
                </c:pt>
                <c:pt idx="758">
                  <c:v>44610</c:v>
                </c:pt>
                <c:pt idx="759">
                  <c:v>44611</c:v>
                </c:pt>
                <c:pt idx="760">
                  <c:v>44612</c:v>
                </c:pt>
                <c:pt idx="761">
                  <c:v>44613</c:v>
                </c:pt>
                <c:pt idx="762">
                  <c:v>44614</c:v>
                </c:pt>
                <c:pt idx="763">
                  <c:v>44615</c:v>
                </c:pt>
                <c:pt idx="764">
                  <c:v>44616</c:v>
                </c:pt>
                <c:pt idx="765">
                  <c:v>44617</c:v>
                </c:pt>
                <c:pt idx="766">
                  <c:v>44618</c:v>
                </c:pt>
                <c:pt idx="767">
                  <c:v>44619</c:v>
                </c:pt>
                <c:pt idx="768">
                  <c:v>44620</c:v>
                </c:pt>
                <c:pt idx="769">
                  <c:v>44621</c:v>
                </c:pt>
                <c:pt idx="770">
                  <c:v>44622</c:v>
                </c:pt>
                <c:pt idx="771">
                  <c:v>44623</c:v>
                </c:pt>
                <c:pt idx="772">
                  <c:v>44624</c:v>
                </c:pt>
                <c:pt idx="773">
                  <c:v>44625</c:v>
                </c:pt>
                <c:pt idx="774">
                  <c:v>44626</c:v>
                </c:pt>
                <c:pt idx="775">
                  <c:v>44627</c:v>
                </c:pt>
                <c:pt idx="776">
                  <c:v>44628</c:v>
                </c:pt>
                <c:pt idx="777">
                  <c:v>44629</c:v>
                </c:pt>
                <c:pt idx="778">
                  <c:v>44630</c:v>
                </c:pt>
                <c:pt idx="779">
                  <c:v>44631</c:v>
                </c:pt>
                <c:pt idx="780">
                  <c:v>44632</c:v>
                </c:pt>
                <c:pt idx="781">
                  <c:v>44633</c:v>
                </c:pt>
                <c:pt idx="782">
                  <c:v>44634</c:v>
                </c:pt>
                <c:pt idx="783">
                  <c:v>44635</c:v>
                </c:pt>
                <c:pt idx="784">
                  <c:v>44636</c:v>
                </c:pt>
                <c:pt idx="785">
                  <c:v>44637</c:v>
                </c:pt>
                <c:pt idx="786">
                  <c:v>44638</c:v>
                </c:pt>
                <c:pt idx="787">
                  <c:v>44639</c:v>
                </c:pt>
                <c:pt idx="788">
                  <c:v>44640</c:v>
                </c:pt>
                <c:pt idx="789">
                  <c:v>44641</c:v>
                </c:pt>
                <c:pt idx="790">
                  <c:v>44642</c:v>
                </c:pt>
                <c:pt idx="791">
                  <c:v>44643</c:v>
                </c:pt>
                <c:pt idx="792">
                  <c:v>44644</c:v>
                </c:pt>
                <c:pt idx="793">
                  <c:v>44645</c:v>
                </c:pt>
                <c:pt idx="794">
                  <c:v>44646</c:v>
                </c:pt>
                <c:pt idx="795">
                  <c:v>44647</c:v>
                </c:pt>
                <c:pt idx="796">
                  <c:v>44648</c:v>
                </c:pt>
                <c:pt idx="797">
                  <c:v>44649</c:v>
                </c:pt>
                <c:pt idx="798">
                  <c:v>44650</c:v>
                </c:pt>
                <c:pt idx="799">
                  <c:v>44651</c:v>
                </c:pt>
                <c:pt idx="800">
                  <c:v>44652</c:v>
                </c:pt>
                <c:pt idx="801">
                  <c:v>44653</c:v>
                </c:pt>
                <c:pt idx="802">
                  <c:v>44654</c:v>
                </c:pt>
                <c:pt idx="803">
                  <c:v>44655</c:v>
                </c:pt>
                <c:pt idx="804">
                  <c:v>44656</c:v>
                </c:pt>
                <c:pt idx="805">
                  <c:v>44657</c:v>
                </c:pt>
                <c:pt idx="806">
                  <c:v>44658</c:v>
                </c:pt>
                <c:pt idx="807">
                  <c:v>44659</c:v>
                </c:pt>
                <c:pt idx="808">
                  <c:v>44660</c:v>
                </c:pt>
                <c:pt idx="809">
                  <c:v>44661</c:v>
                </c:pt>
                <c:pt idx="810">
                  <c:v>44662</c:v>
                </c:pt>
                <c:pt idx="811">
                  <c:v>44663</c:v>
                </c:pt>
                <c:pt idx="812">
                  <c:v>44664</c:v>
                </c:pt>
                <c:pt idx="813">
                  <c:v>44665</c:v>
                </c:pt>
                <c:pt idx="814">
                  <c:v>44666</c:v>
                </c:pt>
                <c:pt idx="815">
                  <c:v>44667</c:v>
                </c:pt>
                <c:pt idx="816">
                  <c:v>44668</c:v>
                </c:pt>
                <c:pt idx="817">
                  <c:v>44669</c:v>
                </c:pt>
                <c:pt idx="818">
                  <c:v>44670</c:v>
                </c:pt>
                <c:pt idx="819">
                  <c:v>44671</c:v>
                </c:pt>
                <c:pt idx="820">
                  <c:v>44672</c:v>
                </c:pt>
                <c:pt idx="821">
                  <c:v>44673</c:v>
                </c:pt>
                <c:pt idx="822">
                  <c:v>44674</c:v>
                </c:pt>
                <c:pt idx="823">
                  <c:v>44675</c:v>
                </c:pt>
                <c:pt idx="824">
                  <c:v>44676</c:v>
                </c:pt>
                <c:pt idx="825">
                  <c:v>44677</c:v>
                </c:pt>
                <c:pt idx="826">
                  <c:v>44678</c:v>
                </c:pt>
                <c:pt idx="827">
                  <c:v>44679</c:v>
                </c:pt>
                <c:pt idx="828">
                  <c:v>44680</c:v>
                </c:pt>
                <c:pt idx="829">
                  <c:v>44681</c:v>
                </c:pt>
                <c:pt idx="830">
                  <c:v>44682</c:v>
                </c:pt>
                <c:pt idx="831">
                  <c:v>44683</c:v>
                </c:pt>
                <c:pt idx="832">
                  <c:v>44684</c:v>
                </c:pt>
                <c:pt idx="833">
                  <c:v>44685</c:v>
                </c:pt>
                <c:pt idx="834">
                  <c:v>44686</c:v>
                </c:pt>
                <c:pt idx="835">
                  <c:v>44687</c:v>
                </c:pt>
                <c:pt idx="836">
                  <c:v>44688</c:v>
                </c:pt>
                <c:pt idx="837">
                  <c:v>44689</c:v>
                </c:pt>
                <c:pt idx="838">
                  <c:v>44690</c:v>
                </c:pt>
                <c:pt idx="839">
                  <c:v>44691</c:v>
                </c:pt>
                <c:pt idx="840">
                  <c:v>44692</c:v>
                </c:pt>
                <c:pt idx="841">
                  <c:v>44693</c:v>
                </c:pt>
                <c:pt idx="842">
                  <c:v>44694</c:v>
                </c:pt>
                <c:pt idx="843">
                  <c:v>44695</c:v>
                </c:pt>
                <c:pt idx="844">
                  <c:v>44696</c:v>
                </c:pt>
                <c:pt idx="845">
                  <c:v>44697</c:v>
                </c:pt>
                <c:pt idx="846">
                  <c:v>44698</c:v>
                </c:pt>
                <c:pt idx="847">
                  <c:v>44699</c:v>
                </c:pt>
                <c:pt idx="848">
                  <c:v>44700</c:v>
                </c:pt>
                <c:pt idx="849">
                  <c:v>44701</c:v>
                </c:pt>
                <c:pt idx="850">
                  <c:v>44702</c:v>
                </c:pt>
                <c:pt idx="851">
                  <c:v>44703</c:v>
                </c:pt>
                <c:pt idx="852">
                  <c:v>44704</c:v>
                </c:pt>
                <c:pt idx="853">
                  <c:v>44705</c:v>
                </c:pt>
                <c:pt idx="854">
                  <c:v>44706</c:v>
                </c:pt>
                <c:pt idx="855">
                  <c:v>44707</c:v>
                </c:pt>
                <c:pt idx="856">
                  <c:v>44708</c:v>
                </c:pt>
                <c:pt idx="857">
                  <c:v>44709</c:v>
                </c:pt>
                <c:pt idx="858">
                  <c:v>44710</c:v>
                </c:pt>
                <c:pt idx="859">
                  <c:v>44711</c:v>
                </c:pt>
                <c:pt idx="860">
                  <c:v>44712</c:v>
                </c:pt>
                <c:pt idx="861">
                  <c:v>44713</c:v>
                </c:pt>
                <c:pt idx="862">
                  <c:v>44714</c:v>
                </c:pt>
                <c:pt idx="863">
                  <c:v>44715</c:v>
                </c:pt>
                <c:pt idx="864">
                  <c:v>44716</c:v>
                </c:pt>
                <c:pt idx="865">
                  <c:v>44717</c:v>
                </c:pt>
                <c:pt idx="866">
                  <c:v>44718</c:v>
                </c:pt>
                <c:pt idx="867">
                  <c:v>44719</c:v>
                </c:pt>
                <c:pt idx="868">
                  <c:v>44720</c:v>
                </c:pt>
                <c:pt idx="869">
                  <c:v>44721</c:v>
                </c:pt>
                <c:pt idx="870">
                  <c:v>44722</c:v>
                </c:pt>
                <c:pt idx="871">
                  <c:v>44723</c:v>
                </c:pt>
                <c:pt idx="872">
                  <c:v>44724</c:v>
                </c:pt>
                <c:pt idx="873">
                  <c:v>44725</c:v>
                </c:pt>
                <c:pt idx="874">
                  <c:v>44726</c:v>
                </c:pt>
                <c:pt idx="875">
                  <c:v>44727</c:v>
                </c:pt>
                <c:pt idx="876">
                  <c:v>44728</c:v>
                </c:pt>
                <c:pt idx="877">
                  <c:v>44729</c:v>
                </c:pt>
                <c:pt idx="878">
                  <c:v>44730</c:v>
                </c:pt>
                <c:pt idx="879">
                  <c:v>44731</c:v>
                </c:pt>
                <c:pt idx="880">
                  <c:v>44732</c:v>
                </c:pt>
                <c:pt idx="881">
                  <c:v>44733</c:v>
                </c:pt>
                <c:pt idx="882">
                  <c:v>44734</c:v>
                </c:pt>
                <c:pt idx="883">
                  <c:v>44735</c:v>
                </c:pt>
                <c:pt idx="884">
                  <c:v>44736</c:v>
                </c:pt>
                <c:pt idx="885">
                  <c:v>44737</c:v>
                </c:pt>
                <c:pt idx="886">
                  <c:v>44738</c:v>
                </c:pt>
                <c:pt idx="887">
                  <c:v>44739</c:v>
                </c:pt>
                <c:pt idx="888">
                  <c:v>44740</c:v>
                </c:pt>
                <c:pt idx="889">
                  <c:v>44741</c:v>
                </c:pt>
                <c:pt idx="890">
                  <c:v>44742</c:v>
                </c:pt>
                <c:pt idx="891">
                  <c:v>44743</c:v>
                </c:pt>
                <c:pt idx="892">
                  <c:v>44744</c:v>
                </c:pt>
                <c:pt idx="893">
                  <c:v>44745</c:v>
                </c:pt>
                <c:pt idx="894">
                  <c:v>44746</c:v>
                </c:pt>
                <c:pt idx="895">
                  <c:v>44747</c:v>
                </c:pt>
                <c:pt idx="896">
                  <c:v>44748</c:v>
                </c:pt>
                <c:pt idx="897">
                  <c:v>44749</c:v>
                </c:pt>
                <c:pt idx="898">
                  <c:v>44750</c:v>
                </c:pt>
                <c:pt idx="899">
                  <c:v>44751</c:v>
                </c:pt>
                <c:pt idx="900">
                  <c:v>44752</c:v>
                </c:pt>
                <c:pt idx="901">
                  <c:v>44753</c:v>
                </c:pt>
                <c:pt idx="902">
                  <c:v>44754</c:v>
                </c:pt>
                <c:pt idx="903">
                  <c:v>44755</c:v>
                </c:pt>
                <c:pt idx="904">
                  <c:v>44756</c:v>
                </c:pt>
                <c:pt idx="905">
                  <c:v>44757</c:v>
                </c:pt>
                <c:pt idx="906">
                  <c:v>44758</c:v>
                </c:pt>
                <c:pt idx="907">
                  <c:v>44759</c:v>
                </c:pt>
                <c:pt idx="908">
                  <c:v>44760</c:v>
                </c:pt>
                <c:pt idx="909">
                  <c:v>44761</c:v>
                </c:pt>
                <c:pt idx="910">
                  <c:v>44762</c:v>
                </c:pt>
                <c:pt idx="911">
                  <c:v>44763</c:v>
                </c:pt>
                <c:pt idx="912">
                  <c:v>44764</c:v>
                </c:pt>
                <c:pt idx="913">
                  <c:v>44765</c:v>
                </c:pt>
                <c:pt idx="914">
                  <c:v>44766</c:v>
                </c:pt>
                <c:pt idx="915">
                  <c:v>44767</c:v>
                </c:pt>
                <c:pt idx="916">
                  <c:v>44768</c:v>
                </c:pt>
                <c:pt idx="917">
                  <c:v>44769</c:v>
                </c:pt>
                <c:pt idx="918">
                  <c:v>44770</c:v>
                </c:pt>
                <c:pt idx="919">
                  <c:v>44771</c:v>
                </c:pt>
                <c:pt idx="920">
                  <c:v>44772</c:v>
                </c:pt>
                <c:pt idx="921">
                  <c:v>44773</c:v>
                </c:pt>
                <c:pt idx="922">
                  <c:v>44774</c:v>
                </c:pt>
                <c:pt idx="923">
                  <c:v>44775</c:v>
                </c:pt>
                <c:pt idx="924">
                  <c:v>44776</c:v>
                </c:pt>
                <c:pt idx="925">
                  <c:v>44777</c:v>
                </c:pt>
                <c:pt idx="926">
                  <c:v>44778</c:v>
                </c:pt>
                <c:pt idx="927">
                  <c:v>44779</c:v>
                </c:pt>
                <c:pt idx="928">
                  <c:v>44780</c:v>
                </c:pt>
                <c:pt idx="929">
                  <c:v>44781</c:v>
                </c:pt>
                <c:pt idx="930">
                  <c:v>44782</c:v>
                </c:pt>
                <c:pt idx="931">
                  <c:v>44783</c:v>
                </c:pt>
                <c:pt idx="932">
                  <c:v>44784</c:v>
                </c:pt>
                <c:pt idx="933">
                  <c:v>44785</c:v>
                </c:pt>
                <c:pt idx="934">
                  <c:v>44786</c:v>
                </c:pt>
                <c:pt idx="935">
                  <c:v>44787</c:v>
                </c:pt>
                <c:pt idx="936">
                  <c:v>44788</c:v>
                </c:pt>
                <c:pt idx="937">
                  <c:v>44789</c:v>
                </c:pt>
                <c:pt idx="938">
                  <c:v>44790</c:v>
                </c:pt>
                <c:pt idx="939">
                  <c:v>44791</c:v>
                </c:pt>
                <c:pt idx="940">
                  <c:v>44792</c:v>
                </c:pt>
                <c:pt idx="941">
                  <c:v>44793</c:v>
                </c:pt>
                <c:pt idx="942">
                  <c:v>44794</c:v>
                </c:pt>
                <c:pt idx="943">
                  <c:v>44795</c:v>
                </c:pt>
                <c:pt idx="944">
                  <c:v>44796</c:v>
                </c:pt>
                <c:pt idx="945">
                  <c:v>44797</c:v>
                </c:pt>
                <c:pt idx="946">
                  <c:v>44798</c:v>
                </c:pt>
                <c:pt idx="947">
                  <c:v>44799</c:v>
                </c:pt>
                <c:pt idx="948">
                  <c:v>44800</c:v>
                </c:pt>
                <c:pt idx="949">
                  <c:v>44801</c:v>
                </c:pt>
                <c:pt idx="950">
                  <c:v>44802</c:v>
                </c:pt>
                <c:pt idx="951">
                  <c:v>44803</c:v>
                </c:pt>
                <c:pt idx="952">
                  <c:v>44804</c:v>
                </c:pt>
                <c:pt idx="953">
                  <c:v>44805</c:v>
                </c:pt>
                <c:pt idx="954">
                  <c:v>44806</c:v>
                </c:pt>
                <c:pt idx="955">
                  <c:v>44807</c:v>
                </c:pt>
                <c:pt idx="956">
                  <c:v>44808</c:v>
                </c:pt>
                <c:pt idx="957">
                  <c:v>44809</c:v>
                </c:pt>
                <c:pt idx="958">
                  <c:v>44810</c:v>
                </c:pt>
                <c:pt idx="959">
                  <c:v>44811</c:v>
                </c:pt>
                <c:pt idx="960">
                  <c:v>44812</c:v>
                </c:pt>
                <c:pt idx="961">
                  <c:v>44813</c:v>
                </c:pt>
                <c:pt idx="962">
                  <c:v>44814</c:v>
                </c:pt>
                <c:pt idx="963">
                  <c:v>44815</c:v>
                </c:pt>
                <c:pt idx="964">
                  <c:v>44816</c:v>
                </c:pt>
                <c:pt idx="965">
                  <c:v>44817</c:v>
                </c:pt>
                <c:pt idx="966">
                  <c:v>44818</c:v>
                </c:pt>
                <c:pt idx="967">
                  <c:v>44819</c:v>
                </c:pt>
                <c:pt idx="968">
                  <c:v>44820</c:v>
                </c:pt>
                <c:pt idx="969">
                  <c:v>44821</c:v>
                </c:pt>
                <c:pt idx="970">
                  <c:v>44822</c:v>
                </c:pt>
                <c:pt idx="971">
                  <c:v>44823</c:v>
                </c:pt>
                <c:pt idx="972">
                  <c:v>44824</c:v>
                </c:pt>
                <c:pt idx="973">
                  <c:v>44825</c:v>
                </c:pt>
                <c:pt idx="974">
                  <c:v>44826</c:v>
                </c:pt>
                <c:pt idx="975">
                  <c:v>44827</c:v>
                </c:pt>
                <c:pt idx="976">
                  <c:v>44828</c:v>
                </c:pt>
                <c:pt idx="977">
                  <c:v>44829</c:v>
                </c:pt>
                <c:pt idx="978">
                  <c:v>44830</c:v>
                </c:pt>
                <c:pt idx="979">
                  <c:v>44831</c:v>
                </c:pt>
                <c:pt idx="980">
                  <c:v>44832</c:v>
                </c:pt>
                <c:pt idx="981">
                  <c:v>44833</c:v>
                </c:pt>
                <c:pt idx="982">
                  <c:v>44834</c:v>
                </c:pt>
                <c:pt idx="983">
                  <c:v>44835</c:v>
                </c:pt>
                <c:pt idx="984">
                  <c:v>44836</c:v>
                </c:pt>
                <c:pt idx="985">
                  <c:v>44837</c:v>
                </c:pt>
                <c:pt idx="986">
                  <c:v>44838</c:v>
                </c:pt>
                <c:pt idx="987">
                  <c:v>#N/A</c:v>
                </c:pt>
                <c:pt idx="988">
                  <c:v>#N/A</c:v>
                </c:pt>
                <c:pt idx="989">
                  <c:v>#N/A</c:v>
                </c:pt>
                <c:pt idx="990">
                  <c:v>#N/A</c:v>
                </c:pt>
                <c:pt idx="991">
                  <c:v>#N/A</c:v>
                </c:pt>
                <c:pt idx="992">
                  <c:v>#N/A</c:v>
                </c:pt>
                <c:pt idx="993">
                  <c:v>#N/A</c:v>
                </c:pt>
                <c:pt idx="994">
                  <c:v>#N/A</c:v>
                </c:pt>
              </c:numCache>
            </c:numRef>
          </c:cat>
          <c:val>
            <c:numRef>
              <c:f>'COVID-19 cases - data'!$B$23:$ALH$23</c:f>
              <c:numCache>
                <c:formatCode>General</c:formatCode>
                <c:ptCount val="995"/>
                <c:pt idx="7">
                  <c:v>798.42857142857201</c:v>
                </c:pt>
                <c:pt idx="8">
                  <c:v>1079.8571428571399</c:v>
                </c:pt>
                <c:pt idx="9">
                  <c:v>1279.57142857143</c:v>
                </c:pt>
                <c:pt idx="10">
                  <c:v>1510</c:v>
                </c:pt>
                <c:pt idx="11">
                  <c:v>2090.8571428571399</c:v>
                </c:pt>
                <c:pt idx="12">
                  <c:v>2416.7142857142899</c:v>
                </c:pt>
                <c:pt idx="13">
                  <c:v>2611.5714285714298</c:v>
                </c:pt>
                <c:pt idx="14">
                  <c:v>3063.1428571428601</c:v>
                </c:pt>
                <c:pt idx="15">
                  <c:v>3219.2857142857101</c:v>
                </c:pt>
                <c:pt idx="16">
                  <c:v>3483.2857142857101</c:v>
                </c:pt>
                <c:pt idx="17">
                  <c:v>3571.1428571428601</c:v>
                </c:pt>
                <c:pt idx="18">
                  <c:v>3325.2857142857101</c:v>
                </c:pt>
                <c:pt idx="19">
                  <c:v>3246.2857142857101</c:v>
                </c:pt>
                <c:pt idx="20">
                  <c:v>2964.5714285714298</c:v>
                </c:pt>
                <c:pt idx="21">
                  <c:v>2483.7142857142899</c:v>
                </c:pt>
                <c:pt idx="22">
                  <c:v>4196.4285714285697</c:v>
                </c:pt>
                <c:pt idx="23">
                  <c:v>4618.4285714285697</c:v>
                </c:pt>
                <c:pt idx="24">
                  <c:v>4526.2857142857101</c:v>
                </c:pt>
                <c:pt idx="25">
                  <c:v>4395.8571428571404</c:v>
                </c:pt>
                <c:pt idx="26">
                  <c:v>4309.8571428571404</c:v>
                </c:pt>
                <c:pt idx="27">
                  <c:v>4275</c:v>
                </c:pt>
                <c:pt idx="28">
                  <c:v>4280.8571428571404</c:v>
                </c:pt>
                <c:pt idx="29">
                  <c:v>2194</c:v>
                </c:pt>
                <c:pt idx="30">
                  <c:v>1352.57142857143</c:v>
                </c:pt>
                <c:pt idx="31">
                  <c:v>1299.7142857142901</c:v>
                </c:pt>
                <c:pt idx="32">
                  <c:v>1027.7142857142901</c:v>
                </c:pt>
                <c:pt idx="33">
                  <c:v>818.28571428571399</c:v>
                </c:pt>
                <c:pt idx="34">
                  <c:v>658.71428571428601</c:v>
                </c:pt>
                <c:pt idx="35">
                  <c:v>702</c:v>
                </c:pt>
                <c:pt idx="36">
                  <c:v>762.57142857142901</c:v>
                </c:pt>
                <c:pt idx="37">
                  <c:v>810</c:v>
                </c:pt>
                <c:pt idx="38">
                  <c:v>749.142857142857</c:v>
                </c:pt>
                <c:pt idx="39">
                  <c:v>888.857142857143</c:v>
                </c:pt>
                <c:pt idx="40">
                  <c:v>941.142857142857</c:v>
                </c:pt>
                <c:pt idx="41">
                  <c:v>989.42857142857201</c:v>
                </c:pt>
                <c:pt idx="42">
                  <c:v>978.857142857143</c:v>
                </c:pt>
                <c:pt idx="43">
                  <c:v>937.57142857142901</c:v>
                </c:pt>
                <c:pt idx="44">
                  <c:v>915.142857142857</c:v>
                </c:pt>
                <c:pt idx="45">
                  <c:v>819.57142857142901</c:v>
                </c:pt>
                <c:pt idx="46">
                  <c:v>710.28571428571399</c:v>
                </c:pt>
                <c:pt idx="47">
                  <c:v>634</c:v>
                </c:pt>
                <c:pt idx="48">
                  <c:v>518.42857142857099</c:v>
                </c:pt>
                <c:pt idx="49">
                  <c:v>490.42857142857099</c:v>
                </c:pt>
                <c:pt idx="50">
                  <c:v>426.142857142857</c:v>
                </c:pt>
                <c:pt idx="51">
                  <c:v>374.28571428571399</c:v>
                </c:pt>
                <c:pt idx="52">
                  <c:v>351.71428571428601</c:v>
                </c:pt>
                <c:pt idx="53">
                  <c:v>379</c:v>
                </c:pt>
                <c:pt idx="54">
                  <c:v>414.28571428571399</c:v>
                </c:pt>
                <c:pt idx="55">
                  <c:v>480.857142857143</c:v>
                </c:pt>
                <c:pt idx="56">
                  <c:v>531</c:v>
                </c:pt>
                <c:pt idx="57">
                  <c:v>616.71428571428601</c:v>
                </c:pt>
                <c:pt idx="58">
                  <c:v>703.142857142857</c:v>
                </c:pt>
                <c:pt idx="59">
                  <c:v>807.57142857142901</c:v>
                </c:pt>
                <c:pt idx="60">
                  <c:v>950.42857142857099</c:v>
                </c:pt>
                <c:pt idx="61">
                  <c:v>1022.28571428571</c:v>
                </c:pt>
                <c:pt idx="62">
                  <c:v>1121</c:v>
                </c:pt>
                <c:pt idx="63">
                  <c:v>1226.42857142857</c:v>
                </c:pt>
                <c:pt idx="64">
                  <c:v>1364.57142857143</c:v>
                </c:pt>
                <c:pt idx="65">
                  <c:v>1460.42857142857</c:v>
                </c:pt>
                <c:pt idx="66">
                  <c:v>1592.1428571428601</c:v>
                </c:pt>
                <c:pt idx="67">
                  <c:v>1641.2857142857099</c:v>
                </c:pt>
                <c:pt idx="68">
                  <c:v>1759.1428571428601</c:v>
                </c:pt>
                <c:pt idx="69">
                  <c:v>2105</c:v>
                </c:pt>
                <c:pt idx="70">
                  <c:v>2276.2857142857101</c:v>
                </c:pt>
                <c:pt idx="71">
                  <c:v>2400.8571428571399</c:v>
                </c:pt>
                <c:pt idx="72">
                  <c:v>2466.1428571428601</c:v>
                </c:pt>
                <c:pt idx="73">
                  <c:v>2515.4285714285702</c:v>
                </c:pt>
                <c:pt idx="74">
                  <c:v>2646.8571428571399</c:v>
                </c:pt>
                <c:pt idx="75">
                  <c:v>2858.1428571428601</c:v>
                </c:pt>
                <c:pt idx="76">
                  <c:v>2654.2857142857101</c:v>
                </c:pt>
                <c:pt idx="77">
                  <c:v>2671.2857142857101</c:v>
                </c:pt>
                <c:pt idx="78">
                  <c:v>2752.1428571428601</c:v>
                </c:pt>
                <c:pt idx="79">
                  <c:v>2894.7142857142899</c:v>
                </c:pt>
                <c:pt idx="80">
                  <c:v>3028.2857142857101</c:v>
                </c:pt>
                <c:pt idx="81">
                  <c:v>3086</c:v>
                </c:pt>
                <c:pt idx="82">
                  <c:v>3159.4285714285702</c:v>
                </c:pt>
                <c:pt idx="83">
                  <c:v>3402.4285714285702</c:v>
                </c:pt>
                <c:pt idx="84">
                  <c:v>3539.1428571428601</c:v>
                </c:pt>
                <c:pt idx="85">
                  <c:v>3648</c:v>
                </c:pt>
                <c:pt idx="86">
                  <c:v>3853</c:v>
                </c:pt>
                <c:pt idx="87">
                  <c:v>4081.7142857142899</c:v>
                </c:pt>
                <c:pt idx="88">
                  <c:v>4224.7142857142899</c:v>
                </c:pt>
                <c:pt idx="89">
                  <c:v>4428.5714285714303</c:v>
                </c:pt>
                <c:pt idx="90">
                  <c:v>4564.5714285714303</c:v>
                </c:pt>
                <c:pt idx="91">
                  <c:v>4740.1428571428596</c:v>
                </c:pt>
                <c:pt idx="92">
                  <c:v>4964.7142857142899</c:v>
                </c:pt>
                <c:pt idx="93">
                  <c:v>5068.4285714285697</c:v>
                </c:pt>
                <c:pt idx="94">
                  <c:v>5026.2857142857201</c:v>
                </c:pt>
                <c:pt idx="95">
                  <c:v>5106.1428571428596</c:v>
                </c:pt>
                <c:pt idx="96">
                  <c:v>5004.7142857142899</c:v>
                </c:pt>
                <c:pt idx="97">
                  <c:v>5058.8571428571404</c:v>
                </c:pt>
                <c:pt idx="98">
                  <c:v>5147.7142857142899</c:v>
                </c:pt>
                <c:pt idx="99">
                  <c:v>5169.2857142857101</c:v>
                </c:pt>
                <c:pt idx="100">
                  <c:v>5371.4285714285697</c:v>
                </c:pt>
                <c:pt idx="101">
                  <c:v>5563.2857142857201</c:v>
                </c:pt>
                <c:pt idx="102">
                  <c:v>5760.1428571428596</c:v>
                </c:pt>
                <c:pt idx="103">
                  <c:v>6188.8571428571404</c:v>
                </c:pt>
                <c:pt idx="104">
                  <c:v>6521.5714285714303</c:v>
                </c:pt>
                <c:pt idx="105">
                  <c:v>6835.2857142857201</c:v>
                </c:pt>
                <c:pt idx="106">
                  <c:v>7180.4285714285697</c:v>
                </c:pt>
                <c:pt idx="107">
                  <c:v>7438.2857142857201</c:v>
                </c:pt>
                <c:pt idx="108">
                  <c:v>7647.7142857142899</c:v>
                </c:pt>
                <c:pt idx="109">
                  <c:v>8181.4285714285697</c:v>
                </c:pt>
                <c:pt idx="110">
                  <c:v>8348</c:v>
                </c:pt>
                <c:pt idx="111">
                  <c:v>8375.2857142857101</c:v>
                </c:pt>
                <c:pt idx="112">
                  <c:v>8348.2857142857101</c:v>
                </c:pt>
                <c:pt idx="113">
                  <c:v>8724.2857142857101</c:v>
                </c:pt>
                <c:pt idx="114">
                  <c:v>8641.5714285714294</c:v>
                </c:pt>
                <c:pt idx="115">
                  <c:v>8907.7142857142899</c:v>
                </c:pt>
                <c:pt idx="116">
                  <c:v>9020.1428571428605</c:v>
                </c:pt>
                <c:pt idx="117">
                  <c:v>9283.2857142857101</c:v>
                </c:pt>
                <c:pt idx="118">
                  <c:v>9857.2857142857101</c:v>
                </c:pt>
                <c:pt idx="119">
                  <c:v>10507.142857142901</c:v>
                </c:pt>
                <c:pt idx="120">
                  <c:v>10919.285714285699</c:v>
                </c:pt>
                <c:pt idx="121">
                  <c:v>11694.4285714286</c:v>
                </c:pt>
                <c:pt idx="122">
                  <c:v>12342</c:v>
                </c:pt>
                <c:pt idx="123">
                  <c:v>12775.5714285714</c:v>
                </c:pt>
                <c:pt idx="124">
                  <c:v>13067.857142857099</c:v>
                </c:pt>
                <c:pt idx="125">
                  <c:v>12988.4285714286</c:v>
                </c:pt>
                <c:pt idx="126">
                  <c:v>13287.5714285714</c:v>
                </c:pt>
                <c:pt idx="127">
                  <c:v>13566.5714285714</c:v>
                </c:pt>
                <c:pt idx="128">
                  <c:v>14145.4285714286</c:v>
                </c:pt>
                <c:pt idx="129">
                  <c:v>14591.142857142901</c:v>
                </c:pt>
                <c:pt idx="130">
                  <c:v>15255.5714285714</c:v>
                </c:pt>
                <c:pt idx="131">
                  <c:v>15953.5714285714</c:v>
                </c:pt>
                <c:pt idx="132">
                  <c:v>17078.857142857101</c:v>
                </c:pt>
                <c:pt idx="133">
                  <c:v>18087.714285714301</c:v>
                </c:pt>
                <c:pt idx="134">
                  <c:v>18707.571428571398</c:v>
                </c:pt>
                <c:pt idx="135">
                  <c:v>19152.428571428602</c:v>
                </c:pt>
                <c:pt idx="136">
                  <c:v>19860.857142857101</c:v>
                </c:pt>
                <c:pt idx="137">
                  <c:v>20367.571428571398</c:v>
                </c:pt>
                <c:pt idx="138">
                  <c:v>20627.285714285699</c:v>
                </c:pt>
                <c:pt idx="139">
                  <c:v>21029.285714285699</c:v>
                </c:pt>
                <c:pt idx="140">
                  <c:v>21413.857142857101</c:v>
                </c:pt>
                <c:pt idx="141">
                  <c:v>22096.285714285699</c:v>
                </c:pt>
                <c:pt idx="142">
                  <c:v>21870.857142857101</c:v>
                </c:pt>
                <c:pt idx="143">
                  <c:v>22334.571428571398</c:v>
                </c:pt>
                <c:pt idx="144">
                  <c:v>23586.571428571398</c:v>
                </c:pt>
                <c:pt idx="145">
                  <c:v>24096.142857142899</c:v>
                </c:pt>
                <c:pt idx="146">
                  <c:v>24381.142857142899</c:v>
                </c:pt>
                <c:pt idx="147">
                  <c:v>24804.714285714301</c:v>
                </c:pt>
                <c:pt idx="148">
                  <c:v>25042.857142857101</c:v>
                </c:pt>
                <c:pt idx="149">
                  <c:v>26486.142857142899</c:v>
                </c:pt>
                <c:pt idx="150">
                  <c:v>26941</c:v>
                </c:pt>
                <c:pt idx="151">
                  <c:v>26451.857142857101</c:v>
                </c:pt>
                <c:pt idx="152">
                  <c:v>26952.285714285699</c:v>
                </c:pt>
                <c:pt idx="153">
                  <c:v>27571.142857142899</c:v>
                </c:pt>
                <c:pt idx="154">
                  <c:v>27843.428571428602</c:v>
                </c:pt>
                <c:pt idx="155">
                  <c:v>28187.428571428602</c:v>
                </c:pt>
                <c:pt idx="156">
                  <c:v>28404.428571428602</c:v>
                </c:pt>
                <c:pt idx="157">
                  <c:v>28923.142857142899</c:v>
                </c:pt>
                <c:pt idx="158">
                  <c:v>29644.714285714301</c:v>
                </c:pt>
                <c:pt idx="159">
                  <c:v>30200.571428571398</c:v>
                </c:pt>
                <c:pt idx="160">
                  <c:v>30633.714285714301</c:v>
                </c:pt>
                <c:pt idx="161">
                  <c:v>33861.285714285703</c:v>
                </c:pt>
                <c:pt idx="162">
                  <c:v>34773.714285714297</c:v>
                </c:pt>
                <c:pt idx="163">
                  <c:v>35354.857142857101</c:v>
                </c:pt>
                <c:pt idx="164">
                  <c:v>36264.714285714297</c:v>
                </c:pt>
                <c:pt idx="165">
                  <c:v>37550.428571428602</c:v>
                </c:pt>
                <c:pt idx="166">
                  <c:v>38246.714285714297</c:v>
                </c:pt>
                <c:pt idx="167">
                  <c:v>38799.285714285703</c:v>
                </c:pt>
                <c:pt idx="168">
                  <c:v>36953.857142857101</c:v>
                </c:pt>
                <c:pt idx="169">
                  <c:v>38086.714285714297</c:v>
                </c:pt>
                <c:pt idx="170">
                  <c:v>38969.571428571398</c:v>
                </c:pt>
                <c:pt idx="171">
                  <c:v>39400.142857142899</c:v>
                </c:pt>
                <c:pt idx="172">
                  <c:v>39332</c:v>
                </c:pt>
                <c:pt idx="173">
                  <c:v>40278.285714285703</c:v>
                </c:pt>
                <c:pt idx="174">
                  <c:v>41128.285714285703</c:v>
                </c:pt>
                <c:pt idx="175">
                  <c:v>42229.428571428602</c:v>
                </c:pt>
                <c:pt idx="176">
                  <c:v>42714.428571428602</c:v>
                </c:pt>
                <c:pt idx="177">
                  <c:v>44102.428571428602</c:v>
                </c:pt>
                <c:pt idx="178">
                  <c:v>46928.857142857203</c:v>
                </c:pt>
                <c:pt idx="179">
                  <c:v>49172.142857142899</c:v>
                </c:pt>
                <c:pt idx="180">
                  <c:v>50057.714285714297</c:v>
                </c:pt>
                <c:pt idx="181">
                  <c:v>51537.857142857203</c:v>
                </c:pt>
                <c:pt idx="182">
                  <c:v>53113.714285714297</c:v>
                </c:pt>
                <c:pt idx="183">
                  <c:v>55932.571428571398</c:v>
                </c:pt>
                <c:pt idx="184">
                  <c:v>57470.142857142899</c:v>
                </c:pt>
                <c:pt idx="185">
                  <c:v>57570.714285714297</c:v>
                </c:pt>
                <c:pt idx="186">
                  <c:v>58261</c:v>
                </c:pt>
                <c:pt idx="187">
                  <c:v>59507.714285714297</c:v>
                </c:pt>
                <c:pt idx="188">
                  <c:v>61342.285714285703</c:v>
                </c:pt>
                <c:pt idx="189">
                  <c:v>62439.285714285703</c:v>
                </c:pt>
                <c:pt idx="190">
                  <c:v>62777.857142857101</c:v>
                </c:pt>
                <c:pt idx="191">
                  <c:v>64998</c:v>
                </c:pt>
                <c:pt idx="192">
                  <c:v>65921.714285714304</c:v>
                </c:pt>
                <c:pt idx="193">
                  <c:v>67471</c:v>
                </c:pt>
                <c:pt idx="194">
                  <c:v>68605.285714285696</c:v>
                </c:pt>
                <c:pt idx="195">
                  <c:v>69207.714285714304</c:v>
                </c:pt>
                <c:pt idx="196">
                  <c:v>70332.142857142899</c:v>
                </c:pt>
                <c:pt idx="197">
                  <c:v>71734.142857142899</c:v>
                </c:pt>
                <c:pt idx="198">
                  <c:v>71895.285714285696</c:v>
                </c:pt>
                <c:pt idx="199">
                  <c:v>73604.571428571406</c:v>
                </c:pt>
                <c:pt idx="200">
                  <c:v>74168</c:v>
                </c:pt>
                <c:pt idx="201">
                  <c:v>74847</c:v>
                </c:pt>
                <c:pt idx="202">
                  <c:v>75487.857142857203</c:v>
                </c:pt>
                <c:pt idx="203">
                  <c:v>76871</c:v>
                </c:pt>
                <c:pt idx="204">
                  <c:v>76979.857142857203</c:v>
                </c:pt>
                <c:pt idx="205">
                  <c:v>77521.142857142899</c:v>
                </c:pt>
                <c:pt idx="206">
                  <c:v>77353.285714285696</c:v>
                </c:pt>
                <c:pt idx="207">
                  <c:v>76684.714285714304</c:v>
                </c:pt>
                <c:pt idx="208">
                  <c:v>76190.142857142899</c:v>
                </c:pt>
                <c:pt idx="209">
                  <c:v>77029.142857142899</c:v>
                </c:pt>
                <c:pt idx="210">
                  <c:v>77325.714285714304</c:v>
                </c:pt>
                <c:pt idx="211">
                  <c:v>77955.142857142899</c:v>
                </c:pt>
                <c:pt idx="212">
                  <c:v>78328.285714285696</c:v>
                </c:pt>
                <c:pt idx="213">
                  <c:v>78935.857142857203</c:v>
                </c:pt>
                <c:pt idx="214">
                  <c:v>79142.428571428594</c:v>
                </c:pt>
                <c:pt idx="215">
                  <c:v>80148.142857142899</c:v>
                </c:pt>
                <c:pt idx="216">
                  <c:v>78669</c:v>
                </c:pt>
                <c:pt idx="217">
                  <c:v>80811.428571428594</c:v>
                </c:pt>
                <c:pt idx="218">
                  <c:v>81710.857142857203</c:v>
                </c:pt>
                <c:pt idx="219">
                  <c:v>82554.714285714304</c:v>
                </c:pt>
                <c:pt idx="220">
                  <c:v>83889.571428571406</c:v>
                </c:pt>
                <c:pt idx="221">
                  <c:v>86545.142857142899</c:v>
                </c:pt>
                <c:pt idx="222">
                  <c:v>87729.714285714304</c:v>
                </c:pt>
                <c:pt idx="223">
                  <c:v>90890.857142857203</c:v>
                </c:pt>
                <c:pt idx="224">
                  <c:v>90326.285714285696</c:v>
                </c:pt>
                <c:pt idx="225">
                  <c:v>91123.285714285696</c:v>
                </c:pt>
                <c:pt idx="226">
                  <c:v>92431.857142857203</c:v>
                </c:pt>
                <c:pt idx="227">
                  <c:v>93641</c:v>
                </c:pt>
                <c:pt idx="228">
                  <c:v>95281.428571428594</c:v>
                </c:pt>
                <c:pt idx="229">
                  <c:v>95838.857142857101</c:v>
                </c:pt>
                <c:pt idx="230">
                  <c:v>97341.428571428594</c:v>
                </c:pt>
                <c:pt idx="231">
                  <c:v>99129.857142857203</c:v>
                </c:pt>
                <c:pt idx="232">
                  <c:v>101252.714285714</c:v>
                </c:pt>
                <c:pt idx="233">
                  <c:v>103071</c:v>
                </c:pt>
                <c:pt idx="234">
                  <c:v>104144.857142857</c:v>
                </c:pt>
                <c:pt idx="235">
                  <c:v>104370.714285714</c:v>
                </c:pt>
                <c:pt idx="236">
                  <c:v>106025.714285714</c:v>
                </c:pt>
                <c:pt idx="237">
                  <c:v>106306.142857143</c:v>
                </c:pt>
                <c:pt idx="238">
                  <c:v>106804.428571429</c:v>
                </c:pt>
                <c:pt idx="239">
                  <c:v>106684.857142857</c:v>
                </c:pt>
                <c:pt idx="240">
                  <c:v>105973.142857143</c:v>
                </c:pt>
                <c:pt idx="241">
                  <c:v>105728</c:v>
                </c:pt>
                <c:pt idx="242">
                  <c:v>105122.285714286</c:v>
                </c:pt>
                <c:pt idx="243">
                  <c:v>103906.428571429</c:v>
                </c:pt>
                <c:pt idx="244">
                  <c:v>102670.571428571</c:v>
                </c:pt>
                <c:pt idx="245">
                  <c:v>101040.714285714</c:v>
                </c:pt>
                <c:pt idx="246">
                  <c:v>99606.571428571406</c:v>
                </c:pt>
                <c:pt idx="247">
                  <c:v>98404.857142857101</c:v>
                </c:pt>
                <c:pt idx="248">
                  <c:v>97530.857142857203</c:v>
                </c:pt>
                <c:pt idx="249">
                  <c:v>96787.857142857101</c:v>
                </c:pt>
                <c:pt idx="250">
                  <c:v>96017.857142857101</c:v>
                </c:pt>
                <c:pt idx="251">
                  <c:v>95775.285714285696</c:v>
                </c:pt>
                <c:pt idx="252">
                  <c:v>95735.142857142899</c:v>
                </c:pt>
                <c:pt idx="253">
                  <c:v>95139.285714285696</c:v>
                </c:pt>
                <c:pt idx="254">
                  <c:v>94493.428571428594</c:v>
                </c:pt>
                <c:pt idx="255">
                  <c:v>92910.857142857203</c:v>
                </c:pt>
                <c:pt idx="256">
                  <c:v>91931.285714285696</c:v>
                </c:pt>
                <c:pt idx="257">
                  <c:v>90814.857142857203</c:v>
                </c:pt>
                <c:pt idx="258">
                  <c:v>89853.857142857101</c:v>
                </c:pt>
                <c:pt idx="259">
                  <c:v>89195.428571428594</c:v>
                </c:pt>
                <c:pt idx="260">
                  <c:v>88117.571428571406</c:v>
                </c:pt>
                <c:pt idx="261">
                  <c:v>87264.142857142899</c:v>
                </c:pt>
                <c:pt idx="262">
                  <c:v>87667.142857142899</c:v>
                </c:pt>
                <c:pt idx="263">
                  <c:v>86755.142857142899</c:v>
                </c:pt>
                <c:pt idx="264">
                  <c:v>86257.285714285696</c:v>
                </c:pt>
                <c:pt idx="265">
                  <c:v>85212</c:v>
                </c:pt>
                <c:pt idx="266">
                  <c:v>83408.571428571493</c:v>
                </c:pt>
                <c:pt idx="267">
                  <c:v>82306.285714285696</c:v>
                </c:pt>
                <c:pt idx="268">
                  <c:v>81204.857142857203</c:v>
                </c:pt>
                <c:pt idx="269">
                  <c:v>79187.714285714304</c:v>
                </c:pt>
                <c:pt idx="270">
                  <c:v>77684</c:v>
                </c:pt>
                <c:pt idx="271">
                  <c:v>76444.428571428594</c:v>
                </c:pt>
                <c:pt idx="272">
                  <c:v>75046.285714285696</c:v>
                </c:pt>
                <c:pt idx="273">
                  <c:v>73853.285714285696</c:v>
                </c:pt>
                <c:pt idx="274">
                  <c:v>72731.142857142899</c:v>
                </c:pt>
                <c:pt idx="275">
                  <c:v>71608.142857142899</c:v>
                </c:pt>
                <c:pt idx="276">
                  <c:v>69864.428571428594</c:v>
                </c:pt>
                <c:pt idx="277">
                  <c:v>68421.857142857203</c:v>
                </c:pt>
                <c:pt idx="278">
                  <c:v>66696.571428571406</c:v>
                </c:pt>
                <c:pt idx="279">
                  <c:v>64989.571428571398</c:v>
                </c:pt>
                <c:pt idx="280">
                  <c:v>63815.714285714297</c:v>
                </c:pt>
                <c:pt idx="281">
                  <c:v>62806.428571428602</c:v>
                </c:pt>
                <c:pt idx="282">
                  <c:v>61752.142857142899</c:v>
                </c:pt>
                <c:pt idx="283">
                  <c:v>61218.142857142899</c:v>
                </c:pt>
                <c:pt idx="284">
                  <c:v>61176.428571428602</c:v>
                </c:pt>
                <c:pt idx="285">
                  <c:v>61691.714285714297</c:v>
                </c:pt>
                <c:pt idx="286">
                  <c:v>62674.857142857203</c:v>
                </c:pt>
                <c:pt idx="287">
                  <c:v>62805.714285714297</c:v>
                </c:pt>
                <c:pt idx="288">
                  <c:v>62906.428571428602</c:v>
                </c:pt>
                <c:pt idx="289">
                  <c:v>63579.857142857203</c:v>
                </c:pt>
                <c:pt idx="290">
                  <c:v>63916.428571428602</c:v>
                </c:pt>
                <c:pt idx="291">
                  <c:v>64534.285714285703</c:v>
                </c:pt>
                <c:pt idx="292">
                  <c:v>64496.571428571398</c:v>
                </c:pt>
                <c:pt idx="293">
                  <c:v>64313</c:v>
                </c:pt>
                <c:pt idx="294">
                  <c:v>64236.857142857203</c:v>
                </c:pt>
                <c:pt idx="295">
                  <c:v>64013.714285714297</c:v>
                </c:pt>
                <c:pt idx="296">
                  <c:v>63471.857142857203</c:v>
                </c:pt>
                <c:pt idx="297">
                  <c:v>63127.285714285703</c:v>
                </c:pt>
                <c:pt idx="298">
                  <c:v>61058.714285714297</c:v>
                </c:pt>
                <c:pt idx="299">
                  <c:v>60024.285714285703</c:v>
                </c:pt>
                <c:pt idx="300">
                  <c:v>59303.428571428602</c:v>
                </c:pt>
                <c:pt idx="301">
                  <c:v>59328.714285714297</c:v>
                </c:pt>
                <c:pt idx="302">
                  <c:v>60127.428571428602</c:v>
                </c:pt>
                <c:pt idx="303">
                  <c:v>60808.428571428602</c:v>
                </c:pt>
                <c:pt idx="304">
                  <c:v>61719</c:v>
                </c:pt>
                <c:pt idx="305">
                  <c:v>64060.571428571398</c:v>
                </c:pt>
                <c:pt idx="306">
                  <c:v>65966.285714285696</c:v>
                </c:pt>
                <c:pt idx="307">
                  <c:v>67587.285714285696</c:v>
                </c:pt>
                <c:pt idx="308">
                  <c:v>68067.857142857203</c:v>
                </c:pt>
                <c:pt idx="309">
                  <c:v>67860.428571428594</c:v>
                </c:pt>
                <c:pt idx="310">
                  <c:v>67317.142857142899</c:v>
                </c:pt>
                <c:pt idx="311">
                  <c:v>67153.428571428594</c:v>
                </c:pt>
                <c:pt idx="312">
                  <c:v>66880.857142857203</c:v>
                </c:pt>
                <c:pt idx="313">
                  <c:v>65954.571428571406</c:v>
                </c:pt>
                <c:pt idx="314">
                  <c:v>64715</c:v>
                </c:pt>
                <c:pt idx="315">
                  <c:v>63663.714285714297</c:v>
                </c:pt>
                <c:pt idx="316">
                  <c:v>63259.571428571398</c:v>
                </c:pt>
                <c:pt idx="317">
                  <c:v>62642.142857142899</c:v>
                </c:pt>
                <c:pt idx="318">
                  <c:v>61892</c:v>
                </c:pt>
                <c:pt idx="319">
                  <c:v>61103.142857142899</c:v>
                </c:pt>
                <c:pt idx="320">
                  <c:v>60571</c:v>
                </c:pt>
                <c:pt idx="321">
                  <c:v>60190</c:v>
                </c:pt>
                <c:pt idx="322">
                  <c:v>59543.857142857101</c:v>
                </c:pt>
                <c:pt idx="323">
                  <c:v>58314.857142857203</c:v>
                </c:pt>
                <c:pt idx="324">
                  <c:v>57628.571428571398</c:v>
                </c:pt>
                <c:pt idx="325">
                  <c:v>56889</c:v>
                </c:pt>
                <c:pt idx="326">
                  <c:v>55646.285714285703</c:v>
                </c:pt>
                <c:pt idx="327">
                  <c:v>54880.285714285703</c:v>
                </c:pt>
                <c:pt idx="328">
                  <c:v>54158.428571428602</c:v>
                </c:pt>
                <c:pt idx="329">
                  <c:v>52956.857142857203</c:v>
                </c:pt>
                <c:pt idx="330">
                  <c:v>51920.428571428602</c:v>
                </c:pt>
                <c:pt idx="331">
                  <c:v>51107.428571428602</c:v>
                </c:pt>
                <c:pt idx="332">
                  <c:v>50454.428571428602</c:v>
                </c:pt>
                <c:pt idx="333">
                  <c:v>49999.142857142899</c:v>
                </c:pt>
                <c:pt idx="334">
                  <c:v>49526.285714285703</c:v>
                </c:pt>
                <c:pt idx="335">
                  <c:v>48801.428571428602</c:v>
                </c:pt>
                <c:pt idx="336">
                  <c:v>48673.142857142899</c:v>
                </c:pt>
                <c:pt idx="337">
                  <c:v>48395.285714285703</c:v>
                </c:pt>
                <c:pt idx="338">
                  <c:v>47607.857142857101</c:v>
                </c:pt>
                <c:pt idx="339">
                  <c:v>46046.571428571398</c:v>
                </c:pt>
                <c:pt idx="340">
                  <c:v>44947.714285714297</c:v>
                </c:pt>
                <c:pt idx="341">
                  <c:v>44045.571428571398</c:v>
                </c:pt>
                <c:pt idx="342">
                  <c:v>43515.428571428602</c:v>
                </c:pt>
                <c:pt idx="343">
                  <c:v>43098.571428571398</c:v>
                </c:pt>
                <c:pt idx="344">
                  <c:v>42822.142857142899</c:v>
                </c:pt>
                <c:pt idx="345">
                  <c:v>42106.714285714297</c:v>
                </c:pt>
                <c:pt idx="346">
                  <c:v>41686.285714285703</c:v>
                </c:pt>
                <c:pt idx="347">
                  <c:v>41214.857142857203</c:v>
                </c:pt>
                <c:pt idx="348">
                  <c:v>41424.714285714297</c:v>
                </c:pt>
                <c:pt idx="349">
                  <c:v>41119.571428571398</c:v>
                </c:pt>
                <c:pt idx="350">
                  <c:v>41322.857142857101</c:v>
                </c:pt>
                <c:pt idx="351">
                  <c:v>41597.428571428602</c:v>
                </c:pt>
                <c:pt idx="352">
                  <c:v>39975.857142857101</c:v>
                </c:pt>
                <c:pt idx="353">
                  <c:v>44037.428571428602</c:v>
                </c:pt>
                <c:pt idx="354">
                  <c:v>44953.571428571398</c:v>
                </c:pt>
                <c:pt idx="355">
                  <c:v>45105.571428571398</c:v>
                </c:pt>
                <c:pt idx="356">
                  <c:v>45273.714285714297</c:v>
                </c:pt>
                <c:pt idx="357">
                  <c:v>45190.142857142899</c:v>
                </c:pt>
                <c:pt idx="358">
                  <c:v>45058</c:v>
                </c:pt>
                <c:pt idx="359">
                  <c:v>47570.857142857203</c:v>
                </c:pt>
                <c:pt idx="360">
                  <c:v>45097.571428571398</c:v>
                </c:pt>
                <c:pt idx="361">
                  <c:v>45005</c:v>
                </c:pt>
                <c:pt idx="362">
                  <c:v>44782.714285714297</c:v>
                </c:pt>
                <c:pt idx="363">
                  <c:v>44562.142857142899</c:v>
                </c:pt>
                <c:pt idx="364">
                  <c:v>44527.857142857101</c:v>
                </c:pt>
                <c:pt idx="365">
                  <c:v>44110.142857142899</c:v>
                </c:pt>
                <c:pt idx="366">
                  <c:v>43844.714285714297</c:v>
                </c:pt>
                <c:pt idx="367">
                  <c:v>43032</c:v>
                </c:pt>
                <c:pt idx="368">
                  <c:v>42801.571428571398</c:v>
                </c:pt>
                <c:pt idx="369">
                  <c:v>42331.142857142899</c:v>
                </c:pt>
                <c:pt idx="370">
                  <c:v>42417.142857142899</c:v>
                </c:pt>
                <c:pt idx="371">
                  <c:v>41637</c:v>
                </c:pt>
                <c:pt idx="372">
                  <c:v>42374.857142857101</c:v>
                </c:pt>
                <c:pt idx="373">
                  <c:v>42249.285714285703</c:v>
                </c:pt>
                <c:pt idx="374">
                  <c:v>42444.857142857203</c:v>
                </c:pt>
                <c:pt idx="375">
                  <c:v>42245.285714285703</c:v>
                </c:pt>
                <c:pt idx="376">
                  <c:v>42297.714285714297</c:v>
                </c:pt>
                <c:pt idx="377">
                  <c:v>41278.428571428602</c:v>
                </c:pt>
                <c:pt idx="378">
                  <c:v>41091.714285714297</c:v>
                </c:pt>
                <c:pt idx="379">
                  <c:v>39588.142857142899</c:v>
                </c:pt>
                <c:pt idx="380">
                  <c:v>38177.142857142899</c:v>
                </c:pt>
                <c:pt idx="381">
                  <c:v>37174.285714285703</c:v>
                </c:pt>
                <c:pt idx="382">
                  <c:v>36383.714285714297</c:v>
                </c:pt>
                <c:pt idx="383">
                  <c:v>35623.571428571398</c:v>
                </c:pt>
                <c:pt idx="384">
                  <c:v>34990.571428571398</c:v>
                </c:pt>
                <c:pt idx="385">
                  <c:v>34083.714285714297</c:v>
                </c:pt>
                <c:pt idx="386">
                  <c:v>32809.857142857203</c:v>
                </c:pt>
                <c:pt idx="387">
                  <c:v>32533.714285714301</c:v>
                </c:pt>
                <c:pt idx="388">
                  <c:v>31640.142857142899</c:v>
                </c:pt>
                <c:pt idx="389">
                  <c:v>30808.142857142899</c:v>
                </c:pt>
                <c:pt idx="390">
                  <c:v>30198.285714285699</c:v>
                </c:pt>
                <c:pt idx="391">
                  <c:v>30475.571428571398</c:v>
                </c:pt>
                <c:pt idx="392">
                  <c:v>30421.142857142899</c:v>
                </c:pt>
                <c:pt idx="393">
                  <c:v>30857</c:v>
                </c:pt>
                <c:pt idx="394">
                  <c:v>31099.857142857101</c:v>
                </c:pt>
                <c:pt idx="395">
                  <c:v>31097.714285714301</c:v>
                </c:pt>
                <c:pt idx="396">
                  <c:v>31560.714285714301</c:v>
                </c:pt>
                <c:pt idx="397">
                  <c:v>32449.571428571398</c:v>
                </c:pt>
                <c:pt idx="398">
                  <c:v>32507.285714285699</c:v>
                </c:pt>
                <c:pt idx="399">
                  <c:v>32729.142857142899</c:v>
                </c:pt>
                <c:pt idx="400">
                  <c:v>33062.142857142899</c:v>
                </c:pt>
                <c:pt idx="401">
                  <c:v>33030.285714285703</c:v>
                </c:pt>
                <c:pt idx="402">
                  <c:v>33204.571428571398</c:v>
                </c:pt>
                <c:pt idx="403">
                  <c:v>33054.714285714297</c:v>
                </c:pt>
                <c:pt idx="404">
                  <c:v>32744.714285714301</c:v>
                </c:pt>
                <c:pt idx="405">
                  <c:v>32304.714285714301</c:v>
                </c:pt>
                <c:pt idx="406">
                  <c:v>32162.142857142899</c:v>
                </c:pt>
                <c:pt idx="407">
                  <c:v>32095.428571428602</c:v>
                </c:pt>
                <c:pt idx="408">
                  <c:v>32340.142857142899</c:v>
                </c:pt>
                <c:pt idx="409">
                  <c:v>32585.285714285699</c:v>
                </c:pt>
                <c:pt idx="410">
                  <c:v>33266.142857142899</c:v>
                </c:pt>
                <c:pt idx="411">
                  <c:v>33936.142857142899</c:v>
                </c:pt>
                <c:pt idx="412">
                  <c:v>34634.714285714297</c:v>
                </c:pt>
                <c:pt idx="413">
                  <c:v>35553.285714285703</c:v>
                </c:pt>
                <c:pt idx="414">
                  <c:v>36650.142857142899</c:v>
                </c:pt>
                <c:pt idx="415">
                  <c:v>37853.714285714297</c:v>
                </c:pt>
                <c:pt idx="416">
                  <c:v>39194</c:v>
                </c:pt>
                <c:pt idx="417">
                  <c:v>40601</c:v>
                </c:pt>
                <c:pt idx="418">
                  <c:v>42348.571428571398</c:v>
                </c:pt>
                <c:pt idx="419">
                  <c:v>44408.142857142899</c:v>
                </c:pt>
                <c:pt idx="420">
                  <c:v>47145</c:v>
                </c:pt>
                <c:pt idx="421">
                  <c:v>50246.857142857203</c:v>
                </c:pt>
                <c:pt idx="422">
                  <c:v>53431</c:v>
                </c:pt>
                <c:pt idx="423">
                  <c:v>57151.142857142899</c:v>
                </c:pt>
                <c:pt idx="424">
                  <c:v>60886</c:v>
                </c:pt>
                <c:pt idx="425">
                  <c:v>63999.285714285703</c:v>
                </c:pt>
                <c:pt idx="426">
                  <c:v>67479.857142857203</c:v>
                </c:pt>
                <c:pt idx="427">
                  <c:v>70496.571428571406</c:v>
                </c:pt>
                <c:pt idx="428">
                  <c:v>74166.142857142899</c:v>
                </c:pt>
                <c:pt idx="429">
                  <c:v>78075.714285714304</c:v>
                </c:pt>
                <c:pt idx="430">
                  <c:v>81409.714285714304</c:v>
                </c:pt>
                <c:pt idx="431">
                  <c:v>85343.857142857203</c:v>
                </c:pt>
                <c:pt idx="432">
                  <c:v>88410.571428571406</c:v>
                </c:pt>
                <c:pt idx="433">
                  <c:v>90333.428571428594</c:v>
                </c:pt>
                <c:pt idx="434">
                  <c:v>93999.285714285696</c:v>
                </c:pt>
                <c:pt idx="435">
                  <c:v>98167.571428571406</c:v>
                </c:pt>
                <c:pt idx="436">
                  <c:v>103572.857142857</c:v>
                </c:pt>
                <c:pt idx="437">
                  <c:v>108902.571428571</c:v>
                </c:pt>
                <c:pt idx="438">
                  <c:v>115316.285714286</c:v>
                </c:pt>
                <c:pt idx="439">
                  <c:v>121139.857142857</c:v>
                </c:pt>
                <c:pt idx="440">
                  <c:v>130442.714285714</c:v>
                </c:pt>
                <c:pt idx="441">
                  <c:v>138745.57142857101</c:v>
                </c:pt>
                <c:pt idx="442">
                  <c:v>146393.85714285701</c:v>
                </c:pt>
                <c:pt idx="443">
                  <c:v>154561.14285714299</c:v>
                </c:pt>
                <c:pt idx="444">
                  <c:v>163739</c:v>
                </c:pt>
                <c:pt idx="445">
                  <c:v>173011.85714285701</c:v>
                </c:pt>
                <c:pt idx="446">
                  <c:v>183222.42857142899</c:v>
                </c:pt>
                <c:pt idx="447">
                  <c:v>193474.85714285701</c:v>
                </c:pt>
                <c:pt idx="448">
                  <c:v>204518.42857142899</c:v>
                </c:pt>
                <c:pt idx="449">
                  <c:v>217250.285714286</c:v>
                </c:pt>
                <c:pt idx="450">
                  <c:v>229851.285714286</c:v>
                </c:pt>
                <c:pt idx="451">
                  <c:v>245453.714285714</c:v>
                </c:pt>
                <c:pt idx="452">
                  <c:v>260769.14285714299</c:v>
                </c:pt>
                <c:pt idx="453">
                  <c:v>274804</c:v>
                </c:pt>
                <c:pt idx="454">
                  <c:v>290978.71428571403</c:v>
                </c:pt>
                <c:pt idx="455">
                  <c:v>307949.71428571403</c:v>
                </c:pt>
                <c:pt idx="456">
                  <c:v>324908.14285714302</c:v>
                </c:pt>
                <c:pt idx="457">
                  <c:v>341280.85714285698</c:v>
                </c:pt>
                <c:pt idx="458">
                  <c:v>354256.85714285698</c:v>
                </c:pt>
                <c:pt idx="459">
                  <c:v>365561.42857142899</c:v>
                </c:pt>
                <c:pt idx="460">
                  <c:v>375088.57142857101</c:v>
                </c:pt>
                <c:pt idx="461">
                  <c:v>384749.14285714302</c:v>
                </c:pt>
                <c:pt idx="462">
                  <c:v>394112.42857142899</c:v>
                </c:pt>
                <c:pt idx="463">
                  <c:v>401839.28571428597</c:v>
                </c:pt>
                <c:pt idx="464">
                  <c:v>409894.14285714302</c:v>
                </c:pt>
                <c:pt idx="465">
                  <c:v>416022.42857142899</c:v>
                </c:pt>
                <c:pt idx="466">
                  <c:v>418836.42857142899</c:v>
                </c:pt>
                <c:pt idx="467">
                  <c:v>423741.42857142899</c:v>
                </c:pt>
                <c:pt idx="468">
                  <c:v>426006.71428571403</c:v>
                </c:pt>
                <c:pt idx="469">
                  <c:v>430591</c:v>
                </c:pt>
                <c:pt idx="470">
                  <c:v>435123.42857142899</c:v>
                </c:pt>
                <c:pt idx="471">
                  <c:v>435541.571428572</c:v>
                </c:pt>
                <c:pt idx="472">
                  <c:v>437619.85714285698</c:v>
                </c:pt>
                <c:pt idx="473">
                  <c:v>437402.71428571403</c:v>
                </c:pt>
                <c:pt idx="474">
                  <c:v>433698.42857142899</c:v>
                </c:pt>
                <c:pt idx="475">
                  <c:v>430122.28571428597</c:v>
                </c:pt>
                <c:pt idx="476">
                  <c:v>423310.85714285698</c:v>
                </c:pt>
                <c:pt idx="477">
                  <c:v>412813.85714285698</c:v>
                </c:pt>
                <c:pt idx="478">
                  <c:v>400967</c:v>
                </c:pt>
                <c:pt idx="479">
                  <c:v>386810.85714285698</c:v>
                </c:pt>
                <c:pt idx="480">
                  <c:v>373622</c:v>
                </c:pt>
                <c:pt idx="481">
                  <c:v>364742.57142857101</c:v>
                </c:pt>
                <c:pt idx="482">
                  <c:v>352943.14285714302</c:v>
                </c:pt>
                <c:pt idx="483">
                  <c:v>340953.571428572</c:v>
                </c:pt>
                <c:pt idx="484">
                  <c:v>329353.71428571403</c:v>
                </c:pt>
                <c:pt idx="485">
                  <c:v>320912.57142857101</c:v>
                </c:pt>
                <c:pt idx="486">
                  <c:v>312027.57142857101</c:v>
                </c:pt>
                <c:pt idx="487">
                  <c:v>304135.71428571403</c:v>
                </c:pt>
                <c:pt idx="488">
                  <c:v>294000.57142857101</c:v>
                </c:pt>
                <c:pt idx="489">
                  <c:v>285807.85714285698</c:v>
                </c:pt>
                <c:pt idx="490">
                  <c:v>276002.28571428597</c:v>
                </c:pt>
                <c:pt idx="491">
                  <c:v>265174.14285714302</c:v>
                </c:pt>
                <c:pt idx="492">
                  <c:v>253045.714285714</c:v>
                </c:pt>
                <c:pt idx="493">
                  <c:v>241928.42857142899</c:v>
                </c:pt>
                <c:pt idx="494">
                  <c:v>232347.85714285701</c:v>
                </c:pt>
                <c:pt idx="495">
                  <c:v>222463.57142857101</c:v>
                </c:pt>
                <c:pt idx="496">
                  <c:v>210784.57142857101</c:v>
                </c:pt>
                <c:pt idx="497">
                  <c:v>199447.85714285701</c:v>
                </c:pt>
                <c:pt idx="498">
                  <c:v>191586.57142857101</c:v>
                </c:pt>
                <c:pt idx="499">
                  <c:v>183331.42857142899</c:v>
                </c:pt>
                <c:pt idx="500">
                  <c:v>175366.85714285701</c:v>
                </c:pt>
                <c:pt idx="501">
                  <c:v>167075.57142857101</c:v>
                </c:pt>
                <c:pt idx="502">
                  <c:v>160496</c:v>
                </c:pt>
                <c:pt idx="503">
                  <c:v>154358.285714286</c:v>
                </c:pt>
                <c:pt idx="504">
                  <c:v>148282.14285714299</c:v>
                </c:pt>
                <c:pt idx="505">
                  <c:v>141897.714285714</c:v>
                </c:pt>
                <c:pt idx="506">
                  <c:v>136094.14285714299</c:v>
                </c:pt>
                <c:pt idx="507">
                  <c:v>131012.142857143</c:v>
                </c:pt>
                <c:pt idx="508">
                  <c:v>126807.857142857</c:v>
                </c:pt>
                <c:pt idx="509">
                  <c:v>123402.714285714</c:v>
                </c:pt>
                <c:pt idx="510">
                  <c:v>119385.857142857</c:v>
                </c:pt>
                <c:pt idx="511">
                  <c:v>115529.571428571</c:v>
                </c:pt>
                <c:pt idx="512">
                  <c:v>112146.857142857</c:v>
                </c:pt>
                <c:pt idx="513">
                  <c:v>109703.571428571</c:v>
                </c:pt>
                <c:pt idx="514">
                  <c:v>107298.142857143</c:v>
                </c:pt>
                <c:pt idx="515">
                  <c:v>105964.714285714</c:v>
                </c:pt>
                <c:pt idx="516">
                  <c:v>104229.285714286</c:v>
                </c:pt>
                <c:pt idx="517">
                  <c:v>103805.857142857</c:v>
                </c:pt>
                <c:pt idx="518">
                  <c:v>103203.857142857</c:v>
                </c:pt>
                <c:pt idx="519">
                  <c:v>102985.857142857</c:v>
                </c:pt>
                <c:pt idx="520">
                  <c:v>102567.428571429</c:v>
                </c:pt>
                <c:pt idx="521">
                  <c:v>102722.428571429</c:v>
                </c:pt>
                <c:pt idx="522">
                  <c:v>103294.428571429</c:v>
                </c:pt>
                <c:pt idx="523">
                  <c:v>104573</c:v>
                </c:pt>
                <c:pt idx="524">
                  <c:v>105534.285714286</c:v>
                </c:pt>
                <c:pt idx="525">
                  <c:v>107046.571428571</c:v>
                </c:pt>
                <c:pt idx="526">
                  <c:v>108236</c:v>
                </c:pt>
                <c:pt idx="527">
                  <c:v>109896.714285714</c:v>
                </c:pt>
                <c:pt idx="528">
                  <c:v>111219.857142857</c:v>
                </c:pt>
                <c:pt idx="529">
                  <c:v>111933.428571429</c:v>
                </c:pt>
                <c:pt idx="530">
                  <c:v>114177.714285714</c:v>
                </c:pt>
                <c:pt idx="531">
                  <c:v>116851.285714286</c:v>
                </c:pt>
                <c:pt idx="532">
                  <c:v>119448.428571429</c:v>
                </c:pt>
                <c:pt idx="533">
                  <c:v>121724.142857143</c:v>
                </c:pt>
                <c:pt idx="534">
                  <c:v>125146.714285714</c:v>
                </c:pt>
                <c:pt idx="535">
                  <c:v>128318.142857143</c:v>
                </c:pt>
                <c:pt idx="536">
                  <c:v>131551.14285714299</c:v>
                </c:pt>
                <c:pt idx="537">
                  <c:v>134554.14285714299</c:v>
                </c:pt>
                <c:pt idx="538">
                  <c:v>137998.714285714</c:v>
                </c:pt>
                <c:pt idx="539">
                  <c:v>141741.714285714</c:v>
                </c:pt>
                <c:pt idx="540">
                  <c:v>147294.14285714299</c:v>
                </c:pt>
                <c:pt idx="541">
                  <c:v>150806.85714285701</c:v>
                </c:pt>
                <c:pt idx="542">
                  <c:v>154449.85714285701</c:v>
                </c:pt>
                <c:pt idx="543">
                  <c:v>156554</c:v>
                </c:pt>
                <c:pt idx="544">
                  <c:v>156209.714285714</c:v>
                </c:pt>
                <c:pt idx="545">
                  <c:v>158663.714285714</c:v>
                </c:pt>
                <c:pt idx="546">
                  <c:v>157387.285714286</c:v>
                </c:pt>
                <c:pt idx="547">
                  <c:v>155215.85714285701</c:v>
                </c:pt>
                <c:pt idx="548">
                  <c:v>163799.57142857101</c:v>
                </c:pt>
                <c:pt idx="549">
                  <c:v>155141.714285714</c:v>
                </c:pt>
                <c:pt idx="550">
                  <c:v>158463.285714286</c:v>
                </c:pt>
                <c:pt idx="551">
                  <c:v>160448.57142857101</c:v>
                </c:pt>
                <c:pt idx="552">
                  <c:v>163623</c:v>
                </c:pt>
                <c:pt idx="553">
                  <c:v>169633.85714285701</c:v>
                </c:pt>
                <c:pt idx="554">
                  <c:v>175050.85714285701</c:v>
                </c:pt>
                <c:pt idx="555">
                  <c:v>169771.714285714</c:v>
                </c:pt>
                <c:pt idx="556">
                  <c:v>180364.57142857101</c:v>
                </c:pt>
                <c:pt idx="557">
                  <c:v>182084.42857142899</c:v>
                </c:pt>
                <c:pt idx="558">
                  <c:v>182091.714285714</c:v>
                </c:pt>
                <c:pt idx="559">
                  <c:v>183119.85714285701</c:v>
                </c:pt>
                <c:pt idx="560">
                  <c:v>183275.714285714</c:v>
                </c:pt>
                <c:pt idx="561">
                  <c:v>183362.57142857101</c:v>
                </c:pt>
                <c:pt idx="562">
                  <c:v>183923</c:v>
                </c:pt>
                <c:pt idx="563">
                  <c:v>185485.57142857101</c:v>
                </c:pt>
                <c:pt idx="564">
                  <c:v>184130.14285714299</c:v>
                </c:pt>
                <c:pt idx="565">
                  <c:v>185427</c:v>
                </c:pt>
                <c:pt idx="566">
                  <c:v>183349.714285714</c:v>
                </c:pt>
                <c:pt idx="567">
                  <c:v>183671.85714285701</c:v>
                </c:pt>
                <c:pt idx="568">
                  <c:v>180900.42857142899</c:v>
                </c:pt>
                <c:pt idx="569">
                  <c:v>182487.85714285701</c:v>
                </c:pt>
                <c:pt idx="570">
                  <c:v>181452.285714286</c:v>
                </c:pt>
                <c:pt idx="571">
                  <c:v>182416.42857142899</c:v>
                </c:pt>
                <c:pt idx="572">
                  <c:v>182470.14285714299</c:v>
                </c:pt>
                <c:pt idx="573">
                  <c:v>181952.714285714</c:v>
                </c:pt>
                <c:pt idx="574">
                  <c:v>179572.85714285701</c:v>
                </c:pt>
                <c:pt idx="575">
                  <c:v>181443.14285714299</c:v>
                </c:pt>
                <c:pt idx="576">
                  <c:v>179846.42857142899</c:v>
                </c:pt>
                <c:pt idx="577">
                  <c:v>179622.57142857101</c:v>
                </c:pt>
                <c:pt idx="578">
                  <c:v>176526</c:v>
                </c:pt>
                <c:pt idx="579">
                  <c:v>175569.57142857101</c:v>
                </c:pt>
                <c:pt idx="580">
                  <c:v>175294.85714285701</c:v>
                </c:pt>
                <c:pt idx="581">
                  <c:v>178028</c:v>
                </c:pt>
                <c:pt idx="582">
                  <c:v>178518.85714285701</c:v>
                </c:pt>
                <c:pt idx="583">
                  <c:v>178686.42857142899</c:v>
                </c:pt>
                <c:pt idx="584">
                  <c:v>179456.85714285701</c:v>
                </c:pt>
                <c:pt idx="585">
                  <c:v>181302.42857142899</c:v>
                </c:pt>
                <c:pt idx="586">
                  <c:v>182842.285714286</c:v>
                </c:pt>
                <c:pt idx="587">
                  <c:v>181345.285714286</c:v>
                </c:pt>
                <c:pt idx="588">
                  <c:v>177546.85714285701</c:v>
                </c:pt>
                <c:pt idx="589">
                  <c:v>173265.57142857101</c:v>
                </c:pt>
                <c:pt idx="590">
                  <c:v>170498.14285714299</c:v>
                </c:pt>
                <c:pt idx="591">
                  <c:v>167134.85714285701</c:v>
                </c:pt>
                <c:pt idx="592">
                  <c:v>165933</c:v>
                </c:pt>
                <c:pt idx="593">
                  <c:v>162945.285714286</c:v>
                </c:pt>
                <c:pt idx="594">
                  <c:v>161381.285714286</c:v>
                </c:pt>
                <c:pt idx="595">
                  <c:v>158599.57142857101</c:v>
                </c:pt>
                <c:pt idx="596">
                  <c:v>157581.14285714299</c:v>
                </c:pt>
                <c:pt idx="597">
                  <c:v>153589.285714286</c:v>
                </c:pt>
                <c:pt idx="598">
                  <c:v>150570</c:v>
                </c:pt>
                <c:pt idx="599">
                  <c:v>145598.85714285701</c:v>
                </c:pt>
                <c:pt idx="600">
                  <c:v>143147.57142857101</c:v>
                </c:pt>
                <c:pt idx="601">
                  <c:v>138398.85714285701</c:v>
                </c:pt>
                <c:pt idx="602">
                  <c:v>135455.714285714</c:v>
                </c:pt>
                <c:pt idx="603">
                  <c:v>132603.14285714299</c:v>
                </c:pt>
                <c:pt idx="604">
                  <c:v>130668.285714286</c:v>
                </c:pt>
                <c:pt idx="605">
                  <c:v>128869.285714286</c:v>
                </c:pt>
                <c:pt idx="606">
                  <c:v>127005.285714286</c:v>
                </c:pt>
                <c:pt idx="607">
                  <c:v>125774.428571429</c:v>
                </c:pt>
                <c:pt idx="608">
                  <c:v>124887.857142857</c:v>
                </c:pt>
                <c:pt idx="609">
                  <c:v>123273.142857143</c:v>
                </c:pt>
                <c:pt idx="610">
                  <c:v>120769</c:v>
                </c:pt>
                <c:pt idx="611">
                  <c:v>118335.428571429</c:v>
                </c:pt>
                <c:pt idx="612">
                  <c:v>116052</c:v>
                </c:pt>
                <c:pt idx="613">
                  <c:v>115120.285714286</c:v>
                </c:pt>
                <c:pt idx="614">
                  <c:v>112010</c:v>
                </c:pt>
                <c:pt idx="615">
                  <c:v>108217.142857143</c:v>
                </c:pt>
                <c:pt idx="616">
                  <c:v>105350.285714286</c:v>
                </c:pt>
                <c:pt idx="617">
                  <c:v>103443.285714286</c:v>
                </c:pt>
                <c:pt idx="618">
                  <c:v>101065.285714286</c:v>
                </c:pt>
                <c:pt idx="619">
                  <c:v>98170.428571428594</c:v>
                </c:pt>
                <c:pt idx="620">
                  <c:v>94061.285714285696</c:v>
                </c:pt>
                <c:pt idx="621">
                  <c:v>91510</c:v>
                </c:pt>
                <c:pt idx="622">
                  <c:v>90111</c:v>
                </c:pt>
                <c:pt idx="623">
                  <c:v>87955</c:v>
                </c:pt>
                <c:pt idx="624">
                  <c:v>84668.571428571406</c:v>
                </c:pt>
                <c:pt idx="625">
                  <c:v>82612</c:v>
                </c:pt>
                <c:pt idx="626">
                  <c:v>80748.714285714304</c:v>
                </c:pt>
                <c:pt idx="627">
                  <c:v>79919.714285714304</c:v>
                </c:pt>
                <c:pt idx="628">
                  <c:v>78145.428571428594</c:v>
                </c:pt>
                <c:pt idx="629">
                  <c:v>76958.571428571406</c:v>
                </c:pt>
                <c:pt idx="630">
                  <c:v>75512.428571428594</c:v>
                </c:pt>
                <c:pt idx="631">
                  <c:v>74335.428571428594</c:v>
                </c:pt>
                <c:pt idx="632">
                  <c:v>72157.857142857101</c:v>
                </c:pt>
                <c:pt idx="633">
                  <c:v>70207.142857142899</c:v>
                </c:pt>
                <c:pt idx="634">
                  <c:v>68867.714285714304</c:v>
                </c:pt>
                <c:pt idx="635">
                  <c:v>68328.428571428594</c:v>
                </c:pt>
                <c:pt idx="636">
                  <c:v>67272.285714285696</c:v>
                </c:pt>
                <c:pt idx="637">
                  <c:v>66031.714285714304</c:v>
                </c:pt>
                <c:pt idx="638">
                  <c:v>64407.571428571398</c:v>
                </c:pt>
                <c:pt idx="639">
                  <c:v>63833.714285714297</c:v>
                </c:pt>
                <c:pt idx="640">
                  <c:v>63547.857142857203</c:v>
                </c:pt>
                <c:pt idx="641">
                  <c:v>62919.857142857203</c:v>
                </c:pt>
                <c:pt idx="642">
                  <c:v>62177.571428571398</c:v>
                </c:pt>
                <c:pt idx="643">
                  <c:v>61455.571428571398</c:v>
                </c:pt>
                <c:pt idx="644">
                  <c:v>61271.142857142899</c:v>
                </c:pt>
                <c:pt idx="645">
                  <c:v>61064.142857142899</c:v>
                </c:pt>
                <c:pt idx="646">
                  <c:v>60768</c:v>
                </c:pt>
                <c:pt idx="647">
                  <c:v>60005.714285714297</c:v>
                </c:pt>
                <c:pt idx="648">
                  <c:v>62149.428571428602</c:v>
                </c:pt>
                <c:pt idx="649">
                  <c:v>61448.714285714297</c:v>
                </c:pt>
                <c:pt idx="650">
                  <c:v>60821.285714285703</c:v>
                </c:pt>
                <c:pt idx="651">
                  <c:v>59919.285714285703</c:v>
                </c:pt>
                <c:pt idx="652">
                  <c:v>59249</c:v>
                </c:pt>
                <c:pt idx="653">
                  <c:v>57522</c:v>
                </c:pt>
                <c:pt idx="654">
                  <c:v>56924.428571428602</c:v>
                </c:pt>
                <c:pt idx="655">
                  <c:v>53247.142857142899</c:v>
                </c:pt>
                <c:pt idx="656">
                  <c:v>53345.714285714297</c:v>
                </c:pt>
                <c:pt idx="657">
                  <c:v>53206.857142857203</c:v>
                </c:pt>
                <c:pt idx="658">
                  <c:v>52915.857142857203</c:v>
                </c:pt>
                <c:pt idx="659">
                  <c:v>52519.428571428602</c:v>
                </c:pt>
                <c:pt idx="660">
                  <c:v>52942.571428571398</c:v>
                </c:pt>
                <c:pt idx="661">
                  <c:v>52647.428571428602</c:v>
                </c:pt>
                <c:pt idx="662">
                  <c:v>52551.285714285703</c:v>
                </c:pt>
                <c:pt idx="663">
                  <c:v>51971.285714285703</c:v>
                </c:pt>
                <c:pt idx="664">
                  <c:v>51533.571428571398</c:v>
                </c:pt>
                <c:pt idx="665">
                  <c:v>51376.285714285703</c:v>
                </c:pt>
                <c:pt idx="666">
                  <c:v>51059.142857142899</c:v>
                </c:pt>
                <c:pt idx="667">
                  <c:v>50944.571428571398</c:v>
                </c:pt>
                <c:pt idx="668">
                  <c:v>50800.428571428602</c:v>
                </c:pt>
                <c:pt idx="669">
                  <c:v>50487.428571428602</c:v>
                </c:pt>
                <c:pt idx="670">
                  <c:v>50226.428571428602</c:v>
                </c:pt>
                <c:pt idx="671">
                  <c:v>54346.571428571398</c:v>
                </c:pt>
                <c:pt idx="672">
                  <c:v>53751</c:v>
                </c:pt>
                <c:pt idx="673">
                  <c:v>53820.714285714297</c:v>
                </c:pt>
                <c:pt idx="674">
                  <c:v>53353.571428571398</c:v>
                </c:pt>
                <c:pt idx="675">
                  <c:v>53712.285714285703</c:v>
                </c:pt>
                <c:pt idx="676">
                  <c:v>53403.571428571398</c:v>
                </c:pt>
                <c:pt idx="677">
                  <c:v>53423.857142857203</c:v>
                </c:pt>
                <c:pt idx="678">
                  <c:v>49193.285714285703</c:v>
                </c:pt>
                <c:pt idx="679">
                  <c:v>49338.142857142899</c:v>
                </c:pt>
                <c:pt idx="680">
                  <c:v>49042.714285714297</c:v>
                </c:pt>
                <c:pt idx="681">
                  <c:v>48891.714285714297</c:v>
                </c:pt>
                <c:pt idx="682">
                  <c:v>46968.428571428602</c:v>
                </c:pt>
                <c:pt idx="683">
                  <c:v>48371.428571428602</c:v>
                </c:pt>
                <c:pt idx="684">
                  <c:v>48457.571428571398</c:v>
                </c:pt>
                <c:pt idx="685">
                  <c:v>48447.142857142899</c:v>
                </c:pt>
                <c:pt idx="686">
                  <c:v>48050.571428571398</c:v>
                </c:pt>
                <c:pt idx="687">
                  <c:v>47951.428571428602</c:v>
                </c:pt>
                <c:pt idx="688">
                  <c:v>47766.285714285703</c:v>
                </c:pt>
                <c:pt idx="689">
                  <c:v>49190.428571428602</c:v>
                </c:pt>
                <c:pt idx="690">
                  <c:v>47645</c:v>
                </c:pt>
                <c:pt idx="691">
                  <c:v>47447.857142857101</c:v>
                </c:pt>
                <c:pt idx="692">
                  <c:v>47470</c:v>
                </c:pt>
                <c:pt idx="693">
                  <c:v>47372.285714285703</c:v>
                </c:pt>
                <c:pt idx="694">
                  <c:v>49887</c:v>
                </c:pt>
                <c:pt idx="695">
                  <c:v>48741.714285714297</c:v>
                </c:pt>
                <c:pt idx="696">
                  <c:v>48426.285714285703</c:v>
                </c:pt>
                <c:pt idx="697">
                  <c:v>49393.285714285703</c:v>
                </c:pt>
                <c:pt idx="698">
                  <c:v>49169.714285714297</c:v>
                </c:pt>
                <c:pt idx="699">
                  <c:v>48988.285714285703</c:v>
                </c:pt>
                <c:pt idx="700">
                  <c:v>49403.428571428602</c:v>
                </c:pt>
                <c:pt idx="701">
                  <c:v>46743.285714285703</c:v>
                </c:pt>
                <c:pt idx="702">
                  <c:v>48367.714285714297</c:v>
                </c:pt>
                <c:pt idx="703">
                  <c:v>48651.857142857101</c:v>
                </c:pt>
                <c:pt idx="704">
                  <c:v>48012.857142857203</c:v>
                </c:pt>
                <c:pt idx="705">
                  <c:v>49060.285714285703</c:v>
                </c:pt>
                <c:pt idx="706">
                  <c:v>50555</c:v>
                </c:pt>
                <c:pt idx="707">
                  <c:v>52826.571428571398</c:v>
                </c:pt>
                <c:pt idx="708">
                  <c:v>58705.571428571398</c:v>
                </c:pt>
                <c:pt idx="709">
                  <c:v>64048.857142857203</c:v>
                </c:pt>
                <c:pt idx="710">
                  <c:v>71430.428571428594</c:v>
                </c:pt>
                <c:pt idx="711">
                  <c:v>78972.285714285696</c:v>
                </c:pt>
                <c:pt idx="712">
                  <c:v>89090.428571428594</c:v>
                </c:pt>
                <c:pt idx="713">
                  <c:v>105861</c:v>
                </c:pt>
                <c:pt idx="714">
                  <c:v>127036.142857143</c:v>
                </c:pt>
                <c:pt idx="715">
                  <c:v>151913.85714285701</c:v>
                </c:pt>
                <c:pt idx="716">
                  <c:v>183222.714285714</c:v>
                </c:pt>
                <c:pt idx="717">
                  <c:v>219742</c:v>
                </c:pt>
                <c:pt idx="718">
                  <c:v>254065.285714286</c:v>
                </c:pt>
                <c:pt idx="719">
                  <c:v>286418.85714285698</c:v>
                </c:pt>
                <c:pt idx="720">
                  <c:v>313677.57142857101</c:v>
                </c:pt>
                <c:pt idx="721">
                  <c:v>359917.85714285698</c:v>
                </c:pt>
                <c:pt idx="722">
                  <c:v>394457.57142857101</c:v>
                </c:pt>
                <c:pt idx="723">
                  <c:v>419610.42857142899</c:v>
                </c:pt>
                <c:pt idx="724">
                  <c:v>443217.42857142899</c:v>
                </c:pt>
                <c:pt idx="725">
                  <c:v>459202</c:v>
                </c:pt>
                <c:pt idx="726">
                  <c:v>471952</c:v>
                </c:pt>
                <c:pt idx="727">
                  <c:v>495947.28571428597</c:v>
                </c:pt>
                <c:pt idx="728">
                  <c:v>496762.42857142899</c:v>
                </c:pt>
                <c:pt idx="729">
                  <c:v>507988.14285714302</c:v>
                </c:pt>
                <c:pt idx="730">
                  <c:v>520472.28571428597</c:v>
                </c:pt>
                <c:pt idx="731">
                  <c:v>529324.57142857194</c:v>
                </c:pt>
                <c:pt idx="732">
                  <c:v>537941.28571428603</c:v>
                </c:pt>
                <c:pt idx="733">
                  <c:v>543834.28571428603</c:v>
                </c:pt>
                <c:pt idx="734">
                  <c:v>542800.42857142899</c:v>
                </c:pt>
                <c:pt idx="735">
                  <c:v>542696.14285714296</c:v>
                </c:pt>
                <c:pt idx="736">
                  <c:v>535714.85714285704</c:v>
                </c:pt>
                <c:pt idx="737">
                  <c:v>528549.71428571397</c:v>
                </c:pt>
                <c:pt idx="738">
                  <c:v>516034.85714285698</c:v>
                </c:pt>
                <c:pt idx="739">
                  <c:v>509232.42857142899</c:v>
                </c:pt>
                <c:pt idx="740">
                  <c:v>486733.85714285698</c:v>
                </c:pt>
                <c:pt idx="741">
                  <c:v>469848</c:v>
                </c:pt>
                <c:pt idx="742">
                  <c:v>450820</c:v>
                </c:pt>
                <c:pt idx="743">
                  <c:v>434373</c:v>
                </c:pt>
                <c:pt idx="744">
                  <c:v>418505.85714285698</c:v>
                </c:pt>
                <c:pt idx="745">
                  <c:v>401614</c:v>
                </c:pt>
                <c:pt idx="746">
                  <c:v>386941.14285714302</c:v>
                </c:pt>
                <c:pt idx="747">
                  <c:v>386899.42857142899</c:v>
                </c:pt>
                <c:pt idx="748">
                  <c:v>383706.14285714302</c:v>
                </c:pt>
                <c:pt idx="749">
                  <c:v>379492.57142857101</c:v>
                </c:pt>
                <c:pt idx="750">
                  <c:v>375353.28571428597</c:v>
                </c:pt>
                <c:pt idx="751">
                  <c:v>370990.57142857101</c:v>
                </c:pt>
                <c:pt idx="752">
                  <c:v>368075.71428571403</c:v>
                </c:pt>
                <c:pt idx="753">
                  <c:v>362893.28571428597</c:v>
                </c:pt>
                <c:pt idx="754">
                  <c:v>364098</c:v>
                </c:pt>
                <c:pt idx="755">
                  <c:v>366145.42857142899</c:v>
                </c:pt>
                <c:pt idx="756">
                  <c:v>369887</c:v>
                </c:pt>
                <c:pt idx="757">
                  <c:v>378373.42857142899</c:v>
                </c:pt>
                <c:pt idx="758">
                  <c:v>384699.28571428597</c:v>
                </c:pt>
                <c:pt idx="759">
                  <c:v>396145.28571428597</c:v>
                </c:pt>
                <c:pt idx="760">
                  <c:v>404169.28571428597</c:v>
                </c:pt>
                <c:pt idx="761">
                  <c:v>409138.85714285698</c:v>
                </c:pt>
                <c:pt idx="762">
                  <c:v>422564.85714285698</c:v>
                </c:pt>
                <c:pt idx="763">
                  <c:v>441701.14285714302</c:v>
                </c:pt>
                <c:pt idx="764">
                  <c:v>449734.14285714302</c:v>
                </c:pt>
                <c:pt idx="765">
                  <c:v>461508.571428572</c:v>
                </c:pt>
                <c:pt idx="766">
                  <c:v>479983.42857142899</c:v>
                </c:pt>
                <c:pt idx="767">
                  <c:v>499009.57142857101</c:v>
                </c:pt>
                <c:pt idx="768">
                  <c:v>523711.42857142899</c:v>
                </c:pt>
                <c:pt idx="769">
                  <c:v>541176.14285714296</c:v>
                </c:pt>
                <c:pt idx="770">
                  <c:v>562718</c:v>
                </c:pt>
                <c:pt idx="771">
                  <c:v>600256.14285714296</c:v>
                </c:pt>
                <c:pt idx="772">
                  <c:v>631442</c:v>
                </c:pt>
                <c:pt idx="773">
                  <c:v>650586</c:v>
                </c:pt>
                <c:pt idx="774">
                  <c:v>669760.28571428603</c:v>
                </c:pt>
                <c:pt idx="775">
                  <c:v>678212.28571428603</c:v>
                </c:pt>
                <c:pt idx="776">
                  <c:v>701658.28571428603</c:v>
                </c:pt>
                <c:pt idx="777">
                  <c:v>724980</c:v>
                </c:pt>
                <c:pt idx="778">
                  <c:v>722441.71428571397</c:v>
                </c:pt>
                <c:pt idx="779">
                  <c:v>737885.28571428603</c:v>
                </c:pt>
                <c:pt idx="780">
                  <c:v>784313.85714285704</c:v>
                </c:pt>
                <c:pt idx="781">
                  <c:v>795284.14285714296</c:v>
                </c:pt>
                <c:pt idx="782">
                  <c:v>826802.28571428603</c:v>
                </c:pt>
                <c:pt idx="783">
                  <c:v>829663.28571428603</c:v>
                </c:pt>
                <c:pt idx="784">
                  <c:v>873433.28571428603</c:v>
                </c:pt>
                <c:pt idx="785">
                  <c:v>906709.71428571397</c:v>
                </c:pt>
                <c:pt idx="786">
                  <c:v>900914.57142857194</c:v>
                </c:pt>
                <c:pt idx="787">
                  <c:v>890508.85714285704</c:v>
                </c:pt>
                <c:pt idx="788">
                  <c:v>866079.57142857101</c:v>
                </c:pt>
                <c:pt idx="789">
                  <c:v>845086.71428571397</c:v>
                </c:pt>
                <c:pt idx="790">
                  <c:v>863812.28571428603</c:v>
                </c:pt>
                <c:pt idx="791">
                  <c:v>803960</c:v>
                </c:pt>
                <c:pt idx="792">
                  <c:v>760937.85714285704</c:v>
                </c:pt>
                <c:pt idx="793">
                  <c:v>745683.14285714296</c:v>
                </c:pt>
                <c:pt idx="794">
                  <c:v>702972.42857142899</c:v>
                </c:pt>
                <c:pt idx="795">
                  <c:v>689402.57142857194</c:v>
                </c:pt>
                <c:pt idx="796">
                  <c:v>706546.57142857101</c:v>
                </c:pt>
                <c:pt idx="797">
                  <c:v>678856.28571428603</c:v>
                </c:pt>
                <c:pt idx="798">
                  <c:v>659953.85714285704</c:v>
                </c:pt>
                <c:pt idx="799">
                  <c:v>645070.28571428603</c:v>
                </c:pt>
                <c:pt idx="800">
                  <c:v>624541.14285714296</c:v>
                </c:pt>
                <c:pt idx="801">
                  <c:v>598860.42857142899</c:v>
                </c:pt>
                <c:pt idx="802">
                  <c:v>589489</c:v>
                </c:pt>
                <c:pt idx="803">
                  <c:v>544491.71428571397</c:v>
                </c:pt>
                <c:pt idx="804">
                  <c:v>518079.85714285698</c:v>
                </c:pt>
                <c:pt idx="805">
                  <c:v>500241</c:v>
                </c:pt>
                <c:pt idx="806">
                  <c:v>487204.42857142899</c:v>
                </c:pt>
                <c:pt idx="807">
                  <c:v>473897.14285714302</c:v>
                </c:pt>
                <c:pt idx="808">
                  <c:v>459126.571428572</c:v>
                </c:pt>
                <c:pt idx="809">
                  <c:v>445025</c:v>
                </c:pt>
                <c:pt idx="810">
                  <c:v>437911.71428571403</c:v>
                </c:pt>
                <c:pt idx="811">
                  <c:v>415882.57142857101</c:v>
                </c:pt>
                <c:pt idx="812">
                  <c:v>402685.42857142899</c:v>
                </c:pt>
                <c:pt idx="813">
                  <c:v>377028.57142857101</c:v>
                </c:pt>
                <c:pt idx="814">
                  <c:v>361327.28571428597</c:v>
                </c:pt>
                <c:pt idx="815">
                  <c:v>346888.85714285698</c:v>
                </c:pt>
                <c:pt idx="816">
                  <c:v>333308</c:v>
                </c:pt>
                <c:pt idx="817">
                  <c:v>313596</c:v>
                </c:pt>
                <c:pt idx="818">
                  <c:v>298555.28571428597</c:v>
                </c:pt>
                <c:pt idx="819">
                  <c:v>281217.85714285698</c:v>
                </c:pt>
                <c:pt idx="820">
                  <c:v>276827.85714285698</c:v>
                </c:pt>
                <c:pt idx="821">
                  <c:v>261785.714285714</c:v>
                </c:pt>
                <c:pt idx="822">
                  <c:v>254873</c:v>
                </c:pt>
                <c:pt idx="823">
                  <c:v>251648.42857142899</c:v>
                </c:pt>
                <c:pt idx="824">
                  <c:v>240503.57142857101</c:v>
                </c:pt>
                <c:pt idx="825">
                  <c:v>236974.42857142899</c:v>
                </c:pt>
                <c:pt idx="826">
                  <c:v>221372.285714286</c:v>
                </c:pt>
                <c:pt idx="827">
                  <c:v>217678.14285714299</c:v>
                </c:pt>
                <c:pt idx="828">
                  <c:v>210297.714285714</c:v>
                </c:pt>
                <c:pt idx="829">
                  <c:v>199274.714285714</c:v>
                </c:pt>
                <c:pt idx="830">
                  <c:v>194014.85714285701</c:v>
                </c:pt>
                <c:pt idx="831">
                  <c:v>186156.714285714</c:v>
                </c:pt>
                <c:pt idx="832">
                  <c:v>175886</c:v>
                </c:pt>
                <c:pt idx="833">
                  <c:v>179338.285714286</c:v>
                </c:pt>
                <c:pt idx="834">
                  <c:v>165844.42857142899</c:v>
                </c:pt>
                <c:pt idx="835">
                  <c:v>163473.714285714</c:v>
                </c:pt>
                <c:pt idx="836">
                  <c:v>164207.42857142899</c:v>
                </c:pt>
                <c:pt idx="837">
                  <c:v>163273.285714286</c:v>
                </c:pt>
                <c:pt idx="838">
                  <c:v>182886</c:v>
                </c:pt>
                <c:pt idx="839">
                  <c:v>187204</c:v>
                </c:pt>
                <c:pt idx="840">
                  <c:v>193166.714285714</c:v>
                </c:pt>
                <c:pt idx="841">
                  <c:v>202475.285714286</c:v>
                </c:pt>
                <c:pt idx="842">
                  <c:v>200567</c:v>
                </c:pt>
                <c:pt idx="843">
                  <c:v>216580.42857142899</c:v>
                </c:pt>
                <c:pt idx="844">
                  <c:v>224320.42857142899</c:v>
                </c:pt>
                <c:pt idx="845">
                  <c:v>213379.85714285701</c:v>
                </c:pt>
                <c:pt idx="846">
                  <c:v>211524.57142857101</c:v>
                </c:pt>
                <c:pt idx="847">
                  <c:v>213224.85714285701</c:v>
                </c:pt>
                <c:pt idx="848">
                  <c:v>214563</c:v>
                </c:pt>
                <c:pt idx="849">
                  <c:v>224061.14285714299</c:v>
                </c:pt>
                <c:pt idx="850">
                  <c:v>215382.285714286</c:v>
                </c:pt>
                <c:pt idx="851">
                  <c:v>211444.285714286</c:v>
                </c:pt>
                <c:pt idx="852">
                  <c:v>208604.42857142899</c:v>
                </c:pt>
                <c:pt idx="853">
                  <c:v>208072</c:v>
                </c:pt>
                <c:pt idx="854">
                  <c:v>204217.714285714</c:v>
                </c:pt>
                <c:pt idx="855">
                  <c:v>198485</c:v>
                </c:pt>
                <c:pt idx="856">
                  <c:v>194626.42857142899</c:v>
                </c:pt>
                <c:pt idx="857">
                  <c:v>189676.14285714299</c:v>
                </c:pt>
                <c:pt idx="858">
                  <c:v>187968.285714286</c:v>
                </c:pt>
                <c:pt idx="859">
                  <c:v>181370.285714286</c:v>
                </c:pt>
                <c:pt idx="860">
                  <c:v>176703.42857142899</c:v>
                </c:pt>
                <c:pt idx="861">
                  <c:v>172104.285714286</c:v>
                </c:pt>
                <c:pt idx="862">
                  <c:v>168106.42857142899</c:v>
                </c:pt>
                <c:pt idx="863">
                  <c:v>163064.14285714299</c:v>
                </c:pt>
                <c:pt idx="864">
                  <c:v>158676.285714286</c:v>
                </c:pt>
                <c:pt idx="865">
                  <c:v>154661.42857142899</c:v>
                </c:pt>
                <c:pt idx="866">
                  <c:v>151095.285714286</c:v>
                </c:pt>
                <c:pt idx="867">
                  <c:v>149933.14285714299</c:v>
                </c:pt>
                <c:pt idx="868">
                  <c:v>148058.285714286</c:v>
                </c:pt>
                <c:pt idx="869">
                  <c:v>146575.714285714</c:v>
                </c:pt>
                <c:pt idx="870">
                  <c:v>144628.57142857101</c:v>
                </c:pt>
                <c:pt idx="871">
                  <c:v>145827.85714285701</c:v>
                </c:pt>
                <c:pt idx="872">
                  <c:v>144461.85714285701</c:v>
                </c:pt>
                <c:pt idx="873">
                  <c:v>143393.714285714</c:v>
                </c:pt>
                <c:pt idx="874">
                  <c:v>140496.14285714299</c:v>
                </c:pt>
                <c:pt idx="875">
                  <c:v>138698.285714286</c:v>
                </c:pt>
                <c:pt idx="876">
                  <c:v>137609.57142857101</c:v>
                </c:pt>
                <c:pt idx="877">
                  <c:v>136417.14285714299</c:v>
                </c:pt>
                <c:pt idx="878">
                  <c:v>134040.285714286</c:v>
                </c:pt>
                <c:pt idx="879">
                  <c:v>135434.714285714</c:v>
                </c:pt>
                <c:pt idx="880">
                  <c:v>135373.85714285701</c:v>
                </c:pt>
                <c:pt idx="881">
                  <c:v>135284</c:v>
                </c:pt>
                <c:pt idx="882">
                  <c:v>133719.714285714</c:v>
                </c:pt>
                <c:pt idx="883">
                  <c:v>131998.14285714299</c:v>
                </c:pt>
                <c:pt idx="884">
                  <c:v>133853.14285714299</c:v>
                </c:pt>
                <c:pt idx="885">
                  <c:v>132638.57142857101</c:v>
                </c:pt>
                <c:pt idx="886">
                  <c:v>133238.85714285701</c:v>
                </c:pt>
                <c:pt idx="887">
                  <c:v>134378.85714285701</c:v>
                </c:pt>
                <c:pt idx="888">
                  <c:v>133930.14285714299</c:v>
                </c:pt>
                <c:pt idx="889">
                  <c:v>138240.14285714299</c:v>
                </c:pt>
                <c:pt idx="890">
                  <c:v>141354</c:v>
                </c:pt>
                <c:pt idx="891">
                  <c:v>141403.85714285701</c:v>
                </c:pt>
                <c:pt idx="892">
                  <c:v>145042.42857142899</c:v>
                </c:pt>
                <c:pt idx="893">
                  <c:v>146529</c:v>
                </c:pt>
                <c:pt idx="894">
                  <c:v>149478.85714285701</c:v>
                </c:pt>
                <c:pt idx="895">
                  <c:v>154311.714285714</c:v>
                </c:pt>
                <c:pt idx="896">
                  <c:v>160508.14285714299</c:v>
                </c:pt>
                <c:pt idx="897">
                  <c:v>166647.42857142899</c:v>
                </c:pt>
                <c:pt idx="898">
                  <c:v>172720.714285714</c:v>
                </c:pt>
                <c:pt idx="899">
                  <c:v>179124.42857142899</c:v>
                </c:pt>
                <c:pt idx="900">
                  <c:v>184218</c:v>
                </c:pt>
                <c:pt idx="901">
                  <c:v>191058.285714286</c:v>
                </c:pt>
                <c:pt idx="902">
                  <c:v>200188.14285714299</c:v>
                </c:pt>
                <c:pt idx="903">
                  <c:v>208906.285714286</c:v>
                </c:pt>
                <c:pt idx="904">
                  <c:v>218736.285714286</c:v>
                </c:pt>
                <c:pt idx="905">
                  <c:v>230673.85714285701</c:v>
                </c:pt>
                <c:pt idx="906">
                  <c:v>243115</c:v>
                </c:pt>
                <c:pt idx="907">
                  <c:v>254027</c:v>
                </c:pt>
                <c:pt idx="908">
                  <c:v>266803.85714285698</c:v>
                </c:pt>
                <c:pt idx="909">
                  <c:v>273567</c:v>
                </c:pt>
                <c:pt idx="910">
                  <c:v>286895.14285714302</c:v>
                </c:pt>
                <c:pt idx="911">
                  <c:v>306508.57142857101</c:v>
                </c:pt>
                <c:pt idx="912">
                  <c:v>324468.14285714302</c:v>
                </c:pt>
                <c:pt idx="913">
                  <c:v>340402.28571428597</c:v>
                </c:pt>
                <c:pt idx="914">
                  <c:v>351189.28571428597</c:v>
                </c:pt>
                <c:pt idx="915">
                  <c:v>360164.28571428597</c:v>
                </c:pt>
                <c:pt idx="916">
                  <c:v>381045.85714285698</c:v>
                </c:pt>
                <c:pt idx="917">
                  <c:v>388950.28571428597</c:v>
                </c:pt>
                <c:pt idx="918">
                  <c:v>400855.57142857101</c:v>
                </c:pt>
                <c:pt idx="919">
                  <c:v>406661.14285714302</c:v>
                </c:pt>
                <c:pt idx="920">
                  <c:v>408941.571428572</c:v>
                </c:pt>
                <c:pt idx="921">
                  <c:v>412364</c:v>
                </c:pt>
                <c:pt idx="922">
                  <c:v>414392.42857142899</c:v>
                </c:pt>
                <c:pt idx="923">
                  <c:v>419149.85714285698</c:v>
                </c:pt>
                <c:pt idx="924">
                  <c:v>426719</c:v>
                </c:pt>
                <c:pt idx="925">
                  <c:v>482287.42857142899</c:v>
                </c:pt>
                <c:pt idx="926">
                  <c:v>484635.71428571403</c:v>
                </c:pt>
                <c:pt idx="927">
                  <c:v>510396.28571428597</c:v>
                </c:pt>
                <c:pt idx="928">
                  <c:v>508795.571428572</c:v>
                </c:pt>
                <c:pt idx="929">
                  <c:v>515447.71428571403</c:v>
                </c:pt>
                <c:pt idx="930">
                  <c:v>515655.71428571403</c:v>
                </c:pt>
                <c:pt idx="931">
                  <c:v>516364.14285714302</c:v>
                </c:pt>
                <c:pt idx="932">
                  <c:v>459379.28571428597</c:v>
                </c:pt>
                <c:pt idx="933">
                  <c:v>450663.28571428597</c:v>
                </c:pt>
                <c:pt idx="934">
                  <c:v>423058.57142857101</c:v>
                </c:pt>
                <c:pt idx="935">
                  <c:v>421727.85714285698</c:v>
                </c:pt>
                <c:pt idx="936">
                  <c:v>407107.28571428597</c:v>
                </c:pt>
                <c:pt idx="937">
                  <c:v>403392.28571428597</c:v>
                </c:pt>
                <c:pt idx="938">
                  <c:v>406417.57142857101</c:v>
                </c:pt>
                <c:pt idx="939">
                  <c:v>408096.42857142899</c:v>
                </c:pt>
                <c:pt idx="940">
                  <c:v>419730.14285714302</c:v>
                </c:pt>
                <c:pt idx="941">
                  <c:v>426834.71428571403</c:v>
                </c:pt>
                <c:pt idx="942">
                  <c:v>430817.71428571403</c:v>
                </c:pt>
                <c:pt idx="943">
                  <c:v>439810</c:v>
                </c:pt>
                <c:pt idx="944">
                  <c:v>437917.28571428597</c:v>
                </c:pt>
                <c:pt idx="945">
                  <c:v>429842.571428572</c:v>
                </c:pt>
                <c:pt idx="946">
                  <c:v>418505.57142857101</c:v>
                </c:pt>
                <c:pt idx="947">
                  <c:v>402583.28571428597</c:v>
                </c:pt>
                <c:pt idx="948">
                  <c:v>387811.14285714302</c:v>
                </c:pt>
                <c:pt idx="949">
                  <c:v>376232.42857142899</c:v>
                </c:pt>
                <c:pt idx="950">
                  <c:v>363249.85714285698</c:v>
                </c:pt>
                <c:pt idx="951">
                  <c:v>349438</c:v>
                </c:pt>
                <c:pt idx="952">
                  <c:v>334711.42857142899</c:v>
                </c:pt>
                <c:pt idx="953">
                  <c:v>322252.57142857101</c:v>
                </c:pt>
                <c:pt idx="954">
                  <c:v>311330.71428571403</c:v>
                </c:pt>
                <c:pt idx="955">
                  <c:v>301461.85714285698</c:v>
                </c:pt>
                <c:pt idx="956">
                  <c:v>293791.42857142899</c:v>
                </c:pt>
                <c:pt idx="957">
                  <c:v>288557.42857142899</c:v>
                </c:pt>
                <c:pt idx="958">
                  <c:v>280839.57142857101</c:v>
                </c:pt>
                <c:pt idx="959">
                  <c:v>272888.71428571403</c:v>
                </c:pt>
                <c:pt idx="960">
                  <c:v>263851.85714285698</c:v>
                </c:pt>
                <c:pt idx="961">
                  <c:v>252595</c:v>
                </c:pt>
                <c:pt idx="962">
                  <c:v>241732.42857142899</c:v>
                </c:pt>
                <c:pt idx="963">
                  <c:v>236459.85714285701</c:v>
                </c:pt>
                <c:pt idx="964">
                  <c:v>226223.42857142899</c:v>
                </c:pt>
                <c:pt idx="965">
                  <c:v>210047.85714285701</c:v>
                </c:pt>
                <c:pt idx="966">
                  <c:v>217918.714285714</c:v>
                </c:pt>
                <c:pt idx="967">
                  <c:v>215183</c:v>
                </c:pt>
                <c:pt idx="968">
                  <c:v>213389.85714285701</c:v>
                </c:pt>
                <c:pt idx="969">
                  <c:v>210663.85714285701</c:v>
                </c:pt>
                <c:pt idx="970">
                  <c:v>205793.57142857101</c:v>
                </c:pt>
                <c:pt idx="971">
                  <c:v>203415.14285714299</c:v>
                </c:pt>
                <c:pt idx="972">
                  <c:v>199965.42857142899</c:v>
                </c:pt>
                <c:pt idx="973">
                  <c:v>175805.285714286</c:v>
                </c:pt>
                <c:pt idx="974">
                  <c:v>171506.85714285701</c:v>
                </c:pt>
                <c:pt idx="975">
                  <c:v>166038</c:v>
                </c:pt>
                <c:pt idx="976">
                  <c:v>159331.14285714299</c:v>
                </c:pt>
                <c:pt idx="977">
                  <c:v>155540.57142857101</c:v>
                </c:pt>
                <c:pt idx="978">
                  <c:v>154786.57142857101</c:v>
                </c:pt>
                <c:pt idx="979">
                  <c:v>155322.714285714</c:v>
                </c:pt>
                <c:pt idx="980">
                  <c:v>152175</c:v>
                </c:pt>
                <c:pt idx="981">
                  <c:v>145785.285714286</c:v>
                </c:pt>
                <c:pt idx="982">
                  <c:v>141571.42857142899</c:v>
                </c:pt>
                <c:pt idx="983">
                  <c:v>141690.42857142899</c:v>
                </c:pt>
                <c:pt idx="984">
                  <c:v>140060.85714285701</c:v>
                </c:pt>
                <c:pt idx="985">
                  <c:v>131983.42857142899</c:v>
                </c:pt>
                <c:pt idx="986">
                  <c:v>131942.285714286</c:v>
                </c:pt>
                <c:pt idx="987">
                  <c:v>#N/A</c:v>
                </c:pt>
                <c:pt idx="988">
                  <c:v>#N/A</c:v>
                </c:pt>
                <c:pt idx="989">
                  <c:v>#N/A</c:v>
                </c:pt>
                <c:pt idx="990">
                  <c:v>#N/A</c:v>
                </c:pt>
                <c:pt idx="991">
                  <c:v>#N/A</c:v>
                </c:pt>
                <c:pt idx="992">
                  <c:v>#N/A</c:v>
                </c:pt>
                <c:pt idx="993">
                  <c:v>#N/A</c:v>
                </c:pt>
                <c:pt idx="994">
                  <c:v>#N/A</c:v>
                </c:pt>
              </c:numCache>
            </c:numRef>
          </c:val>
          <c:smooth val="0"/>
          <c:extLst>
            <c:ext xmlns:c16="http://schemas.microsoft.com/office/drawing/2014/chart" uri="{C3380CC4-5D6E-409C-BE32-E72D297353CC}">
              <c16:uniqueId val="{00000000-2C36-40BD-BC7D-09303454034B}"/>
            </c:ext>
          </c:extLst>
        </c:ser>
        <c:ser>
          <c:idx val="2"/>
          <c:order val="1"/>
          <c:tx>
            <c:strRef>
              <c:f>'COVID-19 cases - data'!$A$24</c:f>
              <c:strCache>
                <c:ptCount val="1"/>
                <c:pt idx="0">
                  <c:v>Europe</c:v>
                </c:pt>
              </c:strCache>
            </c:strRef>
          </c:tx>
          <c:spPr>
            <a:ln w="22225" cap="rnd">
              <a:solidFill>
                <a:srgbClr val="AFABAB"/>
              </a:solidFill>
              <a:prstDash val="solid"/>
              <a:round/>
            </a:ln>
            <a:effectLst/>
          </c:spPr>
          <c:marker>
            <c:symbol val="none"/>
          </c:marker>
          <c:cat>
            <c:numRef>
              <c:f>'COVID-19 cases - data'!$B$1:$ALH$1</c:f>
              <c:numCache>
                <c:formatCode>mmm\-yy</c:formatCode>
                <c:ptCount val="995"/>
                <c:pt idx="0">
                  <c:v>43852</c:v>
                </c:pt>
                <c:pt idx="1">
                  <c:v>43853</c:v>
                </c:pt>
                <c:pt idx="2">
                  <c:v>43854</c:v>
                </c:pt>
                <c:pt idx="3">
                  <c:v>43855</c:v>
                </c:pt>
                <c:pt idx="4">
                  <c:v>43856</c:v>
                </c:pt>
                <c:pt idx="5">
                  <c:v>43857</c:v>
                </c:pt>
                <c:pt idx="6">
                  <c:v>43858</c:v>
                </c:pt>
                <c:pt idx="7">
                  <c:v>43859</c:v>
                </c:pt>
                <c:pt idx="8">
                  <c:v>43860</c:v>
                </c:pt>
                <c:pt idx="9">
                  <c:v>43861</c:v>
                </c:pt>
                <c:pt idx="10">
                  <c:v>43862</c:v>
                </c:pt>
                <c:pt idx="11">
                  <c:v>43863</c:v>
                </c:pt>
                <c:pt idx="12">
                  <c:v>43864</c:v>
                </c:pt>
                <c:pt idx="13">
                  <c:v>43865</c:v>
                </c:pt>
                <c:pt idx="14">
                  <c:v>43866</c:v>
                </c:pt>
                <c:pt idx="15">
                  <c:v>43867</c:v>
                </c:pt>
                <c:pt idx="16">
                  <c:v>43868</c:v>
                </c:pt>
                <c:pt idx="17">
                  <c:v>43869</c:v>
                </c:pt>
                <c:pt idx="18">
                  <c:v>43870</c:v>
                </c:pt>
                <c:pt idx="19">
                  <c:v>43871</c:v>
                </c:pt>
                <c:pt idx="20">
                  <c:v>43872</c:v>
                </c:pt>
                <c:pt idx="21">
                  <c:v>43873</c:v>
                </c:pt>
                <c:pt idx="22">
                  <c:v>43874</c:v>
                </c:pt>
                <c:pt idx="23">
                  <c:v>43875</c:v>
                </c:pt>
                <c:pt idx="24">
                  <c:v>43876</c:v>
                </c:pt>
                <c:pt idx="25">
                  <c:v>43877</c:v>
                </c:pt>
                <c:pt idx="26">
                  <c:v>43878</c:v>
                </c:pt>
                <c:pt idx="27">
                  <c:v>43879</c:v>
                </c:pt>
                <c:pt idx="28">
                  <c:v>43880</c:v>
                </c:pt>
                <c:pt idx="29">
                  <c:v>43881</c:v>
                </c:pt>
                <c:pt idx="30">
                  <c:v>43882</c:v>
                </c:pt>
                <c:pt idx="31">
                  <c:v>43883</c:v>
                </c:pt>
                <c:pt idx="32">
                  <c:v>43884</c:v>
                </c:pt>
                <c:pt idx="33">
                  <c:v>43885</c:v>
                </c:pt>
                <c:pt idx="34">
                  <c:v>43886</c:v>
                </c:pt>
                <c:pt idx="35">
                  <c:v>43887</c:v>
                </c:pt>
                <c:pt idx="36">
                  <c:v>43888</c:v>
                </c:pt>
                <c:pt idx="37">
                  <c:v>43889</c:v>
                </c:pt>
                <c:pt idx="38">
                  <c:v>43890</c:v>
                </c:pt>
                <c:pt idx="39">
                  <c:v>43891</c:v>
                </c:pt>
                <c:pt idx="40">
                  <c:v>43892</c:v>
                </c:pt>
                <c:pt idx="41">
                  <c:v>43893</c:v>
                </c:pt>
                <c:pt idx="42">
                  <c:v>43894</c:v>
                </c:pt>
                <c:pt idx="43">
                  <c:v>43895</c:v>
                </c:pt>
                <c:pt idx="44">
                  <c:v>43896</c:v>
                </c:pt>
                <c:pt idx="45">
                  <c:v>43897</c:v>
                </c:pt>
                <c:pt idx="46">
                  <c:v>43898</c:v>
                </c:pt>
                <c:pt idx="47">
                  <c:v>43899</c:v>
                </c:pt>
                <c:pt idx="48">
                  <c:v>43900</c:v>
                </c:pt>
                <c:pt idx="49">
                  <c:v>43901</c:v>
                </c:pt>
                <c:pt idx="50">
                  <c:v>43902</c:v>
                </c:pt>
                <c:pt idx="51">
                  <c:v>43903</c:v>
                </c:pt>
                <c:pt idx="52">
                  <c:v>43904</c:v>
                </c:pt>
                <c:pt idx="53">
                  <c:v>43905</c:v>
                </c:pt>
                <c:pt idx="54">
                  <c:v>43906</c:v>
                </c:pt>
                <c:pt idx="55">
                  <c:v>43907</c:v>
                </c:pt>
                <c:pt idx="56">
                  <c:v>43908</c:v>
                </c:pt>
                <c:pt idx="57">
                  <c:v>43909</c:v>
                </c:pt>
                <c:pt idx="58">
                  <c:v>43910</c:v>
                </c:pt>
                <c:pt idx="59">
                  <c:v>43911</c:v>
                </c:pt>
                <c:pt idx="60">
                  <c:v>43912</c:v>
                </c:pt>
                <c:pt idx="61">
                  <c:v>43913</c:v>
                </c:pt>
                <c:pt idx="62">
                  <c:v>43914</c:v>
                </c:pt>
                <c:pt idx="63">
                  <c:v>43915</c:v>
                </c:pt>
                <c:pt idx="64">
                  <c:v>43916</c:v>
                </c:pt>
                <c:pt idx="65">
                  <c:v>43917</c:v>
                </c:pt>
                <c:pt idx="66">
                  <c:v>43918</c:v>
                </c:pt>
                <c:pt idx="67">
                  <c:v>43919</c:v>
                </c:pt>
                <c:pt idx="68">
                  <c:v>43920</c:v>
                </c:pt>
                <c:pt idx="69">
                  <c:v>43921</c:v>
                </c:pt>
                <c:pt idx="70">
                  <c:v>43922</c:v>
                </c:pt>
                <c:pt idx="71">
                  <c:v>43923</c:v>
                </c:pt>
                <c:pt idx="72">
                  <c:v>43924</c:v>
                </c:pt>
                <c:pt idx="73">
                  <c:v>43925</c:v>
                </c:pt>
                <c:pt idx="74">
                  <c:v>43926</c:v>
                </c:pt>
                <c:pt idx="75">
                  <c:v>43927</c:v>
                </c:pt>
                <c:pt idx="76">
                  <c:v>43928</c:v>
                </c:pt>
                <c:pt idx="77">
                  <c:v>43929</c:v>
                </c:pt>
                <c:pt idx="78">
                  <c:v>43930</c:v>
                </c:pt>
                <c:pt idx="79">
                  <c:v>43931</c:v>
                </c:pt>
                <c:pt idx="80">
                  <c:v>43932</c:v>
                </c:pt>
                <c:pt idx="81">
                  <c:v>43933</c:v>
                </c:pt>
                <c:pt idx="82">
                  <c:v>43934</c:v>
                </c:pt>
                <c:pt idx="83">
                  <c:v>43935</c:v>
                </c:pt>
                <c:pt idx="84">
                  <c:v>43936</c:v>
                </c:pt>
                <c:pt idx="85">
                  <c:v>43937</c:v>
                </c:pt>
                <c:pt idx="86">
                  <c:v>43938</c:v>
                </c:pt>
                <c:pt idx="87">
                  <c:v>43939</c:v>
                </c:pt>
                <c:pt idx="88">
                  <c:v>43940</c:v>
                </c:pt>
                <c:pt idx="89">
                  <c:v>43941</c:v>
                </c:pt>
                <c:pt idx="90">
                  <c:v>43942</c:v>
                </c:pt>
                <c:pt idx="91">
                  <c:v>43943</c:v>
                </c:pt>
                <c:pt idx="92">
                  <c:v>43944</c:v>
                </c:pt>
                <c:pt idx="93">
                  <c:v>43945</c:v>
                </c:pt>
                <c:pt idx="94">
                  <c:v>43946</c:v>
                </c:pt>
                <c:pt idx="95">
                  <c:v>43947</c:v>
                </c:pt>
                <c:pt idx="96">
                  <c:v>43948</c:v>
                </c:pt>
                <c:pt idx="97">
                  <c:v>43949</c:v>
                </c:pt>
                <c:pt idx="98">
                  <c:v>43950</c:v>
                </c:pt>
                <c:pt idx="99">
                  <c:v>43951</c:v>
                </c:pt>
                <c:pt idx="100">
                  <c:v>43952</c:v>
                </c:pt>
                <c:pt idx="101">
                  <c:v>43953</c:v>
                </c:pt>
                <c:pt idx="102">
                  <c:v>43954</c:v>
                </c:pt>
                <c:pt idx="103">
                  <c:v>43955</c:v>
                </c:pt>
                <c:pt idx="104">
                  <c:v>43956</c:v>
                </c:pt>
                <c:pt idx="105">
                  <c:v>43957</c:v>
                </c:pt>
                <c:pt idx="106">
                  <c:v>43958</c:v>
                </c:pt>
                <c:pt idx="107">
                  <c:v>43959</c:v>
                </c:pt>
                <c:pt idx="108">
                  <c:v>43960</c:v>
                </c:pt>
                <c:pt idx="109">
                  <c:v>43961</c:v>
                </c:pt>
                <c:pt idx="110">
                  <c:v>43962</c:v>
                </c:pt>
                <c:pt idx="111">
                  <c:v>43963</c:v>
                </c:pt>
                <c:pt idx="112">
                  <c:v>43964</c:v>
                </c:pt>
                <c:pt idx="113">
                  <c:v>43965</c:v>
                </c:pt>
                <c:pt idx="114">
                  <c:v>43966</c:v>
                </c:pt>
                <c:pt idx="115">
                  <c:v>43967</c:v>
                </c:pt>
                <c:pt idx="116">
                  <c:v>43968</c:v>
                </c:pt>
                <c:pt idx="117">
                  <c:v>43969</c:v>
                </c:pt>
                <c:pt idx="118">
                  <c:v>43970</c:v>
                </c:pt>
                <c:pt idx="119">
                  <c:v>43971</c:v>
                </c:pt>
                <c:pt idx="120">
                  <c:v>43972</c:v>
                </c:pt>
                <c:pt idx="121">
                  <c:v>43973</c:v>
                </c:pt>
                <c:pt idx="122">
                  <c:v>43974</c:v>
                </c:pt>
                <c:pt idx="123">
                  <c:v>43975</c:v>
                </c:pt>
                <c:pt idx="124">
                  <c:v>43976</c:v>
                </c:pt>
                <c:pt idx="125">
                  <c:v>43977</c:v>
                </c:pt>
                <c:pt idx="126">
                  <c:v>43978</c:v>
                </c:pt>
                <c:pt idx="127">
                  <c:v>43979</c:v>
                </c:pt>
                <c:pt idx="128">
                  <c:v>43980</c:v>
                </c:pt>
                <c:pt idx="129">
                  <c:v>43981</c:v>
                </c:pt>
                <c:pt idx="130">
                  <c:v>43982</c:v>
                </c:pt>
                <c:pt idx="131">
                  <c:v>43983</c:v>
                </c:pt>
                <c:pt idx="132">
                  <c:v>43984</c:v>
                </c:pt>
                <c:pt idx="133">
                  <c:v>43985</c:v>
                </c:pt>
                <c:pt idx="134">
                  <c:v>43986</c:v>
                </c:pt>
                <c:pt idx="135">
                  <c:v>43987</c:v>
                </c:pt>
                <c:pt idx="136">
                  <c:v>43988</c:v>
                </c:pt>
                <c:pt idx="137">
                  <c:v>43989</c:v>
                </c:pt>
                <c:pt idx="138">
                  <c:v>43990</c:v>
                </c:pt>
                <c:pt idx="139">
                  <c:v>43991</c:v>
                </c:pt>
                <c:pt idx="140">
                  <c:v>43992</c:v>
                </c:pt>
                <c:pt idx="141">
                  <c:v>43993</c:v>
                </c:pt>
                <c:pt idx="142">
                  <c:v>43994</c:v>
                </c:pt>
                <c:pt idx="143">
                  <c:v>43995</c:v>
                </c:pt>
                <c:pt idx="144">
                  <c:v>43996</c:v>
                </c:pt>
                <c:pt idx="145">
                  <c:v>43997</c:v>
                </c:pt>
                <c:pt idx="146">
                  <c:v>43998</c:v>
                </c:pt>
                <c:pt idx="147">
                  <c:v>43999</c:v>
                </c:pt>
                <c:pt idx="148">
                  <c:v>44000</c:v>
                </c:pt>
                <c:pt idx="149">
                  <c:v>44001</c:v>
                </c:pt>
                <c:pt idx="150">
                  <c:v>44002</c:v>
                </c:pt>
                <c:pt idx="151">
                  <c:v>44003</c:v>
                </c:pt>
                <c:pt idx="152">
                  <c:v>44004</c:v>
                </c:pt>
                <c:pt idx="153">
                  <c:v>44005</c:v>
                </c:pt>
                <c:pt idx="154">
                  <c:v>44006</c:v>
                </c:pt>
                <c:pt idx="155">
                  <c:v>44007</c:v>
                </c:pt>
                <c:pt idx="156">
                  <c:v>44008</c:v>
                </c:pt>
                <c:pt idx="157">
                  <c:v>44009</c:v>
                </c:pt>
                <c:pt idx="158">
                  <c:v>44010</c:v>
                </c:pt>
                <c:pt idx="159">
                  <c:v>44011</c:v>
                </c:pt>
                <c:pt idx="160">
                  <c:v>44012</c:v>
                </c:pt>
                <c:pt idx="161">
                  <c:v>44013</c:v>
                </c:pt>
                <c:pt idx="162">
                  <c:v>44014</c:v>
                </c:pt>
                <c:pt idx="163">
                  <c:v>44015</c:v>
                </c:pt>
                <c:pt idx="164">
                  <c:v>44016</c:v>
                </c:pt>
                <c:pt idx="165">
                  <c:v>44017</c:v>
                </c:pt>
                <c:pt idx="166">
                  <c:v>44018</c:v>
                </c:pt>
                <c:pt idx="167">
                  <c:v>44019</c:v>
                </c:pt>
                <c:pt idx="168">
                  <c:v>44020</c:v>
                </c:pt>
                <c:pt idx="169">
                  <c:v>44021</c:v>
                </c:pt>
                <c:pt idx="170">
                  <c:v>44022</c:v>
                </c:pt>
                <c:pt idx="171">
                  <c:v>44023</c:v>
                </c:pt>
                <c:pt idx="172">
                  <c:v>44024</c:v>
                </c:pt>
                <c:pt idx="173">
                  <c:v>44025</c:v>
                </c:pt>
                <c:pt idx="174">
                  <c:v>44026</c:v>
                </c:pt>
                <c:pt idx="175">
                  <c:v>44027</c:v>
                </c:pt>
                <c:pt idx="176">
                  <c:v>44028</c:v>
                </c:pt>
                <c:pt idx="177">
                  <c:v>44029</c:v>
                </c:pt>
                <c:pt idx="178">
                  <c:v>44030</c:v>
                </c:pt>
                <c:pt idx="179">
                  <c:v>44031</c:v>
                </c:pt>
                <c:pt idx="180">
                  <c:v>44032</c:v>
                </c:pt>
                <c:pt idx="181">
                  <c:v>44033</c:v>
                </c:pt>
                <c:pt idx="182">
                  <c:v>44034</c:v>
                </c:pt>
                <c:pt idx="183">
                  <c:v>44035</c:v>
                </c:pt>
                <c:pt idx="184">
                  <c:v>44036</c:v>
                </c:pt>
                <c:pt idx="185">
                  <c:v>44037</c:v>
                </c:pt>
                <c:pt idx="186">
                  <c:v>44038</c:v>
                </c:pt>
                <c:pt idx="187">
                  <c:v>44039</c:v>
                </c:pt>
                <c:pt idx="188">
                  <c:v>44040</c:v>
                </c:pt>
                <c:pt idx="189">
                  <c:v>44041</c:v>
                </c:pt>
                <c:pt idx="190">
                  <c:v>44042</c:v>
                </c:pt>
                <c:pt idx="191">
                  <c:v>44043</c:v>
                </c:pt>
                <c:pt idx="192">
                  <c:v>44044</c:v>
                </c:pt>
                <c:pt idx="193">
                  <c:v>44045</c:v>
                </c:pt>
                <c:pt idx="194">
                  <c:v>44046</c:v>
                </c:pt>
                <c:pt idx="195">
                  <c:v>44047</c:v>
                </c:pt>
                <c:pt idx="196">
                  <c:v>44048</c:v>
                </c:pt>
                <c:pt idx="197">
                  <c:v>44049</c:v>
                </c:pt>
                <c:pt idx="198">
                  <c:v>44050</c:v>
                </c:pt>
                <c:pt idx="199">
                  <c:v>44051</c:v>
                </c:pt>
                <c:pt idx="200">
                  <c:v>44052</c:v>
                </c:pt>
                <c:pt idx="201">
                  <c:v>44053</c:v>
                </c:pt>
                <c:pt idx="202">
                  <c:v>44054</c:v>
                </c:pt>
                <c:pt idx="203">
                  <c:v>44055</c:v>
                </c:pt>
                <c:pt idx="204">
                  <c:v>44056</c:v>
                </c:pt>
                <c:pt idx="205">
                  <c:v>44057</c:v>
                </c:pt>
                <c:pt idx="206">
                  <c:v>44058</c:v>
                </c:pt>
                <c:pt idx="207">
                  <c:v>44059</c:v>
                </c:pt>
                <c:pt idx="208">
                  <c:v>44060</c:v>
                </c:pt>
                <c:pt idx="209">
                  <c:v>44061</c:v>
                </c:pt>
                <c:pt idx="210">
                  <c:v>44062</c:v>
                </c:pt>
                <c:pt idx="211">
                  <c:v>44063</c:v>
                </c:pt>
                <c:pt idx="212">
                  <c:v>44064</c:v>
                </c:pt>
                <c:pt idx="213">
                  <c:v>44065</c:v>
                </c:pt>
                <c:pt idx="214">
                  <c:v>44066</c:v>
                </c:pt>
                <c:pt idx="215">
                  <c:v>44067</c:v>
                </c:pt>
                <c:pt idx="216">
                  <c:v>44068</c:v>
                </c:pt>
                <c:pt idx="217">
                  <c:v>44069</c:v>
                </c:pt>
                <c:pt idx="218">
                  <c:v>44070</c:v>
                </c:pt>
                <c:pt idx="219">
                  <c:v>44071</c:v>
                </c:pt>
                <c:pt idx="220">
                  <c:v>44072</c:v>
                </c:pt>
                <c:pt idx="221">
                  <c:v>44073</c:v>
                </c:pt>
                <c:pt idx="222">
                  <c:v>44074</c:v>
                </c:pt>
                <c:pt idx="223">
                  <c:v>44075</c:v>
                </c:pt>
                <c:pt idx="224">
                  <c:v>44076</c:v>
                </c:pt>
                <c:pt idx="225">
                  <c:v>44077</c:v>
                </c:pt>
                <c:pt idx="226">
                  <c:v>44078</c:v>
                </c:pt>
                <c:pt idx="227">
                  <c:v>44079</c:v>
                </c:pt>
                <c:pt idx="228">
                  <c:v>44080</c:v>
                </c:pt>
                <c:pt idx="229">
                  <c:v>44081</c:v>
                </c:pt>
                <c:pt idx="230">
                  <c:v>44082</c:v>
                </c:pt>
                <c:pt idx="231">
                  <c:v>44083</c:v>
                </c:pt>
                <c:pt idx="232">
                  <c:v>44084</c:v>
                </c:pt>
                <c:pt idx="233">
                  <c:v>44085</c:v>
                </c:pt>
                <c:pt idx="234">
                  <c:v>44086</c:v>
                </c:pt>
                <c:pt idx="235">
                  <c:v>44087</c:v>
                </c:pt>
                <c:pt idx="236">
                  <c:v>44088</c:v>
                </c:pt>
                <c:pt idx="237">
                  <c:v>44089</c:v>
                </c:pt>
                <c:pt idx="238">
                  <c:v>44090</c:v>
                </c:pt>
                <c:pt idx="239">
                  <c:v>44091</c:v>
                </c:pt>
                <c:pt idx="240">
                  <c:v>44092</c:v>
                </c:pt>
                <c:pt idx="241">
                  <c:v>44093</c:v>
                </c:pt>
                <c:pt idx="242">
                  <c:v>44094</c:v>
                </c:pt>
                <c:pt idx="243">
                  <c:v>44095</c:v>
                </c:pt>
                <c:pt idx="244">
                  <c:v>44096</c:v>
                </c:pt>
                <c:pt idx="245">
                  <c:v>44097</c:v>
                </c:pt>
                <c:pt idx="246">
                  <c:v>44098</c:v>
                </c:pt>
                <c:pt idx="247">
                  <c:v>44099</c:v>
                </c:pt>
                <c:pt idx="248">
                  <c:v>44100</c:v>
                </c:pt>
                <c:pt idx="249">
                  <c:v>44101</c:v>
                </c:pt>
                <c:pt idx="250">
                  <c:v>44102</c:v>
                </c:pt>
                <c:pt idx="251">
                  <c:v>44103</c:v>
                </c:pt>
                <c:pt idx="252">
                  <c:v>44104</c:v>
                </c:pt>
                <c:pt idx="253">
                  <c:v>44105</c:v>
                </c:pt>
                <c:pt idx="254">
                  <c:v>44106</c:v>
                </c:pt>
                <c:pt idx="255">
                  <c:v>44107</c:v>
                </c:pt>
                <c:pt idx="256">
                  <c:v>44108</c:v>
                </c:pt>
                <c:pt idx="257">
                  <c:v>44109</c:v>
                </c:pt>
                <c:pt idx="258">
                  <c:v>44110</c:v>
                </c:pt>
                <c:pt idx="259">
                  <c:v>44111</c:v>
                </c:pt>
                <c:pt idx="260">
                  <c:v>44112</c:v>
                </c:pt>
                <c:pt idx="261">
                  <c:v>44113</c:v>
                </c:pt>
                <c:pt idx="262">
                  <c:v>44114</c:v>
                </c:pt>
                <c:pt idx="263">
                  <c:v>44115</c:v>
                </c:pt>
                <c:pt idx="264">
                  <c:v>44116</c:v>
                </c:pt>
                <c:pt idx="265">
                  <c:v>44117</c:v>
                </c:pt>
                <c:pt idx="266">
                  <c:v>44118</c:v>
                </c:pt>
                <c:pt idx="267">
                  <c:v>44119</c:v>
                </c:pt>
                <c:pt idx="268">
                  <c:v>44120</c:v>
                </c:pt>
                <c:pt idx="269">
                  <c:v>44121</c:v>
                </c:pt>
                <c:pt idx="270">
                  <c:v>44122</c:v>
                </c:pt>
                <c:pt idx="271">
                  <c:v>44123</c:v>
                </c:pt>
                <c:pt idx="272">
                  <c:v>44124</c:v>
                </c:pt>
                <c:pt idx="273">
                  <c:v>44125</c:v>
                </c:pt>
                <c:pt idx="274">
                  <c:v>44126</c:v>
                </c:pt>
                <c:pt idx="275">
                  <c:v>44127</c:v>
                </c:pt>
                <c:pt idx="276">
                  <c:v>44128</c:v>
                </c:pt>
                <c:pt idx="277">
                  <c:v>44129</c:v>
                </c:pt>
                <c:pt idx="278">
                  <c:v>44130</c:v>
                </c:pt>
                <c:pt idx="279">
                  <c:v>44131</c:v>
                </c:pt>
                <c:pt idx="280">
                  <c:v>44132</c:v>
                </c:pt>
                <c:pt idx="281">
                  <c:v>44133</c:v>
                </c:pt>
                <c:pt idx="282">
                  <c:v>44134</c:v>
                </c:pt>
                <c:pt idx="283">
                  <c:v>44135</c:v>
                </c:pt>
                <c:pt idx="284">
                  <c:v>44136</c:v>
                </c:pt>
                <c:pt idx="285">
                  <c:v>44137</c:v>
                </c:pt>
                <c:pt idx="286">
                  <c:v>44138</c:v>
                </c:pt>
                <c:pt idx="287">
                  <c:v>44139</c:v>
                </c:pt>
                <c:pt idx="288">
                  <c:v>44140</c:v>
                </c:pt>
                <c:pt idx="289">
                  <c:v>44141</c:v>
                </c:pt>
                <c:pt idx="290">
                  <c:v>44142</c:v>
                </c:pt>
                <c:pt idx="291">
                  <c:v>44143</c:v>
                </c:pt>
                <c:pt idx="292">
                  <c:v>44144</c:v>
                </c:pt>
                <c:pt idx="293">
                  <c:v>44145</c:v>
                </c:pt>
                <c:pt idx="294">
                  <c:v>44146</c:v>
                </c:pt>
                <c:pt idx="295">
                  <c:v>44147</c:v>
                </c:pt>
                <c:pt idx="296">
                  <c:v>44148</c:v>
                </c:pt>
                <c:pt idx="297">
                  <c:v>44149</c:v>
                </c:pt>
                <c:pt idx="298">
                  <c:v>44150</c:v>
                </c:pt>
                <c:pt idx="299">
                  <c:v>44151</c:v>
                </c:pt>
                <c:pt idx="300">
                  <c:v>44152</c:v>
                </c:pt>
                <c:pt idx="301">
                  <c:v>44153</c:v>
                </c:pt>
                <c:pt idx="302">
                  <c:v>44154</c:v>
                </c:pt>
                <c:pt idx="303">
                  <c:v>44155</c:v>
                </c:pt>
                <c:pt idx="304">
                  <c:v>44156</c:v>
                </c:pt>
                <c:pt idx="305">
                  <c:v>44157</c:v>
                </c:pt>
                <c:pt idx="306">
                  <c:v>44158</c:v>
                </c:pt>
                <c:pt idx="307">
                  <c:v>44159</c:v>
                </c:pt>
                <c:pt idx="308">
                  <c:v>44160</c:v>
                </c:pt>
                <c:pt idx="309">
                  <c:v>44161</c:v>
                </c:pt>
                <c:pt idx="310">
                  <c:v>44162</c:v>
                </c:pt>
                <c:pt idx="311">
                  <c:v>44163</c:v>
                </c:pt>
                <c:pt idx="312">
                  <c:v>44164</c:v>
                </c:pt>
                <c:pt idx="313">
                  <c:v>44165</c:v>
                </c:pt>
                <c:pt idx="314">
                  <c:v>44166</c:v>
                </c:pt>
                <c:pt idx="315">
                  <c:v>44167</c:v>
                </c:pt>
                <c:pt idx="316">
                  <c:v>44168</c:v>
                </c:pt>
                <c:pt idx="317">
                  <c:v>44169</c:v>
                </c:pt>
                <c:pt idx="318">
                  <c:v>44170</c:v>
                </c:pt>
                <c:pt idx="319">
                  <c:v>44171</c:v>
                </c:pt>
                <c:pt idx="320">
                  <c:v>44172</c:v>
                </c:pt>
                <c:pt idx="321">
                  <c:v>44173</c:v>
                </c:pt>
                <c:pt idx="322">
                  <c:v>44174</c:v>
                </c:pt>
                <c:pt idx="323">
                  <c:v>44175</c:v>
                </c:pt>
                <c:pt idx="324">
                  <c:v>44176</c:v>
                </c:pt>
                <c:pt idx="325">
                  <c:v>44177</c:v>
                </c:pt>
                <c:pt idx="326">
                  <c:v>44178</c:v>
                </c:pt>
                <c:pt idx="327">
                  <c:v>44179</c:v>
                </c:pt>
                <c:pt idx="328">
                  <c:v>44180</c:v>
                </c:pt>
                <c:pt idx="329">
                  <c:v>44181</c:v>
                </c:pt>
                <c:pt idx="330">
                  <c:v>44182</c:v>
                </c:pt>
                <c:pt idx="331">
                  <c:v>44183</c:v>
                </c:pt>
                <c:pt idx="332">
                  <c:v>44184</c:v>
                </c:pt>
                <c:pt idx="333">
                  <c:v>44185</c:v>
                </c:pt>
                <c:pt idx="334">
                  <c:v>44186</c:v>
                </c:pt>
                <c:pt idx="335">
                  <c:v>44187</c:v>
                </c:pt>
                <c:pt idx="336">
                  <c:v>44188</c:v>
                </c:pt>
                <c:pt idx="337">
                  <c:v>44189</c:v>
                </c:pt>
                <c:pt idx="338">
                  <c:v>44190</c:v>
                </c:pt>
                <c:pt idx="339">
                  <c:v>44191</c:v>
                </c:pt>
                <c:pt idx="340">
                  <c:v>44192</c:v>
                </c:pt>
                <c:pt idx="341">
                  <c:v>44193</c:v>
                </c:pt>
                <c:pt idx="342">
                  <c:v>44194</c:v>
                </c:pt>
                <c:pt idx="343">
                  <c:v>44195</c:v>
                </c:pt>
                <c:pt idx="344">
                  <c:v>44196</c:v>
                </c:pt>
                <c:pt idx="345">
                  <c:v>44197</c:v>
                </c:pt>
                <c:pt idx="346">
                  <c:v>44198</c:v>
                </c:pt>
                <c:pt idx="347">
                  <c:v>44199</c:v>
                </c:pt>
                <c:pt idx="348">
                  <c:v>44200</c:v>
                </c:pt>
                <c:pt idx="349">
                  <c:v>44201</c:v>
                </c:pt>
                <c:pt idx="350">
                  <c:v>44202</c:v>
                </c:pt>
                <c:pt idx="351">
                  <c:v>44203</c:v>
                </c:pt>
                <c:pt idx="352">
                  <c:v>44204</c:v>
                </c:pt>
                <c:pt idx="353">
                  <c:v>44205</c:v>
                </c:pt>
                <c:pt idx="354">
                  <c:v>44206</c:v>
                </c:pt>
                <c:pt idx="355">
                  <c:v>44207</c:v>
                </c:pt>
                <c:pt idx="356">
                  <c:v>44208</c:v>
                </c:pt>
                <c:pt idx="357">
                  <c:v>44209</c:v>
                </c:pt>
                <c:pt idx="358">
                  <c:v>44210</c:v>
                </c:pt>
                <c:pt idx="359">
                  <c:v>44211</c:v>
                </c:pt>
                <c:pt idx="360">
                  <c:v>44212</c:v>
                </c:pt>
                <c:pt idx="361">
                  <c:v>44213</c:v>
                </c:pt>
                <c:pt idx="362">
                  <c:v>44214</c:v>
                </c:pt>
                <c:pt idx="363">
                  <c:v>44215</c:v>
                </c:pt>
                <c:pt idx="364">
                  <c:v>44216</c:v>
                </c:pt>
                <c:pt idx="365">
                  <c:v>44217</c:v>
                </c:pt>
                <c:pt idx="366">
                  <c:v>44218</c:v>
                </c:pt>
                <c:pt idx="367">
                  <c:v>44219</c:v>
                </c:pt>
                <c:pt idx="368">
                  <c:v>44220</c:v>
                </c:pt>
                <c:pt idx="369">
                  <c:v>44221</c:v>
                </c:pt>
                <c:pt idx="370">
                  <c:v>44222</c:v>
                </c:pt>
                <c:pt idx="371">
                  <c:v>44223</c:v>
                </c:pt>
                <c:pt idx="372">
                  <c:v>44224</c:v>
                </c:pt>
                <c:pt idx="373">
                  <c:v>44225</c:v>
                </c:pt>
                <c:pt idx="374">
                  <c:v>44226</c:v>
                </c:pt>
                <c:pt idx="375">
                  <c:v>44227</c:v>
                </c:pt>
                <c:pt idx="376">
                  <c:v>44228</c:v>
                </c:pt>
                <c:pt idx="377">
                  <c:v>44229</c:v>
                </c:pt>
                <c:pt idx="378">
                  <c:v>44230</c:v>
                </c:pt>
                <c:pt idx="379">
                  <c:v>44231</c:v>
                </c:pt>
                <c:pt idx="380">
                  <c:v>44232</c:v>
                </c:pt>
                <c:pt idx="381">
                  <c:v>44233</c:v>
                </c:pt>
                <c:pt idx="382">
                  <c:v>44234</c:v>
                </c:pt>
                <c:pt idx="383">
                  <c:v>44235</c:v>
                </c:pt>
                <c:pt idx="384">
                  <c:v>44236</c:v>
                </c:pt>
                <c:pt idx="385">
                  <c:v>44237</c:v>
                </c:pt>
                <c:pt idx="386">
                  <c:v>44238</c:v>
                </c:pt>
                <c:pt idx="387">
                  <c:v>44239</c:v>
                </c:pt>
                <c:pt idx="388">
                  <c:v>44240</c:v>
                </c:pt>
                <c:pt idx="389">
                  <c:v>44241</c:v>
                </c:pt>
                <c:pt idx="390">
                  <c:v>44242</c:v>
                </c:pt>
                <c:pt idx="391">
                  <c:v>44243</c:v>
                </c:pt>
                <c:pt idx="392">
                  <c:v>44244</c:v>
                </c:pt>
                <c:pt idx="393">
                  <c:v>44245</c:v>
                </c:pt>
                <c:pt idx="394">
                  <c:v>44246</c:v>
                </c:pt>
                <c:pt idx="395">
                  <c:v>44247</c:v>
                </c:pt>
                <c:pt idx="396">
                  <c:v>44248</c:v>
                </c:pt>
                <c:pt idx="397">
                  <c:v>44249</c:v>
                </c:pt>
                <c:pt idx="398">
                  <c:v>44250</c:v>
                </c:pt>
                <c:pt idx="399">
                  <c:v>44251</c:v>
                </c:pt>
                <c:pt idx="400">
                  <c:v>44252</c:v>
                </c:pt>
                <c:pt idx="401">
                  <c:v>44253</c:v>
                </c:pt>
                <c:pt idx="402">
                  <c:v>44254</c:v>
                </c:pt>
                <c:pt idx="403">
                  <c:v>44255</c:v>
                </c:pt>
                <c:pt idx="404">
                  <c:v>44256</c:v>
                </c:pt>
                <c:pt idx="405">
                  <c:v>44257</c:v>
                </c:pt>
                <c:pt idx="406">
                  <c:v>44258</c:v>
                </c:pt>
                <c:pt idx="407">
                  <c:v>44259</c:v>
                </c:pt>
                <c:pt idx="408">
                  <c:v>44260</c:v>
                </c:pt>
                <c:pt idx="409">
                  <c:v>44261</c:v>
                </c:pt>
                <c:pt idx="410">
                  <c:v>44262</c:v>
                </c:pt>
                <c:pt idx="411">
                  <c:v>44263</c:v>
                </c:pt>
                <c:pt idx="412">
                  <c:v>44264</c:v>
                </c:pt>
                <c:pt idx="413">
                  <c:v>44265</c:v>
                </c:pt>
                <c:pt idx="414">
                  <c:v>44266</c:v>
                </c:pt>
                <c:pt idx="415">
                  <c:v>44267</c:v>
                </c:pt>
                <c:pt idx="416">
                  <c:v>44268</c:v>
                </c:pt>
                <c:pt idx="417">
                  <c:v>44269</c:v>
                </c:pt>
                <c:pt idx="418">
                  <c:v>44270</c:v>
                </c:pt>
                <c:pt idx="419">
                  <c:v>44271</c:v>
                </c:pt>
                <c:pt idx="420">
                  <c:v>44272</c:v>
                </c:pt>
                <c:pt idx="421">
                  <c:v>44273</c:v>
                </c:pt>
                <c:pt idx="422">
                  <c:v>44274</c:v>
                </c:pt>
                <c:pt idx="423">
                  <c:v>44275</c:v>
                </c:pt>
                <c:pt idx="424">
                  <c:v>44276</c:v>
                </c:pt>
                <c:pt idx="425">
                  <c:v>44277</c:v>
                </c:pt>
                <c:pt idx="426">
                  <c:v>44278</c:v>
                </c:pt>
                <c:pt idx="427">
                  <c:v>44279</c:v>
                </c:pt>
                <c:pt idx="428">
                  <c:v>44280</c:v>
                </c:pt>
                <c:pt idx="429">
                  <c:v>44281</c:v>
                </c:pt>
                <c:pt idx="430">
                  <c:v>44282</c:v>
                </c:pt>
                <c:pt idx="431">
                  <c:v>44283</c:v>
                </c:pt>
                <c:pt idx="432">
                  <c:v>44284</c:v>
                </c:pt>
                <c:pt idx="433">
                  <c:v>44285</c:v>
                </c:pt>
                <c:pt idx="434">
                  <c:v>44286</c:v>
                </c:pt>
                <c:pt idx="435">
                  <c:v>44287</c:v>
                </c:pt>
                <c:pt idx="436">
                  <c:v>44288</c:v>
                </c:pt>
                <c:pt idx="437">
                  <c:v>44289</c:v>
                </c:pt>
                <c:pt idx="438">
                  <c:v>44290</c:v>
                </c:pt>
                <c:pt idx="439">
                  <c:v>44291</c:v>
                </c:pt>
                <c:pt idx="440">
                  <c:v>44292</c:v>
                </c:pt>
                <c:pt idx="441">
                  <c:v>44293</c:v>
                </c:pt>
                <c:pt idx="442">
                  <c:v>44294</c:v>
                </c:pt>
                <c:pt idx="443">
                  <c:v>44295</c:v>
                </c:pt>
                <c:pt idx="444">
                  <c:v>44296</c:v>
                </c:pt>
                <c:pt idx="445">
                  <c:v>44297</c:v>
                </c:pt>
                <c:pt idx="446">
                  <c:v>44298</c:v>
                </c:pt>
                <c:pt idx="447">
                  <c:v>44299</c:v>
                </c:pt>
                <c:pt idx="448">
                  <c:v>44300</c:v>
                </c:pt>
                <c:pt idx="449">
                  <c:v>44301</c:v>
                </c:pt>
                <c:pt idx="450">
                  <c:v>44302</c:v>
                </c:pt>
                <c:pt idx="451">
                  <c:v>44303</c:v>
                </c:pt>
                <c:pt idx="452">
                  <c:v>44304</c:v>
                </c:pt>
                <c:pt idx="453">
                  <c:v>44305</c:v>
                </c:pt>
                <c:pt idx="454">
                  <c:v>44306</c:v>
                </c:pt>
                <c:pt idx="455">
                  <c:v>44307</c:v>
                </c:pt>
                <c:pt idx="456">
                  <c:v>44308</c:v>
                </c:pt>
                <c:pt idx="457">
                  <c:v>44309</c:v>
                </c:pt>
                <c:pt idx="458">
                  <c:v>44310</c:v>
                </c:pt>
                <c:pt idx="459">
                  <c:v>44311</c:v>
                </c:pt>
                <c:pt idx="460">
                  <c:v>44312</c:v>
                </c:pt>
                <c:pt idx="461">
                  <c:v>44313</c:v>
                </c:pt>
                <c:pt idx="462">
                  <c:v>44314</c:v>
                </c:pt>
                <c:pt idx="463">
                  <c:v>44315</c:v>
                </c:pt>
                <c:pt idx="464">
                  <c:v>44316</c:v>
                </c:pt>
                <c:pt idx="465">
                  <c:v>44317</c:v>
                </c:pt>
                <c:pt idx="466">
                  <c:v>44318</c:v>
                </c:pt>
                <c:pt idx="467">
                  <c:v>44319</c:v>
                </c:pt>
                <c:pt idx="468">
                  <c:v>44320</c:v>
                </c:pt>
                <c:pt idx="469">
                  <c:v>44321</c:v>
                </c:pt>
                <c:pt idx="470">
                  <c:v>44322</c:v>
                </c:pt>
                <c:pt idx="471">
                  <c:v>44323</c:v>
                </c:pt>
                <c:pt idx="472">
                  <c:v>44324</c:v>
                </c:pt>
                <c:pt idx="473">
                  <c:v>44325</c:v>
                </c:pt>
                <c:pt idx="474">
                  <c:v>44326</c:v>
                </c:pt>
                <c:pt idx="475">
                  <c:v>44327</c:v>
                </c:pt>
                <c:pt idx="476">
                  <c:v>44328</c:v>
                </c:pt>
                <c:pt idx="477">
                  <c:v>44329</c:v>
                </c:pt>
                <c:pt idx="478">
                  <c:v>44330</c:v>
                </c:pt>
                <c:pt idx="479">
                  <c:v>44331</c:v>
                </c:pt>
                <c:pt idx="480">
                  <c:v>44332</c:v>
                </c:pt>
                <c:pt idx="481">
                  <c:v>44333</c:v>
                </c:pt>
                <c:pt idx="482">
                  <c:v>44334</c:v>
                </c:pt>
                <c:pt idx="483">
                  <c:v>44335</c:v>
                </c:pt>
                <c:pt idx="484">
                  <c:v>44336</c:v>
                </c:pt>
                <c:pt idx="485">
                  <c:v>44337</c:v>
                </c:pt>
                <c:pt idx="486">
                  <c:v>44338</c:v>
                </c:pt>
                <c:pt idx="487">
                  <c:v>44339</c:v>
                </c:pt>
                <c:pt idx="488">
                  <c:v>44340</c:v>
                </c:pt>
                <c:pt idx="489">
                  <c:v>44341</c:v>
                </c:pt>
                <c:pt idx="490">
                  <c:v>44342</c:v>
                </c:pt>
                <c:pt idx="491">
                  <c:v>44343</c:v>
                </c:pt>
                <c:pt idx="492">
                  <c:v>44344</c:v>
                </c:pt>
                <c:pt idx="493">
                  <c:v>44345</c:v>
                </c:pt>
                <c:pt idx="494">
                  <c:v>44346</c:v>
                </c:pt>
                <c:pt idx="495">
                  <c:v>44347</c:v>
                </c:pt>
                <c:pt idx="496">
                  <c:v>44348</c:v>
                </c:pt>
                <c:pt idx="497">
                  <c:v>44349</c:v>
                </c:pt>
                <c:pt idx="498">
                  <c:v>44350</c:v>
                </c:pt>
                <c:pt idx="499">
                  <c:v>44351</c:v>
                </c:pt>
                <c:pt idx="500">
                  <c:v>44352</c:v>
                </c:pt>
                <c:pt idx="501">
                  <c:v>44353</c:v>
                </c:pt>
                <c:pt idx="502">
                  <c:v>44354</c:v>
                </c:pt>
                <c:pt idx="503">
                  <c:v>44355</c:v>
                </c:pt>
                <c:pt idx="504">
                  <c:v>44356</c:v>
                </c:pt>
                <c:pt idx="505">
                  <c:v>44357</c:v>
                </c:pt>
                <c:pt idx="506">
                  <c:v>44358</c:v>
                </c:pt>
                <c:pt idx="507">
                  <c:v>44359</c:v>
                </c:pt>
                <c:pt idx="508">
                  <c:v>44360</c:v>
                </c:pt>
                <c:pt idx="509">
                  <c:v>44361</c:v>
                </c:pt>
                <c:pt idx="510">
                  <c:v>44362</c:v>
                </c:pt>
                <c:pt idx="511">
                  <c:v>44363</c:v>
                </c:pt>
                <c:pt idx="512">
                  <c:v>44364</c:v>
                </c:pt>
                <c:pt idx="513">
                  <c:v>44365</c:v>
                </c:pt>
                <c:pt idx="514">
                  <c:v>44366</c:v>
                </c:pt>
                <c:pt idx="515">
                  <c:v>44367</c:v>
                </c:pt>
                <c:pt idx="516">
                  <c:v>44368</c:v>
                </c:pt>
                <c:pt idx="517">
                  <c:v>44369</c:v>
                </c:pt>
                <c:pt idx="518">
                  <c:v>44370</c:v>
                </c:pt>
                <c:pt idx="519">
                  <c:v>44371</c:v>
                </c:pt>
                <c:pt idx="520">
                  <c:v>44372</c:v>
                </c:pt>
                <c:pt idx="521">
                  <c:v>44373</c:v>
                </c:pt>
                <c:pt idx="522">
                  <c:v>44374</c:v>
                </c:pt>
                <c:pt idx="523">
                  <c:v>44375</c:v>
                </c:pt>
                <c:pt idx="524">
                  <c:v>44376</c:v>
                </c:pt>
                <c:pt idx="525">
                  <c:v>44377</c:v>
                </c:pt>
                <c:pt idx="526">
                  <c:v>44378</c:v>
                </c:pt>
                <c:pt idx="527">
                  <c:v>44379</c:v>
                </c:pt>
                <c:pt idx="528">
                  <c:v>44380</c:v>
                </c:pt>
                <c:pt idx="529">
                  <c:v>44381</c:v>
                </c:pt>
                <c:pt idx="530">
                  <c:v>44382</c:v>
                </c:pt>
                <c:pt idx="531">
                  <c:v>44383</c:v>
                </c:pt>
                <c:pt idx="532">
                  <c:v>44384</c:v>
                </c:pt>
                <c:pt idx="533">
                  <c:v>44385</c:v>
                </c:pt>
                <c:pt idx="534">
                  <c:v>44386</c:v>
                </c:pt>
                <c:pt idx="535">
                  <c:v>44387</c:v>
                </c:pt>
                <c:pt idx="536">
                  <c:v>44388</c:v>
                </c:pt>
                <c:pt idx="537">
                  <c:v>44389</c:v>
                </c:pt>
                <c:pt idx="538">
                  <c:v>44390</c:v>
                </c:pt>
                <c:pt idx="539">
                  <c:v>44391</c:v>
                </c:pt>
                <c:pt idx="540">
                  <c:v>44392</c:v>
                </c:pt>
                <c:pt idx="541">
                  <c:v>44393</c:v>
                </c:pt>
                <c:pt idx="542">
                  <c:v>44394</c:v>
                </c:pt>
                <c:pt idx="543">
                  <c:v>44395</c:v>
                </c:pt>
                <c:pt idx="544">
                  <c:v>44396</c:v>
                </c:pt>
                <c:pt idx="545">
                  <c:v>44397</c:v>
                </c:pt>
                <c:pt idx="546">
                  <c:v>44398</c:v>
                </c:pt>
                <c:pt idx="547">
                  <c:v>44399</c:v>
                </c:pt>
                <c:pt idx="548">
                  <c:v>44400</c:v>
                </c:pt>
                <c:pt idx="549">
                  <c:v>44401</c:v>
                </c:pt>
                <c:pt idx="550">
                  <c:v>44402</c:v>
                </c:pt>
                <c:pt idx="551">
                  <c:v>44403</c:v>
                </c:pt>
                <c:pt idx="552">
                  <c:v>44404</c:v>
                </c:pt>
                <c:pt idx="553">
                  <c:v>44405</c:v>
                </c:pt>
                <c:pt idx="554">
                  <c:v>44406</c:v>
                </c:pt>
                <c:pt idx="555">
                  <c:v>44407</c:v>
                </c:pt>
                <c:pt idx="556">
                  <c:v>44408</c:v>
                </c:pt>
                <c:pt idx="557">
                  <c:v>44409</c:v>
                </c:pt>
                <c:pt idx="558">
                  <c:v>44410</c:v>
                </c:pt>
                <c:pt idx="559">
                  <c:v>44411</c:v>
                </c:pt>
                <c:pt idx="560">
                  <c:v>44412</c:v>
                </c:pt>
                <c:pt idx="561">
                  <c:v>44413</c:v>
                </c:pt>
                <c:pt idx="562">
                  <c:v>44414</c:v>
                </c:pt>
                <c:pt idx="563">
                  <c:v>44415</c:v>
                </c:pt>
                <c:pt idx="564">
                  <c:v>44416</c:v>
                </c:pt>
                <c:pt idx="565">
                  <c:v>44417</c:v>
                </c:pt>
                <c:pt idx="566">
                  <c:v>44418</c:v>
                </c:pt>
                <c:pt idx="567">
                  <c:v>44419</c:v>
                </c:pt>
                <c:pt idx="568">
                  <c:v>44420</c:v>
                </c:pt>
                <c:pt idx="569">
                  <c:v>44421</c:v>
                </c:pt>
                <c:pt idx="570">
                  <c:v>44422</c:v>
                </c:pt>
                <c:pt idx="571">
                  <c:v>44423</c:v>
                </c:pt>
                <c:pt idx="572">
                  <c:v>44424</c:v>
                </c:pt>
                <c:pt idx="573">
                  <c:v>44425</c:v>
                </c:pt>
                <c:pt idx="574">
                  <c:v>44426</c:v>
                </c:pt>
                <c:pt idx="575">
                  <c:v>44427</c:v>
                </c:pt>
                <c:pt idx="576">
                  <c:v>44428</c:v>
                </c:pt>
                <c:pt idx="577">
                  <c:v>44429</c:v>
                </c:pt>
                <c:pt idx="578">
                  <c:v>44430</c:v>
                </c:pt>
                <c:pt idx="579">
                  <c:v>44431</c:v>
                </c:pt>
                <c:pt idx="580">
                  <c:v>44432</c:v>
                </c:pt>
                <c:pt idx="581">
                  <c:v>44433</c:v>
                </c:pt>
                <c:pt idx="582">
                  <c:v>44434</c:v>
                </c:pt>
                <c:pt idx="583">
                  <c:v>44435</c:v>
                </c:pt>
                <c:pt idx="584">
                  <c:v>44436</c:v>
                </c:pt>
                <c:pt idx="585">
                  <c:v>44437</c:v>
                </c:pt>
                <c:pt idx="586">
                  <c:v>44438</c:v>
                </c:pt>
                <c:pt idx="587">
                  <c:v>44439</c:v>
                </c:pt>
                <c:pt idx="588">
                  <c:v>44440</c:v>
                </c:pt>
                <c:pt idx="589">
                  <c:v>44441</c:v>
                </c:pt>
                <c:pt idx="590">
                  <c:v>44442</c:v>
                </c:pt>
                <c:pt idx="591">
                  <c:v>44443</c:v>
                </c:pt>
                <c:pt idx="592">
                  <c:v>44444</c:v>
                </c:pt>
                <c:pt idx="593">
                  <c:v>44445</c:v>
                </c:pt>
                <c:pt idx="594">
                  <c:v>44446</c:v>
                </c:pt>
                <c:pt idx="595">
                  <c:v>44447</c:v>
                </c:pt>
                <c:pt idx="596">
                  <c:v>44448</c:v>
                </c:pt>
                <c:pt idx="597">
                  <c:v>44449</c:v>
                </c:pt>
                <c:pt idx="598">
                  <c:v>44450</c:v>
                </c:pt>
                <c:pt idx="599">
                  <c:v>44451</c:v>
                </c:pt>
                <c:pt idx="600">
                  <c:v>44452</c:v>
                </c:pt>
                <c:pt idx="601">
                  <c:v>44453</c:v>
                </c:pt>
                <c:pt idx="602">
                  <c:v>44454</c:v>
                </c:pt>
                <c:pt idx="603">
                  <c:v>44455</c:v>
                </c:pt>
                <c:pt idx="604">
                  <c:v>44456</c:v>
                </c:pt>
                <c:pt idx="605">
                  <c:v>44457</c:v>
                </c:pt>
                <c:pt idx="606">
                  <c:v>44458</c:v>
                </c:pt>
                <c:pt idx="607">
                  <c:v>44459</c:v>
                </c:pt>
                <c:pt idx="608">
                  <c:v>44460</c:v>
                </c:pt>
                <c:pt idx="609">
                  <c:v>44461</c:v>
                </c:pt>
                <c:pt idx="610">
                  <c:v>44462</c:v>
                </c:pt>
                <c:pt idx="611">
                  <c:v>44463</c:v>
                </c:pt>
                <c:pt idx="612">
                  <c:v>44464</c:v>
                </c:pt>
                <c:pt idx="613">
                  <c:v>44465</c:v>
                </c:pt>
                <c:pt idx="614">
                  <c:v>44466</c:v>
                </c:pt>
                <c:pt idx="615">
                  <c:v>44467</c:v>
                </c:pt>
                <c:pt idx="616">
                  <c:v>44468</c:v>
                </c:pt>
                <c:pt idx="617">
                  <c:v>44469</c:v>
                </c:pt>
                <c:pt idx="618">
                  <c:v>44470</c:v>
                </c:pt>
                <c:pt idx="619">
                  <c:v>44471</c:v>
                </c:pt>
                <c:pt idx="620">
                  <c:v>44472</c:v>
                </c:pt>
                <c:pt idx="621">
                  <c:v>44473</c:v>
                </c:pt>
                <c:pt idx="622">
                  <c:v>44474</c:v>
                </c:pt>
                <c:pt idx="623">
                  <c:v>44475</c:v>
                </c:pt>
                <c:pt idx="624">
                  <c:v>44476</c:v>
                </c:pt>
                <c:pt idx="625">
                  <c:v>44477</c:v>
                </c:pt>
                <c:pt idx="626">
                  <c:v>44478</c:v>
                </c:pt>
                <c:pt idx="627">
                  <c:v>44479</c:v>
                </c:pt>
                <c:pt idx="628">
                  <c:v>44480</c:v>
                </c:pt>
                <c:pt idx="629">
                  <c:v>44481</c:v>
                </c:pt>
                <c:pt idx="630">
                  <c:v>44482</c:v>
                </c:pt>
                <c:pt idx="631">
                  <c:v>44483</c:v>
                </c:pt>
                <c:pt idx="632">
                  <c:v>44484</c:v>
                </c:pt>
                <c:pt idx="633">
                  <c:v>44485</c:v>
                </c:pt>
                <c:pt idx="634">
                  <c:v>44486</c:v>
                </c:pt>
                <c:pt idx="635">
                  <c:v>44487</c:v>
                </c:pt>
                <c:pt idx="636">
                  <c:v>44488</c:v>
                </c:pt>
                <c:pt idx="637">
                  <c:v>44489</c:v>
                </c:pt>
                <c:pt idx="638">
                  <c:v>44490</c:v>
                </c:pt>
                <c:pt idx="639">
                  <c:v>44491</c:v>
                </c:pt>
                <c:pt idx="640">
                  <c:v>44492</c:v>
                </c:pt>
                <c:pt idx="641">
                  <c:v>44493</c:v>
                </c:pt>
                <c:pt idx="642">
                  <c:v>44494</c:v>
                </c:pt>
                <c:pt idx="643">
                  <c:v>44495</c:v>
                </c:pt>
                <c:pt idx="644">
                  <c:v>44496</c:v>
                </c:pt>
                <c:pt idx="645">
                  <c:v>44497</c:v>
                </c:pt>
                <c:pt idx="646">
                  <c:v>44498</c:v>
                </c:pt>
                <c:pt idx="647">
                  <c:v>44499</c:v>
                </c:pt>
                <c:pt idx="648">
                  <c:v>44500</c:v>
                </c:pt>
                <c:pt idx="649">
                  <c:v>44501</c:v>
                </c:pt>
                <c:pt idx="650">
                  <c:v>44502</c:v>
                </c:pt>
                <c:pt idx="651">
                  <c:v>44503</c:v>
                </c:pt>
                <c:pt idx="652">
                  <c:v>44504</c:v>
                </c:pt>
                <c:pt idx="653">
                  <c:v>44505</c:v>
                </c:pt>
                <c:pt idx="654">
                  <c:v>44506</c:v>
                </c:pt>
                <c:pt idx="655">
                  <c:v>44507</c:v>
                </c:pt>
                <c:pt idx="656">
                  <c:v>44508</c:v>
                </c:pt>
                <c:pt idx="657">
                  <c:v>44509</c:v>
                </c:pt>
                <c:pt idx="658">
                  <c:v>44510</c:v>
                </c:pt>
                <c:pt idx="659">
                  <c:v>44511</c:v>
                </c:pt>
                <c:pt idx="660">
                  <c:v>44512</c:v>
                </c:pt>
                <c:pt idx="661">
                  <c:v>44513</c:v>
                </c:pt>
                <c:pt idx="662">
                  <c:v>44514</c:v>
                </c:pt>
                <c:pt idx="663">
                  <c:v>44515</c:v>
                </c:pt>
                <c:pt idx="664">
                  <c:v>44516</c:v>
                </c:pt>
                <c:pt idx="665">
                  <c:v>44517</c:v>
                </c:pt>
                <c:pt idx="666">
                  <c:v>44518</c:v>
                </c:pt>
                <c:pt idx="667">
                  <c:v>44519</c:v>
                </c:pt>
                <c:pt idx="668">
                  <c:v>44520</c:v>
                </c:pt>
                <c:pt idx="669">
                  <c:v>44521</c:v>
                </c:pt>
                <c:pt idx="670">
                  <c:v>44522</c:v>
                </c:pt>
                <c:pt idx="671">
                  <c:v>44523</c:v>
                </c:pt>
                <c:pt idx="672">
                  <c:v>44524</c:v>
                </c:pt>
                <c:pt idx="673">
                  <c:v>44525</c:v>
                </c:pt>
                <c:pt idx="674">
                  <c:v>44526</c:v>
                </c:pt>
                <c:pt idx="675">
                  <c:v>44527</c:v>
                </c:pt>
                <c:pt idx="676">
                  <c:v>44528</c:v>
                </c:pt>
                <c:pt idx="677">
                  <c:v>44529</c:v>
                </c:pt>
                <c:pt idx="678">
                  <c:v>44530</c:v>
                </c:pt>
                <c:pt idx="679">
                  <c:v>44531</c:v>
                </c:pt>
                <c:pt idx="680">
                  <c:v>44532</c:v>
                </c:pt>
                <c:pt idx="681">
                  <c:v>44533</c:v>
                </c:pt>
                <c:pt idx="682">
                  <c:v>44534</c:v>
                </c:pt>
                <c:pt idx="683">
                  <c:v>44535</c:v>
                </c:pt>
                <c:pt idx="684">
                  <c:v>44536</c:v>
                </c:pt>
                <c:pt idx="685">
                  <c:v>44537</c:v>
                </c:pt>
                <c:pt idx="686">
                  <c:v>44538</c:v>
                </c:pt>
                <c:pt idx="687">
                  <c:v>44539</c:v>
                </c:pt>
                <c:pt idx="688">
                  <c:v>44540</c:v>
                </c:pt>
                <c:pt idx="689">
                  <c:v>44541</c:v>
                </c:pt>
                <c:pt idx="690">
                  <c:v>44542</c:v>
                </c:pt>
                <c:pt idx="691">
                  <c:v>44543</c:v>
                </c:pt>
                <c:pt idx="692">
                  <c:v>44544</c:v>
                </c:pt>
                <c:pt idx="693">
                  <c:v>44545</c:v>
                </c:pt>
                <c:pt idx="694">
                  <c:v>44546</c:v>
                </c:pt>
                <c:pt idx="695">
                  <c:v>44547</c:v>
                </c:pt>
                <c:pt idx="696">
                  <c:v>44548</c:v>
                </c:pt>
                <c:pt idx="697">
                  <c:v>44549</c:v>
                </c:pt>
                <c:pt idx="698">
                  <c:v>44550</c:v>
                </c:pt>
                <c:pt idx="699">
                  <c:v>44551</c:v>
                </c:pt>
                <c:pt idx="700">
                  <c:v>44552</c:v>
                </c:pt>
                <c:pt idx="701">
                  <c:v>44553</c:v>
                </c:pt>
                <c:pt idx="702">
                  <c:v>44554</c:v>
                </c:pt>
                <c:pt idx="703">
                  <c:v>44555</c:v>
                </c:pt>
                <c:pt idx="704">
                  <c:v>44556</c:v>
                </c:pt>
                <c:pt idx="705">
                  <c:v>44557</c:v>
                </c:pt>
                <c:pt idx="706">
                  <c:v>44558</c:v>
                </c:pt>
                <c:pt idx="707">
                  <c:v>44559</c:v>
                </c:pt>
                <c:pt idx="708">
                  <c:v>44560</c:v>
                </c:pt>
                <c:pt idx="709">
                  <c:v>44561</c:v>
                </c:pt>
                <c:pt idx="710">
                  <c:v>44562</c:v>
                </c:pt>
                <c:pt idx="711">
                  <c:v>44563</c:v>
                </c:pt>
                <c:pt idx="712">
                  <c:v>44564</c:v>
                </c:pt>
                <c:pt idx="713">
                  <c:v>44565</c:v>
                </c:pt>
                <c:pt idx="714">
                  <c:v>44566</c:v>
                </c:pt>
                <c:pt idx="715">
                  <c:v>44567</c:v>
                </c:pt>
                <c:pt idx="716">
                  <c:v>44568</c:v>
                </c:pt>
                <c:pt idx="717">
                  <c:v>44569</c:v>
                </c:pt>
                <c:pt idx="718">
                  <c:v>44570</c:v>
                </c:pt>
                <c:pt idx="719">
                  <c:v>44571</c:v>
                </c:pt>
                <c:pt idx="720">
                  <c:v>44572</c:v>
                </c:pt>
                <c:pt idx="721">
                  <c:v>44573</c:v>
                </c:pt>
                <c:pt idx="722">
                  <c:v>44574</c:v>
                </c:pt>
                <c:pt idx="723">
                  <c:v>44575</c:v>
                </c:pt>
                <c:pt idx="724">
                  <c:v>44576</c:v>
                </c:pt>
                <c:pt idx="725">
                  <c:v>44577</c:v>
                </c:pt>
                <c:pt idx="726">
                  <c:v>44578</c:v>
                </c:pt>
                <c:pt idx="727">
                  <c:v>44579</c:v>
                </c:pt>
                <c:pt idx="728">
                  <c:v>44580</c:v>
                </c:pt>
                <c:pt idx="729">
                  <c:v>44581</c:v>
                </c:pt>
                <c:pt idx="730">
                  <c:v>44582</c:v>
                </c:pt>
                <c:pt idx="731">
                  <c:v>44583</c:v>
                </c:pt>
                <c:pt idx="732">
                  <c:v>44584</c:v>
                </c:pt>
                <c:pt idx="733">
                  <c:v>44585</c:v>
                </c:pt>
                <c:pt idx="734">
                  <c:v>44586</c:v>
                </c:pt>
                <c:pt idx="735">
                  <c:v>44587</c:v>
                </c:pt>
                <c:pt idx="736">
                  <c:v>44588</c:v>
                </c:pt>
                <c:pt idx="737">
                  <c:v>44589</c:v>
                </c:pt>
                <c:pt idx="738">
                  <c:v>44590</c:v>
                </c:pt>
                <c:pt idx="739">
                  <c:v>44591</c:v>
                </c:pt>
                <c:pt idx="740">
                  <c:v>44592</c:v>
                </c:pt>
                <c:pt idx="741">
                  <c:v>44593</c:v>
                </c:pt>
                <c:pt idx="742">
                  <c:v>44594</c:v>
                </c:pt>
                <c:pt idx="743">
                  <c:v>44595</c:v>
                </c:pt>
                <c:pt idx="744">
                  <c:v>44596</c:v>
                </c:pt>
                <c:pt idx="745">
                  <c:v>44597</c:v>
                </c:pt>
                <c:pt idx="746">
                  <c:v>44598</c:v>
                </c:pt>
                <c:pt idx="747">
                  <c:v>44599</c:v>
                </c:pt>
                <c:pt idx="748">
                  <c:v>44600</c:v>
                </c:pt>
                <c:pt idx="749">
                  <c:v>44601</c:v>
                </c:pt>
                <c:pt idx="750">
                  <c:v>44602</c:v>
                </c:pt>
                <c:pt idx="751">
                  <c:v>44603</c:v>
                </c:pt>
                <c:pt idx="752">
                  <c:v>44604</c:v>
                </c:pt>
                <c:pt idx="753">
                  <c:v>44605</c:v>
                </c:pt>
                <c:pt idx="754">
                  <c:v>44606</c:v>
                </c:pt>
                <c:pt idx="755">
                  <c:v>44607</c:v>
                </c:pt>
                <c:pt idx="756">
                  <c:v>44608</c:v>
                </c:pt>
                <c:pt idx="757">
                  <c:v>44609</c:v>
                </c:pt>
                <c:pt idx="758">
                  <c:v>44610</c:v>
                </c:pt>
                <c:pt idx="759">
                  <c:v>44611</c:v>
                </c:pt>
                <c:pt idx="760">
                  <c:v>44612</c:v>
                </c:pt>
                <c:pt idx="761">
                  <c:v>44613</c:v>
                </c:pt>
                <c:pt idx="762">
                  <c:v>44614</c:v>
                </c:pt>
                <c:pt idx="763">
                  <c:v>44615</c:v>
                </c:pt>
                <c:pt idx="764">
                  <c:v>44616</c:v>
                </c:pt>
                <c:pt idx="765">
                  <c:v>44617</c:v>
                </c:pt>
                <c:pt idx="766">
                  <c:v>44618</c:v>
                </c:pt>
                <c:pt idx="767">
                  <c:v>44619</c:v>
                </c:pt>
                <c:pt idx="768">
                  <c:v>44620</c:v>
                </c:pt>
                <c:pt idx="769">
                  <c:v>44621</c:v>
                </c:pt>
                <c:pt idx="770">
                  <c:v>44622</c:v>
                </c:pt>
                <c:pt idx="771">
                  <c:v>44623</c:v>
                </c:pt>
                <c:pt idx="772">
                  <c:v>44624</c:v>
                </c:pt>
                <c:pt idx="773">
                  <c:v>44625</c:v>
                </c:pt>
                <c:pt idx="774">
                  <c:v>44626</c:v>
                </c:pt>
                <c:pt idx="775">
                  <c:v>44627</c:v>
                </c:pt>
                <c:pt idx="776">
                  <c:v>44628</c:v>
                </c:pt>
                <c:pt idx="777">
                  <c:v>44629</c:v>
                </c:pt>
                <c:pt idx="778">
                  <c:v>44630</c:v>
                </c:pt>
                <c:pt idx="779">
                  <c:v>44631</c:v>
                </c:pt>
                <c:pt idx="780">
                  <c:v>44632</c:v>
                </c:pt>
                <c:pt idx="781">
                  <c:v>44633</c:v>
                </c:pt>
                <c:pt idx="782">
                  <c:v>44634</c:v>
                </c:pt>
                <c:pt idx="783">
                  <c:v>44635</c:v>
                </c:pt>
                <c:pt idx="784">
                  <c:v>44636</c:v>
                </c:pt>
                <c:pt idx="785">
                  <c:v>44637</c:v>
                </c:pt>
                <c:pt idx="786">
                  <c:v>44638</c:v>
                </c:pt>
                <c:pt idx="787">
                  <c:v>44639</c:v>
                </c:pt>
                <c:pt idx="788">
                  <c:v>44640</c:v>
                </c:pt>
                <c:pt idx="789">
                  <c:v>44641</c:v>
                </c:pt>
                <c:pt idx="790">
                  <c:v>44642</c:v>
                </c:pt>
                <c:pt idx="791">
                  <c:v>44643</c:v>
                </c:pt>
                <c:pt idx="792">
                  <c:v>44644</c:v>
                </c:pt>
                <c:pt idx="793">
                  <c:v>44645</c:v>
                </c:pt>
                <c:pt idx="794">
                  <c:v>44646</c:v>
                </c:pt>
                <c:pt idx="795">
                  <c:v>44647</c:v>
                </c:pt>
                <c:pt idx="796">
                  <c:v>44648</c:v>
                </c:pt>
                <c:pt idx="797">
                  <c:v>44649</c:v>
                </c:pt>
                <c:pt idx="798">
                  <c:v>44650</c:v>
                </c:pt>
                <c:pt idx="799">
                  <c:v>44651</c:v>
                </c:pt>
                <c:pt idx="800">
                  <c:v>44652</c:v>
                </c:pt>
                <c:pt idx="801">
                  <c:v>44653</c:v>
                </c:pt>
                <c:pt idx="802">
                  <c:v>44654</c:v>
                </c:pt>
                <c:pt idx="803">
                  <c:v>44655</c:v>
                </c:pt>
                <c:pt idx="804">
                  <c:v>44656</c:v>
                </c:pt>
                <c:pt idx="805">
                  <c:v>44657</c:v>
                </c:pt>
                <c:pt idx="806">
                  <c:v>44658</c:v>
                </c:pt>
                <c:pt idx="807">
                  <c:v>44659</c:v>
                </c:pt>
                <c:pt idx="808">
                  <c:v>44660</c:v>
                </c:pt>
                <c:pt idx="809">
                  <c:v>44661</c:v>
                </c:pt>
                <c:pt idx="810">
                  <c:v>44662</c:v>
                </c:pt>
                <c:pt idx="811">
                  <c:v>44663</c:v>
                </c:pt>
                <c:pt idx="812">
                  <c:v>44664</c:v>
                </c:pt>
                <c:pt idx="813">
                  <c:v>44665</c:v>
                </c:pt>
                <c:pt idx="814">
                  <c:v>44666</c:v>
                </c:pt>
                <c:pt idx="815">
                  <c:v>44667</c:v>
                </c:pt>
                <c:pt idx="816">
                  <c:v>44668</c:v>
                </c:pt>
                <c:pt idx="817">
                  <c:v>44669</c:v>
                </c:pt>
                <c:pt idx="818">
                  <c:v>44670</c:v>
                </c:pt>
                <c:pt idx="819">
                  <c:v>44671</c:v>
                </c:pt>
                <c:pt idx="820">
                  <c:v>44672</c:v>
                </c:pt>
                <c:pt idx="821">
                  <c:v>44673</c:v>
                </c:pt>
                <c:pt idx="822">
                  <c:v>44674</c:v>
                </c:pt>
                <c:pt idx="823">
                  <c:v>44675</c:v>
                </c:pt>
                <c:pt idx="824">
                  <c:v>44676</c:v>
                </c:pt>
                <c:pt idx="825">
                  <c:v>44677</c:v>
                </c:pt>
                <c:pt idx="826">
                  <c:v>44678</c:v>
                </c:pt>
                <c:pt idx="827">
                  <c:v>44679</c:v>
                </c:pt>
                <c:pt idx="828">
                  <c:v>44680</c:v>
                </c:pt>
                <c:pt idx="829">
                  <c:v>44681</c:v>
                </c:pt>
                <c:pt idx="830">
                  <c:v>44682</c:v>
                </c:pt>
                <c:pt idx="831">
                  <c:v>44683</c:v>
                </c:pt>
                <c:pt idx="832">
                  <c:v>44684</c:v>
                </c:pt>
                <c:pt idx="833">
                  <c:v>44685</c:v>
                </c:pt>
                <c:pt idx="834">
                  <c:v>44686</c:v>
                </c:pt>
                <c:pt idx="835">
                  <c:v>44687</c:v>
                </c:pt>
                <c:pt idx="836">
                  <c:v>44688</c:v>
                </c:pt>
                <c:pt idx="837">
                  <c:v>44689</c:v>
                </c:pt>
                <c:pt idx="838">
                  <c:v>44690</c:v>
                </c:pt>
                <c:pt idx="839">
                  <c:v>44691</c:v>
                </c:pt>
                <c:pt idx="840">
                  <c:v>44692</c:v>
                </c:pt>
                <c:pt idx="841">
                  <c:v>44693</c:v>
                </c:pt>
                <c:pt idx="842">
                  <c:v>44694</c:v>
                </c:pt>
                <c:pt idx="843">
                  <c:v>44695</c:v>
                </c:pt>
                <c:pt idx="844">
                  <c:v>44696</c:v>
                </c:pt>
                <c:pt idx="845">
                  <c:v>44697</c:v>
                </c:pt>
                <c:pt idx="846">
                  <c:v>44698</c:v>
                </c:pt>
                <c:pt idx="847">
                  <c:v>44699</c:v>
                </c:pt>
                <c:pt idx="848">
                  <c:v>44700</c:v>
                </c:pt>
                <c:pt idx="849">
                  <c:v>44701</c:v>
                </c:pt>
                <c:pt idx="850">
                  <c:v>44702</c:v>
                </c:pt>
                <c:pt idx="851">
                  <c:v>44703</c:v>
                </c:pt>
                <c:pt idx="852">
                  <c:v>44704</c:v>
                </c:pt>
                <c:pt idx="853">
                  <c:v>44705</c:v>
                </c:pt>
                <c:pt idx="854">
                  <c:v>44706</c:v>
                </c:pt>
                <c:pt idx="855">
                  <c:v>44707</c:v>
                </c:pt>
                <c:pt idx="856">
                  <c:v>44708</c:v>
                </c:pt>
                <c:pt idx="857">
                  <c:v>44709</c:v>
                </c:pt>
                <c:pt idx="858">
                  <c:v>44710</c:v>
                </c:pt>
                <c:pt idx="859">
                  <c:v>44711</c:v>
                </c:pt>
                <c:pt idx="860">
                  <c:v>44712</c:v>
                </c:pt>
                <c:pt idx="861">
                  <c:v>44713</c:v>
                </c:pt>
                <c:pt idx="862">
                  <c:v>44714</c:v>
                </c:pt>
                <c:pt idx="863">
                  <c:v>44715</c:v>
                </c:pt>
                <c:pt idx="864">
                  <c:v>44716</c:v>
                </c:pt>
                <c:pt idx="865">
                  <c:v>44717</c:v>
                </c:pt>
                <c:pt idx="866">
                  <c:v>44718</c:v>
                </c:pt>
                <c:pt idx="867">
                  <c:v>44719</c:v>
                </c:pt>
                <c:pt idx="868">
                  <c:v>44720</c:v>
                </c:pt>
                <c:pt idx="869">
                  <c:v>44721</c:v>
                </c:pt>
                <c:pt idx="870">
                  <c:v>44722</c:v>
                </c:pt>
                <c:pt idx="871">
                  <c:v>44723</c:v>
                </c:pt>
                <c:pt idx="872">
                  <c:v>44724</c:v>
                </c:pt>
                <c:pt idx="873">
                  <c:v>44725</c:v>
                </c:pt>
                <c:pt idx="874">
                  <c:v>44726</c:v>
                </c:pt>
                <c:pt idx="875">
                  <c:v>44727</c:v>
                </c:pt>
                <c:pt idx="876">
                  <c:v>44728</c:v>
                </c:pt>
                <c:pt idx="877">
                  <c:v>44729</c:v>
                </c:pt>
                <c:pt idx="878">
                  <c:v>44730</c:v>
                </c:pt>
                <c:pt idx="879">
                  <c:v>44731</c:v>
                </c:pt>
                <c:pt idx="880">
                  <c:v>44732</c:v>
                </c:pt>
                <c:pt idx="881">
                  <c:v>44733</c:v>
                </c:pt>
                <c:pt idx="882">
                  <c:v>44734</c:v>
                </c:pt>
                <c:pt idx="883">
                  <c:v>44735</c:v>
                </c:pt>
                <c:pt idx="884">
                  <c:v>44736</c:v>
                </c:pt>
                <c:pt idx="885">
                  <c:v>44737</c:v>
                </c:pt>
                <c:pt idx="886">
                  <c:v>44738</c:v>
                </c:pt>
                <c:pt idx="887">
                  <c:v>44739</c:v>
                </c:pt>
                <c:pt idx="888">
                  <c:v>44740</c:v>
                </c:pt>
                <c:pt idx="889">
                  <c:v>44741</c:v>
                </c:pt>
                <c:pt idx="890">
                  <c:v>44742</c:v>
                </c:pt>
                <c:pt idx="891">
                  <c:v>44743</c:v>
                </c:pt>
                <c:pt idx="892">
                  <c:v>44744</c:v>
                </c:pt>
                <c:pt idx="893">
                  <c:v>44745</c:v>
                </c:pt>
                <c:pt idx="894">
                  <c:v>44746</c:v>
                </c:pt>
                <c:pt idx="895">
                  <c:v>44747</c:v>
                </c:pt>
                <c:pt idx="896">
                  <c:v>44748</c:v>
                </c:pt>
                <c:pt idx="897">
                  <c:v>44749</c:v>
                </c:pt>
                <c:pt idx="898">
                  <c:v>44750</c:v>
                </c:pt>
                <c:pt idx="899">
                  <c:v>44751</c:v>
                </c:pt>
                <c:pt idx="900">
                  <c:v>44752</c:v>
                </c:pt>
                <c:pt idx="901">
                  <c:v>44753</c:v>
                </c:pt>
                <c:pt idx="902">
                  <c:v>44754</c:v>
                </c:pt>
                <c:pt idx="903">
                  <c:v>44755</c:v>
                </c:pt>
                <c:pt idx="904">
                  <c:v>44756</c:v>
                </c:pt>
                <c:pt idx="905">
                  <c:v>44757</c:v>
                </c:pt>
                <c:pt idx="906">
                  <c:v>44758</c:v>
                </c:pt>
                <c:pt idx="907">
                  <c:v>44759</c:v>
                </c:pt>
                <c:pt idx="908">
                  <c:v>44760</c:v>
                </c:pt>
                <c:pt idx="909">
                  <c:v>44761</c:v>
                </c:pt>
                <c:pt idx="910">
                  <c:v>44762</c:v>
                </c:pt>
                <c:pt idx="911">
                  <c:v>44763</c:v>
                </c:pt>
                <c:pt idx="912">
                  <c:v>44764</c:v>
                </c:pt>
                <c:pt idx="913">
                  <c:v>44765</c:v>
                </c:pt>
                <c:pt idx="914">
                  <c:v>44766</c:v>
                </c:pt>
                <c:pt idx="915">
                  <c:v>44767</c:v>
                </c:pt>
                <c:pt idx="916">
                  <c:v>44768</c:v>
                </c:pt>
                <c:pt idx="917">
                  <c:v>44769</c:v>
                </c:pt>
                <c:pt idx="918">
                  <c:v>44770</c:v>
                </c:pt>
                <c:pt idx="919">
                  <c:v>44771</c:v>
                </c:pt>
                <c:pt idx="920">
                  <c:v>44772</c:v>
                </c:pt>
                <c:pt idx="921">
                  <c:v>44773</c:v>
                </c:pt>
                <c:pt idx="922">
                  <c:v>44774</c:v>
                </c:pt>
                <c:pt idx="923">
                  <c:v>44775</c:v>
                </c:pt>
                <c:pt idx="924">
                  <c:v>44776</c:v>
                </c:pt>
                <c:pt idx="925">
                  <c:v>44777</c:v>
                </c:pt>
                <c:pt idx="926">
                  <c:v>44778</c:v>
                </c:pt>
                <c:pt idx="927">
                  <c:v>44779</c:v>
                </c:pt>
                <c:pt idx="928">
                  <c:v>44780</c:v>
                </c:pt>
                <c:pt idx="929">
                  <c:v>44781</c:v>
                </c:pt>
                <c:pt idx="930">
                  <c:v>44782</c:v>
                </c:pt>
                <c:pt idx="931">
                  <c:v>44783</c:v>
                </c:pt>
                <c:pt idx="932">
                  <c:v>44784</c:v>
                </c:pt>
                <c:pt idx="933">
                  <c:v>44785</c:v>
                </c:pt>
                <c:pt idx="934">
                  <c:v>44786</c:v>
                </c:pt>
                <c:pt idx="935">
                  <c:v>44787</c:v>
                </c:pt>
                <c:pt idx="936">
                  <c:v>44788</c:v>
                </c:pt>
                <c:pt idx="937">
                  <c:v>44789</c:v>
                </c:pt>
                <c:pt idx="938">
                  <c:v>44790</c:v>
                </c:pt>
                <c:pt idx="939">
                  <c:v>44791</c:v>
                </c:pt>
                <c:pt idx="940">
                  <c:v>44792</c:v>
                </c:pt>
                <c:pt idx="941">
                  <c:v>44793</c:v>
                </c:pt>
                <c:pt idx="942">
                  <c:v>44794</c:v>
                </c:pt>
                <c:pt idx="943">
                  <c:v>44795</c:v>
                </c:pt>
                <c:pt idx="944">
                  <c:v>44796</c:v>
                </c:pt>
                <c:pt idx="945">
                  <c:v>44797</c:v>
                </c:pt>
                <c:pt idx="946">
                  <c:v>44798</c:v>
                </c:pt>
                <c:pt idx="947">
                  <c:v>44799</c:v>
                </c:pt>
                <c:pt idx="948">
                  <c:v>44800</c:v>
                </c:pt>
                <c:pt idx="949">
                  <c:v>44801</c:v>
                </c:pt>
                <c:pt idx="950">
                  <c:v>44802</c:v>
                </c:pt>
                <c:pt idx="951">
                  <c:v>44803</c:v>
                </c:pt>
                <c:pt idx="952">
                  <c:v>44804</c:v>
                </c:pt>
                <c:pt idx="953">
                  <c:v>44805</c:v>
                </c:pt>
                <c:pt idx="954">
                  <c:v>44806</c:v>
                </c:pt>
                <c:pt idx="955">
                  <c:v>44807</c:v>
                </c:pt>
                <c:pt idx="956">
                  <c:v>44808</c:v>
                </c:pt>
                <c:pt idx="957">
                  <c:v>44809</c:v>
                </c:pt>
                <c:pt idx="958">
                  <c:v>44810</c:v>
                </c:pt>
                <c:pt idx="959">
                  <c:v>44811</c:v>
                </c:pt>
                <c:pt idx="960">
                  <c:v>44812</c:v>
                </c:pt>
                <c:pt idx="961">
                  <c:v>44813</c:v>
                </c:pt>
                <c:pt idx="962">
                  <c:v>44814</c:v>
                </c:pt>
                <c:pt idx="963">
                  <c:v>44815</c:v>
                </c:pt>
                <c:pt idx="964">
                  <c:v>44816</c:v>
                </c:pt>
                <c:pt idx="965">
                  <c:v>44817</c:v>
                </c:pt>
                <c:pt idx="966">
                  <c:v>44818</c:v>
                </c:pt>
                <c:pt idx="967">
                  <c:v>44819</c:v>
                </c:pt>
                <c:pt idx="968">
                  <c:v>44820</c:v>
                </c:pt>
                <c:pt idx="969">
                  <c:v>44821</c:v>
                </c:pt>
                <c:pt idx="970">
                  <c:v>44822</c:v>
                </c:pt>
                <c:pt idx="971">
                  <c:v>44823</c:v>
                </c:pt>
                <c:pt idx="972">
                  <c:v>44824</c:v>
                </c:pt>
                <c:pt idx="973">
                  <c:v>44825</c:v>
                </c:pt>
                <c:pt idx="974">
                  <c:v>44826</c:v>
                </c:pt>
                <c:pt idx="975">
                  <c:v>44827</c:v>
                </c:pt>
                <c:pt idx="976">
                  <c:v>44828</c:v>
                </c:pt>
                <c:pt idx="977">
                  <c:v>44829</c:v>
                </c:pt>
                <c:pt idx="978">
                  <c:v>44830</c:v>
                </c:pt>
                <c:pt idx="979">
                  <c:v>44831</c:v>
                </c:pt>
                <c:pt idx="980">
                  <c:v>44832</c:v>
                </c:pt>
                <c:pt idx="981">
                  <c:v>44833</c:v>
                </c:pt>
                <c:pt idx="982">
                  <c:v>44834</c:v>
                </c:pt>
                <c:pt idx="983">
                  <c:v>44835</c:v>
                </c:pt>
                <c:pt idx="984">
                  <c:v>44836</c:v>
                </c:pt>
                <c:pt idx="985">
                  <c:v>44837</c:v>
                </c:pt>
                <c:pt idx="986">
                  <c:v>44838</c:v>
                </c:pt>
                <c:pt idx="987">
                  <c:v>#N/A</c:v>
                </c:pt>
                <c:pt idx="988">
                  <c:v>#N/A</c:v>
                </c:pt>
                <c:pt idx="989">
                  <c:v>#N/A</c:v>
                </c:pt>
                <c:pt idx="990">
                  <c:v>#N/A</c:v>
                </c:pt>
                <c:pt idx="991">
                  <c:v>#N/A</c:v>
                </c:pt>
                <c:pt idx="992">
                  <c:v>#N/A</c:v>
                </c:pt>
                <c:pt idx="993">
                  <c:v>#N/A</c:v>
                </c:pt>
                <c:pt idx="994">
                  <c:v>#N/A</c:v>
                </c:pt>
              </c:numCache>
            </c:numRef>
          </c:cat>
          <c:val>
            <c:numRef>
              <c:f>'COVID-19 cases - data'!$B$24:$ALH$24</c:f>
              <c:numCache>
                <c:formatCode>General</c:formatCode>
                <c:ptCount val="995"/>
                <c:pt idx="7">
                  <c:v>1.4285714285714299</c:v>
                </c:pt>
                <c:pt idx="8">
                  <c:v>1.4285714285714299</c:v>
                </c:pt>
                <c:pt idx="9">
                  <c:v>2.1428571428571401</c:v>
                </c:pt>
                <c:pt idx="10">
                  <c:v>2.8571428571428599</c:v>
                </c:pt>
                <c:pt idx="11">
                  <c:v>3.1428571428571401</c:v>
                </c:pt>
                <c:pt idx="12">
                  <c:v>4.1428571428571397</c:v>
                </c:pt>
                <c:pt idx="13">
                  <c:v>3.71428571428571</c:v>
                </c:pt>
                <c:pt idx="14">
                  <c:v>3.5714285714285698</c:v>
                </c:pt>
                <c:pt idx="15">
                  <c:v>3.5714285714285698</c:v>
                </c:pt>
                <c:pt idx="16">
                  <c:v>2.8571428571428599</c:v>
                </c:pt>
                <c:pt idx="17">
                  <c:v>3.28571428571429</c:v>
                </c:pt>
                <c:pt idx="18">
                  <c:v>3.4285714285714302</c:v>
                </c:pt>
                <c:pt idx="19">
                  <c:v>2.28571428571429</c:v>
                </c:pt>
                <c:pt idx="20">
                  <c:v>2.71428571428571</c:v>
                </c:pt>
                <c:pt idx="21">
                  <c:v>2.71428571428571</c:v>
                </c:pt>
                <c:pt idx="22">
                  <c:v>2.8571428571428599</c:v>
                </c:pt>
                <c:pt idx="23">
                  <c:v>2.71428571428571</c:v>
                </c:pt>
                <c:pt idx="24">
                  <c:v>1.5714285714285701</c:v>
                </c:pt>
                <c:pt idx="25">
                  <c:v>1.1428571428571399</c:v>
                </c:pt>
                <c:pt idx="26">
                  <c:v>1.28571428571429</c:v>
                </c:pt>
                <c:pt idx="27">
                  <c:v>0.71428571428571397</c:v>
                </c:pt>
                <c:pt idx="28">
                  <c:v>0.71428571428571397</c:v>
                </c:pt>
                <c:pt idx="29">
                  <c:v>0.85714285714285698</c:v>
                </c:pt>
                <c:pt idx="30">
                  <c:v>3.4285714285714302</c:v>
                </c:pt>
                <c:pt idx="31">
                  <c:v>9.28571428571429</c:v>
                </c:pt>
                <c:pt idx="32">
                  <c:v>23.428571428571399</c:v>
                </c:pt>
                <c:pt idx="33">
                  <c:v>34.142857142857103</c:v>
                </c:pt>
                <c:pt idx="34">
                  <c:v>49.428571428571402</c:v>
                </c:pt>
                <c:pt idx="35">
                  <c:v>72</c:v>
                </c:pt>
                <c:pt idx="36">
                  <c:v>107.428571428571</c:v>
                </c:pt>
                <c:pt idx="37">
                  <c:v>152.857142857143</c:v>
                </c:pt>
                <c:pt idx="38">
                  <c:v>197.142857142857</c:v>
                </c:pt>
                <c:pt idx="39">
                  <c:v>291.57142857142901</c:v>
                </c:pt>
                <c:pt idx="40">
                  <c:v>361.42857142857099</c:v>
                </c:pt>
                <c:pt idx="41">
                  <c:v>447.142857142857</c:v>
                </c:pt>
                <c:pt idx="42">
                  <c:v>570.57142857142901</c:v>
                </c:pt>
                <c:pt idx="43">
                  <c:v>724.857142857143</c:v>
                </c:pt>
                <c:pt idx="44">
                  <c:v>934.71428571428601</c:v>
                </c:pt>
                <c:pt idx="45">
                  <c:v>1199.7142857142901</c:v>
                </c:pt>
                <c:pt idx="46">
                  <c:v>1440.7142857142901</c:v>
                </c:pt>
                <c:pt idx="47">
                  <c:v>1830.42857142857</c:v>
                </c:pt>
                <c:pt idx="48">
                  <c:v>2210.5714285714298</c:v>
                </c:pt>
                <c:pt idx="49">
                  <c:v>2812.1428571428601</c:v>
                </c:pt>
                <c:pt idx="50">
                  <c:v>3315.7142857142899</c:v>
                </c:pt>
                <c:pt idx="51">
                  <c:v>4541.8571428571404</c:v>
                </c:pt>
                <c:pt idx="52">
                  <c:v>5363</c:v>
                </c:pt>
                <c:pt idx="53">
                  <c:v>6271.2857142857201</c:v>
                </c:pt>
                <c:pt idx="54">
                  <c:v>7356.5714285714303</c:v>
                </c:pt>
                <c:pt idx="55">
                  <c:v>8414.2857142857192</c:v>
                </c:pt>
                <c:pt idx="56">
                  <c:v>9398.2857142857101</c:v>
                </c:pt>
                <c:pt idx="57">
                  <c:v>11483.4285714286</c:v>
                </c:pt>
                <c:pt idx="58">
                  <c:v>12779.714285714301</c:v>
                </c:pt>
                <c:pt idx="59">
                  <c:v>14856.5714285714</c:v>
                </c:pt>
                <c:pt idx="60">
                  <c:v>16485.857142857101</c:v>
                </c:pt>
                <c:pt idx="61">
                  <c:v>18744.714285714301</c:v>
                </c:pt>
                <c:pt idx="62">
                  <c:v>20858.857142857101</c:v>
                </c:pt>
                <c:pt idx="63">
                  <c:v>23847.857142857101</c:v>
                </c:pt>
                <c:pt idx="64">
                  <c:v>26143.571428571398</c:v>
                </c:pt>
                <c:pt idx="65">
                  <c:v>28698.571428571398</c:v>
                </c:pt>
                <c:pt idx="66">
                  <c:v>31030.285714285699</c:v>
                </c:pt>
                <c:pt idx="67">
                  <c:v>32734.571428571398</c:v>
                </c:pt>
                <c:pt idx="68">
                  <c:v>33841.571428571398</c:v>
                </c:pt>
                <c:pt idx="69">
                  <c:v>35923.428571428602</c:v>
                </c:pt>
                <c:pt idx="70">
                  <c:v>36861</c:v>
                </c:pt>
                <c:pt idx="71">
                  <c:v>37323.428571428602</c:v>
                </c:pt>
                <c:pt idx="72">
                  <c:v>37907.857142857101</c:v>
                </c:pt>
                <c:pt idx="73">
                  <c:v>34880</c:v>
                </c:pt>
                <c:pt idx="74">
                  <c:v>34869</c:v>
                </c:pt>
                <c:pt idx="75">
                  <c:v>34408</c:v>
                </c:pt>
                <c:pt idx="76">
                  <c:v>32643.714285714301</c:v>
                </c:pt>
                <c:pt idx="77">
                  <c:v>32308.571428571398</c:v>
                </c:pt>
                <c:pt idx="78">
                  <c:v>32202.714285714301</c:v>
                </c:pt>
                <c:pt idx="79">
                  <c:v>31678.571428571398</c:v>
                </c:pt>
                <c:pt idx="80">
                  <c:v>34008.285714285703</c:v>
                </c:pt>
                <c:pt idx="81">
                  <c:v>40902.857142857101</c:v>
                </c:pt>
                <c:pt idx="82">
                  <c:v>40737.571428571398</c:v>
                </c:pt>
                <c:pt idx="83">
                  <c:v>42870.142857142899</c:v>
                </c:pt>
                <c:pt idx="84">
                  <c:v>42702.857142857101</c:v>
                </c:pt>
                <c:pt idx="85">
                  <c:v>44322.142857142899</c:v>
                </c:pt>
                <c:pt idx="86">
                  <c:v>44132.571428571398</c:v>
                </c:pt>
                <c:pt idx="87">
                  <c:v>44009.571428571398</c:v>
                </c:pt>
                <c:pt idx="88">
                  <c:v>37500</c:v>
                </c:pt>
                <c:pt idx="89">
                  <c:v>37283.142857142899</c:v>
                </c:pt>
                <c:pt idx="90">
                  <c:v>35873.571428571398</c:v>
                </c:pt>
                <c:pt idx="91">
                  <c:v>35437</c:v>
                </c:pt>
                <c:pt idx="92">
                  <c:v>32490.571428571398</c:v>
                </c:pt>
                <c:pt idx="93">
                  <c:v>30132.571428571398</c:v>
                </c:pt>
                <c:pt idx="94">
                  <c:v>29473.285714285699</c:v>
                </c:pt>
                <c:pt idx="95">
                  <c:v>28047.571428571398</c:v>
                </c:pt>
                <c:pt idx="96">
                  <c:v>27724.571428571398</c:v>
                </c:pt>
                <c:pt idx="97">
                  <c:v>26865.857142857101</c:v>
                </c:pt>
                <c:pt idx="98">
                  <c:v>25643.571428571398</c:v>
                </c:pt>
                <c:pt idx="99">
                  <c:v>25255</c:v>
                </c:pt>
                <c:pt idx="100">
                  <c:v>26096.428571428602</c:v>
                </c:pt>
                <c:pt idx="101">
                  <c:v>25499.285714285699</c:v>
                </c:pt>
                <c:pt idx="102">
                  <c:v>25240.428571428602</c:v>
                </c:pt>
                <c:pt idx="103">
                  <c:v>24795.285714285699</c:v>
                </c:pt>
                <c:pt idx="104">
                  <c:v>24440.857142857101</c:v>
                </c:pt>
                <c:pt idx="105">
                  <c:v>25162.571428571398</c:v>
                </c:pt>
                <c:pt idx="106">
                  <c:v>25324.857142857101</c:v>
                </c:pt>
                <c:pt idx="107">
                  <c:v>25287.571428571398</c:v>
                </c:pt>
                <c:pt idx="108">
                  <c:v>25077.714285714301</c:v>
                </c:pt>
                <c:pt idx="109">
                  <c:v>24865.285714285699</c:v>
                </c:pt>
                <c:pt idx="110">
                  <c:v>25095.714285714301</c:v>
                </c:pt>
                <c:pt idx="111">
                  <c:v>25091.857142857101</c:v>
                </c:pt>
                <c:pt idx="112">
                  <c:v>24057.428571428602</c:v>
                </c:pt>
                <c:pt idx="113">
                  <c:v>23382.285714285699</c:v>
                </c:pt>
                <c:pt idx="114">
                  <c:v>22922.428571428602</c:v>
                </c:pt>
                <c:pt idx="115">
                  <c:v>22452.428571428602</c:v>
                </c:pt>
                <c:pt idx="116">
                  <c:v>21961.428571428602</c:v>
                </c:pt>
                <c:pt idx="117">
                  <c:v>21073.571428571398</c:v>
                </c:pt>
                <c:pt idx="118">
                  <c:v>20393.714285714301</c:v>
                </c:pt>
                <c:pt idx="119">
                  <c:v>19989</c:v>
                </c:pt>
                <c:pt idx="120">
                  <c:v>19502.857142857101</c:v>
                </c:pt>
                <c:pt idx="121">
                  <c:v>19151.428571428602</c:v>
                </c:pt>
                <c:pt idx="122">
                  <c:v>19012</c:v>
                </c:pt>
                <c:pt idx="123">
                  <c:v>18699.142857142899</c:v>
                </c:pt>
                <c:pt idx="124">
                  <c:v>18288.714285714301</c:v>
                </c:pt>
                <c:pt idx="125">
                  <c:v>17986.142857142899</c:v>
                </c:pt>
                <c:pt idx="126">
                  <c:v>17576.714285714301</c:v>
                </c:pt>
                <c:pt idx="127">
                  <c:v>17971.571428571398</c:v>
                </c:pt>
                <c:pt idx="128">
                  <c:v>17749.428571428602</c:v>
                </c:pt>
                <c:pt idx="129">
                  <c:v>17726.857142857101</c:v>
                </c:pt>
                <c:pt idx="130">
                  <c:v>17725.285714285699</c:v>
                </c:pt>
                <c:pt idx="131">
                  <c:v>17768.571428571398</c:v>
                </c:pt>
                <c:pt idx="132">
                  <c:v>17473.571428571398</c:v>
                </c:pt>
                <c:pt idx="133">
                  <c:v>17027.714285714301</c:v>
                </c:pt>
                <c:pt idx="134">
                  <c:v>17008.142857142899</c:v>
                </c:pt>
                <c:pt idx="135">
                  <c:v>16993.285714285699</c:v>
                </c:pt>
                <c:pt idx="136">
                  <c:v>16840.857142857101</c:v>
                </c:pt>
                <c:pt idx="137">
                  <c:v>16943.285714285699</c:v>
                </c:pt>
                <c:pt idx="138">
                  <c:v>16980.142857142899</c:v>
                </c:pt>
                <c:pt idx="139">
                  <c:v>17188</c:v>
                </c:pt>
                <c:pt idx="140">
                  <c:v>17751.571428571398</c:v>
                </c:pt>
                <c:pt idx="141">
                  <c:v>17277</c:v>
                </c:pt>
                <c:pt idx="142">
                  <c:v>17354.142857142899</c:v>
                </c:pt>
                <c:pt idx="143">
                  <c:v>17502.142857142899</c:v>
                </c:pt>
                <c:pt idx="144">
                  <c:v>17586.857142857101</c:v>
                </c:pt>
                <c:pt idx="145">
                  <c:v>17586.428571428602</c:v>
                </c:pt>
                <c:pt idx="146">
                  <c:v>17729</c:v>
                </c:pt>
                <c:pt idx="147">
                  <c:v>17862.857142857101</c:v>
                </c:pt>
                <c:pt idx="148">
                  <c:v>17917.571428571398</c:v>
                </c:pt>
                <c:pt idx="149">
                  <c:v>17823.142857142899</c:v>
                </c:pt>
                <c:pt idx="150">
                  <c:v>17617.428571428602</c:v>
                </c:pt>
                <c:pt idx="151">
                  <c:v>17363</c:v>
                </c:pt>
                <c:pt idx="152">
                  <c:v>17274.571428571398</c:v>
                </c:pt>
                <c:pt idx="153">
                  <c:v>17179.571428571398</c:v>
                </c:pt>
                <c:pt idx="154">
                  <c:v>17157.142857142899</c:v>
                </c:pt>
                <c:pt idx="155">
                  <c:v>17016.428571428602</c:v>
                </c:pt>
                <c:pt idx="156">
                  <c:v>17029.714285714301</c:v>
                </c:pt>
                <c:pt idx="157">
                  <c:v>17020.571428571398</c:v>
                </c:pt>
                <c:pt idx="158">
                  <c:v>16885.142857142899</c:v>
                </c:pt>
                <c:pt idx="159">
                  <c:v>16882.285714285699</c:v>
                </c:pt>
                <c:pt idx="160">
                  <c:v>16671.571428571398</c:v>
                </c:pt>
                <c:pt idx="161">
                  <c:v>16379.5714285714</c:v>
                </c:pt>
                <c:pt idx="162">
                  <c:v>16254.285714285699</c:v>
                </c:pt>
                <c:pt idx="163">
                  <c:v>16082.285714285699</c:v>
                </c:pt>
                <c:pt idx="164">
                  <c:v>15942.142857142901</c:v>
                </c:pt>
                <c:pt idx="165">
                  <c:v>15998.857142857099</c:v>
                </c:pt>
                <c:pt idx="166">
                  <c:v>16042.285714285699</c:v>
                </c:pt>
                <c:pt idx="167">
                  <c:v>15974.4285714286</c:v>
                </c:pt>
                <c:pt idx="168">
                  <c:v>16160.285714285699</c:v>
                </c:pt>
                <c:pt idx="169">
                  <c:v>16185</c:v>
                </c:pt>
                <c:pt idx="170">
                  <c:v>16329.142857142901</c:v>
                </c:pt>
                <c:pt idx="171">
                  <c:v>16465.428571428602</c:v>
                </c:pt>
                <c:pt idx="172">
                  <c:v>16475.428571428602</c:v>
                </c:pt>
                <c:pt idx="173">
                  <c:v>16730.857142857101</c:v>
                </c:pt>
                <c:pt idx="174">
                  <c:v>16858.571428571398</c:v>
                </c:pt>
                <c:pt idx="175">
                  <c:v>16931.285714285699</c:v>
                </c:pt>
                <c:pt idx="176">
                  <c:v>17222.142857142899</c:v>
                </c:pt>
                <c:pt idx="177">
                  <c:v>17437</c:v>
                </c:pt>
                <c:pt idx="178">
                  <c:v>17435.571428571398</c:v>
                </c:pt>
                <c:pt idx="179">
                  <c:v>17370.714285714301</c:v>
                </c:pt>
                <c:pt idx="180">
                  <c:v>17830.428571428602</c:v>
                </c:pt>
                <c:pt idx="181">
                  <c:v>18104.714285714301</c:v>
                </c:pt>
                <c:pt idx="182">
                  <c:v>18312</c:v>
                </c:pt>
                <c:pt idx="183">
                  <c:v>18623.714285714301</c:v>
                </c:pt>
                <c:pt idx="184">
                  <c:v>18870.714285714301</c:v>
                </c:pt>
                <c:pt idx="185">
                  <c:v>18839.285714285699</c:v>
                </c:pt>
                <c:pt idx="186">
                  <c:v>18966.571428571398</c:v>
                </c:pt>
                <c:pt idx="187">
                  <c:v>19521.714285714301</c:v>
                </c:pt>
                <c:pt idx="188">
                  <c:v>19658</c:v>
                </c:pt>
                <c:pt idx="189">
                  <c:v>19999.142857142899</c:v>
                </c:pt>
                <c:pt idx="190">
                  <c:v>20272</c:v>
                </c:pt>
                <c:pt idx="191">
                  <c:v>20489.285714285699</c:v>
                </c:pt>
                <c:pt idx="192">
                  <c:v>20552.285714285699</c:v>
                </c:pt>
                <c:pt idx="193">
                  <c:v>20504.428571428602</c:v>
                </c:pt>
                <c:pt idx="194">
                  <c:v>20930.142857142899</c:v>
                </c:pt>
                <c:pt idx="195">
                  <c:v>21622.428571428602</c:v>
                </c:pt>
                <c:pt idx="196">
                  <c:v>21860.285714285699</c:v>
                </c:pt>
                <c:pt idx="197">
                  <c:v>22177</c:v>
                </c:pt>
                <c:pt idx="198">
                  <c:v>22800.428571428602</c:v>
                </c:pt>
                <c:pt idx="199">
                  <c:v>22941.285714285699</c:v>
                </c:pt>
                <c:pt idx="200">
                  <c:v>23168</c:v>
                </c:pt>
                <c:pt idx="201">
                  <c:v>23452.142857142899</c:v>
                </c:pt>
                <c:pt idx="202">
                  <c:v>23485.142857142899</c:v>
                </c:pt>
                <c:pt idx="203">
                  <c:v>23853.714285714301</c:v>
                </c:pt>
                <c:pt idx="204">
                  <c:v>24648.857142857101</c:v>
                </c:pt>
                <c:pt idx="205">
                  <c:v>25084.285714285699</c:v>
                </c:pt>
                <c:pt idx="206">
                  <c:v>25780.714285714301</c:v>
                </c:pt>
                <c:pt idx="207">
                  <c:v>26288.428571428602</c:v>
                </c:pt>
                <c:pt idx="208">
                  <c:v>26725.571428571398</c:v>
                </c:pt>
                <c:pt idx="209">
                  <c:v>27049</c:v>
                </c:pt>
                <c:pt idx="210">
                  <c:v>27820.142857142899</c:v>
                </c:pt>
                <c:pt idx="211">
                  <c:v>28243.428571428602</c:v>
                </c:pt>
                <c:pt idx="212">
                  <c:v>28935</c:v>
                </c:pt>
                <c:pt idx="213">
                  <c:v>29226.714285714301</c:v>
                </c:pt>
                <c:pt idx="214">
                  <c:v>29652.857142857101</c:v>
                </c:pt>
                <c:pt idx="215">
                  <c:v>30614</c:v>
                </c:pt>
                <c:pt idx="216">
                  <c:v>31279.142857142899</c:v>
                </c:pt>
                <c:pt idx="217">
                  <c:v>31048.142857142899</c:v>
                </c:pt>
                <c:pt idx="218">
                  <c:v>32551.142857142899</c:v>
                </c:pt>
                <c:pt idx="219">
                  <c:v>33184.142857142899</c:v>
                </c:pt>
                <c:pt idx="220">
                  <c:v>33540</c:v>
                </c:pt>
                <c:pt idx="221">
                  <c:v>33906.285714285703</c:v>
                </c:pt>
                <c:pt idx="222">
                  <c:v>34879</c:v>
                </c:pt>
                <c:pt idx="223">
                  <c:v>35388.857142857101</c:v>
                </c:pt>
                <c:pt idx="224">
                  <c:v>36966.714285714297</c:v>
                </c:pt>
                <c:pt idx="225">
                  <c:v>36619.142857142899</c:v>
                </c:pt>
                <c:pt idx="226">
                  <c:v>37652.285714285703</c:v>
                </c:pt>
                <c:pt idx="227">
                  <c:v>38639.285714285703</c:v>
                </c:pt>
                <c:pt idx="228">
                  <c:v>39444</c:v>
                </c:pt>
                <c:pt idx="229">
                  <c:v>40795.571428571398</c:v>
                </c:pt>
                <c:pt idx="230">
                  <c:v>42064.428571428602</c:v>
                </c:pt>
                <c:pt idx="231">
                  <c:v>42916.857142857101</c:v>
                </c:pt>
                <c:pt idx="232">
                  <c:v>44478.571428571398</c:v>
                </c:pt>
                <c:pt idx="233">
                  <c:v>45750.428571428602</c:v>
                </c:pt>
                <c:pt idx="234">
                  <c:v>47024.857142857101</c:v>
                </c:pt>
                <c:pt idx="235">
                  <c:v>47681</c:v>
                </c:pt>
                <c:pt idx="236">
                  <c:v>48685.285714285703</c:v>
                </c:pt>
                <c:pt idx="237">
                  <c:v>49858.285714285703</c:v>
                </c:pt>
                <c:pt idx="238">
                  <c:v>51584.571428571398</c:v>
                </c:pt>
                <c:pt idx="239">
                  <c:v>53119.714285714297</c:v>
                </c:pt>
                <c:pt idx="240">
                  <c:v>55005.428571428602</c:v>
                </c:pt>
                <c:pt idx="241">
                  <c:v>56195.285714285703</c:v>
                </c:pt>
                <c:pt idx="242">
                  <c:v>57481.571428571398</c:v>
                </c:pt>
                <c:pt idx="243">
                  <c:v>58746.428571428602</c:v>
                </c:pt>
                <c:pt idx="244">
                  <c:v>60373.285714285703</c:v>
                </c:pt>
                <c:pt idx="245">
                  <c:v>62117.142857142899</c:v>
                </c:pt>
                <c:pt idx="246">
                  <c:v>63954.285714285703</c:v>
                </c:pt>
                <c:pt idx="247">
                  <c:v>65686</c:v>
                </c:pt>
                <c:pt idx="248">
                  <c:v>67136.142857142899</c:v>
                </c:pt>
                <c:pt idx="249">
                  <c:v>67988.142857142899</c:v>
                </c:pt>
                <c:pt idx="250">
                  <c:v>67898.857142857203</c:v>
                </c:pt>
                <c:pt idx="251">
                  <c:v>66937.857142857203</c:v>
                </c:pt>
                <c:pt idx="252">
                  <c:v>69685.857142857203</c:v>
                </c:pt>
                <c:pt idx="253">
                  <c:v>70369.428571428594</c:v>
                </c:pt>
                <c:pt idx="254">
                  <c:v>71194.857142857203</c:v>
                </c:pt>
                <c:pt idx="255">
                  <c:v>73432.571428571406</c:v>
                </c:pt>
                <c:pt idx="256">
                  <c:v>77754</c:v>
                </c:pt>
                <c:pt idx="257">
                  <c:v>80556.857142857203</c:v>
                </c:pt>
                <c:pt idx="258">
                  <c:v>85754.428571428594</c:v>
                </c:pt>
                <c:pt idx="259">
                  <c:v>87962.714285714304</c:v>
                </c:pt>
                <c:pt idx="260">
                  <c:v>93140.571428571406</c:v>
                </c:pt>
                <c:pt idx="261">
                  <c:v>98578.857142857101</c:v>
                </c:pt>
                <c:pt idx="262">
                  <c:v>103988.571428571</c:v>
                </c:pt>
                <c:pt idx="263">
                  <c:v>105791.285714286</c:v>
                </c:pt>
                <c:pt idx="264">
                  <c:v>109560.571428571</c:v>
                </c:pt>
                <c:pt idx="265">
                  <c:v>113119.571428571</c:v>
                </c:pt>
                <c:pt idx="266">
                  <c:v>119050.571428571</c:v>
                </c:pt>
                <c:pt idx="267">
                  <c:v>125350.428571429</c:v>
                </c:pt>
                <c:pt idx="268">
                  <c:v>130905.428571429</c:v>
                </c:pt>
                <c:pt idx="269">
                  <c:v>136151.714285714</c:v>
                </c:pt>
                <c:pt idx="270">
                  <c:v>142745.714285714</c:v>
                </c:pt>
                <c:pt idx="271">
                  <c:v>149994.714285714</c:v>
                </c:pt>
                <c:pt idx="272">
                  <c:v>156824.714285714</c:v>
                </c:pt>
                <c:pt idx="273">
                  <c:v>164827.14285714299</c:v>
                </c:pt>
                <c:pt idx="274">
                  <c:v>174412.57142857101</c:v>
                </c:pt>
                <c:pt idx="275">
                  <c:v>185236.285714286</c:v>
                </c:pt>
                <c:pt idx="276">
                  <c:v>194646.285714286</c:v>
                </c:pt>
                <c:pt idx="277">
                  <c:v>197942.42857142899</c:v>
                </c:pt>
                <c:pt idx="278">
                  <c:v>214972</c:v>
                </c:pt>
                <c:pt idx="279">
                  <c:v>224705</c:v>
                </c:pt>
                <c:pt idx="280">
                  <c:v>233607.285714286</c:v>
                </c:pt>
                <c:pt idx="281">
                  <c:v>242540.85714285701</c:v>
                </c:pt>
                <c:pt idx="282">
                  <c:v>251968.85714285701</c:v>
                </c:pt>
                <c:pt idx="283">
                  <c:v>255387.714285714</c:v>
                </c:pt>
                <c:pt idx="284">
                  <c:v>264812.71428571403</c:v>
                </c:pt>
                <c:pt idx="285">
                  <c:v>272439.28571428597</c:v>
                </c:pt>
                <c:pt idx="286">
                  <c:v>280970.85714285698</c:v>
                </c:pt>
                <c:pt idx="287">
                  <c:v>274457.14285714302</c:v>
                </c:pt>
                <c:pt idx="288">
                  <c:v>278783.28571428597</c:v>
                </c:pt>
                <c:pt idx="289">
                  <c:v>282159.42857142899</c:v>
                </c:pt>
                <c:pt idx="290">
                  <c:v>292789.28571428597</c:v>
                </c:pt>
                <c:pt idx="291">
                  <c:v>293091.57142857101</c:v>
                </c:pt>
                <c:pt idx="292">
                  <c:v>281425.71428571403</c:v>
                </c:pt>
                <c:pt idx="293">
                  <c:v>274994</c:v>
                </c:pt>
                <c:pt idx="294">
                  <c:v>286584.71428571403</c:v>
                </c:pt>
                <c:pt idx="295">
                  <c:v>283530.71428571403</c:v>
                </c:pt>
                <c:pt idx="296">
                  <c:v>278912.14285714302</c:v>
                </c:pt>
                <c:pt idx="297">
                  <c:v>270948.42857142899</c:v>
                </c:pt>
                <c:pt idx="298">
                  <c:v>269940.85714285698</c:v>
                </c:pt>
                <c:pt idx="299">
                  <c:v>267297.71428571403</c:v>
                </c:pt>
                <c:pt idx="300">
                  <c:v>270630.28571428597</c:v>
                </c:pt>
                <c:pt idx="301">
                  <c:v>265951.85714285698</c:v>
                </c:pt>
                <c:pt idx="302">
                  <c:v>263253.28571428597</c:v>
                </c:pt>
                <c:pt idx="303">
                  <c:v>261165.714285714</c:v>
                </c:pt>
                <c:pt idx="304">
                  <c:v>258514.285714286</c:v>
                </c:pt>
                <c:pt idx="305">
                  <c:v>254916.85714285701</c:v>
                </c:pt>
                <c:pt idx="306">
                  <c:v>249658</c:v>
                </c:pt>
                <c:pt idx="307">
                  <c:v>244738.85714285701</c:v>
                </c:pt>
                <c:pt idx="308">
                  <c:v>240306</c:v>
                </c:pt>
                <c:pt idx="309">
                  <c:v>240832.14285714299</c:v>
                </c:pt>
                <c:pt idx="310">
                  <c:v>241811.42857142899</c:v>
                </c:pt>
                <c:pt idx="311">
                  <c:v>241760.14285714299</c:v>
                </c:pt>
                <c:pt idx="312">
                  <c:v>241866.57142857101</c:v>
                </c:pt>
                <c:pt idx="313">
                  <c:v>241401</c:v>
                </c:pt>
                <c:pt idx="314">
                  <c:v>240348</c:v>
                </c:pt>
                <c:pt idx="315">
                  <c:v>241786.85714285701</c:v>
                </c:pt>
                <c:pt idx="316">
                  <c:v>239179.57142857101</c:v>
                </c:pt>
                <c:pt idx="317">
                  <c:v>235881.285714286</c:v>
                </c:pt>
                <c:pt idx="318">
                  <c:v>235764.14285714299</c:v>
                </c:pt>
                <c:pt idx="319">
                  <c:v>237186.14285714299</c:v>
                </c:pt>
                <c:pt idx="320">
                  <c:v>236757.14285714299</c:v>
                </c:pt>
                <c:pt idx="321">
                  <c:v>236440.14285714299</c:v>
                </c:pt>
                <c:pt idx="322">
                  <c:v>237522.42857142899</c:v>
                </c:pt>
                <c:pt idx="323">
                  <c:v>351403.42857142899</c:v>
                </c:pt>
                <c:pt idx="324">
                  <c:v>352977.71428571403</c:v>
                </c:pt>
                <c:pt idx="325">
                  <c:v>354293.57142857101</c:v>
                </c:pt>
                <c:pt idx="326">
                  <c:v>354087.28571428597</c:v>
                </c:pt>
                <c:pt idx="327">
                  <c:v>354693.57142857101</c:v>
                </c:pt>
                <c:pt idx="328">
                  <c:v>356798.14285714302</c:v>
                </c:pt>
                <c:pt idx="329">
                  <c:v>360805.28571428597</c:v>
                </c:pt>
                <c:pt idx="330">
                  <c:v>250454.14285714299</c:v>
                </c:pt>
                <c:pt idx="331">
                  <c:v>251487.57142857101</c:v>
                </c:pt>
                <c:pt idx="332">
                  <c:v>250973.14285714299</c:v>
                </c:pt>
                <c:pt idx="333">
                  <c:v>251556.14285714299</c:v>
                </c:pt>
                <c:pt idx="334">
                  <c:v>252491.14285714299</c:v>
                </c:pt>
                <c:pt idx="335">
                  <c:v>254506.714285714</c:v>
                </c:pt>
                <c:pt idx="336">
                  <c:v>252968.85714285701</c:v>
                </c:pt>
                <c:pt idx="337">
                  <c:v>252307.714285714</c:v>
                </c:pt>
                <c:pt idx="338">
                  <c:v>244755.85714285701</c:v>
                </c:pt>
                <c:pt idx="339">
                  <c:v>232855.85714285701</c:v>
                </c:pt>
                <c:pt idx="340">
                  <c:v>224673.714285714</c:v>
                </c:pt>
                <c:pt idx="341">
                  <c:v>222351.57142857101</c:v>
                </c:pt>
                <c:pt idx="342">
                  <c:v>224459.14285714299</c:v>
                </c:pt>
                <c:pt idx="343">
                  <c:v>228268.285714286</c:v>
                </c:pt>
                <c:pt idx="344">
                  <c:v>232068.14285714299</c:v>
                </c:pt>
                <c:pt idx="345">
                  <c:v>235637</c:v>
                </c:pt>
                <c:pt idx="346">
                  <c:v>237986.42857142899</c:v>
                </c:pt>
                <c:pt idx="347">
                  <c:v>242473.85714285701</c:v>
                </c:pt>
                <c:pt idx="348">
                  <c:v>246954.42857142899</c:v>
                </c:pt>
                <c:pt idx="349">
                  <c:v>251586.285714286</c:v>
                </c:pt>
                <c:pt idx="350">
                  <c:v>251281.714285714</c:v>
                </c:pt>
                <c:pt idx="351">
                  <c:v>252843</c:v>
                </c:pt>
                <c:pt idx="352">
                  <c:v>260749.42857142899</c:v>
                </c:pt>
                <c:pt idx="353">
                  <c:v>271285.85714285698</c:v>
                </c:pt>
                <c:pt idx="354">
                  <c:v>275733.14285714302</c:v>
                </c:pt>
                <c:pt idx="355">
                  <c:v>277474.57142857101</c:v>
                </c:pt>
                <c:pt idx="356">
                  <c:v>269729.14285714302</c:v>
                </c:pt>
                <c:pt idx="357">
                  <c:v>267670.71428571403</c:v>
                </c:pt>
                <c:pt idx="358">
                  <c:v>261781.85714285701</c:v>
                </c:pt>
                <c:pt idx="359">
                  <c:v>256799.85714285701</c:v>
                </c:pt>
                <c:pt idx="360">
                  <c:v>250535.42857142899</c:v>
                </c:pt>
                <c:pt idx="361">
                  <c:v>244479.57142857101</c:v>
                </c:pt>
                <c:pt idx="362">
                  <c:v>242531.57142857101</c:v>
                </c:pt>
                <c:pt idx="363">
                  <c:v>238727.57142857101</c:v>
                </c:pt>
                <c:pt idx="364">
                  <c:v>234905.14285714299</c:v>
                </c:pt>
                <c:pt idx="365">
                  <c:v>230848</c:v>
                </c:pt>
                <c:pt idx="366">
                  <c:v>226704</c:v>
                </c:pt>
                <c:pt idx="367">
                  <c:v>223715.57142857101</c:v>
                </c:pt>
                <c:pt idx="368">
                  <c:v>221197.714285714</c:v>
                </c:pt>
                <c:pt idx="369">
                  <c:v>219298.285714286</c:v>
                </c:pt>
                <c:pt idx="370">
                  <c:v>215611</c:v>
                </c:pt>
                <c:pt idx="371">
                  <c:v>212966.42857142899</c:v>
                </c:pt>
                <c:pt idx="372">
                  <c:v>209523.42857142899</c:v>
                </c:pt>
                <c:pt idx="373">
                  <c:v>205640.714285714</c:v>
                </c:pt>
                <c:pt idx="374">
                  <c:v>202395.42857142899</c:v>
                </c:pt>
                <c:pt idx="375">
                  <c:v>200322.85714285701</c:v>
                </c:pt>
                <c:pt idx="376">
                  <c:v>197728.57142857101</c:v>
                </c:pt>
                <c:pt idx="377">
                  <c:v>195188.14285714299</c:v>
                </c:pt>
                <c:pt idx="378">
                  <c:v>190677.85714285701</c:v>
                </c:pt>
                <c:pt idx="379">
                  <c:v>183357.285714286</c:v>
                </c:pt>
                <c:pt idx="380">
                  <c:v>182710.14285714299</c:v>
                </c:pt>
                <c:pt idx="381">
                  <c:v>180364.57142857101</c:v>
                </c:pt>
                <c:pt idx="382">
                  <c:v>178374.285714286</c:v>
                </c:pt>
                <c:pt idx="383">
                  <c:v>171508.85714285701</c:v>
                </c:pt>
                <c:pt idx="384">
                  <c:v>167271</c:v>
                </c:pt>
                <c:pt idx="385">
                  <c:v>162884.714285714</c:v>
                </c:pt>
                <c:pt idx="386">
                  <c:v>161800.285714286</c:v>
                </c:pt>
                <c:pt idx="387">
                  <c:v>154394.714285714</c:v>
                </c:pt>
                <c:pt idx="388">
                  <c:v>152751.714285714</c:v>
                </c:pt>
                <c:pt idx="389">
                  <c:v>149999.14285714299</c:v>
                </c:pt>
                <c:pt idx="390">
                  <c:v>146692.57142857101</c:v>
                </c:pt>
                <c:pt idx="391">
                  <c:v>145217.85714285701</c:v>
                </c:pt>
                <c:pt idx="392">
                  <c:v>143430.14285714299</c:v>
                </c:pt>
                <c:pt idx="393">
                  <c:v>143094.14285714299</c:v>
                </c:pt>
                <c:pt idx="394">
                  <c:v>143794.42857142899</c:v>
                </c:pt>
                <c:pt idx="395">
                  <c:v>144583.85714285701</c:v>
                </c:pt>
                <c:pt idx="396">
                  <c:v>147822</c:v>
                </c:pt>
                <c:pt idx="397">
                  <c:v>148010.285714286</c:v>
                </c:pt>
                <c:pt idx="398">
                  <c:v>149874.85714285701</c:v>
                </c:pt>
                <c:pt idx="399">
                  <c:v>153606.714285714</c:v>
                </c:pt>
                <c:pt idx="400">
                  <c:v>156449.57142857101</c:v>
                </c:pt>
                <c:pt idx="401">
                  <c:v>158461</c:v>
                </c:pt>
                <c:pt idx="402">
                  <c:v>161374.285714286</c:v>
                </c:pt>
                <c:pt idx="403">
                  <c:v>161914.42857142899</c:v>
                </c:pt>
                <c:pt idx="404">
                  <c:v>162015.14285714299</c:v>
                </c:pt>
                <c:pt idx="405">
                  <c:v>153063.57142857101</c:v>
                </c:pt>
                <c:pt idx="406">
                  <c:v>153764.14285714299</c:v>
                </c:pt>
                <c:pt idx="407">
                  <c:v>154828.57142857101</c:v>
                </c:pt>
                <c:pt idx="408">
                  <c:v>156689.285714286</c:v>
                </c:pt>
                <c:pt idx="409">
                  <c:v>158431.714285714</c:v>
                </c:pt>
                <c:pt idx="410">
                  <c:v>160383</c:v>
                </c:pt>
                <c:pt idx="411">
                  <c:v>160721.42857142899</c:v>
                </c:pt>
                <c:pt idx="412">
                  <c:v>172432.42857142899</c:v>
                </c:pt>
                <c:pt idx="413">
                  <c:v>174051.285714286</c:v>
                </c:pt>
                <c:pt idx="414">
                  <c:v>176899.714285714</c:v>
                </c:pt>
                <c:pt idx="415">
                  <c:v>179440</c:v>
                </c:pt>
                <c:pt idx="416">
                  <c:v>183932.85714285701</c:v>
                </c:pt>
                <c:pt idx="417">
                  <c:v>186724.285714286</c:v>
                </c:pt>
                <c:pt idx="418">
                  <c:v>189734.14285714299</c:v>
                </c:pt>
                <c:pt idx="419">
                  <c:v>193622.85714285701</c:v>
                </c:pt>
                <c:pt idx="420">
                  <c:v>198460.285714286</c:v>
                </c:pt>
                <c:pt idx="421">
                  <c:v>202896.14285714299</c:v>
                </c:pt>
                <c:pt idx="422">
                  <c:v>207291.285714286</c:v>
                </c:pt>
                <c:pt idx="423">
                  <c:v>209331.285714286</c:v>
                </c:pt>
                <c:pt idx="424">
                  <c:v>213900.85714285701</c:v>
                </c:pt>
                <c:pt idx="425">
                  <c:v>218797.14285714299</c:v>
                </c:pt>
                <c:pt idx="426">
                  <c:v>218926</c:v>
                </c:pt>
                <c:pt idx="427">
                  <c:v>225319.285714286</c:v>
                </c:pt>
                <c:pt idx="428">
                  <c:v>231189.14285714299</c:v>
                </c:pt>
                <c:pt idx="429">
                  <c:v>235491.714285714</c:v>
                </c:pt>
                <c:pt idx="430">
                  <c:v>240123.14285714299</c:v>
                </c:pt>
                <c:pt idx="431">
                  <c:v>241805.57142857101</c:v>
                </c:pt>
                <c:pt idx="432">
                  <c:v>241081.85714285701</c:v>
                </c:pt>
                <c:pt idx="433">
                  <c:v>246194</c:v>
                </c:pt>
                <c:pt idx="434">
                  <c:v>247464</c:v>
                </c:pt>
                <c:pt idx="435">
                  <c:v>248848.57142857101</c:v>
                </c:pt>
                <c:pt idx="436">
                  <c:v>248237.14285714299</c:v>
                </c:pt>
                <c:pt idx="437">
                  <c:v>242783.714285714</c:v>
                </c:pt>
                <c:pt idx="438">
                  <c:v>247802</c:v>
                </c:pt>
                <c:pt idx="439">
                  <c:v>245527.14285714299</c:v>
                </c:pt>
                <c:pt idx="440">
                  <c:v>238497.14285714299</c:v>
                </c:pt>
                <c:pt idx="441">
                  <c:v>225715.14285714299</c:v>
                </c:pt>
                <c:pt idx="442">
                  <c:v>231406.285714286</c:v>
                </c:pt>
                <c:pt idx="443">
                  <c:v>226790.714285714</c:v>
                </c:pt>
                <c:pt idx="444">
                  <c:v>225649.42857142899</c:v>
                </c:pt>
                <c:pt idx="445">
                  <c:v>231859.42857142899</c:v>
                </c:pt>
                <c:pt idx="446">
                  <c:v>236057.714285714</c:v>
                </c:pt>
                <c:pt idx="447">
                  <c:v>243350</c:v>
                </c:pt>
                <c:pt idx="448">
                  <c:v>253432.14285714299</c:v>
                </c:pt>
                <c:pt idx="449">
                  <c:v>243962.14285714299</c:v>
                </c:pt>
                <c:pt idx="450">
                  <c:v>247636.42857142899</c:v>
                </c:pt>
                <c:pt idx="451">
                  <c:v>250711</c:v>
                </c:pt>
                <c:pt idx="452">
                  <c:v>235970.85714285701</c:v>
                </c:pt>
                <c:pt idx="453">
                  <c:v>233266.714285714</c:v>
                </c:pt>
                <c:pt idx="454">
                  <c:v>231294.714285714</c:v>
                </c:pt>
                <c:pt idx="455">
                  <c:v>228682</c:v>
                </c:pt>
                <c:pt idx="456">
                  <c:v>225052.14285714299</c:v>
                </c:pt>
                <c:pt idx="457">
                  <c:v>220170.714285714</c:v>
                </c:pt>
                <c:pt idx="458">
                  <c:v>214170.14285714299</c:v>
                </c:pt>
                <c:pt idx="459">
                  <c:v>209026.14285714299</c:v>
                </c:pt>
                <c:pt idx="460">
                  <c:v>204457.285714286</c:v>
                </c:pt>
                <c:pt idx="461">
                  <c:v>199074</c:v>
                </c:pt>
                <c:pt idx="462">
                  <c:v>190957</c:v>
                </c:pt>
                <c:pt idx="463">
                  <c:v>184112.85714285701</c:v>
                </c:pt>
                <c:pt idx="464">
                  <c:v>176427.285714286</c:v>
                </c:pt>
                <c:pt idx="465">
                  <c:v>170578.14285714299</c:v>
                </c:pt>
                <c:pt idx="466">
                  <c:v>164512.42857142899</c:v>
                </c:pt>
                <c:pt idx="467">
                  <c:v>159853</c:v>
                </c:pt>
                <c:pt idx="468">
                  <c:v>152707.714285714</c:v>
                </c:pt>
                <c:pt idx="469">
                  <c:v>145846.714285714</c:v>
                </c:pt>
                <c:pt idx="470">
                  <c:v>139953.714285714</c:v>
                </c:pt>
                <c:pt idx="471">
                  <c:v>135501.57142857101</c:v>
                </c:pt>
                <c:pt idx="472">
                  <c:v>131619</c:v>
                </c:pt>
                <c:pt idx="473">
                  <c:v>128628.142857143</c:v>
                </c:pt>
                <c:pt idx="474">
                  <c:v>125803.142857143</c:v>
                </c:pt>
                <c:pt idx="475">
                  <c:v>122543.428571429</c:v>
                </c:pt>
                <c:pt idx="476">
                  <c:v>118431.571428571</c:v>
                </c:pt>
                <c:pt idx="477">
                  <c:v>111568</c:v>
                </c:pt>
                <c:pt idx="478">
                  <c:v>105542</c:v>
                </c:pt>
                <c:pt idx="479">
                  <c:v>100766.857142857</c:v>
                </c:pt>
                <c:pt idx="480">
                  <c:v>98393.142857142899</c:v>
                </c:pt>
                <c:pt idx="481">
                  <c:v>96093.571428571406</c:v>
                </c:pt>
                <c:pt idx="482">
                  <c:v>92356.285714285696</c:v>
                </c:pt>
                <c:pt idx="483">
                  <c:v>89678.571428571406</c:v>
                </c:pt>
                <c:pt idx="484">
                  <c:v>35607.714285714297</c:v>
                </c:pt>
                <c:pt idx="485">
                  <c:v>32944.571428571398</c:v>
                </c:pt>
                <c:pt idx="486">
                  <c:v>30741.142857142899</c:v>
                </c:pt>
                <c:pt idx="487">
                  <c:v>28446.714285714301</c:v>
                </c:pt>
                <c:pt idx="488">
                  <c:v>25947.714285714301</c:v>
                </c:pt>
                <c:pt idx="489">
                  <c:v>22419.571428571398</c:v>
                </c:pt>
                <c:pt idx="490">
                  <c:v>17836.142857142899</c:v>
                </c:pt>
                <c:pt idx="491">
                  <c:v>67093.428571428594</c:v>
                </c:pt>
                <c:pt idx="492">
                  <c:v>65456.285714285703</c:v>
                </c:pt>
                <c:pt idx="493">
                  <c:v>63898.428571428602</c:v>
                </c:pt>
                <c:pt idx="494">
                  <c:v>62802.142857142899</c:v>
                </c:pt>
                <c:pt idx="495">
                  <c:v>62078</c:v>
                </c:pt>
                <c:pt idx="496">
                  <c:v>61225</c:v>
                </c:pt>
                <c:pt idx="497">
                  <c:v>58695.571428571398</c:v>
                </c:pt>
                <c:pt idx="498">
                  <c:v>58448.714285714297</c:v>
                </c:pt>
                <c:pt idx="499">
                  <c:v>56040.285714285703</c:v>
                </c:pt>
                <c:pt idx="500">
                  <c:v>54016.428571428602</c:v>
                </c:pt>
                <c:pt idx="501">
                  <c:v>52662.857142857203</c:v>
                </c:pt>
                <c:pt idx="502">
                  <c:v>52271.142857142899</c:v>
                </c:pt>
                <c:pt idx="503">
                  <c:v>51530.285714285703</c:v>
                </c:pt>
                <c:pt idx="504">
                  <c:v>51607.428571428602</c:v>
                </c:pt>
                <c:pt idx="505">
                  <c:v>50014.714285714297</c:v>
                </c:pt>
                <c:pt idx="506">
                  <c:v>49264</c:v>
                </c:pt>
                <c:pt idx="507">
                  <c:v>49089.571428571398</c:v>
                </c:pt>
                <c:pt idx="508">
                  <c:v>49240.285714285703</c:v>
                </c:pt>
                <c:pt idx="509">
                  <c:v>49491.571428571398</c:v>
                </c:pt>
                <c:pt idx="510">
                  <c:v>48884.714285714297</c:v>
                </c:pt>
                <c:pt idx="511">
                  <c:v>48120.428571428602</c:v>
                </c:pt>
                <c:pt idx="512">
                  <c:v>46116.857142857203</c:v>
                </c:pt>
                <c:pt idx="513">
                  <c:v>46134.285714285703</c:v>
                </c:pt>
                <c:pt idx="514">
                  <c:v>46422.571428571398</c:v>
                </c:pt>
                <c:pt idx="515">
                  <c:v>46498.857142857101</c:v>
                </c:pt>
                <c:pt idx="516">
                  <c:v>46916.285714285703</c:v>
                </c:pt>
                <c:pt idx="517">
                  <c:v>47657.571428571398</c:v>
                </c:pt>
                <c:pt idx="518">
                  <c:v>48984</c:v>
                </c:pt>
                <c:pt idx="519">
                  <c:v>50503.428571428602</c:v>
                </c:pt>
                <c:pt idx="520">
                  <c:v>51620.714285714297</c:v>
                </c:pt>
                <c:pt idx="521">
                  <c:v>52952.285714285703</c:v>
                </c:pt>
                <c:pt idx="522">
                  <c:v>54098.428571428602</c:v>
                </c:pt>
                <c:pt idx="523">
                  <c:v>56994.714285714297</c:v>
                </c:pt>
                <c:pt idx="524">
                  <c:v>59326.285714285703</c:v>
                </c:pt>
                <c:pt idx="525">
                  <c:v>61889.857142857203</c:v>
                </c:pt>
                <c:pt idx="526">
                  <c:v>65642.428571428594</c:v>
                </c:pt>
                <c:pt idx="527">
                  <c:v>69234.714285714304</c:v>
                </c:pt>
                <c:pt idx="528">
                  <c:v>71181.714285714304</c:v>
                </c:pt>
                <c:pt idx="529">
                  <c:v>73608</c:v>
                </c:pt>
                <c:pt idx="530">
                  <c:v>78582.285714285696</c:v>
                </c:pt>
                <c:pt idx="531">
                  <c:v>82080.714285714304</c:v>
                </c:pt>
                <c:pt idx="532">
                  <c:v>86391.857142857101</c:v>
                </c:pt>
                <c:pt idx="533">
                  <c:v>89555.857142857101</c:v>
                </c:pt>
                <c:pt idx="534">
                  <c:v>94946.285714285696</c:v>
                </c:pt>
                <c:pt idx="535">
                  <c:v>98220.571428571406</c:v>
                </c:pt>
                <c:pt idx="536">
                  <c:v>101179.428571429</c:v>
                </c:pt>
                <c:pt idx="537">
                  <c:v>104173.285714286</c:v>
                </c:pt>
                <c:pt idx="538">
                  <c:v>112220.714285714</c:v>
                </c:pt>
                <c:pt idx="539">
                  <c:v>116490.857142857</c:v>
                </c:pt>
                <c:pt idx="540">
                  <c:v>123123.142857143</c:v>
                </c:pt>
                <c:pt idx="541">
                  <c:v>128751.428571429</c:v>
                </c:pt>
                <c:pt idx="542">
                  <c:v>134215.42857142899</c:v>
                </c:pt>
                <c:pt idx="543">
                  <c:v>138951.285714286</c:v>
                </c:pt>
                <c:pt idx="544">
                  <c:v>144887.714285714</c:v>
                </c:pt>
                <c:pt idx="545">
                  <c:v>146183.714285714</c:v>
                </c:pt>
                <c:pt idx="546">
                  <c:v>149895</c:v>
                </c:pt>
                <c:pt idx="547">
                  <c:v>151045.714285714</c:v>
                </c:pt>
                <c:pt idx="548">
                  <c:v>150137</c:v>
                </c:pt>
                <c:pt idx="549">
                  <c:v>149384</c:v>
                </c:pt>
                <c:pt idx="550">
                  <c:v>147477.85714285701</c:v>
                </c:pt>
                <c:pt idx="551">
                  <c:v>146730.14285714299</c:v>
                </c:pt>
                <c:pt idx="552">
                  <c:v>146046.57142857101</c:v>
                </c:pt>
                <c:pt idx="553">
                  <c:v>146348.42857142899</c:v>
                </c:pt>
                <c:pt idx="554">
                  <c:v>146749.42857142899</c:v>
                </c:pt>
                <c:pt idx="555">
                  <c:v>147617.714285714</c:v>
                </c:pt>
                <c:pt idx="556">
                  <c:v>147999</c:v>
                </c:pt>
                <c:pt idx="557">
                  <c:v>148985.85714285701</c:v>
                </c:pt>
                <c:pt idx="558">
                  <c:v>149392</c:v>
                </c:pt>
                <c:pt idx="559">
                  <c:v>149017.714285714</c:v>
                </c:pt>
                <c:pt idx="560">
                  <c:v>150247.714285714</c:v>
                </c:pt>
                <c:pt idx="561">
                  <c:v>150775.42857142899</c:v>
                </c:pt>
                <c:pt idx="562">
                  <c:v>151670</c:v>
                </c:pt>
                <c:pt idx="563">
                  <c:v>153388.714285714</c:v>
                </c:pt>
                <c:pt idx="564">
                  <c:v>155042.14285714299</c:v>
                </c:pt>
                <c:pt idx="565">
                  <c:v>153941.57142857101</c:v>
                </c:pt>
                <c:pt idx="566">
                  <c:v>155577.285714286</c:v>
                </c:pt>
                <c:pt idx="567">
                  <c:v>157232</c:v>
                </c:pt>
                <c:pt idx="568">
                  <c:v>158834.714285714</c:v>
                </c:pt>
                <c:pt idx="569">
                  <c:v>159847.57142857101</c:v>
                </c:pt>
                <c:pt idx="570">
                  <c:v>160513.714285714</c:v>
                </c:pt>
                <c:pt idx="571">
                  <c:v>160811.57142857101</c:v>
                </c:pt>
                <c:pt idx="572">
                  <c:v>160617.85714285701</c:v>
                </c:pt>
                <c:pt idx="573">
                  <c:v>161327.57142857101</c:v>
                </c:pt>
                <c:pt idx="574">
                  <c:v>161108</c:v>
                </c:pt>
                <c:pt idx="575">
                  <c:v>161150.42857142899</c:v>
                </c:pt>
                <c:pt idx="576">
                  <c:v>161946.285714286</c:v>
                </c:pt>
                <c:pt idx="577">
                  <c:v>163047.285714286</c:v>
                </c:pt>
                <c:pt idx="578">
                  <c:v>163946.714285714</c:v>
                </c:pt>
                <c:pt idx="579">
                  <c:v>164306.714285714</c:v>
                </c:pt>
                <c:pt idx="580">
                  <c:v>165509.85714285701</c:v>
                </c:pt>
                <c:pt idx="581">
                  <c:v>165536.14285714299</c:v>
                </c:pt>
                <c:pt idx="582">
                  <c:v>165726.14285714299</c:v>
                </c:pt>
                <c:pt idx="583">
                  <c:v>162581.57142857101</c:v>
                </c:pt>
                <c:pt idx="584">
                  <c:v>165095.85714285701</c:v>
                </c:pt>
                <c:pt idx="585">
                  <c:v>164860</c:v>
                </c:pt>
                <c:pt idx="586">
                  <c:v>163387.285714286</c:v>
                </c:pt>
                <c:pt idx="587">
                  <c:v>158860.57142857101</c:v>
                </c:pt>
                <c:pt idx="588">
                  <c:v>161873.42857142899</c:v>
                </c:pt>
                <c:pt idx="589">
                  <c:v>162135.14285714299</c:v>
                </c:pt>
                <c:pt idx="590">
                  <c:v>165259.14285714299</c:v>
                </c:pt>
                <c:pt idx="591">
                  <c:v>162371.14285714299</c:v>
                </c:pt>
                <c:pt idx="592">
                  <c:v>162754.714285714</c:v>
                </c:pt>
                <c:pt idx="593">
                  <c:v>160925.57142857101</c:v>
                </c:pt>
                <c:pt idx="594">
                  <c:v>164406.57142857101</c:v>
                </c:pt>
                <c:pt idx="595">
                  <c:v>161881.714285714</c:v>
                </c:pt>
                <c:pt idx="596">
                  <c:v>161366</c:v>
                </c:pt>
                <c:pt idx="597">
                  <c:v>160116.714285714</c:v>
                </c:pt>
                <c:pt idx="598">
                  <c:v>159858.57142857101</c:v>
                </c:pt>
                <c:pt idx="599">
                  <c:v>159092.85714285701</c:v>
                </c:pt>
                <c:pt idx="600">
                  <c:v>161042.714285714</c:v>
                </c:pt>
                <c:pt idx="601">
                  <c:v>160845.714285714</c:v>
                </c:pt>
                <c:pt idx="602">
                  <c:v>157189.42857142899</c:v>
                </c:pt>
                <c:pt idx="603">
                  <c:v>156622.285714286</c:v>
                </c:pt>
                <c:pt idx="604">
                  <c:v>155991.57142857101</c:v>
                </c:pt>
                <c:pt idx="605">
                  <c:v>156613.42857142899</c:v>
                </c:pt>
                <c:pt idx="606">
                  <c:v>157514.42857142899</c:v>
                </c:pt>
                <c:pt idx="607">
                  <c:v>157809</c:v>
                </c:pt>
                <c:pt idx="608">
                  <c:v>157049.285714286</c:v>
                </c:pt>
                <c:pt idx="609">
                  <c:v>158331</c:v>
                </c:pt>
                <c:pt idx="610">
                  <c:v>158071.14285714299</c:v>
                </c:pt>
                <c:pt idx="611">
                  <c:v>158116.42857142899</c:v>
                </c:pt>
                <c:pt idx="612">
                  <c:v>157637.85714285701</c:v>
                </c:pt>
                <c:pt idx="613">
                  <c:v>157981.14285714299</c:v>
                </c:pt>
                <c:pt idx="614">
                  <c:v>158114.14285714299</c:v>
                </c:pt>
                <c:pt idx="615">
                  <c:v>159224.285714286</c:v>
                </c:pt>
                <c:pt idx="616">
                  <c:v>160922.57142857101</c:v>
                </c:pt>
                <c:pt idx="617">
                  <c:v>162821.42857142899</c:v>
                </c:pt>
                <c:pt idx="618">
                  <c:v>164642.85714285701</c:v>
                </c:pt>
                <c:pt idx="619">
                  <c:v>166415.714285714</c:v>
                </c:pt>
                <c:pt idx="620">
                  <c:v>167061.57142857101</c:v>
                </c:pt>
                <c:pt idx="621">
                  <c:v>167764.42857142899</c:v>
                </c:pt>
                <c:pt idx="622">
                  <c:v>168826.14285714299</c:v>
                </c:pt>
                <c:pt idx="623">
                  <c:v>175778.85714285701</c:v>
                </c:pt>
                <c:pt idx="624">
                  <c:v>177699.57142857101</c:v>
                </c:pt>
                <c:pt idx="625">
                  <c:v>179783.285714286</c:v>
                </c:pt>
                <c:pt idx="626">
                  <c:v>183130.85714285701</c:v>
                </c:pt>
                <c:pt idx="627">
                  <c:v>185502.714285714</c:v>
                </c:pt>
                <c:pt idx="628">
                  <c:v>188070</c:v>
                </c:pt>
                <c:pt idx="629">
                  <c:v>191390.57142857101</c:v>
                </c:pt>
                <c:pt idx="630">
                  <c:v>188963.85714285701</c:v>
                </c:pt>
                <c:pt idx="631">
                  <c:v>192604</c:v>
                </c:pt>
                <c:pt idx="632">
                  <c:v>196015.42857142899</c:v>
                </c:pt>
                <c:pt idx="633">
                  <c:v>198680.714285714</c:v>
                </c:pt>
                <c:pt idx="634">
                  <c:v>202091.85714285701</c:v>
                </c:pt>
                <c:pt idx="635">
                  <c:v>206430.85714285701</c:v>
                </c:pt>
                <c:pt idx="636">
                  <c:v>210644.285714286</c:v>
                </c:pt>
                <c:pt idx="637">
                  <c:v>217308.42857142899</c:v>
                </c:pt>
                <c:pt idx="638">
                  <c:v>222823.57142857101</c:v>
                </c:pt>
                <c:pt idx="639">
                  <c:v>230246.714285714</c:v>
                </c:pt>
                <c:pt idx="640">
                  <c:v>235891.57142857101</c:v>
                </c:pt>
                <c:pt idx="641">
                  <c:v>239739.42857142899</c:v>
                </c:pt>
                <c:pt idx="642">
                  <c:v>242180.85714285701</c:v>
                </c:pt>
                <c:pt idx="643">
                  <c:v>245825</c:v>
                </c:pt>
                <c:pt idx="644">
                  <c:v>249436</c:v>
                </c:pt>
                <c:pt idx="645">
                  <c:v>252301</c:v>
                </c:pt>
                <c:pt idx="646">
                  <c:v>254265.14285714299</c:v>
                </c:pt>
                <c:pt idx="647">
                  <c:v>256895</c:v>
                </c:pt>
                <c:pt idx="648">
                  <c:v>258597.714285714</c:v>
                </c:pt>
                <c:pt idx="649">
                  <c:v>259485.85714285701</c:v>
                </c:pt>
                <c:pt idx="650">
                  <c:v>257895.85714285701</c:v>
                </c:pt>
                <c:pt idx="651">
                  <c:v>263612.71428571403</c:v>
                </c:pt>
                <c:pt idx="652">
                  <c:v>269740.14285714302</c:v>
                </c:pt>
                <c:pt idx="653">
                  <c:v>274530.71428571403</c:v>
                </c:pt>
                <c:pt idx="654">
                  <c:v>280176.28571428597</c:v>
                </c:pt>
                <c:pt idx="655">
                  <c:v>282961.14285714302</c:v>
                </c:pt>
                <c:pt idx="656">
                  <c:v>289456.42857142899</c:v>
                </c:pt>
                <c:pt idx="657">
                  <c:v>295943.57142857101</c:v>
                </c:pt>
                <c:pt idx="658">
                  <c:v>301656</c:v>
                </c:pt>
                <c:pt idx="659">
                  <c:v>305065.28571428597</c:v>
                </c:pt>
                <c:pt idx="660">
                  <c:v>309452.85714285698</c:v>
                </c:pt>
                <c:pt idx="661">
                  <c:v>310086.28571428597</c:v>
                </c:pt>
                <c:pt idx="662">
                  <c:v>313710.42857142899</c:v>
                </c:pt>
                <c:pt idx="663">
                  <c:v>318896.14285714302</c:v>
                </c:pt>
                <c:pt idx="664">
                  <c:v>325290.28571428597</c:v>
                </c:pt>
                <c:pt idx="665">
                  <c:v>329661.42857142899</c:v>
                </c:pt>
                <c:pt idx="666">
                  <c:v>337907.85714285698</c:v>
                </c:pt>
                <c:pt idx="667">
                  <c:v>344145.71428571403</c:v>
                </c:pt>
                <c:pt idx="668">
                  <c:v>352239.71428571403</c:v>
                </c:pt>
                <c:pt idx="669">
                  <c:v>356816.71428571403</c:v>
                </c:pt>
                <c:pt idx="670">
                  <c:v>366962.71428571403</c:v>
                </c:pt>
                <c:pt idx="671">
                  <c:v>370596.14285714302</c:v>
                </c:pt>
                <c:pt idx="672">
                  <c:v>377614.42857142899</c:v>
                </c:pt>
                <c:pt idx="673">
                  <c:v>383016.42857142899</c:v>
                </c:pt>
                <c:pt idx="674">
                  <c:v>392659.57142857101</c:v>
                </c:pt>
                <c:pt idx="675">
                  <c:v>393515.85714285698</c:v>
                </c:pt>
                <c:pt idx="676">
                  <c:v>395000.71428571403</c:v>
                </c:pt>
                <c:pt idx="677">
                  <c:v>393100.14285714302</c:v>
                </c:pt>
                <c:pt idx="678">
                  <c:v>397360.57142857101</c:v>
                </c:pt>
                <c:pt idx="679">
                  <c:v>398477.14285714302</c:v>
                </c:pt>
                <c:pt idx="680">
                  <c:v>400627.28571428597</c:v>
                </c:pt>
                <c:pt idx="681">
                  <c:v>400851.28571428597</c:v>
                </c:pt>
                <c:pt idx="682">
                  <c:v>401728.57142857101</c:v>
                </c:pt>
                <c:pt idx="683">
                  <c:v>401209.28571428597</c:v>
                </c:pt>
                <c:pt idx="684">
                  <c:v>396263.57142857101</c:v>
                </c:pt>
                <c:pt idx="685">
                  <c:v>400366.42857142899</c:v>
                </c:pt>
                <c:pt idx="686">
                  <c:v>398692</c:v>
                </c:pt>
                <c:pt idx="687">
                  <c:v>396219.85714285698</c:v>
                </c:pt>
                <c:pt idx="688">
                  <c:v>391488.71428571403</c:v>
                </c:pt>
                <c:pt idx="689">
                  <c:v>387780.42857142899</c:v>
                </c:pt>
                <c:pt idx="690">
                  <c:v>385330.14285714302</c:v>
                </c:pt>
                <c:pt idx="691">
                  <c:v>386428.28571428597</c:v>
                </c:pt>
                <c:pt idx="692">
                  <c:v>383951.42857142899</c:v>
                </c:pt>
                <c:pt idx="693">
                  <c:v>386196.14285714302</c:v>
                </c:pt>
                <c:pt idx="694">
                  <c:v>387076.14285714302</c:v>
                </c:pt>
                <c:pt idx="695">
                  <c:v>390726</c:v>
                </c:pt>
                <c:pt idx="696">
                  <c:v>395234.71428571403</c:v>
                </c:pt>
                <c:pt idx="697">
                  <c:v>398568</c:v>
                </c:pt>
                <c:pt idx="698">
                  <c:v>405080.28571428597</c:v>
                </c:pt>
                <c:pt idx="699">
                  <c:v>411323.71428571403</c:v>
                </c:pt>
                <c:pt idx="700">
                  <c:v>419012.57142857101</c:v>
                </c:pt>
                <c:pt idx="701">
                  <c:v>435262</c:v>
                </c:pt>
                <c:pt idx="702">
                  <c:v>437119</c:v>
                </c:pt>
                <c:pt idx="703">
                  <c:v>450083.85714285698</c:v>
                </c:pt>
                <c:pt idx="704">
                  <c:v>446278.28571428597</c:v>
                </c:pt>
                <c:pt idx="705">
                  <c:v>479752.28571428597</c:v>
                </c:pt>
                <c:pt idx="706">
                  <c:v>525185.57142857194</c:v>
                </c:pt>
                <c:pt idx="707">
                  <c:v>584964.42857142899</c:v>
                </c:pt>
                <c:pt idx="708">
                  <c:v>653745</c:v>
                </c:pt>
                <c:pt idx="709">
                  <c:v>718474.14285714296</c:v>
                </c:pt>
                <c:pt idx="710">
                  <c:v>764386</c:v>
                </c:pt>
                <c:pt idx="711">
                  <c:v>782809.14285714296</c:v>
                </c:pt>
                <c:pt idx="712">
                  <c:v>840312.57142857194</c:v>
                </c:pt>
                <c:pt idx="713">
                  <c:v>906945.57142857194</c:v>
                </c:pt>
                <c:pt idx="714">
                  <c:v>970364.71428571397</c:v>
                </c:pt>
                <c:pt idx="715">
                  <c:v>989857.28571428603</c:v>
                </c:pt>
                <c:pt idx="716">
                  <c:v>1052435.7142857099</c:v>
                </c:pt>
                <c:pt idx="717">
                  <c:v>1089122</c:v>
                </c:pt>
                <c:pt idx="718">
                  <c:v>1162566.7142857099</c:v>
                </c:pt>
                <c:pt idx="719">
                  <c:v>1178160.7142857099</c:v>
                </c:pt>
                <c:pt idx="720">
                  <c:v>1204732.2857142901</c:v>
                </c:pt>
                <c:pt idx="721">
                  <c:v>1230417.42857143</c:v>
                </c:pt>
                <c:pt idx="722">
                  <c:v>1250306.42857143</c:v>
                </c:pt>
                <c:pt idx="723">
                  <c:v>1260103.8571428601</c:v>
                </c:pt>
                <c:pt idx="724">
                  <c:v>1267896.1428571399</c:v>
                </c:pt>
                <c:pt idx="725">
                  <c:v>1264819.1428571399</c:v>
                </c:pt>
                <c:pt idx="726">
                  <c:v>1261586.42857143</c:v>
                </c:pt>
                <c:pt idx="727">
                  <c:v>1288283.1428571399</c:v>
                </c:pt>
                <c:pt idx="728">
                  <c:v>1340306.1428571399</c:v>
                </c:pt>
                <c:pt idx="729">
                  <c:v>1409331.7142857099</c:v>
                </c:pt>
                <c:pt idx="730">
                  <c:v>1455911.42857143</c:v>
                </c:pt>
                <c:pt idx="731">
                  <c:v>1497724.1428571399</c:v>
                </c:pt>
                <c:pt idx="732">
                  <c:v>1527202</c:v>
                </c:pt>
                <c:pt idx="733">
                  <c:v>1599249.2857142901</c:v>
                </c:pt>
                <c:pt idx="734">
                  <c:v>1654276</c:v>
                </c:pt>
                <c:pt idx="735">
                  <c:v>1660806</c:v>
                </c:pt>
                <c:pt idx="736">
                  <c:v>1691319.7142857099</c:v>
                </c:pt>
                <c:pt idx="737">
                  <c:v>1705380.8571428601</c:v>
                </c:pt>
                <c:pt idx="738">
                  <c:v>1725967.7142857099</c:v>
                </c:pt>
                <c:pt idx="739">
                  <c:v>1750667.1428571399</c:v>
                </c:pt>
                <c:pt idx="740">
                  <c:v>1848990.7142857099</c:v>
                </c:pt>
                <c:pt idx="741">
                  <c:v>1836688.42857143</c:v>
                </c:pt>
                <c:pt idx="742">
                  <c:v>1832486.7142857099</c:v>
                </c:pt>
                <c:pt idx="743">
                  <c:v>1808465.57142857</c:v>
                </c:pt>
                <c:pt idx="744">
                  <c:v>1773934.1428571399</c:v>
                </c:pt>
                <c:pt idx="745">
                  <c:v>1758678.2857142901</c:v>
                </c:pt>
                <c:pt idx="746">
                  <c:v>1741884.7142857099</c:v>
                </c:pt>
                <c:pt idx="747">
                  <c:v>1649098.8571428601</c:v>
                </c:pt>
                <c:pt idx="748">
                  <c:v>1603679.2857142901</c:v>
                </c:pt>
                <c:pt idx="749">
                  <c:v>1529182.8571428601</c:v>
                </c:pt>
                <c:pt idx="750">
                  <c:v>1527717.1428571399</c:v>
                </c:pt>
                <c:pt idx="751">
                  <c:v>1501456.1428571399</c:v>
                </c:pt>
                <c:pt idx="752">
                  <c:v>1463556</c:v>
                </c:pt>
                <c:pt idx="753">
                  <c:v>1429494.7142857099</c:v>
                </c:pt>
                <c:pt idx="754">
                  <c:v>1328537.57142857</c:v>
                </c:pt>
                <c:pt idx="755">
                  <c:v>1253959.57142857</c:v>
                </c:pt>
                <c:pt idx="756">
                  <c:v>1244866.8571428601</c:v>
                </c:pt>
                <c:pt idx="757">
                  <c:v>1152651.42857143</c:v>
                </c:pt>
                <c:pt idx="758">
                  <c:v>1110010</c:v>
                </c:pt>
                <c:pt idx="759">
                  <c:v>1076736.1428571399</c:v>
                </c:pt>
                <c:pt idx="760">
                  <c:v>1050489.2857142901</c:v>
                </c:pt>
                <c:pt idx="761">
                  <c:v>1028267.57142857</c:v>
                </c:pt>
                <c:pt idx="762">
                  <c:v>998711</c:v>
                </c:pt>
                <c:pt idx="763">
                  <c:v>949090.85714285704</c:v>
                </c:pt>
                <c:pt idx="764">
                  <c:v>917937.42857142899</c:v>
                </c:pt>
                <c:pt idx="765">
                  <c:v>879342.57142857194</c:v>
                </c:pt>
                <c:pt idx="766">
                  <c:v>841793.57142857194</c:v>
                </c:pt>
                <c:pt idx="767">
                  <c:v>808978.28571428603</c:v>
                </c:pt>
                <c:pt idx="768">
                  <c:v>779983.28571428603</c:v>
                </c:pt>
                <c:pt idx="769">
                  <c:v>778793.85714285704</c:v>
                </c:pt>
                <c:pt idx="770">
                  <c:v>749098.85714285704</c:v>
                </c:pt>
                <c:pt idx="771">
                  <c:v>723996</c:v>
                </c:pt>
                <c:pt idx="772">
                  <c:v>720042.42857142899</c:v>
                </c:pt>
                <c:pt idx="773">
                  <c:v>715180.85714285704</c:v>
                </c:pt>
                <c:pt idx="774">
                  <c:v>711663</c:v>
                </c:pt>
                <c:pt idx="775">
                  <c:v>725308.14285714296</c:v>
                </c:pt>
                <c:pt idx="776">
                  <c:v>716624.85714285704</c:v>
                </c:pt>
                <c:pt idx="777">
                  <c:v>721554.42857142899</c:v>
                </c:pt>
                <c:pt idx="778">
                  <c:v>740496</c:v>
                </c:pt>
                <c:pt idx="779">
                  <c:v>747429.71428571397</c:v>
                </c:pt>
                <c:pt idx="780">
                  <c:v>749586.14285714296</c:v>
                </c:pt>
                <c:pt idx="781">
                  <c:v>750695.71428571397</c:v>
                </c:pt>
                <c:pt idx="782">
                  <c:v>750620.28571428603</c:v>
                </c:pt>
                <c:pt idx="783">
                  <c:v>765727.57142857194</c:v>
                </c:pt>
                <c:pt idx="784">
                  <c:v>779860.14285714296</c:v>
                </c:pt>
                <c:pt idx="785">
                  <c:v>780247.14285714296</c:v>
                </c:pt>
                <c:pt idx="786">
                  <c:v>790903.85714285704</c:v>
                </c:pt>
                <c:pt idx="787">
                  <c:v>797605.85714285704</c:v>
                </c:pt>
                <c:pt idx="788">
                  <c:v>794686.71428571397</c:v>
                </c:pt>
                <c:pt idx="789">
                  <c:v>800421</c:v>
                </c:pt>
                <c:pt idx="790">
                  <c:v>807912</c:v>
                </c:pt>
                <c:pt idx="791">
                  <c:v>809649.42857142899</c:v>
                </c:pt>
                <c:pt idx="792">
                  <c:v>814256.28571428603</c:v>
                </c:pt>
                <c:pt idx="793">
                  <c:v>814027.57142857194</c:v>
                </c:pt>
                <c:pt idx="794">
                  <c:v>808324</c:v>
                </c:pt>
                <c:pt idx="795">
                  <c:v>804667</c:v>
                </c:pt>
                <c:pt idx="796">
                  <c:v>789798.57142857194</c:v>
                </c:pt>
                <c:pt idx="797">
                  <c:v>786850.71428571397</c:v>
                </c:pt>
                <c:pt idx="798">
                  <c:v>771179.14285714296</c:v>
                </c:pt>
                <c:pt idx="799">
                  <c:v>793198.85714285704</c:v>
                </c:pt>
                <c:pt idx="800">
                  <c:v>733373.71428571397</c:v>
                </c:pt>
                <c:pt idx="801">
                  <c:v>716366</c:v>
                </c:pt>
                <c:pt idx="802">
                  <c:v>706228.85714285704</c:v>
                </c:pt>
                <c:pt idx="803">
                  <c:v>671920.14285714296</c:v>
                </c:pt>
                <c:pt idx="804">
                  <c:v>643134.42857142899</c:v>
                </c:pt>
                <c:pt idx="805">
                  <c:v>642738.71428571397</c:v>
                </c:pt>
                <c:pt idx="806">
                  <c:v>572001.57142857194</c:v>
                </c:pt>
                <c:pt idx="807">
                  <c:v>578286.28571428603</c:v>
                </c:pt>
                <c:pt idx="808">
                  <c:v>552507.57142857194</c:v>
                </c:pt>
                <c:pt idx="809">
                  <c:v>536062.85714285704</c:v>
                </c:pt>
                <c:pt idx="810">
                  <c:v>548708.28571428603</c:v>
                </c:pt>
                <c:pt idx="811">
                  <c:v>534075.85714285704</c:v>
                </c:pt>
                <c:pt idx="812">
                  <c:v>488016.14285714302</c:v>
                </c:pt>
                <c:pt idx="813">
                  <c:v>475291.85714285698</c:v>
                </c:pt>
                <c:pt idx="814">
                  <c:v>436672.71428571403</c:v>
                </c:pt>
                <c:pt idx="815">
                  <c:v>425348.57142857101</c:v>
                </c:pt>
                <c:pt idx="816">
                  <c:v>416721.85714285698</c:v>
                </c:pt>
                <c:pt idx="817">
                  <c:v>365632.57142857101</c:v>
                </c:pt>
                <c:pt idx="818">
                  <c:v>358396.57142857101</c:v>
                </c:pt>
                <c:pt idx="819">
                  <c:v>363465.71428571403</c:v>
                </c:pt>
                <c:pt idx="820">
                  <c:v>359535.14285714302</c:v>
                </c:pt>
                <c:pt idx="821">
                  <c:v>379122.71428571403</c:v>
                </c:pt>
                <c:pt idx="822">
                  <c:v>374398.42857142899</c:v>
                </c:pt>
                <c:pt idx="823">
                  <c:v>369926.28571428597</c:v>
                </c:pt>
                <c:pt idx="824">
                  <c:v>393818</c:v>
                </c:pt>
                <c:pt idx="825">
                  <c:v>353083.14285714302</c:v>
                </c:pt>
                <c:pt idx="826">
                  <c:v>348230.71428571403</c:v>
                </c:pt>
                <c:pt idx="827">
                  <c:v>326084.28571428597</c:v>
                </c:pt>
                <c:pt idx="828">
                  <c:v>311904</c:v>
                </c:pt>
                <c:pt idx="829">
                  <c:v>299658.14285714302</c:v>
                </c:pt>
                <c:pt idx="830">
                  <c:v>292144.14285714302</c:v>
                </c:pt>
                <c:pt idx="831">
                  <c:v>280569.57142857101</c:v>
                </c:pt>
                <c:pt idx="832">
                  <c:v>294558.71428571403</c:v>
                </c:pt>
                <c:pt idx="833">
                  <c:v>260057.285714286</c:v>
                </c:pt>
                <c:pt idx="834">
                  <c:v>250655.14285714299</c:v>
                </c:pt>
                <c:pt idx="835">
                  <c:v>240821.14285714299</c:v>
                </c:pt>
                <c:pt idx="836">
                  <c:v>236618.85714285701</c:v>
                </c:pt>
                <c:pt idx="837">
                  <c:v>233892</c:v>
                </c:pt>
                <c:pt idx="838">
                  <c:v>243950.714285714</c:v>
                </c:pt>
                <c:pt idx="839">
                  <c:v>228813.42857142899</c:v>
                </c:pt>
                <c:pt idx="840">
                  <c:v>225634.42857142899</c:v>
                </c:pt>
                <c:pt idx="841">
                  <c:v>220030.42857142899</c:v>
                </c:pt>
                <c:pt idx="842">
                  <c:v>219392.285714286</c:v>
                </c:pt>
                <c:pt idx="843">
                  <c:v>218249.57142857101</c:v>
                </c:pt>
                <c:pt idx="844">
                  <c:v>217377.85714285701</c:v>
                </c:pt>
                <c:pt idx="845">
                  <c:v>205758.285714286</c:v>
                </c:pt>
                <c:pt idx="846">
                  <c:v>204624.57142857101</c:v>
                </c:pt>
                <c:pt idx="847">
                  <c:v>206529</c:v>
                </c:pt>
                <c:pt idx="848">
                  <c:v>198077.14285714299</c:v>
                </c:pt>
                <c:pt idx="849">
                  <c:v>181716</c:v>
                </c:pt>
                <c:pt idx="850">
                  <c:v>181303.714285714</c:v>
                </c:pt>
                <c:pt idx="851">
                  <c:v>174258.85714285701</c:v>
                </c:pt>
                <c:pt idx="852">
                  <c:v>167476.42857142899</c:v>
                </c:pt>
                <c:pt idx="853">
                  <c:v>159051.57142857101</c:v>
                </c:pt>
                <c:pt idx="854">
                  <c:v>146597.285714286</c:v>
                </c:pt>
                <c:pt idx="855">
                  <c:v>135415.57142857101</c:v>
                </c:pt>
                <c:pt idx="856">
                  <c:v>141739</c:v>
                </c:pt>
                <c:pt idx="857">
                  <c:v>132864.714285714</c:v>
                </c:pt>
                <c:pt idx="858">
                  <c:v>132139.42857142899</c:v>
                </c:pt>
                <c:pt idx="859">
                  <c:v>133511</c:v>
                </c:pt>
                <c:pt idx="860">
                  <c:v>132065</c:v>
                </c:pt>
                <c:pt idx="861">
                  <c:v>136223.714285714</c:v>
                </c:pt>
                <c:pt idx="862">
                  <c:v>142504.57142857101</c:v>
                </c:pt>
                <c:pt idx="863">
                  <c:v>137652</c:v>
                </c:pt>
                <c:pt idx="864">
                  <c:v>137475.714285714</c:v>
                </c:pt>
                <c:pt idx="865">
                  <c:v>139823.14285714299</c:v>
                </c:pt>
                <c:pt idx="866">
                  <c:v>129505</c:v>
                </c:pt>
                <c:pt idx="867">
                  <c:v>141364.85714285701</c:v>
                </c:pt>
                <c:pt idx="868">
                  <c:v>148388.57142857101</c:v>
                </c:pt>
                <c:pt idx="869">
                  <c:v>153610.285714286</c:v>
                </c:pt>
                <c:pt idx="870">
                  <c:v>157516.57142857101</c:v>
                </c:pt>
                <c:pt idx="871">
                  <c:v>154366</c:v>
                </c:pt>
                <c:pt idx="872">
                  <c:v>151053.42857142899</c:v>
                </c:pt>
                <c:pt idx="873">
                  <c:v>172597.85714285701</c:v>
                </c:pt>
                <c:pt idx="874">
                  <c:v>201412.285714286</c:v>
                </c:pt>
                <c:pt idx="875">
                  <c:v>204221.285714286</c:v>
                </c:pt>
                <c:pt idx="876">
                  <c:v>203200.42857142899</c:v>
                </c:pt>
                <c:pt idx="877">
                  <c:v>214403.714285714</c:v>
                </c:pt>
                <c:pt idx="878">
                  <c:v>216831.85714285701</c:v>
                </c:pt>
                <c:pt idx="879">
                  <c:v>220065.14285714299</c:v>
                </c:pt>
                <c:pt idx="880">
                  <c:v>245827</c:v>
                </c:pt>
                <c:pt idx="881">
                  <c:v>239007.85714285701</c:v>
                </c:pt>
                <c:pt idx="882">
                  <c:v>252555.42857142899</c:v>
                </c:pt>
                <c:pt idx="883">
                  <c:v>276073.14285714302</c:v>
                </c:pt>
                <c:pt idx="884">
                  <c:v>291293</c:v>
                </c:pt>
                <c:pt idx="885">
                  <c:v>295646.42857142899</c:v>
                </c:pt>
                <c:pt idx="886">
                  <c:v>297702.57142857101</c:v>
                </c:pt>
                <c:pt idx="887">
                  <c:v>311739.42857142899</c:v>
                </c:pt>
                <c:pt idx="888">
                  <c:v>328768.14285714302</c:v>
                </c:pt>
                <c:pt idx="889">
                  <c:v>350069.28571428597</c:v>
                </c:pt>
                <c:pt idx="890">
                  <c:v>366185.28571428597</c:v>
                </c:pt>
                <c:pt idx="891">
                  <c:v>381756.57142857101</c:v>
                </c:pt>
                <c:pt idx="892">
                  <c:v>386653.71428571403</c:v>
                </c:pt>
                <c:pt idx="893">
                  <c:v>390824.85714285698</c:v>
                </c:pt>
                <c:pt idx="894">
                  <c:v>404495</c:v>
                </c:pt>
                <c:pt idx="895">
                  <c:v>428246</c:v>
                </c:pt>
                <c:pt idx="896">
                  <c:v>447280.14285714302</c:v>
                </c:pt>
                <c:pt idx="897">
                  <c:v>454219.571428572</c:v>
                </c:pt>
                <c:pt idx="898">
                  <c:v>458691.57142857101</c:v>
                </c:pt>
                <c:pt idx="899">
                  <c:v>461347.57142857101</c:v>
                </c:pt>
                <c:pt idx="900">
                  <c:v>463240.42857142899</c:v>
                </c:pt>
                <c:pt idx="901">
                  <c:v>467106</c:v>
                </c:pt>
                <c:pt idx="902">
                  <c:v>454997</c:v>
                </c:pt>
                <c:pt idx="903">
                  <c:v>476396.71428571403</c:v>
                </c:pt>
                <c:pt idx="904">
                  <c:v>449889</c:v>
                </c:pt>
                <c:pt idx="905">
                  <c:v>427127.85714285698</c:v>
                </c:pt>
                <c:pt idx="906">
                  <c:v>423974.14285714302</c:v>
                </c:pt>
                <c:pt idx="907">
                  <c:v>420900</c:v>
                </c:pt>
                <c:pt idx="908">
                  <c:v>429894.571428572</c:v>
                </c:pt>
                <c:pt idx="909">
                  <c:v>471794.14285714302</c:v>
                </c:pt>
                <c:pt idx="910">
                  <c:v>470947.14285714302</c:v>
                </c:pt>
                <c:pt idx="911">
                  <c:v>475343.14285714302</c:v>
                </c:pt>
                <c:pt idx="912">
                  <c:v>480395.57142857101</c:v>
                </c:pt>
                <c:pt idx="913">
                  <c:v>478855.14285714302</c:v>
                </c:pt>
                <c:pt idx="914">
                  <c:v>476561</c:v>
                </c:pt>
                <c:pt idx="915">
                  <c:v>435356.28571428597</c:v>
                </c:pt>
                <c:pt idx="916">
                  <c:v>365891.85714285698</c:v>
                </c:pt>
                <c:pt idx="917">
                  <c:v>333860.28571428597</c:v>
                </c:pt>
                <c:pt idx="918">
                  <c:v>324375.28571428597</c:v>
                </c:pt>
                <c:pt idx="919">
                  <c:v>358284.28571428597</c:v>
                </c:pt>
                <c:pt idx="920">
                  <c:v>357047.85714285698</c:v>
                </c:pt>
                <c:pt idx="921">
                  <c:v>355618.57142857101</c:v>
                </c:pt>
                <c:pt idx="922">
                  <c:v>337041.57142857101</c:v>
                </c:pt>
                <c:pt idx="923">
                  <c:v>343159</c:v>
                </c:pt>
                <c:pt idx="924">
                  <c:v>312054.85714285698</c:v>
                </c:pt>
                <c:pt idx="925">
                  <c:v>306988.42857142899</c:v>
                </c:pt>
                <c:pt idx="926">
                  <c:v>248611.42857142899</c:v>
                </c:pt>
                <c:pt idx="927">
                  <c:v>304917.57142857101</c:v>
                </c:pt>
                <c:pt idx="928">
                  <c:v>304252.85714285698</c:v>
                </c:pt>
                <c:pt idx="929">
                  <c:v>298921.71428571403</c:v>
                </c:pt>
                <c:pt idx="930">
                  <c:v>282295.42857142899</c:v>
                </c:pt>
                <c:pt idx="931">
                  <c:v>272694.28571428597</c:v>
                </c:pt>
                <c:pt idx="932">
                  <c:v>268769</c:v>
                </c:pt>
                <c:pt idx="933">
                  <c:v>263344</c:v>
                </c:pt>
                <c:pt idx="934">
                  <c:v>204361.57142857101</c:v>
                </c:pt>
                <c:pt idx="935">
                  <c:v>203851</c:v>
                </c:pt>
                <c:pt idx="936">
                  <c:v>224936.57142857101</c:v>
                </c:pt>
                <c:pt idx="937">
                  <c:v>236153.14285714299</c:v>
                </c:pt>
                <c:pt idx="938">
                  <c:v>236444.714285714</c:v>
                </c:pt>
                <c:pt idx="939">
                  <c:v>233866.714285714</c:v>
                </c:pt>
                <c:pt idx="940">
                  <c:v>233042</c:v>
                </c:pt>
                <c:pt idx="941">
                  <c:v>234157</c:v>
                </c:pt>
                <c:pt idx="942">
                  <c:v>235319.285714286</c:v>
                </c:pt>
                <c:pt idx="943">
                  <c:v>208582.714285714</c:v>
                </c:pt>
                <c:pt idx="944">
                  <c:v>184343.57142857101</c:v>
                </c:pt>
                <c:pt idx="945">
                  <c:v>165056.85714285701</c:v>
                </c:pt>
                <c:pt idx="946">
                  <c:v>175205.42857142899</c:v>
                </c:pt>
                <c:pt idx="947">
                  <c:v>173269.714285714</c:v>
                </c:pt>
                <c:pt idx="948">
                  <c:v>173206.42857142899</c:v>
                </c:pt>
                <c:pt idx="949">
                  <c:v>173741.42857142899</c:v>
                </c:pt>
                <c:pt idx="950">
                  <c:v>170485.42857142899</c:v>
                </c:pt>
                <c:pt idx="951">
                  <c:v>162795.85714285701</c:v>
                </c:pt>
                <c:pt idx="952">
                  <c:v>178885.714285714</c:v>
                </c:pt>
                <c:pt idx="953">
                  <c:v>164222</c:v>
                </c:pt>
                <c:pt idx="954">
                  <c:v>174279.42857142899</c:v>
                </c:pt>
                <c:pt idx="955">
                  <c:v>174225.85714285701</c:v>
                </c:pt>
                <c:pt idx="956">
                  <c:v>180247.85714285701</c:v>
                </c:pt>
                <c:pt idx="957">
                  <c:v>179970.14285714299</c:v>
                </c:pt>
                <c:pt idx="958">
                  <c:v>183528.57142857101</c:v>
                </c:pt>
                <c:pt idx="959">
                  <c:v>172281.14285714299</c:v>
                </c:pt>
                <c:pt idx="960">
                  <c:v>173447.85714285701</c:v>
                </c:pt>
                <c:pt idx="961">
                  <c:v>161334.85714285701</c:v>
                </c:pt>
                <c:pt idx="962">
                  <c:v>161827.57142857101</c:v>
                </c:pt>
                <c:pt idx="963">
                  <c:v>160226.85714285701</c:v>
                </c:pt>
                <c:pt idx="964">
                  <c:v>170981.42857142899</c:v>
                </c:pt>
                <c:pt idx="965">
                  <c:v>173107.14285714299</c:v>
                </c:pt>
                <c:pt idx="966">
                  <c:v>178475.14285714299</c:v>
                </c:pt>
                <c:pt idx="967">
                  <c:v>187569.57142857101</c:v>
                </c:pt>
                <c:pt idx="968">
                  <c:v>192942.285714286</c:v>
                </c:pt>
                <c:pt idx="969">
                  <c:v>194555.285714286</c:v>
                </c:pt>
                <c:pt idx="970">
                  <c:v>192015.14285714299</c:v>
                </c:pt>
                <c:pt idx="971">
                  <c:v>186924.285714286</c:v>
                </c:pt>
                <c:pt idx="972">
                  <c:v>191149.85714285701</c:v>
                </c:pt>
                <c:pt idx="973">
                  <c:v>192258</c:v>
                </c:pt>
                <c:pt idx="974">
                  <c:v>195789.85714285701</c:v>
                </c:pt>
                <c:pt idx="975">
                  <c:v>203961</c:v>
                </c:pt>
                <c:pt idx="976">
                  <c:v>206726.714285714</c:v>
                </c:pt>
                <c:pt idx="977">
                  <c:v>205927.57142857101</c:v>
                </c:pt>
                <c:pt idx="978">
                  <c:v>212552.42857142899</c:v>
                </c:pt>
                <c:pt idx="979">
                  <c:v>224155.714285714</c:v>
                </c:pt>
                <c:pt idx="980">
                  <c:v>229627.14285714299</c:v>
                </c:pt>
                <c:pt idx="981">
                  <c:v>245048.85714285701</c:v>
                </c:pt>
                <c:pt idx="982">
                  <c:v>246259</c:v>
                </c:pt>
                <c:pt idx="983">
                  <c:v>242526.85714285701</c:v>
                </c:pt>
                <c:pt idx="984">
                  <c:v>241868.714285714</c:v>
                </c:pt>
                <c:pt idx="985">
                  <c:v>230077.42857142899</c:v>
                </c:pt>
                <c:pt idx="986">
                  <c:v>239894.85714285701</c:v>
                </c:pt>
                <c:pt idx="987">
                  <c:v>#N/A</c:v>
                </c:pt>
                <c:pt idx="988">
                  <c:v>#N/A</c:v>
                </c:pt>
                <c:pt idx="989">
                  <c:v>#N/A</c:v>
                </c:pt>
                <c:pt idx="990">
                  <c:v>#N/A</c:v>
                </c:pt>
                <c:pt idx="991">
                  <c:v>#N/A</c:v>
                </c:pt>
                <c:pt idx="992">
                  <c:v>#N/A</c:v>
                </c:pt>
                <c:pt idx="993">
                  <c:v>#N/A</c:v>
                </c:pt>
                <c:pt idx="994">
                  <c:v>#N/A</c:v>
                </c:pt>
              </c:numCache>
            </c:numRef>
          </c:val>
          <c:smooth val="0"/>
          <c:extLst>
            <c:ext xmlns:c16="http://schemas.microsoft.com/office/drawing/2014/chart" uri="{C3380CC4-5D6E-409C-BE32-E72D297353CC}">
              <c16:uniqueId val="{00000001-2C36-40BD-BC7D-09303454034B}"/>
            </c:ext>
          </c:extLst>
        </c:ser>
        <c:ser>
          <c:idx val="4"/>
          <c:order val="2"/>
          <c:tx>
            <c:strRef>
              <c:f>'COVID-19 cases - data'!$A$25</c:f>
              <c:strCache>
                <c:ptCount val="1"/>
                <c:pt idx="0">
                  <c:v>America</c:v>
                </c:pt>
              </c:strCache>
            </c:strRef>
          </c:tx>
          <c:spPr>
            <a:ln w="22225" cap="rnd">
              <a:solidFill>
                <a:srgbClr val="595959"/>
              </a:solidFill>
              <a:prstDash val="solid"/>
              <a:round/>
            </a:ln>
            <a:effectLst/>
          </c:spPr>
          <c:marker>
            <c:symbol val="none"/>
          </c:marker>
          <c:cat>
            <c:numRef>
              <c:f>'COVID-19 cases - data'!$B$1:$ALH$1</c:f>
              <c:numCache>
                <c:formatCode>mmm\-yy</c:formatCode>
                <c:ptCount val="995"/>
                <c:pt idx="0">
                  <c:v>43852</c:v>
                </c:pt>
                <c:pt idx="1">
                  <c:v>43853</c:v>
                </c:pt>
                <c:pt idx="2">
                  <c:v>43854</c:v>
                </c:pt>
                <c:pt idx="3">
                  <c:v>43855</c:v>
                </c:pt>
                <c:pt idx="4">
                  <c:v>43856</c:v>
                </c:pt>
                <c:pt idx="5">
                  <c:v>43857</c:v>
                </c:pt>
                <c:pt idx="6">
                  <c:v>43858</c:v>
                </c:pt>
                <c:pt idx="7">
                  <c:v>43859</c:v>
                </c:pt>
                <c:pt idx="8">
                  <c:v>43860</c:v>
                </c:pt>
                <c:pt idx="9">
                  <c:v>43861</c:v>
                </c:pt>
                <c:pt idx="10">
                  <c:v>43862</c:v>
                </c:pt>
                <c:pt idx="11">
                  <c:v>43863</c:v>
                </c:pt>
                <c:pt idx="12">
                  <c:v>43864</c:v>
                </c:pt>
                <c:pt idx="13">
                  <c:v>43865</c:v>
                </c:pt>
                <c:pt idx="14">
                  <c:v>43866</c:v>
                </c:pt>
                <c:pt idx="15">
                  <c:v>43867</c:v>
                </c:pt>
                <c:pt idx="16">
                  <c:v>43868</c:v>
                </c:pt>
                <c:pt idx="17">
                  <c:v>43869</c:v>
                </c:pt>
                <c:pt idx="18">
                  <c:v>43870</c:v>
                </c:pt>
                <c:pt idx="19">
                  <c:v>43871</c:v>
                </c:pt>
                <c:pt idx="20">
                  <c:v>43872</c:v>
                </c:pt>
                <c:pt idx="21">
                  <c:v>43873</c:v>
                </c:pt>
                <c:pt idx="22">
                  <c:v>43874</c:v>
                </c:pt>
                <c:pt idx="23">
                  <c:v>43875</c:v>
                </c:pt>
                <c:pt idx="24">
                  <c:v>43876</c:v>
                </c:pt>
                <c:pt idx="25">
                  <c:v>43877</c:v>
                </c:pt>
                <c:pt idx="26">
                  <c:v>43878</c:v>
                </c:pt>
                <c:pt idx="27">
                  <c:v>43879</c:v>
                </c:pt>
                <c:pt idx="28">
                  <c:v>43880</c:v>
                </c:pt>
                <c:pt idx="29">
                  <c:v>43881</c:v>
                </c:pt>
                <c:pt idx="30">
                  <c:v>43882</c:v>
                </c:pt>
                <c:pt idx="31">
                  <c:v>43883</c:v>
                </c:pt>
                <c:pt idx="32">
                  <c:v>43884</c:v>
                </c:pt>
                <c:pt idx="33">
                  <c:v>43885</c:v>
                </c:pt>
                <c:pt idx="34">
                  <c:v>43886</c:v>
                </c:pt>
                <c:pt idx="35">
                  <c:v>43887</c:v>
                </c:pt>
                <c:pt idx="36">
                  <c:v>43888</c:v>
                </c:pt>
                <c:pt idx="37">
                  <c:v>43889</c:v>
                </c:pt>
                <c:pt idx="38">
                  <c:v>43890</c:v>
                </c:pt>
                <c:pt idx="39">
                  <c:v>43891</c:v>
                </c:pt>
                <c:pt idx="40">
                  <c:v>43892</c:v>
                </c:pt>
                <c:pt idx="41">
                  <c:v>43893</c:v>
                </c:pt>
                <c:pt idx="42">
                  <c:v>43894</c:v>
                </c:pt>
                <c:pt idx="43">
                  <c:v>43895</c:v>
                </c:pt>
                <c:pt idx="44">
                  <c:v>43896</c:v>
                </c:pt>
                <c:pt idx="45">
                  <c:v>43897</c:v>
                </c:pt>
                <c:pt idx="46">
                  <c:v>43898</c:v>
                </c:pt>
                <c:pt idx="47">
                  <c:v>43899</c:v>
                </c:pt>
                <c:pt idx="48">
                  <c:v>43900</c:v>
                </c:pt>
                <c:pt idx="49">
                  <c:v>43901</c:v>
                </c:pt>
                <c:pt idx="50">
                  <c:v>43902</c:v>
                </c:pt>
                <c:pt idx="51">
                  <c:v>43903</c:v>
                </c:pt>
                <c:pt idx="52">
                  <c:v>43904</c:v>
                </c:pt>
                <c:pt idx="53">
                  <c:v>43905</c:v>
                </c:pt>
                <c:pt idx="54">
                  <c:v>43906</c:v>
                </c:pt>
                <c:pt idx="55">
                  <c:v>43907</c:v>
                </c:pt>
                <c:pt idx="56">
                  <c:v>43908</c:v>
                </c:pt>
                <c:pt idx="57">
                  <c:v>43909</c:v>
                </c:pt>
                <c:pt idx="58">
                  <c:v>43910</c:v>
                </c:pt>
                <c:pt idx="59">
                  <c:v>43911</c:v>
                </c:pt>
                <c:pt idx="60">
                  <c:v>43912</c:v>
                </c:pt>
                <c:pt idx="61">
                  <c:v>43913</c:v>
                </c:pt>
                <c:pt idx="62">
                  <c:v>43914</c:v>
                </c:pt>
                <c:pt idx="63">
                  <c:v>43915</c:v>
                </c:pt>
                <c:pt idx="64">
                  <c:v>43916</c:v>
                </c:pt>
                <c:pt idx="65">
                  <c:v>43917</c:v>
                </c:pt>
                <c:pt idx="66">
                  <c:v>43918</c:v>
                </c:pt>
                <c:pt idx="67">
                  <c:v>43919</c:v>
                </c:pt>
                <c:pt idx="68">
                  <c:v>43920</c:v>
                </c:pt>
                <c:pt idx="69">
                  <c:v>43921</c:v>
                </c:pt>
                <c:pt idx="70">
                  <c:v>43922</c:v>
                </c:pt>
                <c:pt idx="71">
                  <c:v>43923</c:v>
                </c:pt>
                <c:pt idx="72">
                  <c:v>43924</c:v>
                </c:pt>
                <c:pt idx="73">
                  <c:v>43925</c:v>
                </c:pt>
                <c:pt idx="74">
                  <c:v>43926</c:v>
                </c:pt>
                <c:pt idx="75">
                  <c:v>43927</c:v>
                </c:pt>
                <c:pt idx="76">
                  <c:v>43928</c:v>
                </c:pt>
                <c:pt idx="77">
                  <c:v>43929</c:v>
                </c:pt>
                <c:pt idx="78">
                  <c:v>43930</c:v>
                </c:pt>
                <c:pt idx="79">
                  <c:v>43931</c:v>
                </c:pt>
                <c:pt idx="80">
                  <c:v>43932</c:v>
                </c:pt>
                <c:pt idx="81">
                  <c:v>43933</c:v>
                </c:pt>
                <c:pt idx="82">
                  <c:v>43934</c:v>
                </c:pt>
                <c:pt idx="83">
                  <c:v>43935</c:v>
                </c:pt>
                <c:pt idx="84">
                  <c:v>43936</c:v>
                </c:pt>
                <c:pt idx="85">
                  <c:v>43937</c:v>
                </c:pt>
                <c:pt idx="86">
                  <c:v>43938</c:v>
                </c:pt>
                <c:pt idx="87">
                  <c:v>43939</c:v>
                </c:pt>
                <c:pt idx="88">
                  <c:v>43940</c:v>
                </c:pt>
                <c:pt idx="89">
                  <c:v>43941</c:v>
                </c:pt>
                <c:pt idx="90">
                  <c:v>43942</c:v>
                </c:pt>
                <c:pt idx="91">
                  <c:v>43943</c:v>
                </c:pt>
                <c:pt idx="92">
                  <c:v>43944</c:v>
                </c:pt>
                <c:pt idx="93">
                  <c:v>43945</c:v>
                </c:pt>
                <c:pt idx="94">
                  <c:v>43946</c:v>
                </c:pt>
                <c:pt idx="95">
                  <c:v>43947</c:v>
                </c:pt>
                <c:pt idx="96">
                  <c:v>43948</c:v>
                </c:pt>
                <c:pt idx="97">
                  <c:v>43949</c:v>
                </c:pt>
                <c:pt idx="98">
                  <c:v>43950</c:v>
                </c:pt>
                <c:pt idx="99">
                  <c:v>43951</c:v>
                </c:pt>
                <c:pt idx="100">
                  <c:v>43952</c:v>
                </c:pt>
                <c:pt idx="101">
                  <c:v>43953</c:v>
                </c:pt>
                <c:pt idx="102">
                  <c:v>43954</c:v>
                </c:pt>
                <c:pt idx="103">
                  <c:v>43955</c:v>
                </c:pt>
                <c:pt idx="104">
                  <c:v>43956</c:v>
                </c:pt>
                <c:pt idx="105">
                  <c:v>43957</c:v>
                </c:pt>
                <c:pt idx="106">
                  <c:v>43958</c:v>
                </c:pt>
                <c:pt idx="107">
                  <c:v>43959</c:v>
                </c:pt>
                <c:pt idx="108">
                  <c:v>43960</c:v>
                </c:pt>
                <c:pt idx="109">
                  <c:v>43961</c:v>
                </c:pt>
                <c:pt idx="110">
                  <c:v>43962</c:v>
                </c:pt>
                <c:pt idx="111">
                  <c:v>43963</c:v>
                </c:pt>
                <c:pt idx="112">
                  <c:v>43964</c:v>
                </c:pt>
                <c:pt idx="113">
                  <c:v>43965</c:v>
                </c:pt>
                <c:pt idx="114">
                  <c:v>43966</c:v>
                </c:pt>
                <c:pt idx="115">
                  <c:v>43967</c:v>
                </c:pt>
                <c:pt idx="116">
                  <c:v>43968</c:v>
                </c:pt>
                <c:pt idx="117">
                  <c:v>43969</c:v>
                </c:pt>
                <c:pt idx="118">
                  <c:v>43970</c:v>
                </c:pt>
                <c:pt idx="119">
                  <c:v>43971</c:v>
                </c:pt>
                <c:pt idx="120">
                  <c:v>43972</c:v>
                </c:pt>
                <c:pt idx="121">
                  <c:v>43973</c:v>
                </c:pt>
                <c:pt idx="122">
                  <c:v>43974</c:v>
                </c:pt>
                <c:pt idx="123">
                  <c:v>43975</c:v>
                </c:pt>
                <c:pt idx="124">
                  <c:v>43976</c:v>
                </c:pt>
                <c:pt idx="125">
                  <c:v>43977</c:v>
                </c:pt>
                <c:pt idx="126">
                  <c:v>43978</c:v>
                </c:pt>
                <c:pt idx="127">
                  <c:v>43979</c:v>
                </c:pt>
                <c:pt idx="128">
                  <c:v>43980</c:v>
                </c:pt>
                <c:pt idx="129">
                  <c:v>43981</c:v>
                </c:pt>
                <c:pt idx="130">
                  <c:v>43982</c:v>
                </c:pt>
                <c:pt idx="131">
                  <c:v>43983</c:v>
                </c:pt>
                <c:pt idx="132">
                  <c:v>43984</c:v>
                </c:pt>
                <c:pt idx="133">
                  <c:v>43985</c:v>
                </c:pt>
                <c:pt idx="134">
                  <c:v>43986</c:v>
                </c:pt>
                <c:pt idx="135">
                  <c:v>43987</c:v>
                </c:pt>
                <c:pt idx="136">
                  <c:v>43988</c:v>
                </c:pt>
                <c:pt idx="137">
                  <c:v>43989</c:v>
                </c:pt>
                <c:pt idx="138">
                  <c:v>43990</c:v>
                </c:pt>
                <c:pt idx="139">
                  <c:v>43991</c:v>
                </c:pt>
                <c:pt idx="140">
                  <c:v>43992</c:v>
                </c:pt>
                <c:pt idx="141">
                  <c:v>43993</c:v>
                </c:pt>
                <c:pt idx="142">
                  <c:v>43994</c:v>
                </c:pt>
                <c:pt idx="143">
                  <c:v>43995</c:v>
                </c:pt>
                <c:pt idx="144">
                  <c:v>43996</c:v>
                </c:pt>
                <c:pt idx="145">
                  <c:v>43997</c:v>
                </c:pt>
                <c:pt idx="146">
                  <c:v>43998</c:v>
                </c:pt>
                <c:pt idx="147">
                  <c:v>43999</c:v>
                </c:pt>
                <c:pt idx="148">
                  <c:v>44000</c:v>
                </c:pt>
                <c:pt idx="149">
                  <c:v>44001</c:v>
                </c:pt>
                <c:pt idx="150">
                  <c:v>44002</c:v>
                </c:pt>
                <c:pt idx="151">
                  <c:v>44003</c:v>
                </c:pt>
                <c:pt idx="152">
                  <c:v>44004</c:v>
                </c:pt>
                <c:pt idx="153">
                  <c:v>44005</c:v>
                </c:pt>
                <c:pt idx="154">
                  <c:v>44006</c:v>
                </c:pt>
                <c:pt idx="155">
                  <c:v>44007</c:v>
                </c:pt>
                <c:pt idx="156">
                  <c:v>44008</c:v>
                </c:pt>
                <c:pt idx="157">
                  <c:v>44009</c:v>
                </c:pt>
                <c:pt idx="158">
                  <c:v>44010</c:v>
                </c:pt>
                <c:pt idx="159">
                  <c:v>44011</c:v>
                </c:pt>
                <c:pt idx="160">
                  <c:v>44012</c:v>
                </c:pt>
                <c:pt idx="161">
                  <c:v>44013</c:v>
                </c:pt>
                <c:pt idx="162">
                  <c:v>44014</c:v>
                </c:pt>
                <c:pt idx="163">
                  <c:v>44015</c:v>
                </c:pt>
                <c:pt idx="164">
                  <c:v>44016</c:v>
                </c:pt>
                <c:pt idx="165">
                  <c:v>44017</c:v>
                </c:pt>
                <c:pt idx="166">
                  <c:v>44018</c:v>
                </c:pt>
                <c:pt idx="167">
                  <c:v>44019</c:v>
                </c:pt>
                <c:pt idx="168">
                  <c:v>44020</c:v>
                </c:pt>
                <c:pt idx="169">
                  <c:v>44021</c:v>
                </c:pt>
                <c:pt idx="170">
                  <c:v>44022</c:v>
                </c:pt>
                <c:pt idx="171">
                  <c:v>44023</c:v>
                </c:pt>
                <c:pt idx="172">
                  <c:v>44024</c:v>
                </c:pt>
                <c:pt idx="173">
                  <c:v>44025</c:v>
                </c:pt>
                <c:pt idx="174">
                  <c:v>44026</c:v>
                </c:pt>
                <c:pt idx="175">
                  <c:v>44027</c:v>
                </c:pt>
                <c:pt idx="176">
                  <c:v>44028</c:v>
                </c:pt>
                <c:pt idx="177">
                  <c:v>44029</c:v>
                </c:pt>
                <c:pt idx="178">
                  <c:v>44030</c:v>
                </c:pt>
                <c:pt idx="179">
                  <c:v>44031</c:v>
                </c:pt>
                <c:pt idx="180">
                  <c:v>44032</c:v>
                </c:pt>
                <c:pt idx="181">
                  <c:v>44033</c:v>
                </c:pt>
                <c:pt idx="182">
                  <c:v>44034</c:v>
                </c:pt>
                <c:pt idx="183">
                  <c:v>44035</c:v>
                </c:pt>
                <c:pt idx="184">
                  <c:v>44036</c:v>
                </c:pt>
                <c:pt idx="185">
                  <c:v>44037</c:v>
                </c:pt>
                <c:pt idx="186">
                  <c:v>44038</c:v>
                </c:pt>
                <c:pt idx="187">
                  <c:v>44039</c:v>
                </c:pt>
                <c:pt idx="188">
                  <c:v>44040</c:v>
                </c:pt>
                <c:pt idx="189">
                  <c:v>44041</c:v>
                </c:pt>
                <c:pt idx="190">
                  <c:v>44042</c:v>
                </c:pt>
                <c:pt idx="191">
                  <c:v>44043</c:v>
                </c:pt>
                <c:pt idx="192">
                  <c:v>44044</c:v>
                </c:pt>
                <c:pt idx="193">
                  <c:v>44045</c:v>
                </c:pt>
                <c:pt idx="194">
                  <c:v>44046</c:v>
                </c:pt>
                <c:pt idx="195">
                  <c:v>44047</c:v>
                </c:pt>
                <c:pt idx="196">
                  <c:v>44048</c:v>
                </c:pt>
                <c:pt idx="197">
                  <c:v>44049</c:v>
                </c:pt>
                <c:pt idx="198">
                  <c:v>44050</c:v>
                </c:pt>
                <c:pt idx="199">
                  <c:v>44051</c:v>
                </c:pt>
                <c:pt idx="200">
                  <c:v>44052</c:v>
                </c:pt>
                <c:pt idx="201">
                  <c:v>44053</c:v>
                </c:pt>
                <c:pt idx="202">
                  <c:v>44054</c:v>
                </c:pt>
                <c:pt idx="203">
                  <c:v>44055</c:v>
                </c:pt>
                <c:pt idx="204">
                  <c:v>44056</c:v>
                </c:pt>
                <c:pt idx="205">
                  <c:v>44057</c:v>
                </c:pt>
                <c:pt idx="206">
                  <c:v>44058</c:v>
                </c:pt>
                <c:pt idx="207">
                  <c:v>44059</c:v>
                </c:pt>
                <c:pt idx="208">
                  <c:v>44060</c:v>
                </c:pt>
                <c:pt idx="209">
                  <c:v>44061</c:v>
                </c:pt>
                <c:pt idx="210">
                  <c:v>44062</c:v>
                </c:pt>
                <c:pt idx="211">
                  <c:v>44063</c:v>
                </c:pt>
                <c:pt idx="212">
                  <c:v>44064</c:v>
                </c:pt>
                <c:pt idx="213">
                  <c:v>44065</c:v>
                </c:pt>
                <c:pt idx="214">
                  <c:v>44066</c:v>
                </c:pt>
                <c:pt idx="215">
                  <c:v>44067</c:v>
                </c:pt>
                <c:pt idx="216">
                  <c:v>44068</c:v>
                </c:pt>
                <c:pt idx="217">
                  <c:v>44069</c:v>
                </c:pt>
                <c:pt idx="218">
                  <c:v>44070</c:v>
                </c:pt>
                <c:pt idx="219">
                  <c:v>44071</c:v>
                </c:pt>
                <c:pt idx="220">
                  <c:v>44072</c:v>
                </c:pt>
                <c:pt idx="221">
                  <c:v>44073</c:v>
                </c:pt>
                <c:pt idx="222">
                  <c:v>44074</c:v>
                </c:pt>
                <c:pt idx="223">
                  <c:v>44075</c:v>
                </c:pt>
                <c:pt idx="224">
                  <c:v>44076</c:v>
                </c:pt>
                <c:pt idx="225">
                  <c:v>44077</c:v>
                </c:pt>
                <c:pt idx="226">
                  <c:v>44078</c:v>
                </c:pt>
                <c:pt idx="227">
                  <c:v>44079</c:v>
                </c:pt>
                <c:pt idx="228">
                  <c:v>44080</c:v>
                </c:pt>
                <c:pt idx="229">
                  <c:v>44081</c:v>
                </c:pt>
                <c:pt idx="230">
                  <c:v>44082</c:v>
                </c:pt>
                <c:pt idx="231">
                  <c:v>44083</c:v>
                </c:pt>
                <c:pt idx="232">
                  <c:v>44084</c:v>
                </c:pt>
                <c:pt idx="233">
                  <c:v>44085</c:v>
                </c:pt>
                <c:pt idx="234">
                  <c:v>44086</c:v>
                </c:pt>
                <c:pt idx="235">
                  <c:v>44087</c:v>
                </c:pt>
                <c:pt idx="236">
                  <c:v>44088</c:v>
                </c:pt>
                <c:pt idx="237">
                  <c:v>44089</c:v>
                </c:pt>
                <c:pt idx="238">
                  <c:v>44090</c:v>
                </c:pt>
                <c:pt idx="239">
                  <c:v>44091</c:v>
                </c:pt>
                <c:pt idx="240">
                  <c:v>44092</c:v>
                </c:pt>
                <c:pt idx="241">
                  <c:v>44093</c:v>
                </c:pt>
                <c:pt idx="242">
                  <c:v>44094</c:v>
                </c:pt>
                <c:pt idx="243">
                  <c:v>44095</c:v>
                </c:pt>
                <c:pt idx="244">
                  <c:v>44096</c:v>
                </c:pt>
                <c:pt idx="245">
                  <c:v>44097</c:v>
                </c:pt>
                <c:pt idx="246">
                  <c:v>44098</c:v>
                </c:pt>
                <c:pt idx="247">
                  <c:v>44099</c:v>
                </c:pt>
                <c:pt idx="248">
                  <c:v>44100</c:v>
                </c:pt>
                <c:pt idx="249">
                  <c:v>44101</c:v>
                </c:pt>
                <c:pt idx="250">
                  <c:v>44102</c:v>
                </c:pt>
                <c:pt idx="251">
                  <c:v>44103</c:v>
                </c:pt>
                <c:pt idx="252">
                  <c:v>44104</c:v>
                </c:pt>
                <c:pt idx="253">
                  <c:v>44105</c:v>
                </c:pt>
                <c:pt idx="254">
                  <c:v>44106</c:v>
                </c:pt>
                <c:pt idx="255">
                  <c:v>44107</c:v>
                </c:pt>
                <c:pt idx="256">
                  <c:v>44108</c:v>
                </c:pt>
                <c:pt idx="257">
                  <c:v>44109</c:v>
                </c:pt>
                <c:pt idx="258">
                  <c:v>44110</c:v>
                </c:pt>
                <c:pt idx="259">
                  <c:v>44111</c:v>
                </c:pt>
                <c:pt idx="260">
                  <c:v>44112</c:v>
                </c:pt>
                <c:pt idx="261">
                  <c:v>44113</c:v>
                </c:pt>
                <c:pt idx="262">
                  <c:v>44114</c:v>
                </c:pt>
                <c:pt idx="263">
                  <c:v>44115</c:v>
                </c:pt>
                <c:pt idx="264">
                  <c:v>44116</c:v>
                </c:pt>
                <c:pt idx="265">
                  <c:v>44117</c:v>
                </c:pt>
                <c:pt idx="266">
                  <c:v>44118</c:v>
                </c:pt>
                <c:pt idx="267">
                  <c:v>44119</c:v>
                </c:pt>
                <c:pt idx="268">
                  <c:v>44120</c:v>
                </c:pt>
                <c:pt idx="269">
                  <c:v>44121</c:v>
                </c:pt>
                <c:pt idx="270">
                  <c:v>44122</c:v>
                </c:pt>
                <c:pt idx="271">
                  <c:v>44123</c:v>
                </c:pt>
                <c:pt idx="272">
                  <c:v>44124</c:v>
                </c:pt>
                <c:pt idx="273">
                  <c:v>44125</c:v>
                </c:pt>
                <c:pt idx="274">
                  <c:v>44126</c:v>
                </c:pt>
                <c:pt idx="275">
                  <c:v>44127</c:v>
                </c:pt>
                <c:pt idx="276">
                  <c:v>44128</c:v>
                </c:pt>
                <c:pt idx="277">
                  <c:v>44129</c:v>
                </c:pt>
                <c:pt idx="278">
                  <c:v>44130</c:v>
                </c:pt>
                <c:pt idx="279">
                  <c:v>44131</c:v>
                </c:pt>
                <c:pt idx="280">
                  <c:v>44132</c:v>
                </c:pt>
                <c:pt idx="281">
                  <c:v>44133</c:v>
                </c:pt>
                <c:pt idx="282">
                  <c:v>44134</c:v>
                </c:pt>
                <c:pt idx="283">
                  <c:v>44135</c:v>
                </c:pt>
                <c:pt idx="284">
                  <c:v>44136</c:v>
                </c:pt>
                <c:pt idx="285">
                  <c:v>44137</c:v>
                </c:pt>
                <c:pt idx="286">
                  <c:v>44138</c:v>
                </c:pt>
                <c:pt idx="287">
                  <c:v>44139</c:v>
                </c:pt>
                <c:pt idx="288">
                  <c:v>44140</c:v>
                </c:pt>
                <c:pt idx="289">
                  <c:v>44141</c:v>
                </c:pt>
                <c:pt idx="290">
                  <c:v>44142</c:v>
                </c:pt>
                <c:pt idx="291">
                  <c:v>44143</c:v>
                </c:pt>
                <c:pt idx="292">
                  <c:v>44144</c:v>
                </c:pt>
                <c:pt idx="293">
                  <c:v>44145</c:v>
                </c:pt>
                <c:pt idx="294">
                  <c:v>44146</c:v>
                </c:pt>
                <c:pt idx="295">
                  <c:v>44147</c:v>
                </c:pt>
                <c:pt idx="296">
                  <c:v>44148</c:v>
                </c:pt>
                <c:pt idx="297">
                  <c:v>44149</c:v>
                </c:pt>
                <c:pt idx="298">
                  <c:v>44150</c:v>
                </c:pt>
                <c:pt idx="299">
                  <c:v>44151</c:v>
                </c:pt>
                <c:pt idx="300">
                  <c:v>44152</c:v>
                </c:pt>
                <c:pt idx="301">
                  <c:v>44153</c:v>
                </c:pt>
                <c:pt idx="302">
                  <c:v>44154</c:v>
                </c:pt>
                <c:pt idx="303">
                  <c:v>44155</c:v>
                </c:pt>
                <c:pt idx="304">
                  <c:v>44156</c:v>
                </c:pt>
                <c:pt idx="305">
                  <c:v>44157</c:v>
                </c:pt>
                <c:pt idx="306">
                  <c:v>44158</c:v>
                </c:pt>
                <c:pt idx="307">
                  <c:v>44159</c:v>
                </c:pt>
                <c:pt idx="308">
                  <c:v>44160</c:v>
                </c:pt>
                <c:pt idx="309">
                  <c:v>44161</c:v>
                </c:pt>
                <c:pt idx="310">
                  <c:v>44162</c:v>
                </c:pt>
                <c:pt idx="311">
                  <c:v>44163</c:v>
                </c:pt>
                <c:pt idx="312">
                  <c:v>44164</c:v>
                </c:pt>
                <c:pt idx="313">
                  <c:v>44165</c:v>
                </c:pt>
                <c:pt idx="314">
                  <c:v>44166</c:v>
                </c:pt>
                <c:pt idx="315">
                  <c:v>44167</c:v>
                </c:pt>
                <c:pt idx="316">
                  <c:v>44168</c:v>
                </c:pt>
                <c:pt idx="317">
                  <c:v>44169</c:v>
                </c:pt>
                <c:pt idx="318">
                  <c:v>44170</c:v>
                </c:pt>
                <c:pt idx="319">
                  <c:v>44171</c:v>
                </c:pt>
                <c:pt idx="320">
                  <c:v>44172</c:v>
                </c:pt>
                <c:pt idx="321">
                  <c:v>44173</c:v>
                </c:pt>
                <c:pt idx="322">
                  <c:v>44174</c:v>
                </c:pt>
                <c:pt idx="323">
                  <c:v>44175</c:v>
                </c:pt>
                <c:pt idx="324">
                  <c:v>44176</c:v>
                </c:pt>
                <c:pt idx="325">
                  <c:v>44177</c:v>
                </c:pt>
                <c:pt idx="326">
                  <c:v>44178</c:v>
                </c:pt>
                <c:pt idx="327">
                  <c:v>44179</c:v>
                </c:pt>
                <c:pt idx="328">
                  <c:v>44180</c:v>
                </c:pt>
                <c:pt idx="329">
                  <c:v>44181</c:v>
                </c:pt>
                <c:pt idx="330">
                  <c:v>44182</c:v>
                </c:pt>
                <c:pt idx="331">
                  <c:v>44183</c:v>
                </c:pt>
                <c:pt idx="332">
                  <c:v>44184</c:v>
                </c:pt>
                <c:pt idx="333">
                  <c:v>44185</c:v>
                </c:pt>
                <c:pt idx="334">
                  <c:v>44186</c:v>
                </c:pt>
                <c:pt idx="335">
                  <c:v>44187</c:v>
                </c:pt>
                <c:pt idx="336">
                  <c:v>44188</c:v>
                </c:pt>
                <c:pt idx="337">
                  <c:v>44189</c:v>
                </c:pt>
                <c:pt idx="338">
                  <c:v>44190</c:v>
                </c:pt>
                <c:pt idx="339">
                  <c:v>44191</c:v>
                </c:pt>
                <c:pt idx="340">
                  <c:v>44192</c:v>
                </c:pt>
                <c:pt idx="341">
                  <c:v>44193</c:v>
                </c:pt>
                <c:pt idx="342">
                  <c:v>44194</c:v>
                </c:pt>
                <c:pt idx="343">
                  <c:v>44195</c:v>
                </c:pt>
                <c:pt idx="344">
                  <c:v>44196</c:v>
                </c:pt>
                <c:pt idx="345">
                  <c:v>44197</c:v>
                </c:pt>
                <c:pt idx="346">
                  <c:v>44198</c:v>
                </c:pt>
                <c:pt idx="347">
                  <c:v>44199</c:v>
                </c:pt>
                <c:pt idx="348">
                  <c:v>44200</c:v>
                </c:pt>
                <c:pt idx="349">
                  <c:v>44201</c:v>
                </c:pt>
                <c:pt idx="350">
                  <c:v>44202</c:v>
                </c:pt>
                <c:pt idx="351">
                  <c:v>44203</c:v>
                </c:pt>
                <c:pt idx="352">
                  <c:v>44204</c:v>
                </c:pt>
                <c:pt idx="353">
                  <c:v>44205</c:v>
                </c:pt>
                <c:pt idx="354">
                  <c:v>44206</c:v>
                </c:pt>
                <c:pt idx="355">
                  <c:v>44207</c:v>
                </c:pt>
                <c:pt idx="356">
                  <c:v>44208</c:v>
                </c:pt>
                <c:pt idx="357">
                  <c:v>44209</c:v>
                </c:pt>
                <c:pt idx="358">
                  <c:v>44210</c:v>
                </c:pt>
                <c:pt idx="359">
                  <c:v>44211</c:v>
                </c:pt>
                <c:pt idx="360">
                  <c:v>44212</c:v>
                </c:pt>
                <c:pt idx="361">
                  <c:v>44213</c:v>
                </c:pt>
                <c:pt idx="362">
                  <c:v>44214</c:v>
                </c:pt>
                <c:pt idx="363">
                  <c:v>44215</c:v>
                </c:pt>
                <c:pt idx="364">
                  <c:v>44216</c:v>
                </c:pt>
                <c:pt idx="365">
                  <c:v>44217</c:v>
                </c:pt>
                <c:pt idx="366">
                  <c:v>44218</c:v>
                </c:pt>
                <c:pt idx="367">
                  <c:v>44219</c:v>
                </c:pt>
                <c:pt idx="368">
                  <c:v>44220</c:v>
                </c:pt>
                <c:pt idx="369">
                  <c:v>44221</c:v>
                </c:pt>
                <c:pt idx="370">
                  <c:v>44222</c:v>
                </c:pt>
                <c:pt idx="371">
                  <c:v>44223</c:v>
                </c:pt>
                <c:pt idx="372">
                  <c:v>44224</c:v>
                </c:pt>
                <c:pt idx="373">
                  <c:v>44225</c:v>
                </c:pt>
                <c:pt idx="374">
                  <c:v>44226</c:v>
                </c:pt>
                <c:pt idx="375">
                  <c:v>44227</c:v>
                </c:pt>
                <c:pt idx="376">
                  <c:v>44228</c:v>
                </c:pt>
                <c:pt idx="377">
                  <c:v>44229</c:v>
                </c:pt>
                <c:pt idx="378">
                  <c:v>44230</c:v>
                </c:pt>
                <c:pt idx="379">
                  <c:v>44231</c:v>
                </c:pt>
                <c:pt idx="380">
                  <c:v>44232</c:v>
                </c:pt>
                <c:pt idx="381">
                  <c:v>44233</c:v>
                </c:pt>
                <c:pt idx="382">
                  <c:v>44234</c:v>
                </c:pt>
                <c:pt idx="383">
                  <c:v>44235</c:v>
                </c:pt>
                <c:pt idx="384">
                  <c:v>44236</c:v>
                </c:pt>
                <c:pt idx="385">
                  <c:v>44237</c:v>
                </c:pt>
                <c:pt idx="386">
                  <c:v>44238</c:v>
                </c:pt>
                <c:pt idx="387">
                  <c:v>44239</c:v>
                </c:pt>
                <c:pt idx="388">
                  <c:v>44240</c:v>
                </c:pt>
                <c:pt idx="389">
                  <c:v>44241</c:v>
                </c:pt>
                <c:pt idx="390">
                  <c:v>44242</c:v>
                </c:pt>
                <c:pt idx="391">
                  <c:v>44243</c:v>
                </c:pt>
                <c:pt idx="392">
                  <c:v>44244</c:v>
                </c:pt>
                <c:pt idx="393">
                  <c:v>44245</c:v>
                </c:pt>
                <c:pt idx="394">
                  <c:v>44246</c:v>
                </c:pt>
                <c:pt idx="395">
                  <c:v>44247</c:v>
                </c:pt>
                <c:pt idx="396">
                  <c:v>44248</c:v>
                </c:pt>
                <c:pt idx="397">
                  <c:v>44249</c:v>
                </c:pt>
                <c:pt idx="398">
                  <c:v>44250</c:v>
                </c:pt>
                <c:pt idx="399">
                  <c:v>44251</c:v>
                </c:pt>
                <c:pt idx="400">
                  <c:v>44252</c:v>
                </c:pt>
                <c:pt idx="401">
                  <c:v>44253</c:v>
                </c:pt>
                <c:pt idx="402">
                  <c:v>44254</c:v>
                </c:pt>
                <c:pt idx="403">
                  <c:v>44255</c:v>
                </c:pt>
                <c:pt idx="404">
                  <c:v>44256</c:v>
                </c:pt>
                <c:pt idx="405">
                  <c:v>44257</c:v>
                </c:pt>
                <c:pt idx="406">
                  <c:v>44258</c:v>
                </c:pt>
                <c:pt idx="407">
                  <c:v>44259</c:v>
                </c:pt>
                <c:pt idx="408">
                  <c:v>44260</c:v>
                </c:pt>
                <c:pt idx="409">
                  <c:v>44261</c:v>
                </c:pt>
                <c:pt idx="410">
                  <c:v>44262</c:v>
                </c:pt>
                <c:pt idx="411">
                  <c:v>44263</c:v>
                </c:pt>
                <c:pt idx="412">
                  <c:v>44264</c:v>
                </c:pt>
                <c:pt idx="413">
                  <c:v>44265</c:v>
                </c:pt>
                <c:pt idx="414">
                  <c:v>44266</c:v>
                </c:pt>
                <c:pt idx="415">
                  <c:v>44267</c:v>
                </c:pt>
                <c:pt idx="416">
                  <c:v>44268</c:v>
                </c:pt>
                <c:pt idx="417">
                  <c:v>44269</c:v>
                </c:pt>
                <c:pt idx="418">
                  <c:v>44270</c:v>
                </c:pt>
                <c:pt idx="419">
                  <c:v>44271</c:v>
                </c:pt>
                <c:pt idx="420">
                  <c:v>44272</c:v>
                </c:pt>
                <c:pt idx="421">
                  <c:v>44273</c:v>
                </c:pt>
                <c:pt idx="422">
                  <c:v>44274</c:v>
                </c:pt>
                <c:pt idx="423">
                  <c:v>44275</c:v>
                </c:pt>
                <c:pt idx="424">
                  <c:v>44276</c:v>
                </c:pt>
                <c:pt idx="425">
                  <c:v>44277</c:v>
                </c:pt>
                <c:pt idx="426">
                  <c:v>44278</c:v>
                </c:pt>
                <c:pt idx="427">
                  <c:v>44279</c:v>
                </c:pt>
                <c:pt idx="428">
                  <c:v>44280</c:v>
                </c:pt>
                <c:pt idx="429">
                  <c:v>44281</c:v>
                </c:pt>
                <c:pt idx="430">
                  <c:v>44282</c:v>
                </c:pt>
                <c:pt idx="431">
                  <c:v>44283</c:v>
                </c:pt>
                <c:pt idx="432">
                  <c:v>44284</c:v>
                </c:pt>
                <c:pt idx="433">
                  <c:v>44285</c:v>
                </c:pt>
                <c:pt idx="434">
                  <c:v>44286</c:v>
                </c:pt>
                <c:pt idx="435">
                  <c:v>44287</c:v>
                </c:pt>
                <c:pt idx="436">
                  <c:v>44288</c:v>
                </c:pt>
                <c:pt idx="437">
                  <c:v>44289</c:v>
                </c:pt>
                <c:pt idx="438">
                  <c:v>44290</c:v>
                </c:pt>
                <c:pt idx="439">
                  <c:v>44291</c:v>
                </c:pt>
                <c:pt idx="440">
                  <c:v>44292</c:v>
                </c:pt>
                <c:pt idx="441">
                  <c:v>44293</c:v>
                </c:pt>
                <c:pt idx="442">
                  <c:v>44294</c:v>
                </c:pt>
                <c:pt idx="443">
                  <c:v>44295</c:v>
                </c:pt>
                <c:pt idx="444">
                  <c:v>44296</c:v>
                </c:pt>
                <c:pt idx="445">
                  <c:v>44297</c:v>
                </c:pt>
                <c:pt idx="446">
                  <c:v>44298</c:v>
                </c:pt>
                <c:pt idx="447">
                  <c:v>44299</c:v>
                </c:pt>
                <c:pt idx="448">
                  <c:v>44300</c:v>
                </c:pt>
                <c:pt idx="449">
                  <c:v>44301</c:v>
                </c:pt>
                <c:pt idx="450">
                  <c:v>44302</c:v>
                </c:pt>
                <c:pt idx="451">
                  <c:v>44303</c:v>
                </c:pt>
                <c:pt idx="452">
                  <c:v>44304</c:v>
                </c:pt>
                <c:pt idx="453">
                  <c:v>44305</c:v>
                </c:pt>
                <c:pt idx="454">
                  <c:v>44306</c:v>
                </c:pt>
                <c:pt idx="455">
                  <c:v>44307</c:v>
                </c:pt>
                <c:pt idx="456">
                  <c:v>44308</c:v>
                </c:pt>
                <c:pt idx="457">
                  <c:v>44309</c:v>
                </c:pt>
                <c:pt idx="458">
                  <c:v>44310</c:v>
                </c:pt>
                <c:pt idx="459">
                  <c:v>44311</c:v>
                </c:pt>
                <c:pt idx="460">
                  <c:v>44312</c:v>
                </c:pt>
                <c:pt idx="461">
                  <c:v>44313</c:v>
                </c:pt>
                <c:pt idx="462">
                  <c:v>44314</c:v>
                </c:pt>
                <c:pt idx="463">
                  <c:v>44315</c:v>
                </c:pt>
                <c:pt idx="464">
                  <c:v>44316</c:v>
                </c:pt>
                <c:pt idx="465">
                  <c:v>44317</c:v>
                </c:pt>
                <c:pt idx="466">
                  <c:v>44318</c:v>
                </c:pt>
                <c:pt idx="467">
                  <c:v>44319</c:v>
                </c:pt>
                <c:pt idx="468">
                  <c:v>44320</c:v>
                </c:pt>
                <c:pt idx="469">
                  <c:v>44321</c:v>
                </c:pt>
                <c:pt idx="470">
                  <c:v>44322</c:v>
                </c:pt>
                <c:pt idx="471">
                  <c:v>44323</c:v>
                </c:pt>
                <c:pt idx="472">
                  <c:v>44324</c:v>
                </c:pt>
                <c:pt idx="473">
                  <c:v>44325</c:v>
                </c:pt>
                <c:pt idx="474">
                  <c:v>44326</c:v>
                </c:pt>
                <c:pt idx="475">
                  <c:v>44327</c:v>
                </c:pt>
                <c:pt idx="476">
                  <c:v>44328</c:v>
                </c:pt>
                <c:pt idx="477">
                  <c:v>44329</c:v>
                </c:pt>
                <c:pt idx="478">
                  <c:v>44330</c:v>
                </c:pt>
                <c:pt idx="479">
                  <c:v>44331</c:v>
                </c:pt>
                <c:pt idx="480">
                  <c:v>44332</c:v>
                </c:pt>
                <c:pt idx="481">
                  <c:v>44333</c:v>
                </c:pt>
                <c:pt idx="482">
                  <c:v>44334</c:v>
                </c:pt>
                <c:pt idx="483">
                  <c:v>44335</c:v>
                </c:pt>
                <c:pt idx="484">
                  <c:v>44336</c:v>
                </c:pt>
                <c:pt idx="485">
                  <c:v>44337</c:v>
                </c:pt>
                <c:pt idx="486">
                  <c:v>44338</c:v>
                </c:pt>
                <c:pt idx="487">
                  <c:v>44339</c:v>
                </c:pt>
                <c:pt idx="488">
                  <c:v>44340</c:v>
                </c:pt>
                <c:pt idx="489">
                  <c:v>44341</c:v>
                </c:pt>
                <c:pt idx="490">
                  <c:v>44342</c:v>
                </c:pt>
                <c:pt idx="491">
                  <c:v>44343</c:v>
                </c:pt>
                <c:pt idx="492">
                  <c:v>44344</c:v>
                </c:pt>
                <c:pt idx="493">
                  <c:v>44345</c:v>
                </c:pt>
                <c:pt idx="494">
                  <c:v>44346</c:v>
                </c:pt>
                <c:pt idx="495">
                  <c:v>44347</c:v>
                </c:pt>
                <c:pt idx="496">
                  <c:v>44348</c:v>
                </c:pt>
                <c:pt idx="497">
                  <c:v>44349</c:v>
                </c:pt>
                <c:pt idx="498">
                  <c:v>44350</c:v>
                </c:pt>
                <c:pt idx="499">
                  <c:v>44351</c:v>
                </c:pt>
                <c:pt idx="500">
                  <c:v>44352</c:v>
                </c:pt>
                <c:pt idx="501">
                  <c:v>44353</c:v>
                </c:pt>
                <c:pt idx="502">
                  <c:v>44354</c:v>
                </c:pt>
                <c:pt idx="503">
                  <c:v>44355</c:v>
                </c:pt>
                <c:pt idx="504">
                  <c:v>44356</c:v>
                </c:pt>
                <c:pt idx="505">
                  <c:v>44357</c:v>
                </c:pt>
                <c:pt idx="506">
                  <c:v>44358</c:v>
                </c:pt>
                <c:pt idx="507">
                  <c:v>44359</c:v>
                </c:pt>
                <c:pt idx="508">
                  <c:v>44360</c:v>
                </c:pt>
                <c:pt idx="509">
                  <c:v>44361</c:v>
                </c:pt>
                <c:pt idx="510">
                  <c:v>44362</c:v>
                </c:pt>
                <c:pt idx="511">
                  <c:v>44363</c:v>
                </c:pt>
                <c:pt idx="512">
                  <c:v>44364</c:v>
                </c:pt>
                <c:pt idx="513">
                  <c:v>44365</c:v>
                </c:pt>
                <c:pt idx="514">
                  <c:v>44366</c:v>
                </c:pt>
                <c:pt idx="515">
                  <c:v>44367</c:v>
                </c:pt>
                <c:pt idx="516">
                  <c:v>44368</c:v>
                </c:pt>
                <c:pt idx="517">
                  <c:v>44369</c:v>
                </c:pt>
                <c:pt idx="518">
                  <c:v>44370</c:v>
                </c:pt>
                <c:pt idx="519">
                  <c:v>44371</c:v>
                </c:pt>
                <c:pt idx="520">
                  <c:v>44372</c:v>
                </c:pt>
                <c:pt idx="521">
                  <c:v>44373</c:v>
                </c:pt>
                <c:pt idx="522">
                  <c:v>44374</c:v>
                </c:pt>
                <c:pt idx="523">
                  <c:v>44375</c:v>
                </c:pt>
                <c:pt idx="524">
                  <c:v>44376</c:v>
                </c:pt>
                <c:pt idx="525">
                  <c:v>44377</c:v>
                </c:pt>
                <c:pt idx="526">
                  <c:v>44378</c:v>
                </c:pt>
                <c:pt idx="527">
                  <c:v>44379</c:v>
                </c:pt>
                <c:pt idx="528">
                  <c:v>44380</c:v>
                </c:pt>
                <c:pt idx="529">
                  <c:v>44381</c:v>
                </c:pt>
                <c:pt idx="530">
                  <c:v>44382</c:v>
                </c:pt>
                <c:pt idx="531">
                  <c:v>44383</c:v>
                </c:pt>
                <c:pt idx="532">
                  <c:v>44384</c:v>
                </c:pt>
                <c:pt idx="533">
                  <c:v>44385</c:v>
                </c:pt>
                <c:pt idx="534">
                  <c:v>44386</c:v>
                </c:pt>
                <c:pt idx="535">
                  <c:v>44387</c:v>
                </c:pt>
                <c:pt idx="536">
                  <c:v>44388</c:v>
                </c:pt>
                <c:pt idx="537">
                  <c:v>44389</c:v>
                </c:pt>
                <c:pt idx="538">
                  <c:v>44390</c:v>
                </c:pt>
                <c:pt idx="539">
                  <c:v>44391</c:v>
                </c:pt>
                <c:pt idx="540">
                  <c:v>44392</c:v>
                </c:pt>
                <c:pt idx="541">
                  <c:v>44393</c:v>
                </c:pt>
                <c:pt idx="542">
                  <c:v>44394</c:v>
                </c:pt>
                <c:pt idx="543">
                  <c:v>44395</c:v>
                </c:pt>
                <c:pt idx="544">
                  <c:v>44396</c:v>
                </c:pt>
                <c:pt idx="545">
                  <c:v>44397</c:v>
                </c:pt>
                <c:pt idx="546">
                  <c:v>44398</c:v>
                </c:pt>
                <c:pt idx="547">
                  <c:v>44399</c:v>
                </c:pt>
                <c:pt idx="548">
                  <c:v>44400</c:v>
                </c:pt>
                <c:pt idx="549">
                  <c:v>44401</c:v>
                </c:pt>
                <c:pt idx="550">
                  <c:v>44402</c:v>
                </c:pt>
                <c:pt idx="551">
                  <c:v>44403</c:v>
                </c:pt>
                <c:pt idx="552">
                  <c:v>44404</c:v>
                </c:pt>
                <c:pt idx="553">
                  <c:v>44405</c:v>
                </c:pt>
                <c:pt idx="554">
                  <c:v>44406</c:v>
                </c:pt>
                <c:pt idx="555">
                  <c:v>44407</c:v>
                </c:pt>
                <c:pt idx="556">
                  <c:v>44408</c:v>
                </c:pt>
                <c:pt idx="557">
                  <c:v>44409</c:v>
                </c:pt>
                <c:pt idx="558">
                  <c:v>44410</c:v>
                </c:pt>
                <c:pt idx="559">
                  <c:v>44411</c:v>
                </c:pt>
                <c:pt idx="560">
                  <c:v>44412</c:v>
                </c:pt>
                <c:pt idx="561">
                  <c:v>44413</c:v>
                </c:pt>
                <c:pt idx="562">
                  <c:v>44414</c:v>
                </c:pt>
                <c:pt idx="563">
                  <c:v>44415</c:v>
                </c:pt>
                <c:pt idx="564">
                  <c:v>44416</c:v>
                </c:pt>
                <c:pt idx="565">
                  <c:v>44417</c:v>
                </c:pt>
                <c:pt idx="566">
                  <c:v>44418</c:v>
                </c:pt>
                <c:pt idx="567">
                  <c:v>44419</c:v>
                </c:pt>
                <c:pt idx="568">
                  <c:v>44420</c:v>
                </c:pt>
                <c:pt idx="569">
                  <c:v>44421</c:v>
                </c:pt>
                <c:pt idx="570">
                  <c:v>44422</c:v>
                </c:pt>
                <c:pt idx="571">
                  <c:v>44423</c:v>
                </c:pt>
                <c:pt idx="572">
                  <c:v>44424</c:v>
                </c:pt>
                <c:pt idx="573">
                  <c:v>44425</c:v>
                </c:pt>
                <c:pt idx="574">
                  <c:v>44426</c:v>
                </c:pt>
                <c:pt idx="575">
                  <c:v>44427</c:v>
                </c:pt>
                <c:pt idx="576">
                  <c:v>44428</c:v>
                </c:pt>
                <c:pt idx="577">
                  <c:v>44429</c:v>
                </c:pt>
                <c:pt idx="578">
                  <c:v>44430</c:v>
                </c:pt>
                <c:pt idx="579">
                  <c:v>44431</c:v>
                </c:pt>
                <c:pt idx="580">
                  <c:v>44432</c:v>
                </c:pt>
                <c:pt idx="581">
                  <c:v>44433</c:v>
                </c:pt>
                <c:pt idx="582">
                  <c:v>44434</c:v>
                </c:pt>
                <c:pt idx="583">
                  <c:v>44435</c:v>
                </c:pt>
                <c:pt idx="584">
                  <c:v>44436</c:v>
                </c:pt>
                <c:pt idx="585">
                  <c:v>44437</c:v>
                </c:pt>
                <c:pt idx="586">
                  <c:v>44438</c:v>
                </c:pt>
                <c:pt idx="587">
                  <c:v>44439</c:v>
                </c:pt>
                <c:pt idx="588">
                  <c:v>44440</c:v>
                </c:pt>
                <c:pt idx="589">
                  <c:v>44441</c:v>
                </c:pt>
                <c:pt idx="590">
                  <c:v>44442</c:v>
                </c:pt>
                <c:pt idx="591">
                  <c:v>44443</c:v>
                </c:pt>
                <c:pt idx="592">
                  <c:v>44444</c:v>
                </c:pt>
                <c:pt idx="593">
                  <c:v>44445</c:v>
                </c:pt>
                <c:pt idx="594">
                  <c:v>44446</c:v>
                </c:pt>
                <c:pt idx="595">
                  <c:v>44447</c:v>
                </c:pt>
                <c:pt idx="596">
                  <c:v>44448</c:v>
                </c:pt>
                <c:pt idx="597">
                  <c:v>44449</c:v>
                </c:pt>
                <c:pt idx="598">
                  <c:v>44450</c:v>
                </c:pt>
                <c:pt idx="599">
                  <c:v>44451</c:v>
                </c:pt>
                <c:pt idx="600">
                  <c:v>44452</c:v>
                </c:pt>
                <c:pt idx="601">
                  <c:v>44453</c:v>
                </c:pt>
                <c:pt idx="602">
                  <c:v>44454</c:v>
                </c:pt>
                <c:pt idx="603">
                  <c:v>44455</c:v>
                </c:pt>
                <c:pt idx="604">
                  <c:v>44456</c:v>
                </c:pt>
                <c:pt idx="605">
                  <c:v>44457</c:v>
                </c:pt>
                <c:pt idx="606">
                  <c:v>44458</c:v>
                </c:pt>
                <c:pt idx="607">
                  <c:v>44459</c:v>
                </c:pt>
                <c:pt idx="608">
                  <c:v>44460</c:v>
                </c:pt>
                <c:pt idx="609">
                  <c:v>44461</c:v>
                </c:pt>
                <c:pt idx="610">
                  <c:v>44462</c:v>
                </c:pt>
                <c:pt idx="611">
                  <c:v>44463</c:v>
                </c:pt>
                <c:pt idx="612">
                  <c:v>44464</c:v>
                </c:pt>
                <c:pt idx="613">
                  <c:v>44465</c:v>
                </c:pt>
                <c:pt idx="614">
                  <c:v>44466</c:v>
                </c:pt>
                <c:pt idx="615">
                  <c:v>44467</c:v>
                </c:pt>
                <c:pt idx="616">
                  <c:v>44468</c:v>
                </c:pt>
                <c:pt idx="617">
                  <c:v>44469</c:v>
                </c:pt>
                <c:pt idx="618">
                  <c:v>44470</c:v>
                </c:pt>
                <c:pt idx="619">
                  <c:v>44471</c:v>
                </c:pt>
                <c:pt idx="620">
                  <c:v>44472</c:v>
                </c:pt>
                <c:pt idx="621">
                  <c:v>44473</c:v>
                </c:pt>
                <c:pt idx="622">
                  <c:v>44474</c:v>
                </c:pt>
                <c:pt idx="623">
                  <c:v>44475</c:v>
                </c:pt>
                <c:pt idx="624">
                  <c:v>44476</c:v>
                </c:pt>
                <c:pt idx="625">
                  <c:v>44477</c:v>
                </c:pt>
                <c:pt idx="626">
                  <c:v>44478</c:v>
                </c:pt>
                <c:pt idx="627">
                  <c:v>44479</c:v>
                </c:pt>
                <c:pt idx="628">
                  <c:v>44480</c:v>
                </c:pt>
                <c:pt idx="629">
                  <c:v>44481</c:v>
                </c:pt>
                <c:pt idx="630">
                  <c:v>44482</c:v>
                </c:pt>
                <c:pt idx="631">
                  <c:v>44483</c:v>
                </c:pt>
                <c:pt idx="632">
                  <c:v>44484</c:v>
                </c:pt>
                <c:pt idx="633">
                  <c:v>44485</c:v>
                </c:pt>
                <c:pt idx="634">
                  <c:v>44486</c:v>
                </c:pt>
                <c:pt idx="635">
                  <c:v>44487</c:v>
                </c:pt>
                <c:pt idx="636">
                  <c:v>44488</c:v>
                </c:pt>
                <c:pt idx="637">
                  <c:v>44489</c:v>
                </c:pt>
                <c:pt idx="638">
                  <c:v>44490</c:v>
                </c:pt>
                <c:pt idx="639">
                  <c:v>44491</c:v>
                </c:pt>
                <c:pt idx="640">
                  <c:v>44492</c:v>
                </c:pt>
                <c:pt idx="641">
                  <c:v>44493</c:v>
                </c:pt>
                <c:pt idx="642">
                  <c:v>44494</c:v>
                </c:pt>
                <c:pt idx="643">
                  <c:v>44495</c:v>
                </c:pt>
                <c:pt idx="644">
                  <c:v>44496</c:v>
                </c:pt>
                <c:pt idx="645">
                  <c:v>44497</c:v>
                </c:pt>
                <c:pt idx="646">
                  <c:v>44498</c:v>
                </c:pt>
                <c:pt idx="647">
                  <c:v>44499</c:v>
                </c:pt>
                <c:pt idx="648">
                  <c:v>44500</c:v>
                </c:pt>
                <c:pt idx="649">
                  <c:v>44501</c:v>
                </c:pt>
                <c:pt idx="650">
                  <c:v>44502</c:v>
                </c:pt>
                <c:pt idx="651">
                  <c:v>44503</c:v>
                </c:pt>
                <c:pt idx="652">
                  <c:v>44504</c:v>
                </c:pt>
                <c:pt idx="653">
                  <c:v>44505</c:v>
                </c:pt>
                <c:pt idx="654">
                  <c:v>44506</c:v>
                </c:pt>
                <c:pt idx="655">
                  <c:v>44507</c:v>
                </c:pt>
                <c:pt idx="656">
                  <c:v>44508</c:v>
                </c:pt>
                <c:pt idx="657">
                  <c:v>44509</c:v>
                </c:pt>
                <c:pt idx="658">
                  <c:v>44510</c:v>
                </c:pt>
                <c:pt idx="659">
                  <c:v>44511</c:v>
                </c:pt>
                <c:pt idx="660">
                  <c:v>44512</c:v>
                </c:pt>
                <c:pt idx="661">
                  <c:v>44513</c:v>
                </c:pt>
                <c:pt idx="662">
                  <c:v>44514</c:v>
                </c:pt>
                <c:pt idx="663">
                  <c:v>44515</c:v>
                </c:pt>
                <c:pt idx="664">
                  <c:v>44516</c:v>
                </c:pt>
                <c:pt idx="665">
                  <c:v>44517</c:v>
                </c:pt>
                <c:pt idx="666">
                  <c:v>44518</c:v>
                </c:pt>
                <c:pt idx="667">
                  <c:v>44519</c:v>
                </c:pt>
                <c:pt idx="668">
                  <c:v>44520</c:v>
                </c:pt>
                <c:pt idx="669">
                  <c:v>44521</c:v>
                </c:pt>
                <c:pt idx="670">
                  <c:v>44522</c:v>
                </c:pt>
                <c:pt idx="671">
                  <c:v>44523</c:v>
                </c:pt>
                <c:pt idx="672">
                  <c:v>44524</c:v>
                </c:pt>
                <c:pt idx="673">
                  <c:v>44525</c:v>
                </c:pt>
                <c:pt idx="674">
                  <c:v>44526</c:v>
                </c:pt>
                <c:pt idx="675">
                  <c:v>44527</c:v>
                </c:pt>
                <c:pt idx="676">
                  <c:v>44528</c:v>
                </c:pt>
                <c:pt idx="677">
                  <c:v>44529</c:v>
                </c:pt>
                <c:pt idx="678">
                  <c:v>44530</c:v>
                </c:pt>
                <c:pt idx="679">
                  <c:v>44531</c:v>
                </c:pt>
                <c:pt idx="680">
                  <c:v>44532</c:v>
                </c:pt>
                <c:pt idx="681">
                  <c:v>44533</c:v>
                </c:pt>
                <c:pt idx="682">
                  <c:v>44534</c:v>
                </c:pt>
                <c:pt idx="683">
                  <c:v>44535</c:v>
                </c:pt>
                <c:pt idx="684">
                  <c:v>44536</c:v>
                </c:pt>
                <c:pt idx="685">
                  <c:v>44537</c:v>
                </c:pt>
                <c:pt idx="686">
                  <c:v>44538</c:v>
                </c:pt>
                <c:pt idx="687">
                  <c:v>44539</c:v>
                </c:pt>
                <c:pt idx="688">
                  <c:v>44540</c:v>
                </c:pt>
                <c:pt idx="689">
                  <c:v>44541</c:v>
                </c:pt>
                <c:pt idx="690">
                  <c:v>44542</c:v>
                </c:pt>
                <c:pt idx="691">
                  <c:v>44543</c:v>
                </c:pt>
                <c:pt idx="692">
                  <c:v>44544</c:v>
                </c:pt>
                <c:pt idx="693">
                  <c:v>44545</c:v>
                </c:pt>
                <c:pt idx="694">
                  <c:v>44546</c:v>
                </c:pt>
                <c:pt idx="695">
                  <c:v>44547</c:v>
                </c:pt>
                <c:pt idx="696">
                  <c:v>44548</c:v>
                </c:pt>
                <c:pt idx="697">
                  <c:v>44549</c:v>
                </c:pt>
                <c:pt idx="698">
                  <c:v>44550</c:v>
                </c:pt>
                <c:pt idx="699">
                  <c:v>44551</c:v>
                </c:pt>
                <c:pt idx="700">
                  <c:v>44552</c:v>
                </c:pt>
                <c:pt idx="701">
                  <c:v>44553</c:v>
                </c:pt>
                <c:pt idx="702">
                  <c:v>44554</c:v>
                </c:pt>
                <c:pt idx="703">
                  <c:v>44555</c:v>
                </c:pt>
                <c:pt idx="704">
                  <c:v>44556</c:v>
                </c:pt>
                <c:pt idx="705">
                  <c:v>44557</c:v>
                </c:pt>
                <c:pt idx="706">
                  <c:v>44558</c:v>
                </c:pt>
                <c:pt idx="707">
                  <c:v>44559</c:v>
                </c:pt>
                <c:pt idx="708">
                  <c:v>44560</c:v>
                </c:pt>
                <c:pt idx="709">
                  <c:v>44561</c:v>
                </c:pt>
                <c:pt idx="710">
                  <c:v>44562</c:v>
                </c:pt>
                <c:pt idx="711">
                  <c:v>44563</c:v>
                </c:pt>
                <c:pt idx="712">
                  <c:v>44564</c:v>
                </c:pt>
                <c:pt idx="713">
                  <c:v>44565</c:v>
                </c:pt>
                <c:pt idx="714">
                  <c:v>44566</c:v>
                </c:pt>
                <c:pt idx="715">
                  <c:v>44567</c:v>
                </c:pt>
                <c:pt idx="716">
                  <c:v>44568</c:v>
                </c:pt>
                <c:pt idx="717">
                  <c:v>44569</c:v>
                </c:pt>
                <c:pt idx="718">
                  <c:v>44570</c:v>
                </c:pt>
                <c:pt idx="719">
                  <c:v>44571</c:v>
                </c:pt>
                <c:pt idx="720">
                  <c:v>44572</c:v>
                </c:pt>
                <c:pt idx="721">
                  <c:v>44573</c:v>
                </c:pt>
                <c:pt idx="722">
                  <c:v>44574</c:v>
                </c:pt>
                <c:pt idx="723">
                  <c:v>44575</c:v>
                </c:pt>
                <c:pt idx="724">
                  <c:v>44576</c:v>
                </c:pt>
                <c:pt idx="725">
                  <c:v>44577</c:v>
                </c:pt>
                <c:pt idx="726">
                  <c:v>44578</c:v>
                </c:pt>
                <c:pt idx="727">
                  <c:v>44579</c:v>
                </c:pt>
                <c:pt idx="728">
                  <c:v>44580</c:v>
                </c:pt>
                <c:pt idx="729">
                  <c:v>44581</c:v>
                </c:pt>
                <c:pt idx="730">
                  <c:v>44582</c:v>
                </c:pt>
                <c:pt idx="731">
                  <c:v>44583</c:v>
                </c:pt>
                <c:pt idx="732">
                  <c:v>44584</c:v>
                </c:pt>
                <c:pt idx="733">
                  <c:v>44585</c:v>
                </c:pt>
                <c:pt idx="734">
                  <c:v>44586</c:v>
                </c:pt>
                <c:pt idx="735">
                  <c:v>44587</c:v>
                </c:pt>
                <c:pt idx="736">
                  <c:v>44588</c:v>
                </c:pt>
                <c:pt idx="737">
                  <c:v>44589</c:v>
                </c:pt>
                <c:pt idx="738">
                  <c:v>44590</c:v>
                </c:pt>
                <c:pt idx="739">
                  <c:v>44591</c:v>
                </c:pt>
                <c:pt idx="740">
                  <c:v>44592</c:v>
                </c:pt>
                <c:pt idx="741">
                  <c:v>44593</c:v>
                </c:pt>
                <c:pt idx="742">
                  <c:v>44594</c:v>
                </c:pt>
                <c:pt idx="743">
                  <c:v>44595</c:v>
                </c:pt>
                <c:pt idx="744">
                  <c:v>44596</c:v>
                </c:pt>
                <c:pt idx="745">
                  <c:v>44597</c:v>
                </c:pt>
                <c:pt idx="746">
                  <c:v>44598</c:v>
                </c:pt>
                <c:pt idx="747">
                  <c:v>44599</c:v>
                </c:pt>
                <c:pt idx="748">
                  <c:v>44600</c:v>
                </c:pt>
                <c:pt idx="749">
                  <c:v>44601</c:v>
                </c:pt>
                <c:pt idx="750">
                  <c:v>44602</c:v>
                </c:pt>
                <c:pt idx="751">
                  <c:v>44603</c:v>
                </c:pt>
                <c:pt idx="752">
                  <c:v>44604</c:v>
                </c:pt>
                <c:pt idx="753">
                  <c:v>44605</c:v>
                </c:pt>
                <c:pt idx="754">
                  <c:v>44606</c:v>
                </c:pt>
                <c:pt idx="755">
                  <c:v>44607</c:v>
                </c:pt>
                <c:pt idx="756">
                  <c:v>44608</c:v>
                </c:pt>
                <c:pt idx="757">
                  <c:v>44609</c:v>
                </c:pt>
                <c:pt idx="758">
                  <c:v>44610</c:v>
                </c:pt>
                <c:pt idx="759">
                  <c:v>44611</c:v>
                </c:pt>
                <c:pt idx="760">
                  <c:v>44612</c:v>
                </c:pt>
                <c:pt idx="761">
                  <c:v>44613</c:v>
                </c:pt>
                <c:pt idx="762">
                  <c:v>44614</c:v>
                </c:pt>
                <c:pt idx="763">
                  <c:v>44615</c:v>
                </c:pt>
                <c:pt idx="764">
                  <c:v>44616</c:v>
                </c:pt>
                <c:pt idx="765">
                  <c:v>44617</c:v>
                </c:pt>
                <c:pt idx="766">
                  <c:v>44618</c:v>
                </c:pt>
                <c:pt idx="767">
                  <c:v>44619</c:v>
                </c:pt>
                <c:pt idx="768">
                  <c:v>44620</c:v>
                </c:pt>
                <c:pt idx="769">
                  <c:v>44621</c:v>
                </c:pt>
                <c:pt idx="770">
                  <c:v>44622</c:v>
                </c:pt>
                <c:pt idx="771">
                  <c:v>44623</c:v>
                </c:pt>
                <c:pt idx="772">
                  <c:v>44624</c:v>
                </c:pt>
                <c:pt idx="773">
                  <c:v>44625</c:v>
                </c:pt>
                <c:pt idx="774">
                  <c:v>44626</c:v>
                </c:pt>
                <c:pt idx="775">
                  <c:v>44627</c:v>
                </c:pt>
                <c:pt idx="776">
                  <c:v>44628</c:v>
                </c:pt>
                <c:pt idx="777">
                  <c:v>44629</c:v>
                </c:pt>
                <c:pt idx="778">
                  <c:v>44630</c:v>
                </c:pt>
                <c:pt idx="779">
                  <c:v>44631</c:v>
                </c:pt>
                <c:pt idx="780">
                  <c:v>44632</c:v>
                </c:pt>
                <c:pt idx="781">
                  <c:v>44633</c:v>
                </c:pt>
                <c:pt idx="782">
                  <c:v>44634</c:v>
                </c:pt>
                <c:pt idx="783">
                  <c:v>44635</c:v>
                </c:pt>
                <c:pt idx="784">
                  <c:v>44636</c:v>
                </c:pt>
                <c:pt idx="785">
                  <c:v>44637</c:v>
                </c:pt>
                <c:pt idx="786">
                  <c:v>44638</c:v>
                </c:pt>
                <c:pt idx="787">
                  <c:v>44639</c:v>
                </c:pt>
                <c:pt idx="788">
                  <c:v>44640</c:v>
                </c:pt>
                <c:pt idx="789">
                  <c:v>44641</c:v>
                </c:pt>
                <c:pt idx="790">
                  <c:v>44642</c:v>
                </c:pt>
                <c:pt idx="791">
                  <c:v>44643</c:v>
                </c:pt>
                <c:pt idx="792">
                  <c:v>44644</c:v>
                </c:pt>
                <c:pt idx="793">
                  <c:v>44645</c:v>
                </c:pt>
                <c:pt idx="794">
                  <c:v>44646</c:v>
                </c:pt>
                <c:pt idx="795">
                  <c:v>44647</c:v>
                </c:pt>
                <c:pt idx="796">
                  <c:v>44648</c:v>
                </c:pt>
                <c:pt idx="797">
                  <c:v>44649</c:v>
                </c:pt>
                <c:pt idx="798">
                  <c:v>44650</c:v>
                </c:pt>
                <c:pt idx="799">
                  <c:v>44651</c:v>
                </c:pt>
                <c:pt idx="800">
                  <c:v>44652</c:v>
                </c:pt>
                <c:pt idx="801">
                  <c:v>44653</c:v>
                </c:pt>
                <c:pt idx="802">
                  <c:v>44654</c:v>
                </c:pt>
                <c:pt idx="803">
                  <c:v>44655</c:v>
                </c:pt>
                <c:pt idx="804">
                  <c:v>44656</c:v>
                </c:pt>
                <c:pt idx="805">
                  <c:v>44657</c:v>
                </c:pt>
                <c:pt idx="806">
                  <c:v>44658</c:v>
                </c:pt>
                <c:pt idx="807">
                  <c:v>44659</c:v>
                </c:pt>
                <c:pt idx="808">
                  <c:v>44660</c:v>
                </c:pt>
                <c:pt idx="809">
                  <c:v>44661</c:v>
                </c:pt>
                <c:pt idx="810">
                  <c:v>44662</c:v>
                </c:pt>
                <c:pt idx="811">
                  <c:v>44663</c:v>
                </c:pt>
                <c:pt idx="812">
                  <c:v>44664</c:v>
                </c:pt>
                <c:pt idx="813">
                  <c:v>44665</c:v>
                </c:pt>
                <c:pt idx="814">
                  <c:v>44666</c:v>
                </c:pt>
                <c:pt idx="815">
                  <c:v>44667</c:v>
                </c:pt>
                <c:pt idx="816">
                  <c:v>44668</c:v>
                </c:pt>
                <c:pt idx="817">
                  <c:v>44669</c:v>
                </c:pt>
                <c:pt idx="818">
                  <c:v>44670</c:v>
                </c:pt>
                <c:pt idx="819">
                  <c:v>44671</c:v>
                </c:pt>
                <c:pt idx="820">
                  <c:v>44672</c:v>
                </c:pt>
                <c:pt idx="821">
                  <c:v>44673</c:v>
                </c:pt>
                <c:pt idx="822">
                  <c:v>44674</c:v>
                </c:pt>
                <c:pt idx="823">
                  <c:v>44675</c:v>
                </c:pt>
                <c:pt idx="824">
                  <c:v>44676</c:v>
                </c:pt>
                <c:pt idx="825">
                  <c:v>44677</c:v>
                </c:pt>
                <c:pt idx="826">
                  <c:v>44678</c:v>
                </c:pt>
                <c:pt idx="827">
                  <c:v>44679</c:v>
                </c:pt>
                <c:pt idx="828">
                  <c:v>44680</c:v>
                </c:pt>
                <c:pt idx="829">
                  <c:v>44681</c:v>
                </c:pt>
                <c:pt idx="830">
                  <c:v>44682</c:v>
                </c:pt>
                <c:pt idx="831">
                  <c:v>44683</c:v>
                </c:pt>
                <c:pt idx="832">
                  <c:v>44684</c:v>
                </c:pt>
                <c:pt idx="833">
                  <c:v>44685</c:v>
                </c:pt>
                <c:pt idx="834">
                  <c:v>44686</c:v>
                </c:pt>
                <c:pt idx="835">
                  <c:v>44687</c:v>
                </c:pt>
                <c:pt idx="836">
                  <c:v>44688</c:v>
                </c:pt>
                <c:pt idx="837">
                  <c:v>44689</c:v>
                </c:pt>
                <c:pt idx="838">
                  <c:v>44690</c:v>
                </c:pt>
                <c:pt idx="839">
                  <c:v>44691</c:v>
                </c:pt>
                <c:pt idx="840">
                  <c:v>44692</c:v>
                </c:pt>
                <c:pt idx="841">
                  <c:v>44693</c:v>
                </c:pt>
                <c:pt idx="842">
                  <c:v>44694</c:v>
                </c:pt>
                <c:pt idx="843">
                  <c:v>44695</c:v>
                </c:pt>
                <c:pt idx="844">
                  <c:v>44696</c:v>
                </c:pt>
                <c:pt idx="845">
                  <c:v>44697</c:v>
                </c:pt>
                <c:pt idx="846">
                  <c:v>44698</c:v>
                </c:pt>
                <c:pt idx="847">
                  <c:v>44699</c:v>
                </c:pt>
                <c:pt idx="848">
                  <c:v>44700</c:v>
                </c:pt>
                <c:pt idx="849">
                  <c:v>44701</c:v>
                </c:pt>
                <c:pt idx="850">
                  <c:v>44702</c:v>
                </c:pt>
                <c:pt idx="851">
                  <c:v>44703</c:v>
                </c:pt>
                <c:pt idx="852">
                  <c:v>44704</c:v>
                </c:pt>
                <c:pt idx="853">
                  <c:v>44705</c:v>
                </c:pt>
                <c:pt idx="854">
                  <c:v>44706</c:v>
                </c:pt>
                <c:pt idx="855">
                  <c:v>44707</c:v>
                </c:pt>
                <c:pt idx="856">
                  <c:v>44708</c:v>
                </c:pt>
                <c:pt idx="857">
                  <c:v>44709</c:v>
                </c:pt>
                <c:pt idx="858">
                  <c:v>44710</c:v>
                </c:pt>
                <c:pt idx="859">
                  <c:v>44711</c:v>
                </c:pt>
                <c:pt idx="860">
                  <c:v>44712</c:v>
                </c:pt>
                <c:pt idx="861">
                  <c:v>44713</c:v>
                </c:pt>
                <c:pt idx="862">
                  <c:v>44714</c:v>
                </c:pt>
                <c:pt idx="863">
                  <c:v>44715</c:v>
                </c:pt>
                <c:pt idx="864">
                  <c:v>44716</c:v>
                </c:pt>
                <c:pt idx="865">
                  <c:v>44717</c:v>
                </c:pt>
                <c:pt idx="866">
                  <c:v>44718</c:v>
                </c:pt>
                <c:pt idx="867">
                  <c:v>44719</c:v>
                </c:pt>
                <c:pt idx="868">
                  <c:v>44720</c:v>
                </c:pt>
                <c:pt idx="869">
                  <c:v>44721</c:v>
                </c:pt>
                <c:pt idx="870">
                  <c:v>44722</c:v>
                </c:pt>
                <c:pt idx="871">
                  <c:v>44723</c:v>
                </c:pt>
                <c:pt idx="872">
                  <c:v>44724</c:v>
                </c:pt>
                <c:pt idx="873">
                  <c:v>44725</c:v>
                </c:pt>
                <c:pt idx="874">
                  <c:v>44726</c:v>
                </c:pt>
                <c:pt idx="875">
                  <c:v>44727</c:v>
                </c:pt>
                <c:pt idx="876">
                  <c:v>44728</c:v>
                </c:pt>
                <c:pt idx="877">
                  <c:v>44729</c:v>
                </c:pt>
                <c:pt idx="878">
                  <c:v>44730</c:v>
                </c:pt>
                <c:pt idx="879">
                  <c:v>44731</c:v>
                </c:pt>
                <c:pt idx="880">
                  <c:v>44732</c:v>
                </c:pt>
                <c:pt idx="881">
                  <c:v>44733</c:v>
                </c:pt>
                <c:pt idx="882">
                  <c:v>44734</c:v>
                </c:pt>
                <c:pt idx="883">
                  <c:v>44735</c:v>
                </c:pt>
                <c:pt idx="884">
                  <c:v>44736</c:v>
                </c:pt>
                <c:pt idx="885">
                  <c:v>44737</c:v>
                </c:pt>
                <c:pt idx="886">
                  <c:v>44738</c:v>
                </c:pt>
                <c:pt idx="887">
                  <c:v>44739</c:v>
                </c:pt>
                <c:pt idx="888">
                  <c:v>44740</c:v>
                </c:pt>
                <c:pt idx="889">
                  <c:v>44741</c:v>
                </c:pt>
                <c:pt idx="890">
                  <c:v>44742</c:v>
                </c:pt>
                <c:pt idx="891">
                  <c:v>44743</c:v>
                </c:pt>
                <c:pt idx="892">
                  <c:v>44744</c:v>
                </c:pt>
                <c:pt idx="893">
                  <c:v>44745</c:v>
                </c:pt>
                <c:pt idx="894">
                  <c:v>44746</c:v>
                </c:pt>
                <c:pt idx="895">
                  <c:v>44747</c:v>
                </c:pt>
                <c:pt idx="896">
                  <c:v>44748</c:v>
                </c:pt>
                <c:pt idx="897">
                  <c:v>44749</c:v>
                </c:pt>
                <c:pt idx="898">
                  <c:v>44750</c:v>
                </c:pt>
                <c:pt idx="899">
                  <c:v>44751</c:v>
                </c:pt>
                <c:pt idx="900">
                  <c:v>44752</c:v>
                </c:pt>
                <c:pt idx="901">
                  <c:v>44753</c:v>
                </c:pt>
                <c:pt idx="902">
                  <c:v>44754</c:v>
                </c:pt>
                <c:pt idx="903">
                  <c:v>44755</c:v>
                </c:pt>
                <c:pt idx="904">
                  <c:v>44756</c:v>
                </c:pt>
                <c:pt idx="905">
                  <c:v>44757</c:v>
                </c:pt>
                <c:pt idx="906">
                  <c:v>44758</c:v>
                </c:pt>
                <c:pt idx="907">
                  <c:v>44759</c:v>
                </c:pt>
                <c:pt idx="908">
                  <c:v>44760</c:v>
                </c:pt>
                <c:pt idx="909">
                  <c:v>44761</c:v>
                </c:pt>
                <c:pt idx="910">
                  <c:v>44762</c:v>
                </c:pt>
                <c:pt idx="911">
                  <c:v>44763</c:v>
                </c:pt>
                <c:pt idx="912">
                  <c:v>44764</c:v>
                </c:pt>
                <c:pt idx="913">
                  <c:v>44765</c:v>
                </c:pt>
                <c:pt idx="914">
                  <c:v>44766</c:v>
                </c:pt>
                <c:pt idx="915">
                  <c:v>44767</c:v>
                </c:pt>
                <c:pt idx="916">
                  <c:v>44768</c:v>
                </c:pt>
                <c:pt idx="917">
                  <c:v>44769</c:v>
                </c:pt>
                <c:pt idx="918">
                  <c:v>44770</c:v>
                </c:pt>
                <c:pt idx="919">
                  <c:v>44771</c:v>
                </c:pt>
                <c:pt idx="920">
                  <c:v>44772</c:v>
                </c:pt>
                <c:pt idx="921">
                  <c:v>44773</c:v>
                </c:pt>
                <c:pt idx="922">
                  <c:v>44774</c:v>
                </c:pt>
                <c:pt idx="923">
                  <c:v>44775</c:v>
                </c:pt>
                <c:pt idx="924">
                  <c:v>44776</c:v>
                </c:pt>
                <c:pt idx="925">
                  <c:v>44777</c:v>
                </c:pt>
                <c:pt idx="926">
                  <c:v>44778</c:v>
                </c:pt>
                <c:pt idx="927">
                  <c:v>44779</c:v>
                </c:pt>
                <c:pt idx="928">
                  <c:v>44780</c:v>
                </c:pt>
                <c:pt idx="929">
                  <c:v>44781</c:v>
                </c:pt>
                <c:pt idx="930">
                  <c:v>44782</c:v>
                </c:pt>
                <c:pt idx="931">
                  <c:v>44783</c:v>
                </c:pt>
                <c:pt idx="932">
                  <c:v>44784</c:v>
                </c:pt>
                <c:pt idx="933">
                  <c:v>44785</c:v>
                </c:pt>
                <c:pt idx="934">
                  <c:v>44786</c:v>
                </c:pt>
                <c:pt idx="935">
                  <c:v>44787</c:v>
                </c:pt>
                <c:pt idx="936">
                  <c:v>44788</c:v>
                </c:pt>
                <c:pt idx="937">
                  <c:v>44789</c:v>
                </c:pt>
                <c:pt idx="938">
                  <c:v>44790</c:v>
                </c:pt>
                <c:pt idx="939">
                  <c:v>44791</c:v>
                </c:pt>
                <c:pt idx="940">
                  <c:v>44792</c:v>
                </c:pt>
                <c:pt idx="941">
                  <c:v>44793</c:v>
                </c:pt>
                <c:pt idx="942">
                  <c:v>44794</c:v>
                </c:pt>
                <c:pt idx="943">
                  <c:v>44795</c:v>
                </c:pt>
                <c:pt idx="944">
                  <c:v>44796</c:v>
                </c:pt>
                <c:pt idx="945">
                  <c:v>44797</c:v>
                </c:pt>
                <c:pt idx="946">
                  <c:v>44798</c:v>
                </c:pt>
                <c:pt idx="947">
                  <c:v>44799</c:v>
                </c:pt>
                <c:pt idx="948">
                  <c:v>44800</c:v>
                </c:pt>
                <c:pt idx="949">
                  <c:v>44801</c:v>
                </c:pt>
                <c:pt idx="950">
                  <c:v>44802</c:v>
                </c:pt>
                <c:pt idx="951">
                  <c:v>44803</c:v>
                </c:pt>
                <c:pt idx="952">
                  <c:v>44804</c:v>
                </c:pt>
                <c:pt idx="953">
                  <c:v>44805</c:v>
                </c:pt>
                <c:pt idx="954">
                  <c:v>44806</c:v>
                </c:pt>
                <c:pt idx="955">
                  <c:v>44807</c:v>
                </c:pt>
                <c:pt idx="956">
                  <c:v>44808</c:v>
                </c:pt>
                <c:pt idx="957">
                  <c:v>44809</c:v>
                </c:pt>
                <c:pt idx="958">
                  <c:v>44810</c:v>
                </c:pt>
                <c:pt idx="959">
                  <c:v>44811</c:v>
                </c:pt>
                <c:pt idx="960">
                  <c:v>44812</c:v>
                </c:pt>
                <c:pt idx="961">
                  <c:v>44813</c:v>
                </c:pt>
                <c:pt idx="962">
                  <c:v>44814</c:v>
                </c:pt>
                <c:pt idx="963">
                  <c:v>44815</c:v>
                </c:pt>
                <c:pt idx="964">
                  <c:v>44816</c:v>
                </c:pt>
                <c:pt idx="965">
                  <c:v>44817</c:v>
                </c:pt>
                <c:pt idx="966">
                  <c:v>44818</c:v>
                </c:pt>
                <c:pt idx="967">
                  <c:v>44819</c:v>
                </c:pt>
                <c:pt idx="968">
                  <c:v>44820</c:v>
                </c:pt>
                <c:pt idx="969">
                  <c:v>44821</c:v>
                </c:pt>
                <c:pt idx="970">
                  <c:v>44822</c:v>
                </c:pt>
                <c:pt idx="971">
                  <c:v>44823</c:v>
                </c:pt>
                <c:pt idx="972">
                  <c:v>44824</c:v>
                </c:pt>
                <c:pt idx="973">
                  <c:v>44825</c:v>
                </c:pt>
                <c:pt idx="974">
                  <c:v>44826</c:v>
                </c:pt>
                <c:pt idx="975">
                  <c:v>44827</c:v>
                </c:pt>
                <c:pt idx="976">
                  <c:v>44828</c:v>
                </c:pt>
                <c:pt idx="977">
                  <c:v>44829</c:v>
                </c:pt>
                <c:pt idx="978">
                  <c:v>44830</c:v>
                </c:pt>
                <c:pt idx="979">
                  <c:v>44831</c:v>
                </c:pt>
                <c:pt idx="980">
                  <c:v>44832</c:v>
                </c:pt>
                <c:pt idx="981">
                  <c:v>44833</c:v>
                </c:pt>
                <c:pt idx="982">
                  <c:v>44834</c:v>
                </c:pt>
                <c:pt idx="983">
                  <c:v>44835</c:v>
                </c:pt>
                <c:pt idx="984">
                  <c:v>44836</c:v>
                </c:pt>
                <c:pt idx="985">
                  <c:v>44837</c:v>
                </c:pt>
                <c:pt idx="986">
                  <c:v>44838</c:v>
                </c:pt>
                <c:pt idx="987">
                  <c:v>#N/A</c:v>
                </c:pt>
                <c:pt idx="988">
                  <c:v>#N/A</c:v>
                </c:pt>
                <c:pt idx="989">
                  <c:v>#N/A</c:v>
                </c:pt>
                <c:pt idx="990">
                  <c:v>#N/A</c:v>
                </c:pt>
                <c:pt idx="991">
                  <c:v>#N/A</c:v>
                </c:pt>
                <c:pt idx="992">
                  <c:v>#N/A</c:v>
                </c:pt>
                <c:pt idx="993">
                  <c:v>#N/A</c:v>
                </c:pt>
                <c:pt idx="994">
                  <c:v>#N/A</c:v>
                </c:pt>
              </c:numCache>
            </c:numRef>
          </c:cat>
          <c:val>
            <c:numRef>
              <c:f>'COVID-19 cases - data'!$B$25:$ALH$25</c:f>
              <c:numCache>
                <c:formatCode>General</c:formatCode>
                <c:ptCount val="995"/>
                <c:pt idx="7">
                  <c:v>1.28571428571429</c:v>
                </c:pt>
                <c:pt idx="8">
                  <c:v>1</c:v>
                </c:pt>
                <c:pt idx="9">
                  <c:v>1</c:v>
                </c:pt>
                <c:pt idx="10">
                  <c:v>1</c:v>
                </c:pt>
                <c:pt idx="11">
                  <c:v>0.57142857142857095</c:v>
                </c:pt>
                <c:pt idx="12">
                  <c:v>1</c:v>
                </c:pt>
                <c:pt idx="13">
                  <c:v>1</c:v>
                </c:pt>
                <c:pt idx="14">
                  <c:v>1</c:v>
                </c:pt>
                <c:pt idx="15">
                  <c:v>1.1428571428571399</c:v>
                </c:pt>
                <c:pt idx="16">
                  <c:v>1.1428571428571399</c:v>
                </c:pt>
                <c:pt idx="17">
                  <c:v>1.1428571428571399</c:v>
                </c:pt>
                <c:pt idx="18">
                  <c:v>1.1428571428571399</c:v>
                </c:pt>
                <c:pt idx="19">
                  <c:v>0.85714285714285698</c:v>
                </c:pt>
                <c:pt idx="20">
                  <c:v>0.85714285714285698</c:v>
                </c:pt>
                <c:pt idx="21">
                  <c:v>0.71428571428571397</c:v>
                </c:pt>
                <c:pt idx="22">
                  <c:v>0.71428571428571397</c:v>
                </c:pt>
                <c:pt idx="23">
                  <c:v>0.42857142857142899</c:v>
                </c:pt>
                <c:pt idx="24">
                  <c:v>0.42857142857142899</c:v>
                </c:pt>
                <c:pt idx="25">
                  <c:v>0.42857142857142899</c:v>
                </c:pt>
                <c:pt idx="26">
                  <c:v>0.42857142857142899</c:v>
                </c:pt>
                <c:pt idx="27">
                  <c:v>0.28571428571428598</c:v>
                </c:pt>
                <c:pt idx="28">
                  <c:v>0.28571428571428598</c:v>
                </c:pt>
                <c:pt idx="29">
                  <c:v>0.28571428571428598</c:v>
                </c:pt>
                <c:pt idx="30">
                  <c:v>0.85714285714285698</c:v>
                </c:pt>
                <c:pt idx="31">
                  <c:v>1</c:v>
                </c:pt>
                <c:pt idx="32">
                  <c:v>1.4285714285714259</c:v>
                </c:pt>
                <c:pt idx="33">
                  <c:v>1.4285714285714259</c:v>
                </c:pt>
                <c:pt idx="34">
                  <c:v>1.8571428571428561</c:v>
                </c:pt>
                <c:pt idx="35">
                  <c:v>2.1428571428571388</c:v>
                </c:pt>
                <c:pt idx="36">
                  <c:v>2.4285714285714288</c:v>
                </c:pt>
                <c:pt idx="37">
                  <c:v>2.8571428571428612</c:v>
                </c:pt>
                <c:pt idx="38">
                  <c:v>5.1428571428571397</c:v>
                </c:pt>
                <c:pt idx="39">
                  <c:v>8.5714285714285694</c:v>
                </c:pt>
                <c:pt idx="40">
                  <c:v>12.714285714285721</c:v>
                </c:pt>
                <c:pt idx="41">
                  <c:v>16.285714285714331</c:v>
                </c:pt>
                <c:pt idx="42">
                  <c:v>22.571428571428601</c:v>
                </c:pt>
                <c:pt idx="43">
                  <c:v>35.714285714285758</c:v>
                </c:pt>
                <c:pt idx="44">
                  <c:v>47.14285714285716</c:v>
                </c:pt>
                <c:pt idx="45">
                  <c:v>70.428571428571445</c:v>
                </c:pt>
                <c:pt idx="46">
                  <c:v>91.000000000000014</c:v>
                </c:pt>
                <c:pt idx="47">
                  <c:v>102.4285714285714</c:v>
                </c:pt>
                <c:pt idx="48">
                  <c:v>132.14285714285671</c:v>
                </c:pt>
                <c:pt idx="49">
                  <c:v>193.00000000000031</c:v>
                </c:pt>
                <c:pt idx="50">
                  <c:v>256.5714285714281</c:v>
                </c:pt>
                <c:pt idx="51">
                  <c:v>375.9999999999996</c:v>
                </c:pt>
                <c:pt idx="52">
                  <c:v>484.85714285714334</c:v>
                </c:pt>
                <c:pt idx="53">
                  <c:v>520.42857142857144</c:v>
                </c:pt>
                <c:pt idx="54">
                  <c:v>777.42857142857099</c:v>
                </c:pt>
                <c:pt idx="55">
                  <c:v>1076.714285714286</c:v>
                </c:pt>
                <c:pt idx="56">
                  <c:v>1466.0000000000032</c:v>
                </c:pt>
                <c:pt idx="57">
                  <c:v>2151.8571428571472</c:v>
                </c:pt>
                <c:pt idx="58">
                  <c:v>3091.7142857142862</c:v>
                </c:pt>
                <c:pt idx="59">
                  <c:v>4020.2857142857101</c:v>
                </c:pt>
                <c:pt idx="60">
                  <c:v>5506.857142857144</c:v>
                </c:pt>
                <c:pt idx="61">
                  <c:v>7060.4285714285697</c:v>
                </c:pt>
                <c:pt idx="62">
                  <c:v>8485.4285714285761</c:v>
                </c:pt>
                <c:pt idx="63">
                  <c:v>10004.285714285719</c:v>
                </c:pt>
                <c:pt idx="64">
                  <c:v>12139.428571428571</c:v>
                </c:pt>
                <c:pt idx="65">
                  <c:v>14074.85714285717</c:v>
                </c:pt>
                <c:pt idx="66">
                  <c:v>16573.142857142841</c:v>
                </c:pt>
                <c:pt idx="67">
                  <c:v>17680.142857142891</c:v>
                </c:pt>
                <c:pt idx="68">
                  <c:v>19383.99999999996</c:v>
                </c:pt>
                <c:pt idx="69">
                  <c:v>21966.71428571429</c:v>
                </c:pt>
                <c:pt idx="70">
                  <c:v>25699.00000000004</c:v>
                </c:pt>
                <c:pt idx="71">
                  <c:v>28057.999999999989</c:v>
                </c:pt>
                <c:pt idx="72">
                  <c:v>30238.999999999967</c:v>
                </c:pt>
                <c:pt idx="73">
                  <c:v>31821</c:v>
                </c:pt>
                <c:pt idx="74">
                  <c:v>33823.000000000036</c:v>
                </c:pt>
                <c:pt idx="75">
                  <c:v>35459.142857142899</c:v>
                </c:pt>
                <c:pt idx="76">
                  <c:v>36132.857142857159</c:v>
                </c:pt>
                <c:pt idx="77">
                  <c:v>35907.714285714312</c:v>
                </c:pt>
                <c:pt idx="78">
                  <c:v>36714.714285714326</c:v>
                </c:pt>
                <c:pt idx="79">
                  <c:v>37493.142857142826</c:v>
                </c:pt>
                <c:pt idx="80">
                  <c:v>37246.285714285725</c:v>
                </c:pt>
                <c:pt idx="81">
                  <c:v>37033.714285714304</c:v>
                </c:pt>
                <c:pt idx="82">
                  <c:v>36716.285714285761</c:v>
                </c:pt>
                <c:pt idx="83">
                  <c:v>36545.285714285717</c:v>
                </c:pt>
                <c:pt idx="84">
                  <c:v>35970.000000000029</c:v>
                </c:pt>
                <c:pt idx="85">
                  <c:v>35146.857142857116</c:v>
                </c:pt>
                <c:pt idx="86">
                  <c:v>35162.428571428616</c:v>
                </c:pt>
                <c:pt idx="87">
                  <c:v>35371.28571428571</c:v>
                </c:pt>
                <c:pt idx="88">
                  <c:v>35549.857142857116</c:v>
                </c:pt>
                <c:pt idx="89">
                  <c:v>36089.714285714239</c:v>
                </c:pt>
                <c:pt idx="90">
                  <c:v>36018.857142857109</c:v>
                </c:pt>
                <c:pt idx="91">
                  <c:v>36645.714285714304</c:v>
                </c:pt>
                <c:pt idx="92">
                  <c:v>37566.571428571464</c:v>
                </c:pt>
                <c:pt idx="93">
                  <c:v>39066.142857142899</c:v>
                </c:pt>
                <c:pt idx="94">
                  <c:v>40326.14285714287</c:v>
                </c:pt>
                <c:pt idx="95">
                  <c:v>40758.000000000029</c:v>
                </c:pt>
                <c:pt idx="96">
                  <c:v>40329.4285714285</c:v>
                </c:pt>
                <c:pt idx="97">
                  <c:v>40970.714285714304</c:v>
                </c:pt>
                <c:pt idx="98">
                  <c:v>41282.285714285696</c:v>
                </c:pt>
                <c:pt idx="99">
                  <c:v>41655.142857142797</c:v>
                </c:pt>
                <c:pt idx="100">
                  <c:v>41382.714285714203</c:v>
                </c:pt>
                <c:pt idx="101">
                  <c:v>40976.285714285696</c:v>
                </c:pt>
                <c:pt idx="102">
                  <c:v>41473.428571428602</c:v>
                </c:pt>
                <c:pt idx="103">
                  <c:v>42162.571428571398</c:v>
                </c:pt>
                <c:pt idx="104">
                  <c:v>42504.428571428602</c:v>
                </c:pt>
                <c:pt idx="105">
                  <c:v>43063.285714285696</c:v>
                </c:pt>
                <c:pt idx="106">
                  <c:v>43011</c:v>
                </c:pt>
                <c:pt idx="107">
                  <c:v>42437.285714285703</c:v>
                </c:pt>
                <c:pt idx="108">
                  <c:v>42925.571428571398</c:v>
                </c:pt>
                <c:pt idx="109">
                  <c:v>42285</c:v>
                </c:pt>
                <c:pt idx="110">
                  <c:v>41348.571428571398</c:v>
                </c:pt>
                <c:pt idx="111">
                  <c:v>41694.285714285797</c:v>
                </c:pt>
                <c:pt idx="112">
                  <c:v>41587.857142857101</c:v>
                </c:pt>
                <c:pt idx="113">
                  <c:v>42430.714285714304</c:v>
                </c:pt>
                <c:pt idx="114">
                  <c:v>43676.714285714304</c:v>
                </c:pt>
                <c:pt idx="115">
                  <c:v>44868.4285714285</c:v>
                </c:pt>
                <c:pt idx="116">
                  <c:v>45353.714285714203</c:v>
                </c:pt>
                <c:pt idx="117">
                  <c:v>47465.714285714304</c:v>
                </c:pt>
                <c:pt idx="118">
                  <c:v>48809.142857142899</c:v>
                </c:pt>
                <c:pt idx="119">
                  <c:v>51195.857142857101</c:v>
                </c:pt>
                <c:pt idx="120">
                  <c:v>52346.142857142899</c:v>
                </c:pt>
                <c:pt idx="121">
                  <c:v>53116</c:v>
                </c:pt>
                <c:pt idx="122">
                  <c:v>53887.428571428594</c:v>
                </c:pt>
                <c:pt idx="123">
                  <c:v>55732.5714285715</c:v>
                </c:pt>
                <c:pt idx="124">
                  <c:v>55769.857142857101</c:v>
                </c:pt>
                <c:pt idx="125">
                  <c:v>55777.428571428594</c:v>
                </c:pt>
                <c:pt idx="126">
                  <c:v>55444</c:v>
                </c:pt>
                <c:pt idx="127">
                  <c:v>56834.428571428602</c:v>
                </c:pt>
                <c:pt idx="128">
                  <c:v>58217.571428571406</c:v>
                </c:pt>
                <c:pt idx="129">
                  <c:v>61841.285714285696</c:v>
                </c:pt>
                <c:pt idx="130">
                  <c:v>62296</c:v>
                </c:pt>
                <c:pt idx="131">
                  <c:v>62790.714285714304</c:v>
                </c:pt>
                <c:pt idx="132">
                  <c:v>65814.285714285696</c:v>
                </c:pt>
                <c:pt idx="133">
                  <c:v>66143</c:v>
                </c:pt>
                <c:pt idx="134">
                  <c:v>67600.142857142899</c:v>
                </c:pt>
                <c:pt idx="135">
                  <c:v>68520.428571428609</c:v>
                </c:pt>
                <c:pt idx="136">
                  <c:v>66840.857142857203</c:v>
                </c:pt>
                <c:pt idx="137">
                  <c:v>67051.857142857101</c:v>
                </c:pt>
                <c:pt idx="138">
                  <c:v>66889.71428571429</c:v>
                </c:pt>
                <c:pt idx="139">
                  <c:v>66483.285714285696</c:v>
                </c:pt>
                <c:pt idx="140">
                  <c:v>68953.857142857101</c:v>
                </c:pt>
                <c:pt idx="141">
                  <c:v>68254.857142857101</c:v>
                </c:pt>
                <c:pt idx="142">
                  <c:v>67292.71428571429</c:v>
                </c:pt>
                <c:pt idx="143">
                  <c:v>67061.428571428594</c:v>
                </c:pt>
                <c:pt idx="144">
                  <c:v>68214.428571428594</c:v>
                </c:pt>
                <c:pt idx="145">
                  <c:v>70163.857142857101</c:v>
                </c:pt>
                <c:pt idx="146">
                  <c:v>71913.428571428609</c:v>
                </c:pt>
                <c:pt idx="147">
                  <c:v>71717.71428571429</c:v>
                </c:pt>
                <c:pt idx="148">
                  <c:v>72175.857142857189</c:v>
                </c:pt>
                <c:pt idx="149">
                  <c:v>78194.285714285797</c:v>
                </c:pt>
                <c:pt idx="150">
                  <c:v>84906.428571428609</c:v>
                </c:pt>
                <c:pt idx="151">
                  <c:v>80179.71428571429</c:v>
                </c:pt>
                <c:pt idx="152">
                  <c:v>82347.285714285797</c:v>
                </c:pt>
                <c:pt idx="153">
                  <c:v>85071.142857142811</c:v>
                </c:pt>
                <c:pt idx="154">
                  <c:v>88534.000000000102</c:v>
                </c:pt>
                <c:pt idx="155">
                  <c:v>92922</c:v>
                </c:pt>
                <c:pt idx="156">
                  <c:v>93955.285714285696</c:v>
                </c:pt>
                <c:pt idx="157">
                  <c:v>91902.142857142899</c:v>
                </c:pt>
                <c:pt idx="158">
                  <c:v>101716.2857142857</c:v>
                </c:pt>
                <c:pt idx="159">
                  <c:v>102440.71428571429</c:v>
                </c:pt>
                <c:pt idx="160">
                  <c:v>103975.71428571429</c:v>
                </c:pt>
                <c:pt idx="161">
                  <c:v>106985.57142857139</c:v>
                </c:pt>
                <c:pt idx="162">
                  <c:v>109589.42857142861</c:v>
                </c:pt>
                <c:pt idx="163">
                  <c:v>110051.14285714281</c:v>
                </c:pt>
                <c:pt idx="164">
                  <c:v>110631.2857142858</c:v>
                </c:pt>
                <c:pt idx="165">
                  <c:v>111431.42857142861</c:v>
                </c:pt>
                <c:pt idx="166">
                  <c:v>112390.71428571429</c:v>
                </c:pt>
                <c:pt idx="167">
                  <c:v>114836.0000000001</c:v>
                </c:pt>
                <c:pt idx="168">
                  <c:v>116306.8571428572</c:v>
                </c:pt>
                <c:pt idx="169">
                  <c:v>117332.8571428571</c:v>
                </c:pt>
                <c:pt idx="170">
                  <c:v>120412.0000000001</c:v>
                </c:pt>
                <c:pt idx="171">
                  <c:v>122867.8571428571</c:v>
                </c:pt>
                <c:pt idx="172">
                  <c:v>123557.7142857142</c:v>
                </c:pt>
                <c:pt idx="173">
                  <c:v>125895.57142857139</c:v>
                </c:pt>
                <c:pt idx="174">
                  <c:v>127143.57142857151</c:v>
                </c:pt>
                <c:pt idx="175">
                  <c:v>127773.57142857139</c:v>
                </c:pt>
                <c:pt idx="176">
                  <c:v>129802.42857142861</c:v>
                </c:pt>
                <c:pt idx="177">
                  <c:v>128836.85714285719</c:v>
                </c:pt>
                <c:pt idx="178">
                  <c:v>129332.42857142861</c:v>
                </c:pt>
                <c:pt idx="179">
                  <c:v>129803.28571428571</c:v>
                </c:pt>
                <c:pt idx="180">
                  <c:v>130642.2857142857</c:v>
                </c:pt>
                <c:pt idx="181">
                  <c:v>132120</c:v>
                </c:pt>
                <c:pt idx="182">
                  <c:v>136566.1428571429</c:v>
                </c:pt>
                <c:pt idx="183">
                  <c:v>138804.71428571432</c:v>
                </c:pt>
                <c:pt idx="184">
                  <c:v>143242.42857142861</c:v>
                </c:pt>
                <c:pt idx="185">
                  <c:v>145297.57142857151</c:v>
                </c:pt>
                <c:pt idx="186">
                  <c:v>144503.1428571429</c:v>
                </c:pt>
                <c:pt idx="187">
                  <c:v>146866.2857142858</c:v>
                </c:pt>
                <c:pt idx="188">
                  <c:v>148010</c:v>
                </c:pt>
                <c:pt idx="189">
                  <c:v>146292.1428571429</c:v>
                </c:pt>
                <c:pt idx="190">
                  <c:v>146207.85714285722</c:v>
                </c:pt>
                <c:pt idx="191">
                  <c:v>144990</c:v>
                </c:pt>
                <c:pt idx="192">
                  <c:v>144100.42857142861</c:v>
                </c:pt>
                <c:pt idx="193">
                  <c:v>146321.42857142861</c:v>
                </c:pt>
                <c:pt idx="194">
                  <c:v>141351.14285714281</c:v>
                </c:pt>
                <c:pt idx="195">
                  <c:v>141059.71428571429</c:v>
                </c:pt>
                <c:pt idx="196">
                  <c:v>140733.14285714281</c:v>
                </c:pt>
                <c:pt idx="197">
                  <c:v>140211.57142857139</c:v>
                </c:pt>
                <c:pt idx="198">
                  <c:v>139392.1428571429</c:v>
                </c:pt>
                <c:pt idx="199">
                  <c:v>140457.14285714281</c:v>
                </c:pt>
                <c:pt idx="200">
                  <c:v>140021.28571428568</c:v>
                </c:pt>
                <c:pt idx="201">
                  <c:v>143015.57142857139</c:v>
                </c:pt>
                <c:pt idx="202">
                  <c:v>142466.71428571432</c:v>
                </c:pt>
                <c:pt idx="203">
                  <c:v>141592.85714285722</c:v>
                </c:pt>
                <c:pt idx="204">
                  <c:v>141590</c:v>
                </c:pt>
                <c:pt idx="205">
                  <c:v>144219.42857142861</c:v>
                </c:pt>
                <c:pt idx="206">
                  <c:v>141556.71428571432</c:v>
                </c:pt>
                <c:pt idx="207">
                  <c:v>138558</c:v>
                </c:pt>
                <c:pt idx="208">
                  <c:v>135754.57142857148</c:v>
                </c:pt>
                <c:pt idx="209">
                  <c:v>133437.57142857142</c:v>
                </c:pt>
                <c:pt idx="210">
                  <c:v>132379.71428571432</c:v>
                </c:pt>
                <c:pt idx="211">
                  <c:v>128669.57142857141</c:v>
                </c:pt>
                <c:pt idx="212">
                  <c:v>121509.28571428571</c:v>
                </c:pt>
                <c:pt idx="213">
                  <c:v>122935.8571428571</c:v>
                </c:pt>
                <c:pt idx="214">
                  <c:v>121559</c:v>
                </c:pt>
                <c:pt idx="215">
                  <c:v>121857</c:v>
                </c:pt>
                <c:pt idx="216">
                  <c:v>120968.2857142857</c:v>
                </c:pt>
                <c:pt idx="217">
                  <c:v>120079.1428571429</c:v>
                </c:pt>
                <c:pt idx="218">
                  <c:v>120296.42857142861</c:v>
                </c:pt>
                <c:pt idx="219">
                  <c:v>122293.1428571429</c:v>
                </c:pt>
                <c:pt idx="220">
                  <c:v>120583.57142857151</c:v>
                </c:pt>
                <c:pt idx="221">
                  <c:v>120044.57142857141</c:v>
                </c:pt>
                <c:pt idx="222">
                  <c:v>123301.57142857151</c:v>
                </c:pt>
                <c:pt idx="223">
                  <c:v>122908.8571428572</c:v>
                </c:pt>
                <c:pt idx="224">
                  <c:v>121986.28571428571</c:v>
                </c:pt>
                <c:pt idx="225">
                  <c:v>121177</c:v>
                </c:pt>
                <c:pt idx="226">
                  <c:v>121150.8571428571</c:v>
                </c:pt>
                <c:pt idx="227">
                  <c:v>120767.7142857143</c:v>
                </c:pt>
                <c:pt idx="228">
                  <c:v>119616</c:v>
                </c:pt>
                <c:pt idx="229">
                  <c:v>110766.71428571429</c:v>
                </c:pt>
                <c:pt idx="230">
                  <c:v>104640</c:v>
                </c:pt>
                <c:pt idx="231">
                  <c:v>102305.14285714281</c:v>
                </c:pt>
                <c:pt idx="232">
                  <c:v>101286.8571428571</c:v>
                </c:pt>
                <c:pt idx="233">
                  <c:v>100324.1428571429</c:v>
                </c:pt>
                <c:pt idx="234">
                  <c:v>100089.42857142861</c:v>
                </c:pt>
                <c:pt idx="235">
                  <c:v>102040.1428571428</c:v>
                </c:pt>
                <c:pt idx="236">
                  <c:v>106360.28571428571</c:v>
                </c:pt>
                <c:pt idx="237">
                  <c:v>110018.8571428572</c:v>
                </c:pt>
                <c:pt idx="238">
                  <c:v>110604.1428571429</c:v>
                </c:pt>
                <c:pt idx="239">
                  <c:v>110596.7142857143</c:v>
                </c:pt>
                <c:pt idx="240">
                  <c:v>110831.71428571429</c:v>
                </c:pt>
                <c:pt idx="241">
                  <c:v>110320.8571428571</c:v>
                </c:pt>
                <c:pt idx="242">
                  <c:v>110135</c:v>
                </c:pt>
                <c:pt idx="243">
                  <c:v>109133.28571428571</c:v>
                </c:pt>
                <c:pt idx="244">
                  <c:v>108806.28571428571</c:v>
                </c:pt>
                <c:pt idx="245">
                  <c:v>109192.57142857139</c:v>
                </c:pt>
                <c:pt idx="246">
                  <c:v>109425.7142857143</c:v>
                </c:pt>
                <c:pt idx="247">
                  <c:v>109215.8571428571</c:v>
                </c:pt>
                <c:pt idx="248">
                  <c:v>107591.85714285719</c:v>
                </c:pt>
                <c:pt idx="249">
                  <c:v>106267</c:v>
                </c:pt>
                <c:pt idx="250">
                  <c:v>107470.2857142858</c:v>
                </c:pt>
                <c:pt idx="251">
                  <c:v>108349.57142857139</c:v>
                </c:pt>
                <c:pt idx="252">
                  <c:v>107467.57142857151</c:v>
                </c:pt>
                <c:pt idx="253">
                  <c:v>107173.7142857143</c:v>
                </c:pt>
                <c:pt idx="254">
                  <c:v>106769.1428571429</c:v>
                </c:pt>
                <c:pt idx="255">
                  <c:v>107484.14285714281</c:v>
                </c:pt>
                <c:pt idx="256">
                  <c:v>105872</c:v>
                </c:pt>
                <c:pt idx="257">
                  <c:v>111048.2857142858</c:v>
                </c:pt>
                <c:pt idx="258">
                  <c:v>111551.28571428571</c:v>
                </c:pt>
                <c:pt idx="259">
                  <c:v>113233.71428571429</c:v>
                </c:pt>
                <c:pt idx="260">
                  <c:v>114286.57142857139</c:v>
                </c:pt>
                <c:pt idx="261">
                  <c:v>114173.42857142861</c:v>
                </c:pt>
                <c:pt idx="262">
                  <c:v>116117.8571428571</c:v>
                </c:pt>
                <c:pt idx="263">
                  <c:v>119477.28571428571</c:v>
                </c:pt>
                <c:pt idx="264">
                  <c:v>113111</c:v>
                </c:pt>
                <c:pt idx="265">
                  <c:v>110842.1428571428</c:v>
                </c:pt>
                <c:pt idx="266">
                  <c:v>110790.8571428571</c:v>
                </c:pt>
                <c:pt idx="267">
                  <c:v>112417.71428571429</c:v>
                </c:pt>
                <c:pt idx="268">
                  <c:v>114633.1428571429</c:v>
                </c:pt>
                <c:pt idx="269">
                  <c:v>113437</c:v>
                </c:pt>
                <c:pt idx="270">
                  <c:v>114181.1428571429</c:v>
                </c:pt>
                <c:pt idx="271">
                  <c:v>119681.14285714281</c:v>
                </c:pt>
                <c:pt idx="272">
                  <c:v>123799.57142857139</c:v>
                </c:pt>
                <c:pt idx="273">
                  <c:v>125398.2857142857</c:v>
                </c:pt>
                <c:pt idx="274">
                  <c:v>127169.14285714281</c:v>
                </c:pt>
                <c:pt idx="275">
                  <c:v>128966.8571428572</c:v>
                </c:pt>
                <c:pt idx="276">
                  <c:v>133344.42857142858</c:v>
                </c:pt>
                <c:pt idx="277">
                  <c:v>134933.42857142852</c:v>
                </c:pt>
                <c:pt idx="278">
                  <c:v>134644.8571428571</c:v>
                </c:pt>
                <c:pt idx="279">
                  <c:v>137453.28571428571</c:v>
                </c:pt>
                <c:pt idx="280">
                  <c:v>140911.1428571429</c:v>
                </c:pt>
                <c:pt idx="281">
                  <c:v>142453.00000000012</c:v>
                </c:pt>
                <c:pt idx="282">
                  <c:v>144467.71428571429</c:v>
                </c:pt>
                <c:pt idx="283">
                  <c:v>143676.1428571429</c:v>
                </c:pt>
                <c:pt idx="284">
                  <c:v>145244.1428571429</c:v>
                </c:pt>
                <c:pt idx="285">
                  <c:v>145973.57142857148</c:v>
                </c:pt>
                <c:pt idx="286">
                  <c:v>149816.28571428568</c:v>
                </c:pt>
                <c:pt idx="287">
                  <c:v>151358.28571428571</c:v>
                </c:pt>
                <c:pt idx="288">
                  <c:v>155725.42857142829</c:v>
                </c:pt>
                <c:pt idx="289">
                  <c:v>158757.85714285731</c:v>
                </c:pt>
                <c:pt idx="290">
                  <c:v>164954.714285714</c:v>
                </c:pt>
                <c:pt idx="291">
                  <c:v>170852.57142857101</c:v>
                </c:pt>
                <c:pt idx="292">
                  <c:v>176625.85714285739</c:v>
                </c:pt>
                <c:pt idx="293">
                  <c:v>183321.85714285731</c:v>
                </c:pt>
                <c:pt idx="294">
                  <c:v>190220.7142857142</c:v>
                </c:pt>
                <c:pt idx="295">
                  <c:v>196047.57142857159</c:v>
                </c:pt>
                <c:pt idx="296">
                  <c:v>206120.85714285728</c:v>
                </c:pt>
                <c:pt idx="297">
                  <c:v>212474.14285714319</c:v>
                </c:pt>
                <c:pt idx="298">
                  <c:v>215318.8571428576</c:v>
                </c:pt>
                <c:pt idx="299">
                  <c:v>220874.14285714328</c:v>
                </c:pt>
                <c:pt idx="300">
                  <c:v>222463.1428571424</c:v>
                </c:pt>
                <c:pt idx="301">
                  <c:v>226119.00000000017</c:v>
                </c:pt>
                <c:pt idx="302">
                  <c:v>230177.99999999991</c:v>
                </c:pt>
                <c:pt idx="303">
                  <c:v>233113.00000000029</c:v>
                </c:pt>
                <c:pt idx="304">
                  <c:v>235781.00000000017</c:v>
                </c:pt>
                <c:pt idx="305">
                  <c:v>237797.14285714319</c:v>
                </c:pt>
                <c:pt idx="306">
                  <c:v>242683.2857142862</c:v>
                </c:pt>
                <c:pt idx="307">
                  <c:v>244732.4285714289</c:v>
                </c:pt>
                <c:pt idx="308">
                  <c:v>248511.85714285672</c:v>
                </c:pt>
                <c:pt idx="309">
                  <c:v>238924.714285714</c:v>
                </c:pt>
                <c:pt idx="310">
                  <c:v>241391.8571428569</c:v>
                </c:pt>
                <c:pt idx="311">
                  <c:v>243794</c:v>
                </c:pt>
                <c:pt idx="312">
                  <c:v>243788.7142857142</c:v>
                </c:pt>
                <c:pt idx="313">
                  <c:v>241104.42857142823</c:v>
                </c:pt>
                <c:pt idx="314">
                  <c:v>247090.00000000029</c:v>
                </c:pt>
                <c:pt idx="315">
                  <c:v>250037.714285714</c:v>
                </c:pt>
                <c:pt idx="316">
                  <c:v>267544.57142857159</c:v>
                </c:pt>
                <c:pt idx="317">
                  <c:v>271818.42857142899</c:v>
                </c:pt>
                <c:pt idx="318">
                  <c:v>277877.99999999988</c:v>
                </c:pt>
                <c:pt idx="319">
                  <c:v>284296.14285714243</c:v>
                </c:pt>
                <c:pt idx="320">
                  <c:v>289816.85714285669</c:v>
                </c:pt>
                <c:pt idx="321">
                  <c:v>293111.71428571467</c:v>
                </c:pt>
                <c:pt idx="322">
                  <c:v>296530.28571428591</c:v>
                </c:pt>
                <c:pt idx="323">
                  <c:v>299100.7142857142</c:v>
                </c:pt>
                <c:pt idx="324">
                  <c:v>300173.85714285722</c:v>
                </c:pt>
                <c:pt idx="325">
                  <c:v>300658.57142857159</c:v>
                </c:pt>
                <c:pt idx="326">
                  <c:v>301924.1428571429</c:v>
                </c:pt>
                <c:pt idx="327">
                  <c:v>304985.14285714319</c:v>
                </c:pt>
                <c:pt idx="328">
                  <c:v>306133.57142857159</c:v>
                </c:pt>
                <c:pt idx="329">
                  <c:v>310922.7142857149</c:v>
                </c:pt>
                <c:pt idx="330">
                  <c:v>314454.85714285739</c:v>
                </c:pt>
                <c:pt idx="331">
                  <c:v>316792.28571428591</c:v>
                </c:pt>
                <c:pt idx="332">
                  <c:v>315927.2857142862</c:v>
                </c:pt>
                <c:pt idx="333">
                  <c:v>316832.8571428571</c:v>
                </c:pt>
                <c:pt idx="334">
                  <c:v>315149.14285714272</c:v>
                </c:pt>
                <c:pt idx="335">
                  <c:v>314164.28571428591</c:v>
                </c:pt>
                <c:pt idx="336">
                  <c:v>310389.14285714261</c:v>
                </c:pt>
                <c:pt idx="337">
                  <c:v>304151.42857142811</c:v>
                </c:pt>
                <c:pt idx="338">
                  <c:v>282745.57142857189</c:v>
                </c:pt>
                <c:pt idx="339">
                  <c:v>278108.42857142887</c:v>
                </c:pt>
                <c:pt idx="340">
                  <c:v>268494</c:v>
                </c:pt>
                <c:pt idx="341">
                  <c:v>265383.71428571438</c:v>
                </c:pt>
                <c:pt idx="342">
                  <c:v>266725.85714285669</c:v>
                </c:pt>
                <c:pt idx="343">
                  <c:v>268759.00000000017</c:v>
                </c:pt>
                <c:pt idx="344">
                  <c:v>285611.85714285693</c:v>
                </c:pt>
                <c:pt idx="345">
                  <c:v>292062.71428571467</c:v>
                </c:pt>
                <c:pt idx="346">
                  <c:v>300215.71428571438</c:v>
                </c:pt>
                <c:pt idx="347">
                  <c:v>310653.85714285739</c:v>
                </c:pt>
                <c:pt idx="348">
                  <c:v>313098.14285714261</c:v>
                </c:pt>
                <c:pt idx="349">
                  <c:v>317477.85714285722</c:v>
                </c:pt>
                <c:pt idx="350">
                  <c:v>325963.85714285704</c:v>
                </c:pt>
                <c:pt idx="351">
                  <c:v>327271.28571428539</c:v>
                </c:pt>
                <c:pt idx="352">
                  <c:v>354778.71428571467</c:v>
                </c:pt>
                <c:pt idx="353">
                  <c:v>362856.71428571397</c:v>
                </c:pt>
                <c:pt idx="354">
                  <c:v>367432</c:v>
                </c:pt>
                <c:pt idx="355">
                  <c:v>372579.14285714302</c:v>
                </c:pt>
                <c:pt idx="356">
                  <c:v>372984.57142857101</c:v>
                </c:pt>
                <c:pt idx="357">
                  <c:v>368280.28571428603</c:v>
                </c:pt>
                <c:pt idx="358">
                  <c:v>358526.57142857101</c:v>
                </c:pt>
                <c:pt idx="359">
                  <c:v>354124</c:v>
                </c:pt>
                <c:pt idx="360">
                  <c:v>349655.85714285704</c:v>
                </c:pt>
                <c:pt idx="361">
                  <c:v>345917.571428572</c:v>
                </c:pt>
                <c:pt idx="362">
                  <c:v>334921.14285714302</c:v>
                </c:pt>
                <c:pt idx="363">
                  <c:v>325153.28571428603</c:v>
                </c:pt>
                <c:pt idx="364">
                  <c:v>321929.14285714296</c:v>
                </c:pt>
                <c:pt idx="365">
                  <c:v>314540.28571428498</c:v>
                </c:pt>
                <c:pt idx="366">
                  <c:v>302981.571428572</c:v>
                </c:pt>
                <c:pt idx="367">
                  <c:v>295519.71428571397</c:v>
                </c:pt>
                <c:pt idx="368">
                  <c:v>289848.71428571397</c:v>
                </c:pt>
                <c:pt idx="369">
                  <c:v>287924.42857142899</c:v>
                </c:pt>
                <c:pt idx="370">
                  <c:v>287735.85714285698</c:v>
                </c:pt>
                <c:pt idx="371">
                  <c:v>279804.28571428498</c:v>
                </c:pt>
                <c:pt idx="372">
                  <c:v>275817</c:v>
                </c:pt>
                <c:pt idx="373">
                  <c:v>269959</c:v>
                </c:pt>
                <c:pt idx="374">
                  <c:v>265630.71428571397</c:v>
                </c:pt>
                <c:pt idx="375">
                  <c:v>259275.285714286</c:v>
                </c:pt>
                <c:pt idx="376">
                  <c:v>256921.85714285701</c:v>
                </c:pt>
                <c:pt idx="377">
                  <c:v>247260.71428571502</c:v>
                </c:pt>
                <c:pt idx="378">
                  <c:v>241775.85714285701</c:v>
                </c:pt>
                <c:pt idx="379">
                  <c:v>230654.85714285669</c:v>
                </c:pt>
                <c:pt idx="380">
                  <c:v>225498.57142857171</c:v>
                </c:pt>
                <c:pt idx="381">
                  <c:v>217881.14285714331</c:v>
                </c:pt>
                <c:pt idx="382">
                  <c:v>214474.4285714287</c:v>
                </c:pt>
                <c:pt idx="383">
                  <c:v>207145.42857142899</c:v>
                </c:pt>
                <c:pt idx="384">
                  <c:v>203814.14285714331</c:v>
                </c:pt>
                <c:pt idx="385">
                  <c:v>196993.57142857171</c:v>
                </c:pt>
                <c:pt idx="386">
                  <c:v>195579.4285714282</c:v>
                </c:pt>
                <c:pt idx="387">
                  <c:v>188009.85714285669</c:v>
                </c:pt>
                <c:pt idx="388">
                  <c:v>182923.85714285722</c:v>
                </c:pt>
                <c:pt idx="389">
                  <c:v>180222.1428571429</c:v>
                </c:pt>
                <c:pt idx="390">
                  <c:v>175558</c:v>
                </c:pt>
                <c:pt idx="391">
                  <c:v>169836.57142857142</c:v>
                </c:pt>
                <c:pt idx="392">
                  <c:v>163801.00000000012</c:v>
                </c:pt>
                <c:pt idx="393">
                  <c:v>158527</c:v>
                </c:pt>
                <c:pt idx="394">
                  <c:v>155074.71428571429</c:v>
                </c:pt>
                <c:pt idx="395">
                  <c:v>153330.28571428568</c:v>
                </c:pt>
                <c:pt idx="396">
                  <c:v>151074.14285714281</c:v>
                </c:pt>
                <c:pt idx="397">
                  <c:v>151902.71428571432</c:v>
                </c:pt>
                <c:pt idx="398">
                  <c:v>154610.71428571429</c:v>
                </c:pt>
                <c:pt idx="399">
                  <c:v>158865.28571428571</c:v>
                </c:pt>
                <c:pt idx="400">
                  <c:v>161516.42857142858</c:v>
                </c:pt>
                <c:pt idx="401">
                  <c:v>163491.71428571432</c:v>
                </c:pt>
                <c:pt idx="402">
                  <c:v>163495.1428571429</c:v>
                </c:pt>
                <c:pt idx="403">
                  <c:v>161095</c:v>
                </c:pt>
                <c:pt idx="404">
                  <c:v>162405</c:v>
                </c:pt>
                <c:pt idx="405">
                  <c:v>160190.1428571429</c:v>
                </c:pt>
                <c:pt idx="406">
                  <c:v>158779.42857142861</c:v>
                </c:pt>
                <c:pt idx="407">
                  <c:v>158042.1428571429</c:v>
                </c:pt>
                <c:pt idx="408">
                  <c:v>157026.42857142861</c:v>
                </c:pt>
                <c:pt idx="409">
                  <c:v>156955</c:v>
                </c:pt>
                <c:pt idx="410">
                  <c:v>163713.4285714282</c:v>
                </c:pt>
                <c:pt idx="411">
                  <c:v>162241.28571428559</c:v>
                </c:pt>
                <c:pt idx="412">
                  <c:v>163840.99999999959</c:v>
                </c:pt>
                <c:pt idx="413">
                  <c:v>163701.57142857159</c:v>
                </c:pt>
                <c:pt idx="414">
                  <c:v>163614.1428571431</c:v>
                </c:pt>
                <c:pt idx="415">
                  <c:v>165259.8571428576</c:v>
                </c:pt>
                <c:pt idx="416">
                  <c:v>165364.42857142899</c:v>
                </c:pt>
                <c:pt idx="417">
                  <c:v>159449.7142857147</c:v>
                </c:pt>
                <c:pt idx="418">
                  <c:v>161616.5714285713</c:v>
                </c:pt>
                <c:pt idx="419">
                  <c:v>162782.14285714261</c:v>
                </c:pt>
                <c:pt idx="420">
                  <c:v>167078.57142857119</c:v>
                </c:pt>
                <c:pt idx="421">
                  <c:v>168251.57142857189</c:v>
                </c:pt>
                <c:pt idx="422">
                  <c:v>170659.8571428569</c:v>
                </c:pt>
                <c:pt idx="423">
                  <c:v>171106.42857142899</c:v>
                </c:pt>
                <c:pt idx="424">
                  <c:v>173343.57142857101</c:v>
                </c:pt>
                <c:pt idx="425">
                  <c:v>174850.28571428609</c:v>
                </c:pt>
                <c:pt idx="426">
                  <c:v>176961.85714285731</c:v>
                </c:pt>
                <c:pt idx="427">
                  <c:v>179520.57142857189</c:v>
                </c:pt>
                <c:pt idx="428">
                  <c:v>184609.71428571429</c:v>
                </c:pt>
                <c:pt idx="429">
                  <c:v>186565.8571428576</c:v>
                </c:pt>
                <c:pt idx="430">
                  <c:v>190664.7142857147</c:v>
                </c:pt>
                <c:pt idx="431">
                  <c:v>192263.99999999988</c:v>
                </c:pt>
                <c:pt idx="432">
                  <c:v>195077.7142857147</c:v>
                </c:pt>
                <c:pt idx="433">
                  <c:v>195503.4285714282</c:v>
                </c:pt>
                <c:pt idx="434">
                  <c:v>196456.85714285698</c:v>
                </c:pt>
                <c:pt idx="435">
                  <c:v>197366.99999999959</c:v>
                </c:pt>
                <c:pt idx="436">
                  <c:v>193770.28571428539</c:v>
                </c:pt>
                <c:pt idx="437">
                  <c:v>187237.57142857159</c:v>
                </c:pt>
                <c:pt idx="438">
                  <c:v>184904.7142857142</c:v>
                </c:pt>
                <c:pt idx="439">
                  <c:v>186165</c:v>
                </c:pt>
                <c:pt idx="440">
                  <c:v>189419.57142857159</c:v>
                </c:pt>
                <c:pt idx="441">
                  <c:v>190894.99999999988</c:v>
                </c:pt>
                <c:pt idx="442">
                  <c:v>194697.8571428576</c:v>
                </c:pt>
                <c:pt idx="443">
                  <c:v>204185.14285714319</c:v>
                </c:pt>
                <c:pt idx="444">
                  <c:v>213300.00000000041</c:v>
                </c:pt>
                <c:pt idx="445">
                  <c:v>217968.42857142899</c:v>
                </c:pt>
                <c:pt idx="446">
                  <c:v>218818.57142857101</c:v>
                </c:pt>
                <c:pt idx="447">
                  <c:v>222838.1428571429</c:v>
                </c:pt>
                <c:pt idx="448">
                  <c:v>222174.71428571391</c:v>
                </c:pt>
                <c:pt idx="449">
                  <c:v>217525.28571428562</c:v>
                </c:pt>
                <c:pt idx="450">
                  <c:v>217290.71428571467</c:v>
                </c:pt>
                <c:pt idx="451">
                  <c:v>215892.85714285739</c:v>
                </c:pt>
                <c:pt idx="452">
                  <c:v>214247.42857142899</c:v>
                </c:pt>
                <c:pt idx="453">
                  <c:v>214108.85714285728</c:v>
                </c:pt>
                <c:pt idx="454">
                  <c:v>210676.85714285728</c:v>
                </c:pt>
                <c:pt idx="455">
                  <c:v>207974.42857142829</c:v>
                </c:pt>
                <c:pt idx="456">
                  <c:v>206046.85714285757</c:v>
                </c:pt>
                <c:pt idx="457">
                  <c:v>201883.28571428562</c:v>
                </c:pt>
                <c:pt idx="458">
                  <c:v>200141.42857142899</c:v>
                </c:pt>
                <c:pt idx="459">
                  <c:v>198528.00000000029</c:v>
                </c:pt>
                <c:pt idx="460">
                  <c:v>194462.00000000009</c:v>
                </c:pt>
                <c:pt idx="461">
                  <c:v>191185.85714285698</c:v>
                </c:pt>
                <c:pt idx="462">
                  <c:v>192680.14285714328</c:v>
                </c:pt>
                <c:pt idx="463">
                  <c:v>191631</c:v>
                </c:pt>
                <c:pt idx="464">
                  <c:v>190152.57142857101</c:v>
                </c:pt>
                <c:pt idx="465">
                  <c:v>186645.42857142829</c:v>
                </c:pt>
                <c:pt idx="466">
                  <c:v>185110.1428571431</c:v>
                </c:pt>
                <c:pt idx="467">
                  <c:v>185596.42857142899</c:v>
                </c:pt>
                <c:pt idx="468">
                  <c:v>183534.5714285713</c:v>
                </c:pt>
                <c:pt idx="469">
                  <c:v>178784.28571428539</c:v>
                </c:pt>
                <c:pt idx="470">
                  <c:v>177931.14285714331</c:v>
                </c:pt>
                <c:pt idx="471">
                  <c:v>174484.85714285698</c:v>
                </c:pt>
                <c:pt idx="472">
                  <c:v>176218.00000000029</c:v>
                </c:pt>
                <c:pt idx="473">
                  <c:v>174539.28571428539</c:v>
                </c:pt>
                <c:pt idx="474">
                  <c:v>172160.85714285731</c:v>
                </c:pt>
                <c:pt idx="475">
                  <c:v>171157.7142857147</c:v>
                </c:pt>
                <c:pt idx="476">
                  <c:v>172091.1428571429</c:v>
                </c:pt>
                <c:pt idx="477">
                  <c:v>171439.4285714282</c:v>
                </c:pt>
                <c:pt idx="478">
                  <c:v>173416.14285714299</c:v>
                </c:pt>
                <c:pt idx="479">
                  <c:v>171306.28571428562</c:v>
                </c:pt>
                <c:pt idx="480">
                  <c:v>172973.8571428569</c:v>
                </c:pt>
                <c:pt idx="481">
                  <c:v>173354.2857142853</c:v>
                </c:pt>
                <c:pt idx="482">
                  <c:v>173941.85714285728</c:v>
                </c:pt>
                <c:pt idx="483">
                  <c:v>175141.285714286</c:v>
                </c:pt>
                <c:pt idx="484">
                  <c:v>175945.14285714272</c:v>
                </c:pt>
                <c:pt idx="485">
                  <c:v>174095.57142857119</c:v>
                </c:pt>
                <c:pt idx="486">
                  <c:v>175761.28571428562</c:v>
                </c:pt>
                <c:pt idx="487">
                  <c:v>176763.99999999962</c:v>
                </c:pt>
                <c:pt idx="488">
                  <c:v>175552.57142857159</c:v>
                </c:pt>
                <c:pt idx="489">
                  <c:v>175755.71428571429</c:v>
                </c:pt>
                <c:pt idx="490">
                  <c:v>174939.85714285739</c:v>
                </c:pt>
                <c:pt idx="491">
                  <c:v>174080.57142857171</c:v>
                </c:pt>
                <c:pt idx="492">
                  <c:v>170244.8571428571</c:v>
                </c:pt>
                <c:pt idx="493">
                  <c:v>169622</c:v>
                </c:pt>
                <c:pt idx="494">
                  <c:v>167547.285714286</c:v>
                </c:pt>
                <c:pt idx="495">
                  <c:v>168732.28571428539</c:v>
                </c:pt>
                <c:pt idx="496">
                  <c:v>170401.85714285739</c:v>
                </c:pt>
                <c:pt idx="497">
                  <c:v>172565.85714285728</c:v>
                </c:pt>
                <c:pt idx="498">
                  <c:v>171250.1428571431</c:v>
                </c:pt>
                <c:pt idx="499">
                  <c:v>170460.71428571412</c:v>
                </c:pt>
                <c:pt idx="500">
                  <c:v>168606.42857142841</c:v>
                </c:pt>
                <c:pt idx="501">
                  <c:v>168113.42857142811</c:v>
                </c:pt>
                <c:pt idx="502">
                  <c:v>167164.71428571412</c:v>
                </c:pt>
                <c:pt idx="503">
                  <c:v>161088.00000000038</c:v>
                </c:pt>
                <c:pt idx="504">
                  <c:v>156691.285714286</c:v>
                </c:pt>
                <c:pt idx="505">
                  <c:v>159913.00000000009</c:v>
                </c:pt>
                <c:pt idx="506">
                  <c:v>164703.28571428588</c:v>
                </c:pt>
                <c:pt idx="507">
                  <c:v>164625.85714285728</c:v>
                </c:pt>
                <c:pt idx="508">
                  <c:v>164631.8571428576</c:v>
                </c:pt>
                <c:pt idx="509">
                  <c:v>164468.14285714299</c:v>
                </c:pt>
                <c:pt idx="510">
                  <c:v>168538.7142857147</c:v>
                </c:pt>
                <c:pt idx="511">
                  <c:v>167885.8571428576</c:v>
                </c:pt>
                <c:pt idx="512">
                  <c:v>163994.71428571429</c:v>
                </c:pt>
                <c:pt idx="513">
                  <c:v>163696.14285714261</c:v>
                </c:pt>
                <c:pt idx="514">
                  <c:v>162754.00000000038</c:v>
                </c:pt>
                <c:pt idx="515">
                  <c:v>163135.8571428571</c:v>
                </c:pt>
                <c:pt idx="516">
                  <c:v>161390.5714285713</c:v>
                </c:pt>
                <c:pt idx="517">
                  <c:v>165275.00000000038</c:v>
                </c:pt>
                <c:pt idx="518">
                  <c:v>164402.14285714261</c:v>
                </c:pt>
                <c:pt idx="519">
                  <c:v>163735.14285714272</c:v>
                </c:pt>
                <c:pt idx="520">
                  <c:v>163331</c:v>
                </c:pt>
                <c:pt idx="521">
                  <c:v>162069.8571428569</c:v>
                </c:pt>
                <c:pt idx="522">
                  <c:v>160480.4285714287</c:v>
                </c:pt>
                <c:pt idx="523">
                  <c:v>160981.99999999971</c:v>
                </c:pt>
                <c:pt idx="524">
                  <c:v>152546.1428571429</c:v>
                </c:pt>
                <c:pt idx="525">
                  <c:v>147851.1428571429</c:v>
                </c:pt>
                <c:pt idx="526">
                  <c:v>144855.4285714289</c:v>
                </c:pt>
                <c:pt idx="527">
                  <c:v>141432.71428571409</c:v>
                </c:pt>
                <c:pt idx="528">
                  <c:v>138434.14285714331</c:v>
                </c:pt>
                <c:pt idx="529">
                  <c:v>136476.71428571429</c:v>
                </c:pt>
                <c:pt idx="530">
                  <c:v>134391.14285714269</c:v>
                </c:pt>
                <c:pt idx="531">
                  <c:v>136256.714285714</c:v>
                </c:pt>
                <c:pt idx="532">
                  <c:v>137058.42857142861</c:v>
                </c:pt>
                <c:pt idx="533">
                  <c:v>136195.85714285698</c:v>
                </c:pt>
                <c:pt idx="534">
                  <c:v>136365.1428571431</c:v>
                </c:pt>
                <c:pt idx="535">
                  <c:v>135724.57142857159</c:v>
                </c:pt>
                <c:pt idx="536">
                  <c:v>134548.14285714331</c:v>
                </c:pt>
                <c:pt idx="537">
                  <c:v>134843.57142857171</c:v>
                </c:pt>
                <c:pt idx="538">
                  <c:v>132981.14285714261</c:v>
                </c:pt>
                <c:pt idx="539">
                  <c:v>134441.42857142811</c:v>
                </c:pt>
                <c:pt idx="540">
                  <c:v>135633.85714285669</c:v>
                </c:pt>
                <c:pt idx="541">
                  <c:v>138341.4285714289</c:v>
                </c:pt>
                <c:pt idx="542">
                  <c:v>139265.42857142811</c:v>
                </c:pt>
                <c:pt idx="543">
                  <c:v>139283.1428571429</c:v>
                </c:pt>
                <c:pt idx="544">
                  <c:v>141629.1428571424</c:v>
                </c:pt>
                <c:pt idx="545">
                  <c:v>139033.99999999959</c:v>
                </c:pt>
                <c:pt idx="546">
                  <c:v>140676.4285714289</c:v>
                </c:pt>
                <c:pt idx="547">
                  <c:v>142367.42857142858</c:v>
                </c:pt>
                <c:pt idx="548">
                  <c:v>154958.7142857147</c:v>
                </c:pt>
                <c:pt idx="549">
                  <c:v>156291.42857142861</c:v>
                </c:pt>
                <c:pt idx="550">
                  <c:v>157379.85714285698</c:v>
                </c:pt>
                <c:pt idx="551">
                  <c:v>161413.57142857139</c:v>
                </c:pt>
                <c:pt idx="552">
                  <c:v>168022</c:v>
                </c:pt>
                <c:pt idx="553">
                  <c:v>170964.42857142829</c:v>
                </c:pt>
                <c:pt idx="554">
                  <c:v>172178.1428571424</c:v>
                </c:pt>
                <c:pt idx="555">
                  <c:v>174731.1428571429</c:v>
                </c:pt>
                <c:pt idx="556">
                  <c:v>175037</c:v>
                </c:pt>
                <c:pt idx="557">
                  <c:v>177362.85714285722</c:v>
                </c:pt>
                <c:pt idx="558">
                  <c:v>180623.1428571429</c:v>
                </c:pt>
                <c:pt idx="559">
                  <c:v>183448.42857142858</c:v>
                </c:pt>
                <c:pt idx="560">
                  <c:v>186457.1428571429</c:v>
                </c:pt>
                <c:pt idx="561">
                  <c:v>191574.42857142858</c:v>
                </c:pt>
                <c:pt idx="562">
                  <c:v>200647.57142857189</c:v>
                </c:pt>
                <c:pt idx="563">
                  <c:v>203610.4285714287</c:v>
                </c:pt>
                <c:pt idx="564">
                  <c:v>200595.14285714269</c:v>
                </c:pt>
                <c:pt idx="565">
                  <c:v>206967.57142857159</c:v>
                </c:pt>
                <c:pt idx="566">
                  <c:v>209197.14285714302</c:v>
                </c:pt>
                <c:pt idx="567">
                  <c:v>215992.57142857142</c:v>
                </c:pt>
                <c:pt idx="568">
                  <c:v>220348.28571428539</c:v>
                </c:pt>
                <c:pt idx="569">
                  <c:v>215016.28571428609</c:v>
                </c:pt>
                <c:pt idx="570">
                  <c:v>214514.57142857159</c:v>
                </c:pt>
                <c:pt idx="571">
                  <c:v>214685.57142857159</c:v>
                </c:pt>
                <c:pt idx="572">
                  <c:v>221139.85714285701</c:v>
                </c:pt>
                <c:pt idx="573">
                  <c:v>225211.57142857171</c:v>
                </c:pt>
                <c:pt idx="574">
                  <c:v>227932.28571428568</c:v>
                </c:pt>
                <c:pt idx="575">
                  <c:v>229216.28571428533</c:v>
                </c:pt>
                <c:pt idx="576">
                  <c:v>231126.1428571429</c:v>
                </c:pt>
                <c:pt idx="577">
                  <c:v>233191.8571428569</c:v>
                </c:pt>
                <c:pt idx="578">
                  <c:v>233598.42857142823</c:v>
                </c:pt>
                <c:pt idx="579">
                  <c:v>234398.71428571438</c:v>
                </c:pt>
                <c:pt idx="580">
                  <c:v>234559.5714285713</c:v>
                </c:pt>
                <c:pt idx="581">
                  <c:v>233120.85714285722</c:v>
                </c:pt>
                <c:pt idx="582">
                  <c:v>235563.85714285739</c:v>
                </c:pt>
                <c:pt idx="583">
                  <c:v>232763.42857142823</c:v>
                </c:pt>
                <c:pt idx="584">
                  <c:v>229347.42857142858</c:v>
                </c:pt>
                <c:pt idx="585">
                  <c:v>229405.285714286</c:v>
                </c:pt>
                <c:pt idx="586">
                  <c:v>231762.714285714</c:v>
                </c:pt>
                <c:pt idx="587">
                  <c:v>232269.85714285757</c:v>
                </c:pt>
                <c:pt idx="588">
                  <c:v>232367.2857142853</c:v>
                </c:pt>
                <c:pt idx="589">
                  <c:v>230445.57142857101</c:v>
                </c:pt>
                <c:pt idx="590">
                  <c:v>228838.8571428576</c:v>
                </c:pt>
                <c:pt idx="591">
                  <c:v>228775.71428571429</c:v>
                </c:pt>
                <c:pt idx="592">
                  <c:v>231116.14285714328</c:v>
                </c:pt>
                <c:pt idx="593">
                  <c:v>209536.42857142861</c:v>
                </c:pt>
                <c:pt idx="594">
                  <c:v>214028.71428571461</c:v>
                </c:pt>
                <c:pt idx="595">
                  <c:v>209888.8571428576</c:v>
                </c:pt>
                <c:pt idx="596">
                  <c:v>208093.42857142841</c:v>
                </c:pt>
                <c:pt idx="597">
                  <c:v>205980.57142857101</c:v>
                </c:pt>
                <c:pt idx="598">
                  <c:v>206958.285714286</c:v>
                </c:pt>
                <c:pt idx="599">
                  <c:v>203475.42857142861</c:v>
                </c:pt>
                <c:pt idx="600">
                  <c:v>220542.14285714272</c:v>
                </c:pt>
                <c:pt idx="601">
                  <c:v>210212.14285714299</c:v>
                </c:pt>
                <c:pt idx="602">
                  <c:v>208913.14285714261</c:v>
                </c:pt>
                <c:pt idx="603">
                  <c:v>206171.57142857171</c:v>
                </c:pt>
                <c:pt idx="604">
                  <c:v>205041.28571428539</c:v>
                </c:pt>
                <c:pt idx="605">
                  <c:v>215080.7142857142</c:v>
                </c:pt>
                <c:pt idx="606">
                  <c:v>216325.57142857142</c:v>
                </c:pt>
                <c:pt idx="607">
                  <c:v>211871.14285714331</c:v>
                </c:pt>
                <c:pt idx="608">
                  <c:v>207696.42857142823</c:v>
                </c:pt>
                <c:pt idx="609">
                  <c:v>204185.57142857171</c:v>
                </c:pt>
                <c:pt idx="610">
                  <c:v>199233.85714285698</c:v>
                </c:pt>
                <c:pt idx="611">
                  <c:v>192109.14285714302</c:v>
                </c:pt>
                <c:pt idx="612">
                  <c:v>173845.14285714302</c:v>
                </c:pt>
                <c:pt idx="613">
                  <c:v>174290.28571428559</c:v>
                </c:pt>
                <c:pt idx="614">
                  <c:v>171394.85714285739</c:v>
                </c:pt>
                <c:pt idx="615">
                  <c:v>170177.85714285698</c:v>
                </c:pt>
                <c:pt idx="616">
                  <c:v>165788.5714285713</c:v>
                </c:pt>
                <c:pt idx="617">
                  <c:v>161570.28571428571</c:v>
                </c:pt>
                <c:pt idx="618">
                  <c:v>157656.00000000012</c:v>
                </c:pt>
                <c:pt idx="619">
                  <c:v>156241.42857142811</c:v>
                </c:pt>
                <c:pt idx="620">
                  <c:v>153050.57142857139</c:v>
                </c:pt>
                <c:pt idx="621">
                  <c:v>150459.28571428609</c:v>
                </c:pt>
                <c:pt idx="622">
                  <c:v>146465.1428571431</c:v>
                </c:pt>
                <c:pt idx="623">
                  <c:v>144788.28571428559</c:v>
                </c:pt>
                <c:pt idx="624">
                  <c:v>143381.71428571429</c:v>
                </c:pt>
                <c:pt idx="625">
                  <c:v>139015.42857142829</c:v>
                </c:pt>
                <c:pt idx="626">
                  <c:v>136682.85714285722</c:v>
                </c:pt>
                <c:pt idx="627">
                  <c:v>136774.71428571429</c:v>
                </c:pt>
                <c:pt idx="628">
                  <c:v>127522.57142857141</c:v>
                </c:pt>
                <c:pt idx="629">
                  <c:v>128208.57142857139</c:v>
                </c:pt>
                <c:pt idx="630">
                  <c:v>125104.57142857151</c:v>
                </c:pt>
                <c:pt idx="631">
                  <c:v>121545.42857142849</c:v>
                </c:pt>
                <c:pt idx="632">
                  <c:v>117576.28571428571</c:v>
                </c:pt>
                <c:pt idx="633">
                  <c:v>117404.8571428571</c:v>
                </c:pt>
                <c:pt idx="634">
                  <c:v>115080.57142857151</c:v>
                </c:pt>
                <c:pt idx="635">
                  <c:v>116379.42857142861</c:v>
                </c:pt>
                <c:pt idx="636">
                  <c:v>112166</c:v>
                </c:pt>
                <c:pt idx="637">
                  <c:v>110435.1428571429</c:v>
                </c:pt>
                <c:pt idx="638">
                  <c:v>108140</c:v>
                </c:pt>
                <c:pt idx="639">
                  <c:v>106335.2857142858</c:v>
                </c:pt>
                <c:pt idx="640">
                  <c:v>105831</c:v>
                </c:pt>
                <c:pt idx="641">
                  <c:v>103198.7142857143</c:v>
                </c:pt>
                <c:pt idx="642">
                  <c:v>104353</c:v>
                </c:pt>
                <c:pt idx="643">
                  <c:v>101474.7142857143</c:v>
                </c:pt>
                <c:pt idx="644">
                  <c:v>103099.42857142849</c:v>
                </c:pt>
                <c:pt idx="645">
                  <c:v>103267.57142857141</c:v>
                </c:pt>
                <c:pt idx="646">
                  <c:v>102178</c:v>
                </c:pt>
                <c:pt idx="647">
                  <c:v>101948.8571428571</c:v>
                </c:pt>
                <c:pt idx="648">
                  <c:v>104203</c:v>
                </c:pt>
                <c:pt idx="649">
                  <c:v>103345.2857142857</c:v>
                </c:pt>
                <c:pt idx="650">
                  <c:v>102264.8571428571</c:v>
                </c:pt>
                <c:pt idx="651">
                  <c:v>99309</c:v>
                </c:pt>
                <c:pt idx="652">
                  <c:v>99164.571428571508</c:v>
                </c:pt>
                <c:pt idx="653">
                  <c:v>99684</c:v>
                </c:pt>
                <c:pt idx="654">
                  <c:v>100734</c:v>
                </c:pt>
                <c:pt idx="655">
                  <c:v>101505.28571428571</c:v>
                </c:pt>
                <c:pt idx="656">
                  <c:v>101864.1428571429</c:v>
                </c:pt>
                <c:pt idx="657">
                  <c:v>104828.2857142858</c:v>
                </c:pt>
                <c:pt idx="658">
                  <c:v>106165.28571428571</c:v>
                </c:pt>
                <c:pt idx="659">
                  <c:v>103737.42857142859</c:v>
                </c:pt>
                <c:pt idx="660">
                  <c:v>110697.42857142861</c:v>
                </c:pt>
                <c:pt idx="661">
                  <c:v>110849.2857142857</c:v>
                </c:pt>
                <c:pt idx="662">
                  <c:v>110462.42857142859</c:v>
                </c:pt>
                <c:pt idx="663">
                  <c:v>113444.71428571429</c:v>
                </c:pt>
                <c:pt idx="664">
                  <c:v>113556.42857142859</c:v>
                </c:pt>
                <c:pt idx="665">
                  <c:v>116041.2857142858</c:v>
                </c:pt>
                <c:pt idx="666">
                  <c:v>122243.28571428571</c:v>
                </c:pt>
                <c:pt idx="667">
                  <c:v>118796.57142857139</c:v>
                </c:pt>
                <c:pt idx="668">
                  <c:v>119095.57142857139</c:v>
                </c:pt>
                <c:pt idx="669">
                  <c:v>120255</c:v>
                </c:pt>
                <c:pt idx="670">
                  <c:v>121840.42857142859</c:v>
                </c:pt>
                <c:pt idx="671">
                  <c:v>123243</c:v>
                </c:pt>
                <c:pt idx="672">
                  <c:v>122645.57142857141</c:v>
                </c:pt>
                <c:pt idx="673">
                  <c:v>114088.2857142857</c:v>
                </c:pt>
                <c:pt idx="674">
                  <c:v>104212.42857142861</c:v>
                </c:pt>
                <c:pt idx="675">
                  <c:v>100911</c:v>
                </c:pt>
                <c:pt idx="676">
                  <c:v>101185.42857142851</c:v>
                </c:pt>
                <c:pt idx="677">
                  <c:v>107281</c:v>
                </c:pt>
                <c:pt idx="678">
                  <c:v>110520.57142857139</c:v>
                </c:pt>
                <c:pt idx="679">
                  <c:v>114555.7142857143</c:v>
                </c:pt>
                <c:pt idx="680">
                  <c:v>127092.2857142859</c:v>
                </c:pt>
                <c:pt idx="681">
                  <c:v>142146.28571428591</c:v>
                </c:pt>
                <c:pt idx="682">
                  <c:v>147792.42857142899</c:v>
                </c:pt>
                <c:pt idx="683">
                  <c:v>149536.8571428571</c:v>
                </c:pt>
                <c:pt idx="684">
                  <c:v>148223.57142857101</c:v>
                </c:pt>
                <c:pt idx="685">
                  <c:v>147922.85714285739</c:v>
                </c:pt>
                <c:pt idx="686">
                  <c:v>148496.99999999959</c:v>
                </c:pt>
                <c:pt idx="687">
                  <c:v>147360.1428571424</c:v>
                </c:pt>
                <c:pt idx="688">
                  <c:v>145622.42857142811</c:v>
                </c:pt>
                <c:pt idx="689">
                  <c:v>144516.85714285669</c:v>
                </c:pt>
                <c:pt idx="690">
                  <c:v>143979.1428571431</c:v>
                </c:pt>
                <c:pt idx="691">
                  <c:v>144757.14285714269</c:v>
                </c:pt>
                <c:pt idx="692">
                  <c:v>144595.1428571429</c:v>
                </c:pt>
                <c:pt idx="693">
                  <c:v>144904.00000000029</c:v>
                </c:pt>
                <c:pt idx="694">
                  <c:v>146626.1428571431</c:v>
                </c:pt>
                <c:pt idx="695">
                  <c:v>152900.14285714299</c:v>
                </c:pt>
                <c:pt idx="696">
                  <c:v>157010.85714285728</c:v>
                </c:pt>
                <c:pt idx="697">
                  <c:v>162984.42857142811</c:v>
                </c:pt>
                <c:pt idx="698">
                  <c:v>173060.42857142899</c:v>
                </c:pt>
                <c:pt idx="699">
                  <c:v>185045.71428571438</c:v>
                </c:pt>
                <c:pt idx="700">
                  <c:v>201525.57142857189</c:v>
                </c:pt>
                <c:pt idx="701">
                  <c:v>224689.28571428609</c:v>
                </c:pt>
                <c:pt idx="702">
                  <c:v>237708.28571428562</c:v>
                </c:pt>
                <c:pt idx="703">
                  <c:v>241198.1428571431</c:v>
                </c:pt>
                <c:pt idx="704">
                  <c:v>256668.14285714299</c:v>
                </c:pt>
                <c:pt idx="705">
                  <c:v>298908.42857142811</c:v>
                </c:pt>
                <c:pt idx="706">
                  <c:v>333229.57142857189</c:v>
                </c:pt>
                <c:pt idx="707">
                  <c:v>383918.28571428597</c:v>
                </c:pt>
                <c:pt idx="708">
                  <c:v>441808.42857142887</c:v>
                </c:pt>
                <c:pt idx="709">
                  <c:v>492468.28571428568</c:v>
                </c:pt>
                <c:pt idx="710">
                  <c:v>513719.42857142922</c:v>
                </c:pt>
                <c:pt idx="711">
                  <c:v>536717.71428571409</c:v>
                </c:pt>
                <c:pt idx="712">
                  <c:v>623867.85714285681</c:v>
                </c:pt>
                <c:pt idx="713">
                  <c:v>705304.57142857159</c:v>
                </c:pt>
                <c:pt idx="714">
                  <c:v>744058.00000000093</c:v>
                </c:pt>
                <c:pt idx="715">
                  <c:v>801197.71428571502</c:v>
                </c:pt>
                <c:pt idx="716">
                  <c:v>879072.57142857101</c:v>
                </c:pt>
                <c:pt idx="717">
                  <c:v>941227.57142857194</c:v>
                </c:pt>
                <c:pt idx="718">
                  <c:v>989230.71428571397</c:v>
                </c:pt>
                <c:pt idx="719">
                  <c:v>1053015.2857142859</c:v>
                </c:pt>
                <c:pt idx="720">
                  <c:v>1074043</c:v>
                </c:pt>
                <c:pt idx="721">
                  <c:v>1125742.5714285709</c:v>
                </c:pt>
                <c:pt idx="722">
                  <c:v>1145274.2857142859</c:v>
                </c:pt>
                <c:pt idx="723">
                  <c:v>1161793</c:v>
                </c:pt>
                <c:pt idx="724">
                  <c:v>1174843.5714285711</c:v>
                </c:pt>
                <c:pt idx="725">
                  <c:v>1182688.857142858</c:v>
                </c:pt>
                <c:pt idx="726">
                  <c:v>1098312.857142857</c:v>
                </c:pt>
                <c:pt idx="727">
                  <c:v>1152284.4285714291</c:v>
                </c:pt>
                <c:pt idx="728">
                  <c:v>1189201</c:v>
                </c:pt>
                <c:pt idx="729">
                  <c:v>1184744.7142857141</c:v>
                </c:pt>
                <c:pt idx="730">
                  <c:v>1197247.5714285709</c:v>
                </c:pt>
                <c:pt idx="731">
                  <c:v>1184656</c:v>
                </c:pt>
                <c:pt idx="732">
                  <c:v>1185228.5714285718</c:v>
                </c:pt>
                <c:pt idx="733">
                  <c:v>1216198.2857142859</c:v>
                </c:pt>
                <c:pt idx="734">
                  <c:v>1139802.7142857141</c:v>
                </c:pt>
                <c:pt idx="735">
                  <c:v>1084846.857142858</c:v>
                </c:pt>
                <c:pt idx="736">
                  <c:v>1056318.142857143</c:v>
                </c:pt>
                <c:pt idx="737">
                  <c:v>1024836.5714285719</c:v>
                </c:pt>
                <c:pt idx="738">
                  <c:v>1010173</c:v>
                </c:pt>
                <c:pt idx="739">
                  <c:v>963740</c:v>
                </c:pt>
                <c:pt idx="740">
                  <c:v>902455.14285714296</c:v>
                </c:pt>
                <c:pt idx="741">
                  <c:v>855671</c:v>
                </c:pt>
                <c:pt idx="742">
                  <c:v>792391.14285714296</c:v>
                </c:pt>
                <c:pt idx="743">
                  <c:v>755534</c:v>
                </c:pt>
                <c:pt idx="744">
                  <c:v>701566.28571428591</c:v>
                </c:pt>
                <c:pt idx="745">
                  <c:v>672292.57142857101</c:v>
                </c:pt>
                <c:pt idx="746">
                  <c:v>644625.14285714296</c:v>
                </c:pt>
                <c:pt idx="747">
                  <c:v>605345.57142857101</c:v>
                </c:pt>
                <c:pt idx="748">
                  <c:v>580325.42857142899</c:v>
                </c:pt>
                <c:pt idx="749">
                  <c:v>552992.57142857206</c:v>
                </c:pt>
                <c:pt idx="750">
                  <c:v>508090</c:v>
                </c:pt>
                <c:pt idx="751">
                  <c:v>465088.85714285704</c:v>
                </c:pt>
                <c:pt idx="752">
                  <c:v>454283.85714285797</c:v>
                </c:pt>
                <c:pt idx="753">
                  <c:v>445203.85714285704</c:v>
                </c:pt>
                <c:pt idx="754">
                  <c:v>417586.71428571397</c:v>
                </c:pt>
                <c:pt idx="755">
                  <c:v>390328.71428571397</c:v>
                </c:pt>
                <c:pt idx="756">
                  <c:v>374162.42857142899</c:v>
                </c:pt>
                <c:pt idx="757">
                  <c:v>356102</c:v>
                </c:pt>
                <c:pt idx="758">
                  <c:v>334454.14285714302</c:v>
                </c:pt>
                <c:pt idx="759">
                  <c:v>321702.42857142899</c:v>
                </c:pt>
                <c:pt idx="760">
                  <c:v>311518.28571428603</c:v>
                </c:pt>
                <c:pt idx="761">
                  <c:v>289115.71428571432</c:v>
                </c:pt>
                <c:pt idx="762">
                  <c:v>279827.00000000029</c:v>
                </c:pt>
                <c:pt idx="763">
                  <c:v>267764.28571428533</c:v>
                </c:pt>
                <c:pt idx="764">
                  <c:v>255199.71428571391</c:v>
                </c:pt>
                <c:pt idx="765">
                  <c:v>238168.42857142858</c:v>
                </c:pt>
                <c:pt idx="766">
                  <c:v>228445.85714285739</c:v>
                </c:pt>
                <c:pt idx="767">
                  <c:v>224053.99999999959</c:v>
                </c:pt>
                <c:pt idx="768">
                  <c:v>220492</c:v>
                </c:pt>
                <c:pt idx="769">
                  <c:v>197744.71428571391</c:v>
                </c:pt>
                <c:pt idx="770">
                  <c:v>173167.2857142853</c:v>
                </c:pt>
                <c:pt idx="771">
                  <c:v>162032.1428571429</c:v>
                </c:pt>
                <c:pt idx="772">
                  <c:v>153415.1428571429</c:v>
                </c:pt>
                <c:pt idx="773">
                  <c:v>145288.14285714281</c:v>
                </c:pt>
                <c:pt idx="774">
                  <c:v>141808.71428571432</c:v>
                </c:pt>
                <c:pt idx="775">
                  <c:v>135477.7142857142</c:v>
                </c:pt>
                <c:pt idx="776">
                  <c:v>141339.57142857142</c:v>
                </c:pt>
                <c:pt idx="777">
                  <c:v>138813.71428571432</c:v>
                </c:pt>
                <c:pt idx="778">
                  <c:v>135271.71428571432</c:v>
                </c:pt>
                <c:pt idx="779">
                  <c:v>129534.57142857149</c:v>
                </c:pt>
                <c:pt idx="780">
                  <c:v>126174.8571428572</c:v>
                </c:pt>
                <c:pt idx="781">
                  <c:v>123092.7142857143</c:v>
                </c:pt>
                <c:pt idx="782">
                  <c:v>117028.57142857141</c:v>
                </c:pt>
                <c:pt idx="783">
                  <c:v>111289.1428571429</c:v>
                </c:pt>
                <c:pt idx="784">
                  <c:v>111947.28571428571</c:v>
                </c:pt>
                <c:pt idx="785">
                  <c:v>110676.57142857139</c:v>
                </c:pt>
                <c:pt idx="786">
                  <c:v>107794.2857142858</c:v>
                </c:pt>
                <c:pt idx="787">
                  <c:v>104478.7142857143</c:v>
                </c:pt>
                <c:pt idx="788">
                  <c:v>105000.0000000001</c:v>
                </c:pt>
                <c:pt idx="789">
                  <c:v>104544.57142857151</c:v>
                </c:pt>
                <c:pt idx="790">
                  <c:v>102292.8571428571</c:v>
                </c:pt>
                <c:pt idx="791">
                  <c:v>98907.28571428571</c:v>
                </c:pt>
                <c:pt idx="792">
                  <c:v>93854.428571428609</c:v>
                </c:pt>
                <c:pt idx="793">
                  <c:v>92230.28571428571</c:v>
                </c:pt>
                <c:pt idx="794">
                  <c:v>89069.28571428571</c:v>
                </c:pt>
                <c:pt idx="795">
                  <c:v>87540.142857142811</c:v>
                </c:pt>
                <c:pt idx="796">
                  <c:v>84990.285714285696</c:v>
                </c:pt>
                <c:pt idx="797">
                  <c:v>83509.28571428571</c:v>
                </c:pt>
                <c:pt idx="798">
                  <c:v>81600.571428571508</c:v>
                </c:pt>
                <c:pt idx="799">
                  <c:v>80628.285714285696</c:v>
                </c:pt>
                <c:pt idx="800">
                  <c:v>76489</c:v>
                </c:pt>
                <c:pt idx="801">
                  <c:v>75268.571428571391</c:v>
                </c:pt>
                <c:pt idx="802">
                  <c:v>72723.857142857203</c:v>
                </c:pt>
                <c:pt idx="803">
                  <c:v>72611</c:v>
                </c:pt>
                <c:pt idx="804">
                  <c:v>71970.714285714304</c:v>
                </c:pt>
                <c:pt idx="805">
                  <c:v>71634.285714285696</c:v>
                </c:pt>
                <c:pt idx="806">
                  <c:v>74827.714285714304</c:v>
                </c:pt>
                <c:pt idx="807">
                  <c:v>79203.28571428571</c:v>
                </c:pt>
                <c:pt idx="808">
                  <c:v>80946.714285714304</c:v>
                </c:pt>
                <c:pt idx="809">
                  <c:v>80975.285714285797</c:v>
                </c:pt>
                <c:pt idx="810">
                  <c:v>79794</c:v>
                </c:pt>
                <c:pt idx="811">
                  <c:v>78869.142857142899</c:v>
                </c:pt>
                <c:pt idx="812">
                  <c:v>87109.142857142899</c:v>
                </c:pt>
                <c:pt idx="813">
                  <c:v>83248.857142857203</c:v>
                </c:pt>
                <c:pt idx="814">
                  <c:v>71612.857142857101</c:v>
                </c:pt>
                <c:pt idx="815">
                  <c:v>69879</c:v>
                </c:pt>
                <c:pt idx="816">
                  <c:v>68860.285714285797</c:v>
                </c:pt>
                <c:pt idx="817">
                  <c:v>73261</c:v>
                </c:pt>
                <c:pt idx="818">
                  <c:v>72976</c:v>
                </c:pt>
                <c:pt idx="819">
                  <c:v>69111.285714285696</c:v>
                </c:pt>
                <c:pt idx="820">
                  <c:v>68993</c:v>
                </c:pt>
                <c:pt idx="821">
                  <c:v>81165.714285714304</c:v>
                </c:pt>
                <c:pt idx="822">
                  <c:v>80070.142857142797</c:v>
                </c:pt>
                <c:pt idx="823">
                  <c:v>81520.428571428609</c:v>
                </c:pt>
                <c:pt idx="824">
                  <c:v>82893.571428571391</c:v>
                </c:pt>
                <c:pt idx="825">
                  <c:v>84893.857142857189</c:v>
                </c:pt>
                <c:pt idx="826">
                  <c:v>85944.71428571429</c:v>
                </c:pt>
                <c:pt idx="827">
                  <c:v>88247.71428571429</c:v>
                </c:pt>
                <c:pt idx="828">
                  <c:v>84824.857142857101</c:v>
                </c:pt>
                <c:pt idx="829">
                  <c:v>86174.857142857203</c:v>
                </c:pt>
                <c:pt idx="830">
                  <c:v>88416</c:v>
                </c:pt>
                <c:pt idx="831">
                  <c:v>90305.571428571508</c:v>
                </c:pt>
                <c:pt idx="832">
                  <c:v>90417.857142857101</c:v>
                </c:pt>
                <c:pt idx="833">
                  <c:v>93169.571428571508</c:v>
                </c:pt>
                <c:pt idx="834">
                  <c:v>95035.142857142899</c:v>
                </c:pt>
                <c:pt idx="835">
                  <c:v>104903.57142857141</c:v>
                </c:pt>
                <c:pt idx="836">
                  <c:v>105396.28571428571</c:v>
                </c:pt>
                <c:pt idx="837">
                  <c:v>104390.71428571429</c:v>
                </c:pt>
                <c:pt idx="838">
                  <c:v>111242.57142857151</c:v>
                </c:pt>
                <c:pt idx="839">
                  <c:v>116044.8571428572</c:v>
                </c:pt>
                <c:pt idx="840">
                  <c:v>122687.1428571428</c:v>
                </c:pt>
                <c:pt idx="841">
                  <c:v>125156.42857142859</c:v>
                </c:pt>
                <c:pt idx="842">
                  <c:v>120327.57142857151</c:v>
                </c:pt>
                <c:pt idx="843">
                  <c:v>119305.42857142851</c:v>
                </c:pt>
                <c:pt idx="844">
                  <c:v>126040.42857142861</c:v>
                </c:pt>
                <c:pt idx="845">
                  <c:v>133187.2857142858</c:v>
                </c:pt>
                <c:pt idx="846">
                  <c:v>131558.57142857151</c:v>
                </c:pt>
                <c:pt idx="847">
                  <c:v>136822.42857142841</c:v>
                </c:pt>
                <c:pt idx="848">
                  <c:v>138585.00000000012</c:v>
                </c:pt>
                <c:pt idx="849">
                  <c:v>152399.42857142899</c:v>
                </c:pt>
                <c:pt idx="850">
                  <c:v>151512.7142857147</c:v>
                </c:pt>
                <c:pt idx="851">
                  <c:v>153758.714285714</c:v>
                </c:pt>
                <c:pt idx="852">
                  <c:v>149774.71428571461</c:v>
                </c:pt>
                <c:pt idx="853">
                  <c:v>156609.14285714269</c:v>
                </c:pt>
                <c:pt idx="854">
                  <c:v>157198.1428571429</c:v>
                </c:pt>
                <c:pt idx="855">
                  <c:v>161915.57142857159</c:v>
                </c:pt>
                <c:pt idx="856">
                  <c:v>153501.57142857171</c:v>
                </c:pt>
                <c:pt idx="857">
                  <c:v>155628.8571428569</c:v>
                </c:pt>
                <c:pt idx="858">
                  <c:v>153080.1428571424</c:v>
                </c:pt>
                <c:pt idx="859">
                  <c:v>143501.8571428571</c:v>
                </c:pt>
                <c:pt idx="860">
                  <c:v>155276.85714285698</c:v>
                </c:pt>
                <c:pt idx="861">
                  <c:v>164326.99999999988</c:v>
                </c:pt>
                <c:pt idx="862">
                  <c:v>164697.28571428591</c:v>
                </c:pt>
                <c:pt idx="863">
                  <c:v>170942</c:v>
                </c:pt>
                <c:pt idx="864">
                  <c:v>170604.2857142853</c:v>
                </c:pt>
                <c:pt idx="865">
                  <c:v>170381.8571428576</c:v>
                </c:pt>
                <c:pt idx="866">
                  <c:v>188544.7142857147</c:v>
                </c:pt>
                <c:pt idx="867">
                  <c:v>181934.71428571409</c:v>
                </c:pt>
                <c:pt idx="868">
                  <c:v>177654.285714286</c:v>
                </c:pt>
                <c:pt idx="869">
                  <c:v>179888.28571428591</c:v>
                </c:pt>
                <c:pt idx="870">
                  <c:v>177661.42857142858</c:v>
                </c:pt>
                <c:pt idx="871">
                  <c:v>183438.85714285698</c:v>
                </c:pt>
                <c:pt idx="872">
                  <c:v>178995.85714285698</c:v>
                </c:pt>
                <c:pt idx="873">
                  <c:v>176324.14285714302</c:v>
                </c:pt>
                <c:pt idx="874">
                  <c:v>177354.00000000041</c:v>
                </c:pt>
                <c:pt idx="875">
                  <c:v>178621.57142857101</c:v>
                </c:pt>
                <c:pt idx="876">
                  <c:v>174066.85714285698</c:v>
                </c:pt>
                <c:pt idx="877">
                  <c:v>169667.8571428569</c:v>
                </c:pt>
                <c:pt idx="878">
                  <c:v>161760.14285714302</c:v>
                </c:pt>
                <c:pt idx="879">
                  <c:v>166929.4285714287</c:v>
                </c:pt>
                <c:pt idx="880">
                  <c:v>173293.57142857142</c:v>
                </c:pt>
                <c:pt idx="881">
                  <c:v>175395.5714285713</c:v>
                </c:pt>
                <c:pt idx="882">
                  <c:v>175135.57142857142</c:v>
                </c:pt>
                <c:pt idx="883">
                  <c:v>188475.00000000029</c:v>
                </c:pt>
                <c:pt idx="884">
                  <c:v>195901.99999999959</c:v>
                </c:pt>
                <c:pt idx="885">
                  <c:v>204986.42857142899</c:v>
                </c:pt>
                <c:pt idx="886">
                  <c:v>203619.99999999988</c:v>
                </c:pt>
                <c:pt idx="887">
                  <c:v>207187.85714285669</c:v>
                </c:pt>
                <c:pt idx="888">
                  <c:v>207922.1428571424</c:v>
                </c:pt>
                <c:pt idx="889">
                  <c:v>199508.5714285713</c:v>
                </c:pt>
                <c:pt idx="890">
                  <c:v>220636.42857142899</c:v>
                </c:pt>
                <c:pt idx="891">
                  <c:v>230037.14285714302</c:v>
                </c:pt>
                <c:pt idx="892">
                  <c:v>227309.85714285698</c:v>
                </c:pt>
                <c:pt idx="893">
                  <c:v>232155</c:v>
                </c:pt>
                <c:pt idx="894">
                  <c:v>211880.57142857101</c:v>
                </c:pt>
                <c:pt idx="895">
                  <c:v>219570.285714286</c:v>
                </c:pt>
                <c:pt idx="896">
                  <c:v>235624</c:v>
                </c:pt>
                <c:pt idx="897">
                  <c:v>219236.428571428</c:v>
                </c:pt>
                <c:pt idx="898">
                  <c:v>215720</c:v>
                </c:pt>
                <c:pt idx="899">
                  <c:v>227329.28571428498</c:v>
                </c:pt>
                <c:pt idx="900">
                  <c:v>229161.57142857101</c:v>
                </c:pt>
                <c:pt idx="901">
                  <c:v>248585.714285714</c:v>
                </c:pt>
                <c:pt idx="902">
                  <c:v>250181.714285714</c:v>
                </c:pt>
                <c:pt idx="903">
                  <c:v>253853</c:v>
                </c:pt>
                <c:pt idx="904">
                  <c:v>259327.714285714</c:v>
                </c:pt>
                <c:pt idx="905">
                  <c:v>273518.85714285797</c:v>
                </c:pt>
                <c:pt idx="906">
                  <c:v>270750.71428571403</c:v>
                </c:pt>
                <c:pt idx="907">
                  <c:v>267659.14285714302</c:v>
                </c:pt>
                <c:pt idx="908">
                  <c:v>262155.71428571397</c:v>
                </c:pt>
                <c:pt idx="909">
                  <c:v>258882.14285714299</c:v>
                </c:pt>
                <c:pt idx="910">
                  <c:v>266448.42857142806</c:v>
                </c:pt>
                <c:pt idx="911">
                  <c:v>265983.42857142899</c:v>
                </c:pt>
                <c:pt idx="912">
                  <c:v>251850.571428572</c:v>
                </c:pt>
                <c:pt idx="913">
                  <c:v>249353.57142857101</c:v>
                </c:pt>
                <c:pt idx="914">
                  <c:v>253768.428571428</c:v>
                </c:pt>
                <c:pt idx="915">
                  <c:v>255285</c:v>
                </c:pt>
                <c:pt idx="916">
                  <c:v>255154.571428572</c:v>
                </c:pt>
                <c:pt idx="917">
                  <c:v>252021.714285714</c:v>
                </c:pt>
                <c:pt idx="918">
                  <c:v>245027.428571428</c:v>
                </c:pt>
                <c:pt idx="919">
                  <c:v>245858.42857142899</c:v>
                </c:pt>
                <c:pt idx="920">
                  <c:v>236816.71428571438</c:v>
                </c:pt>
                <c:pt idx="921">
                  <c:v>234322.71428571391</c:v>
                </c:pt>
                <c:pt idx="922">
                  <c:v>235580.57142857101</c:v>
                </c:pt>
                <c:pt idx="923">
                  <c:v>227540.57142857101</c:v>
                </c:pt>
                <c:pt idx="924">
                  <c:v>213123.5714285713</c:v>
                </c:pt>
                <c:pt idx="925">
                  <c:v>212960.71428571409</c:v>
                </c:pt>
                <c:pt idx="926">
                  <c:v>202487.85714285698</c:v>
                </c:pt>
                <c:pt idx="927">
                  <c:v>206778.71428571441</c:v>
                </c:pt>
                <c:pt idx="928">
                  <c:v>202663.57142857171</c:v>
                </c:pt>
                <c:pt idx="929">
                  <c:v>193148.714285714</c:v>
                </c:pt>
                <c:pt idx="930">
                  <c:v>191202.28571428539</c:v>
                </c:pt>
                <c:pt idx="931">
                  <c:v>182572.14285714261</c:v>
                </c:pt>
                <c:pt idx="932">
                  <c:v>180453.42857142858</c:v>
                </c:pt>
                <c:pt idx="933">
                  <c:v>175046.28571428568</c:v>
                </c:pt>
                <c:pt idx="934">
                  <c:v>184450.42857142829</c:v>
                </c:pt>
                <c:pt idx="935">
                  <c:v>181353.7142857147</c:v>
                </c:pt>
                <c:pt idx="936">
                  <c:v>177624.71428571429</c:v>
                </c:pt>
                <c:pt idx="937">
                  <c:v>176644.85714285669</c:v>
                </c:pt>
                <c:pt idx="938">
                  <c:v>169754.99999999971</c:v>
                </c:pt>
                <c:pt idx="939">
                  <c:v>162377.4285714287</c:v>
                </c:pt>
                <c:pt idx="940">
                  <c:v>157805.2857142858</c:v>
                </c:pt>
                <c:pt idx="941">
                  <c:v>141183.85714285719</c:v>
                </c:pt>
                <c:pt idx="942">
                  <c:v>139373.8571428571</c:v>
                </c:pt>
                <c:pt idx="943">
                  <c:v>139369.71428571429</c:v>
                </c:pt>
                <c:pt idx="944">
                  <c:v>137264.28571428568</c:v>
                </c:pt>
                <c:pt idx="945">
                  <c:v>143589.71428571432</c:v>
                </c:pt>
                <c:pt idx="946">
                  <c:v>140713.1428571429</c:v>
                </c:pt>
                <c:pt idx="947">
                  <c:v>145994.1428571429</c:v>
                </c:pt>
                <c:pt idx="948">
                  <c:v>143705.42857142858</c:v>
                </c:pt>
                <c:pt idx="949">
                  <c:v>144062.14285714281</c:v>
                </c:pt>
                <c:pt idx="950">
                  <c:v>141437.28571428571</c:v>
                </c:pt>
                <c:pt idx="951">
                  <c:v>135816.71428571429</c:v>
                </c:pt>
                <c:pt idx="952">
                  <c:v>129199.71428571429</c:v>
                </c:pt>
                <c:pt idx="953">
                  <c:v>123938.57142857149</c:v>
                </c:pt>
                <c:pt idx="954">
                  <c:v>118667.28571428571</c:v>
                </c:pt>
                <c:pt idx="955">
                  <c:v>117758.8571428571</c:v>
                </c:pt>
                <c:pt idx="956">
                  <c:v>114928.42857142861</c:v>
                </c:pt>
                <c:pt idx="957">
                  <c:v>102607.42857142861</c:v>
                </c:pt>
                <c:pt idx="958">
                  <c:v>104057.57142857139</c:v>
                </c:pt>
                <c:pt idx="959">
                  <c:v>97334.714285714304</c:v>
                </c:pt>
                <c:pt idx="960">
                  <c:v>91700.142857142899</c:v>
                </c:pt>
                <c:pt idx="961">
                  <c:v>96029.571428571493</c:v>
                </c:pt>
                <c:pt idx="962">
                  <c:v>97390.142857142899</c:v>
                </c:pt>
                <c:pt idx="963">
                  <c:v>96308.714285714304</c:v>
                </c:pt>
                <c:pt idx="964">
                  <c:v>100535.2857142857</c:v>
                </c:pt>
                <c:pt idx="965">
                  <c:v>96416.71428571429</c:v>
                </c:pt>
                <c:pt idx="966">
                  <c:v>94800.142857142797</c:v>
                </c:pt>
                <c:pt idx="967">
                  <c:v>91921.142857142899</c:v>
                </c:pt>
                <c:pt idx="968">
                  <c:v>78866.285714285696</c:v>
                </c:pt>
                <c:pt idx="969">
                  <c:v>77330.285714285696</c:v>
                </c:pt>
                <c:pt idx="970">
                  <c:v>75880.714285714304</c:v>
                </c:pt>
                <c:pt idx="971">
                  <c:v>73938</c:v>
                </c:pt>
                <c:pt idx="972">
                  <c:v>73899.857142857203</c:v>
                </c:pt>
                <c:pt idx="973">
                  <c:v>72059.857142857203</c:v>
                </c:pt>
                <c:pt idx="974">
                  <c:v>74307.28571428571</c:v>
                </c:pt>
                <c:pt idx="975">
                  <c:v>80335.571428571391</c:v>
                </c:pt>
                <c:pt idx="976">
                  <c:v>80021</c:v>
                </c:pt>
                <c:pt idx="977">
                  <c:v>80174.142857142899</c:v>
                </c:pt>
                <c:pt idx="978">
                  <c:v>77641.857142857203</c:v>
                </c:pt>
                <c:pt idx="979">
                  <c:v>73143</c:v>
                </c:pt>
                <c:pt idx="980">
                  <c:v>73093.571428571391</c:v>
                </c:pt>
                <c:pt idx="981">
                  <c:v>70795.714285714304</c:v>
                </c:pt>
                <c:pt idx="982">
                  <c:v>64997.4285714285</c:v>
                </c:pt>
                <c:pt idx="983">
                  <c:v>65006.571428571398</c:v>
                </c:pt>
                <c:pt idx="984">
                  <c:v>64400</c:v>
                </c:pt>
                <c:pt idx="985">
                  <c:v>63737.714285714297</c:v>
                </c:pt>
                <c:pt idx="986">
                  <c:v>60181.142857142899</c:v>
                </c:pt>
                <c:pt idx="987">
                  <c:v>#N/A</c:v>
                </c:pt>
                <c:pt idx="988">
                  <c:v>#N/A</c:v>
                </c:pt>
                <c:pt idx="989">
                  <c:v>#N/A</c:v>
                </c:pt>
                <c:pt idx="990">
                  <c:v>#N/A</c:v>
                </c:pt>
                <c:pt idx="991">
                  <c:v>#N/A</c:v>
                </c:pt>
                <c:pt idx="992">
                  <c:v>#N/A</c:v>
                </c:pt>
                <c:pt idx="993">
                  <c:v>#N/A</c:v>
                </c:pt>
                <c:pt idx="994">
                  <c:v>#N/A</c:v>
                </c:pt>
              </c:numCache>
            </c:numRef>
          </c:val>
          <c:smooth val="0"/>
          <c:extLst>
            <c:ext xmlns:c16="http://schemas.microsoft.com/office/drawing/2014/chart" uri="{C3380CC4-5D6E-409C-BE32-E72D297353CC}">
              <c16:uniqueId val="{00000002-2C36-40BD-BC7D-09303454034B}"/>
            </c:ext>
          </c:extLst>
        </c:ser>
        <c:ser>
          <c:idx val="0"/>
          <c:order val="3"/>
          <c:spPr>
            <a:ln w="28575" cap="rnd">
              <a:solidFill>
                <a:sysClr val="windowText" lastClr="000000">
                  <a:lumMod val="75000"/>
                  <a:lumOff val="25000"/>
                </a:sysClr>
              </a:solidFill>
              <a:prstDash val="sysDot"/>
              <a:round/>
            </a:ln>
            <a:effectLst/>
          </c:spPr>
          <c:marker>
            <c:symbol val="none"/>
          </c:marker>
          <c:cat>
            <c:numRef>
              <c:f>'COVID-19 cases - data'!$B$1:$ALH$1</c:f>
              <c:numCache>
                <c:formatCode>mmm\-yy</c:formatCode>
                <c:ptCount val="995"/>
                <c:pt idx="0">
                  <c:v>43852</c:v>
                </c:pt>
                <c:pt idx="1">
                  <c:v>43853</c:v>
                </c:pt>
                <c:pt idx="2">
                  <c:v>43854</c:v>
                </c:pt>
                <c:pt idx="3">
                  <c:v>43855</c:v>
                </c:pt>
                <c:pt idx="4">
                  <c:v>43856</c:v>
                </c:pt>
                <c:pt idx="5">
                  <c:v>43857</c:v>
                </c:pt>
                <c:pt idx="6">
                  <c:v>43858</c:v>
                </c:pt>
                <c:pt idx="7">
                  <c:v>43859</c:v>
                </c:pt>
                <c:pt idx="8">
                  <c:v>43860</c:v>
                </c:pt>
                <c:pt idx="9">
                  <c:v>43861</c:v>
                </c:pt>
                <c:pt idx="10">
                  <c:v>43862</c:v>
                </c:pt>
                <c:pt idx="11">
                  <c:v>43863</c:v>
                </c:pt>
                <c:pt idx="12">
                  <c:v>43864</c:v>
                </c:pt>
                <c:pt idx="13">
                  <c:v>43865</c:v>
                </c:pt>
                <c:pt idx="14">
                  <c:v>43866</c:v>
                </c:pt>
                <c:pt idx="15">
                  <c:v>43867</c:v>
                </c:pt>
                <c:pt idx="16">
                  <c:v>43868</c:v>
                </c:pt>
                <c:pt idx="17">
                  <c:v>43869</c:v>
                </c:pt>
                <c:pt idx="18">
                  <c:v>43870</c:v>
                </c:pt>
                <c:pt idx="19">
                  <c:v>43871</c:v>
                </c:pt>
                <c:pt idx="20">
                  <c:v>43872</c:v>
                </c:pt>
                <c:pt idx="21">
                  <c:v>43873</c:v>
                </c:pt>
                <c:pt idx="22">
                  <c:v>43874</c:v>
                </c:pt>
                <c:pt idx="23">
                  <c:v>43875</c:v>
                </c:pt>
                <c:pt idx="24">
                  <c:v>43876</c:v>
                </c:pt>
                <c:pt idx="25">
                  <c:v>43877</c:v>
                </c:pt>
                <c:pt idx="26">
                  <c:v>43878</c:v>
                </c:pt>
                <c:pt idx="27">
                  <c:v>43879</c:v>
                </c:pt>
                <c:pt idx="28">
                  <c:v>43880</c:v>
                </c:pt>
                <c:pt idx="29">
                  <c:v>43881</c:v>
                </c:pt>
                <c:pt idx="30">
                  <c:v>43882</c:v>
                </c:pt>
                <c:pt idx="31">
                  <c:v>43883</c:v>
                </c:pt>
                <c:pt idx="32">
                  <c:v>43884</c:v>
                </c:pt>
                <c:pt idx="33">
                  <c:v>43885</c:v>
                </c:pt>
                <c:pt idx="34">
                  <c:v>43886</c:v>
                </c:pt>
                <c:pt idx="35">
                  <c:v>43887</c:v>
                </c:pt>
                <c:pt idx="36">
                  <c:v>43888</c:v>
                </c:pt>
                <c:pt idx="37">
                  <c:v>43889</c:v>
                </c:pt>
                <c:pt idx="38">
                  <c:v>43890</c:v>
                </c:pt>
                <c:pt idx="39">
                  <c:v>43891</c:v>
                </c:pt>
                <c:pt idx="40">
                  <c:v>43892</c:v>
                </c:pt>
                <c:pt idx="41">
                  <c:v>43893</c:v>
                </c:pt>
                <c:pt idx="42">
                  <c:v>43894</c:v>
                </c:pt>
                <c:pt idx="43">
                  <c:v>43895</c:v>
                </c:pt>
                <c:pt idx="44">
                  <c:v>43896</c:v>
                </c:pt>
                <c:pt idx="45">
                  <c:v>43897</c:v>
                </c:pt>
                <c:pt idx="46">
                  <c:v>43898</c:v>
                </c:pt>
                <c:pt idx="47">
                  <c:v>43899</c:v>
                </c:pt>
                <c:pt idx="48">
                  <c:v>43900</c:v>
                </c:pt>
                <c:pt idx="49">
                  <c:v>43901</c:v>
                </c:pt>
                <c:pt idx="50">
                  <c:v>43902</c:v>
                </c:pt>
                <c:pt idx="51">
                  <c:v>43903</c:v>
                </c:pt>
                <c:pt idx="52">
                  <c:v>43904</c:v>
                </c:pt>
                <c:pt idx="53">
                  <c:v>43905</c:v>
                </c:pt>
                <c:pt idx="54">
                  <c:v>43906</c:v>
                </c:pt>
                <c:pt idx="55">
                  <c:v>43907</c:v>
                </c:pt>
                <c:pt idx="56">
                  <c:v>43908</c:v>
                </c:pt>
                <c:pt idx="57">
                  <c:v>43909</c:v>
                </c:pt>
                <c:pt idx="58">
                  <c:v>43910</c:v>
                </c:pt>
                <c:pt idx="59">
                  <c:v>43911</c:v>
                </c:pt>
                <c:pt idx="60">
                  <c:v>43912</c:v>
                </c:pt>
                <c:pt idx="61">
                  <c:v>43913</c:v>
                </c:pt>
                <c:pt idx="62">
                  <c:v>43914</c:v>
                </c:pt>
                <c:pt idx="63">
                  <c:v>43915</c:v>
                </c:pt>
                <c:pt idx="64">
                  <c:v>43916</c:v>
                </c:pt>
                <c:pt idx="65">
                  <c:v>43917</c:v>
                </c:pt>
                <c:pt idx="66">
                  <c:v>43918</c:v>
                </c:pt>
                <c:pt idx="67">
                  <c:v>43919</c:v>
                </c:pt>
                <c:pt idx="68">
                  <c:v>43920</c:v>
                </c:pt>
                <c:pt idx="69">
                  <c:v>43921</c:v>
                </c:pt>
                <c:pt idx="70">
                  <c:v>43922</c:v>
                </c:pt>
                <c:pt idx="71">
                  <c:v>43923</c:v>
                </c:pt>
                <c:pt idx="72">
                  <c:v>43924</c:v>
                </c:pt>
                <c:pt idx="73">
                  <c:v>43925</c:v>
                </c:pt>
                <c:pt idx="74">
                  <c:v>43926</c:v>
                </c:pt>
                <c:pt idx="75">
                  <c:v>43927</c:v>
                </c:pt>
                <c:pt idx="76">
                  <c:v>43928</c:v>
                </c:pt>
                <c:pt idx="77">
                  <c:v>43929</c:v>
                </c:pt>
                <c:pt idx="78">
                  <c:v>43930</c:v>
                </c:pt>
                <c:pt idx="79">
                  <c:v>43931</c:v>
                </c:pt>
                <c:pt idx="80">
                  <c:v>43932</c:v>
                </c:pt>
                <c:pt idx="81">
                  <c:v>43933</c:v>
                </c:pt>
                <c:pt idx="82">
                  <c:v>43934</c:v>
                </c:pt>
                <c:pt idx="83">
                  <c:v>43935</c:v>
                </c:pt>
                <c:pt idx="84">
                  <c:v>43936</c:v>
                </c:pt>
                <c:pt idx="85">
                  <c:v>43937</c:v>
                </c:pt>
                <c:pt idx="86">
                  <c:v>43938</c:v>
                </c:pt>
                <c:pt idx="87">
                  <c:v>43939</c:v>
                </c:pt>
                <c:pt idx="88">
                  <c:v>43940</c:v>
                </c:pt>
                <c:pt idx="89">
                  <c:v>43941</c:v>
                </c:pt>
                <c:pt idx="90">
                  <c:v>43942</c:v>
                </c:pt>
                <c:pt idx="91">
                  <c:v>43943</c:v>
                </c:pt>
                <c:pt idx="92">
                  <c:v>43944</c:v>
                </c:pt>
                <c:pt idx="93">
                  <c:v>43945</c:v>
                </c:pt>
                <c:pt idx="94">
                  <c:v>43946</c:v>
                </c:pt>
                <c:pt idx="95">
                  <c:v>43947</c:v>
                </c:pt>
                <c:pt idx="96">
                  <c:v>43948</c:v>
                </c:pt>
                <c:pt idx="97">
                  <c:v>43949</c:v>
                </c:pt>
                <c:pt idx="98">
                  <c:v>43950</c:v>
                </c:pt>
                <c:pt idx="99">
                  <c:v>43951</c:v>
                </c:pt>
                <c:pt idx="100">
                  <c:v>43952</c:v>
                </c:pt>
                <c:pt idx="101">
                  <c:v>43953</c:v>
                </c:pt>
                <c:pt idx="102">
                  <c:v>43954</c:v>
                </c:pt>
                <c:pt idx="103">
                  <c:v>43955</c:v>
                </c:pt>
                <c:pt idx="104">
                  <c:v>43956</c:v>
                </c:pt>
                <c:pt idx="105">
                  <c:v>43957</c:v>
                </c:pt>
                <c:pt idx="106">
                  <c:v>43958</c:v>
                </c:pt>
                <c:pt idx="107">
                  <c:v>43959</c:v>
                </c:pt>
                <c:pt idx="108">
                  <c:v>43960</c:v>
                </c:pt>
                <c:pt idx="109">
                  <c:v>43961</c:v>
                </c:pt>
                <c:pt idx="110">
                  <c:v>43962</c:v>
                </c:pt>
                <c:pt idx="111">
                  <c:v>43963</c:v>
                </c:pt>
                <c:pt idx="112">
                  <c:v>43964</c:v>
                </c:pt>
                <c:pt idx="113">
                  <c:v>43965</c:v>
                </c:pt>
                <c:pt idx="114">
                  <c:v>43966</c:v>
                </c:pt>
                <c:pt idx="115">
                  <c:v>43967</c:v>
                </c:pt>
                <c:pt idx="116">
                  <c:v>43968</c:v>
                </c:pt>
                <c:pt idx="117">
                  <c:v>43969</c:v>
                </c:pt>
                <c:pt idx="118">
                  <c:v>43970</c:v>
                </c:pt>
                <c:pt idx="119">
                  <c:v>43971</c:v>
                </c:pt>
                <c:pt idx="120">
                  <c:v>43972</c:v>
                </c:pt>
                <c:pt idx="121">
                  <c:v>43973</c:v>
                </c:pt>
                <c:pt idx="122">
                  <c:v>43974</c:v>
                </c:pt>
                <c:pt idx="123">
                  <c:v>43975</c:v>
                </c:pt>
                <c:pt idx="124">
                  <c:v>43976</c:v>
                </c:pt>
                <c:pt idx="125">
                  <c:v>43977</c:v>
                </c:pt>
                <c:pt idx="126">
                  <c:v>43978</c:v>
                </c:pt>
                <c:pt idx="127">
                  <c:v>43979</c:v>
                </c:pt>
                <c:pt idx="128">
                  <c:v>43980</c:v>
                </c:pt>
                <c:pt idx="129">
                  <c:v>43981</c:v>
                </c:pt>
                <c:pt idx="130">
                  <c:v>43982</c:v>
                </c:pt>
                <c:pt idx="131">
                  <c:v>43983</c:v>
                </c:pt>
                <c:pt idx="132">
                  <c:v>43984</c:v>
                </c:pt>
                <c:pt idx="133">
                  <c:v>43985</c:v>
                </c:pt>
                <c:pt idx="134">
                  <c:v>43986</c:v>
                </c:pt>
                <c:pt idx="135">
                  <c:v>43987</c:v>
                </c:pt>
                <c:pt idx="136">
                  <c:v>43988</c:v>
                </c:pt>
                <c:pt idx="137">
                  <c:v>43989</c:v>
                </c:pt>
                <c:pt idx="138">
                  <c:v>43990</c:v>
                </c:pt>
                <c:pt idx="139">
                  <c:v>43991</c:v>
                </c:pt>
                <c:pt idx="140">
                  <c:v>43992</c:v>
                </c:pt>
                <c:pt idx="141">
                  <c:v>43993</c:v>
                </c:pt>
                <c:pt idx="142">
                  <c:v>43994</c:v>
                </c:pt>
                <c:pt idx="143">
                  <c:v>43995</c:v>
                </c:pt>
                <c:pt idx="144">
                  <c:v>43996</c:v>
                </c:pt>
                <c:pt idx="145">
                  <c:v>43997</c:v>
                </c:pt>
                <c:pt idx="146">
                  <c:v>43998</c:v>
                </c:pt>
                <c:pt idx="147">
                  <c:v>43999</c:v>
                </c:pt>
                <c:pt idx="148">
                  <c:v>44000</c:v>
                </c:pt>
                <c:pt idx="149">
                  <c:v>44001</c:v>
                </c:pt>
                <c:pt idx="150">
                  <c:v>44002</c:v>
                </c:pt>
                <c:pt idx="151">
                  <c:v>44003</c:v>
                </c:pt>
                <c:pt idx="152">
                  <c:v>44004</c:v>
                </c:pt>
                <c:pt idx="153">
                  <c:v>44005</c:v>
                </c:pt>
                <c:pt idx="154">
                  <c:v>44006</c:v>
                </c:pt>
                <c:pt idx="155">
                  <c:v>44007</c:v>
                </c:pt>
                <c:pt idx="156">
                  <c:v>44008</c:v>
                </c:pt>
                <c:pt idx="157">
                  <c:v>44009</c:v>
                </c:pt>
                <c:pt idx="158">
                  <c:v>44010</c:v>
                </c:pt>
                <c:pt idx="159">
                  <c:v>44011</c:v>
                </c:pt>
                <c:pt idx="160">
                  <c:v>44012</c:v>
                </c:pt>
                <c:pt idx="161">
                  <c:v>44013</c:v>
                </c:pt>
                <c:pt idx="162">
                  <c:v>44014</c:v>
                </c:pt>
                <c:pt idx="163">
                  <c:v>44015</c:v>
                </c:pt>
                <c:pt idx="164">
                  <c:v>44016</c:v>
                </c:pt>
                <c:pt idx="165">
                  <c:v>44017</c:v>
                </c:pt>
                <c:pt idx="166">
                  <c:v>44018</c:v>
                </c:pt>
                <c:pt idx="167">
                  <c:v>44019</c:v>
                </c:pt>
                <c:pt idx="168">
                  <c:v>44020</c:v>
                </c:pt>
                <c:pt idx="169">
                  <c:v>44021</c:v>
                </c:pt>
                <c:pt idx="170">
                  <c:v>44022</c:v>
                </c:pt>
                <c:pt idx="171">
                  <c:v>44023</c:v>
                </c:pt>
                <c:pt idx="172">
                  <c:v>44024</c:v>
                </c:pt>
                <c:pt idx="173">
                  <c:v>44025</c:v>
                </c:pt>
                <c:pt idx="174">
                  <c:v>44026</c:v>
                </c:pt>
                <c:pt idx="175">
                  <c:v>44027</c:v>
                </c:pt>
                <c:pt idx="176">
                  <c:v>44028</c:v>
                </c:pt>
                <c:pt idx="177">
                  <c:v>44029</c:v>
                </c:pt>
                <c:pt idx="178">
                  <c:v>44030</c:v>
                </c:pt>
                <c:pt idx="179">
                  <c:v>44031</c:v>
                </c:pt>
                <c:pt idx="180">
                  <c:v>44032</c:v>
                </c:pt>
                <c:pt idx="181">
                  <c:v>44033</c:v>
                </c:pt>
                <c:pt idx="182">
                  <c:v>44034</c:v>
                </c:pt>
                <c:pt idx="183">
                  <c:v>44035</c:v>
                </c:pt>
                <c:pt idx="184">
                  <c:v>44036</c:v>
                </c:pt>
                <c:pt idx="185">
                  <c:v>44037</c:v>
                </c:pt>
                <c:pt idx="186">
                  <c:v>44038</c:v>
                </c:pt>
                <c:pt idx="187">
                  <c:v>44039</c:v>
                </c:pt>
                <c:pt idx="188">
                  <c:v>44040</c:v>
                </c:pt>
                <c:pt idx="189">
                  <c:v>44041</c:v>
                </c:pt>
                <c:pt idx="190">
                  <c:v>44042</c:v>
                </c:pt>
                <c:pt idx="191">
                  <c:v>44043</c:v>
                </c:pt>
                <c:pt idx="192">
                  <c:v>44044</c:v>
                </c:pt>
                <c:pt idx="193">
                  <c:v>44045</c:v>
                </c:pt>
                <c:pt idx="194">
                  <c:v>44046</c:v>
                </c:pt>
                <c:pt idx="195">
                  <c:v>44047</c:v>
                </c:pt>
                <c:pt idx="196">
                  <c:v>44048</c:v>
                </c:pt>
                <c:pt idx="197">
                  <c:v>44049</c:v>
                </c:pt>
                <c:pt idx="198">
                  <c:v>44050</c:v>
                </c:pt>
                <c:pt idx="199">
                  <c:v>44051</c:v>
                </c:pt>
                <c:pt idx="200">
                  <c:v>44052</c:v>
                </c:pt>
                <c:pt idx="201">
                  <c:v>44053</c:v>
                </c:pt>
                <c:pt idx="202">
                  <c:v>44054</c:v>
                </c:pt>
                <c:pt idx="203">
                  <c:v>44055</c:v>
                </c:pt>
                <c:pt idx="204">
                  <c:v>44056</c:v>
                </c:pt>
                <c:pt idx="205">
                  <c:v>44057</c:v>
                </c:pt>
                <c:pt idx="206">
                  <c:v>44058</c:v>
                </c:pt>
                <c:pt idx="207">
                  <c:v>44059</c:v>
                </c:pt>
                <c:pt idx="208">
                  <c:v>44060</c:v>
                </c:pt>
                <c:pt idx="209">
                  <c:v>44061</c:v>
                </c:pt>
                <c:pt idx="210">
                  <c:v>44062</c:v>
                </c:pt>
                <c:pt idx="211">
                  <c:v>44063</c:v>
                </c:pt>
                <c:pt idx="212">
                  <c:v>44064</c:v>
                </c:pt>
                <c:pt idx="213">
                  <c:v>44065</c:v>
                </c:pt>
                <c:pt idx="214">
                  <c:v>44066</c:v>
                </c:pt>
                <c:pt idx="215">
                  <c:v>44067</c:v>
                </c:pt>
                <c:pt idx="216">
                  <c:v>44068</c:v>
                </c:pt>
                <c:pt idx="217">
                  <c:v>44069</c:v>
                </c:pt>
                <c:pt idx="218">
                  <c:v>44070</c:v>
                </c:pt>
                <c:pt idx="219">
                  <c:v>44071</c:v>
                </c:pt>
                <c:pt idx="220">
                  <c:v>44072</c:v>
                </c:pt>
                <c:pt idx="221">
                  <c:v>44073</c:v>
                </c:pt>
                <c:pt idx="222">
                  <c:v>44074</c:v>
                </c:pt>
                <c:pt idx="223">
                  <c:v>44075</c:v>
                </c:pt>
                <c:pt idx="224">
                  <c:v>44076</c:v>
                </c:pt>
                <c:pt idx="225">
                  <c:v>44077</c:v>
                </c:pt>
                <c:pt idx="226">
                  <c:v>44078</c:v>
                </c:pt>
                <c:pt idx="227">
                  <c:v>44079</c:v>
                </c:pt>
                <c:pt idx="228">
                  <c:v>44080</c:v>
                </c:pt>
                <c:pt idx="229">
                  <c:v>44081</c:v>
                </c:pt>
                <c:pt idx="230">
                  <c:v>44082</c:v>
                </c:pt>
                <c:pt idx="231">
                  <c:v>44083</c:v>
                </c:pt>
                <c:pt idx="232">
                  <c:v>44084</c:v>
                </c:pt>
                <c:pt idx="233">
                  <c:v>44085</c:v>
                </c:pt>
                <c:pt idx="234">
                  <c:v>44086</c:v>
                </c:pt>
                <c:pt idx="235">
                  <c:v>44087</c:v>
                </c:pt>
                <c:pt idx="236">
                  <c:v>44088</c:v>
                </c:pt>
                <c:pt idx="237">
                  <c:v>44089</c:v>
                </c:pt>
                <c:pt idx="238">
                  <c:v>44090</c:v>
                </c:pt>
                <c:pt idx="239">
                  <c:v>44091</c:v>
                </c:pt>
                <c:pt idx="240">
                  <c:v>44092</c:v>
                </c:pt>
                <c:pt idx="241">
                  <c:v>44093</c:v>
                </c:pt>
                <c:pt idx="242">
                  <c:v>44094</c:v>
                </c:pt>
                <c:pt idx="243">
                  <c:v>44095</c:v>
                </c:pt>
                <c:pt idx="244">
                  <c:v>44096</c:v>
                </c:pt>
                <c:pt idx="245">
                  <c:v>44097</c:v>
                </c:pt>
                <c:pt idx="246">
                  <c:v>44098</c:v>
                </c:pt>
                <c:pt idx="247">
                  <c:v>44099</c:v>
                </c:pt>
                <c:pt idx="248">
                  <c:v>44100</c:v>
                </c:pt>
                <c:pt idx="249">
                  <c:v>44101</c:v>
                </c:pt>
                <c:pt idx="250">
                  <c:v>44102</c:v>
                </c:pt>
                <c:pt idx="251">
                  <c:v>44103</c:v>
                </c:pt>
                <c:pt idx="252">
                  <c:v>44104</c:v>
                </c:pt>
                <c:pt idx="253">
                  <c:v>44105</c:v>
                </c:pt>
                <c:pt idx="254">
                  <c:v>44106</c:v>
                </c:pt>
                <c:pt idx="255">
                  <c:v>44107</c:v>
                </c:pt>
                <c:pt idx="256">
                  <c:v>44108</c:v>
                </c:pt>
                <c:pt idx="257">
                  <c:v>44109</c:v>
                </c:pt>
                <c:pt idx="258">
                  <c:v>44110</c:v>
                </c:pt>
                <c:pt idx="259">
                  <c:v>44111</c:v>
                </c:pt>
                <c:pt idx="260">
                  <c:v>44112</c:v>
                </c:pt>
                <c:pt idx="261">
                  <c:v>44113</c:v>
                </c:pt>
                <c:pt idx="262">
                  <c:v>44114</c:v>
                </c:pt>
                <c:pt idx="263">
                  <c:v>44115</c:v>
                </c:pt>
                <c:pt idx="264">
                  <c:v>44116</c:v>
                </c:pt>
                <c:pt idx="265">
                  <c:v>44117</c:v>
                </c:pt>
                <c:pt idx="266">
                  <c:v>44118</c:v>
                </c:pt>
                <c:pt idx="267">
                  <c:v>44119</c:v>
                </c:pt>
                <c:pt idx="268">
                  <c:v>44120</c:v>
                </c:pt>
                <c:pt idx="269">
                  <c:v>44121</c:v>
                </c:pt>
                <c:pt idx="270">
                  <c:v>44122</c:v>
                </c:pt>
                <c:pt idx="271">
                  <c:v>44123</c:v>
                </c:pt>
                <c:pt idx="272">
                  <c:v>44124</c:v>
                </c:pt>
                <c:pt idx="273">
                  <c:v>44125</c:v>
                </c:pt>
                <c:pt idx="274">
                  <c:v>44126</c:v>
                </c:pt>
                <c:pt idx="275">
                  <c:v>44127</c:v>
                </c:pt>
                <c:pt idx="276">
                  <c:v>44128</c:v>
                </c:pt>
                <c:pt idx="277">
                  <c:v>44129</c:v>
                </c:pt>
                <c:pt idx="278">
                  <c:v>44130</c:v>
                </c:pt>
                <c:pt idx="279">
                  <c:v>44131</c:v>
                </c:pt>
                <c:pt idx="280">
                  <c:v>44132</c:v>
                </c:pt>
                <c:pt idx="281">
                  <c:v>44133</c:v>
                </c:pt>
                <c:pt idx="282">
                  <c:v>44134</c:v>
                </c:pt>
                <c:pt idx="283">
                  <c:v>44135</c:v>
                </c:pt>
                <c:pt idx="284">
                  <c:v>44136</c:v>
                </c:pt>
                <c:pt idx="285">
                  <c:v>44137</c:v>
                </c:pt>
                <c:pt idx="286">
                  <c:v>44138</c:v>
                </c:pt>
                <c:pt idx="287">
                  <c:v>44139</c:v>
                </c:pt>
                <c:pt idx="288">
                  <c:v>44140</c:v>
                </c:pt>
                <c:pt idx="289">
                  <c:v>44141</c:v>
                </c:pt>
                <c:pt idx="290">
                  <c:v>44142</c:v>
                </c:pt>
                <c:pt idx="291">
                  <c:v>44143</c:v>
                </c:pt>
                <c:pt idx="292">
                  <c:v>44144</c:v>
                </c:pt>
                <c:pt idx="293">
                  <c:v>44145</c:v>
                </c:pt>
                <c:pt idx="294">
                  <c:v>44146</c:v>
                </c:pt>
                <c:pt idx="295">
                  <c:v>44147</c:v>
                </c:pt>
                <c:pt idx="296">
                  <c:v>44148</c:v>
                </c:pt>
                <c:pt idx="297">
                  <c:v>44149</c:v>
                </c:pt>
                <c:pt idx="298">
                  <c:v>44150</c:v>
                </c:pt>
                <c:pt idx="299">
                  <c:v>44151</c:v>
                </c:pt>
                <c:pt idx="300">
                  <c:v>44152</c:v>
                </c:pt>
                <c:pt idx="301">
                  <c:v>44153</c:v>
                </c:pt>
                <c:pt idx="302">
                  <c:v>44154</c:v>
                </c:pt>
                <c:pt idx="303">
                  <c:v>44155</c:v>
                </c:pt>
                <c:pt idx="304">
                  <c:v>44156</c:v>
                </c:pt>
                <c:pt idx="305">
                  <c:v>44157</c:v>
                </c:pt>
                <c:pt idx="306">
                  <c:v>44158</c:v>
                </c:pt>
                <c:pt idx="307">
                  <c:v>44159</c:v>
                </c:pt>
                <c:pt idx="308">
                  <c:v>44160</c:v>
                </c:pt>
                <c:pt idx="309">
                  <c:v>44161</c:v>
                </c:pt>
                <c:pt idx="310">
                  <c:v>44162</c:v>
                </c:pt>
                <c:pt idx="311">
                  <c:v>44163</c:v>
                </c:pt>
                <c:pt idx="312">
                  <c:v>44164</c:v>
                </c:pt>
                <c:pt idx="313">
                  <c:v>44165</c:v>
                </c:pt>
                <c:pt idx="314">
                  <c:v>44166</c:v>
                </c:pt>
                <c:pt idx="315">
                  <c:v>44167</c:v>
                </c:pt>
                <c:pt idx="316">
                  <c:v>44168</c:v>
                </c:pt>
                <c:pt idx="317">
                  <c:v>44169</c:v>
                </c:pt>
                <c:pt idx="318">
                  <c:v>44170</c:v>
                </c:pt>
                <c:pt idx="319">
                  <c:v>44171</c:v>
                </c:pt>
                <c:pt idx="320">
                  <c:v>44172</c:v>
                </c:pt>
                <c:pt idx="321">
                  <c:v>44173</c:v>
                </c:pt>
                <c:pt idx="322">
                  <c:v>44174</c:v>
                </c:pt>
                <c:pt idx="323">
                  <c:v>44175</c:v>
                </c:pt>
                <c:pt idx="324">
                  <c:v>44176</c:v>
                </c:pt>
                <c:pt idx="325">
                  <c:v>44177</c:v>
                </c:pt>
                <c:pt idx="326">
                  <c:v>44178</c:v>
                </c:pt>
                <c:pt idx="327">
                  <c:v>44179</c:v>
                </c:pt>
                <c:pt idx="328">
                  <c:v>44180</c:v>
                </c:pt>
                <c:pt idx="329">
                  <c:v>44181</c:v>
                </c:pt>
                <c:pt idx="330">
                  <c:v>44182</c:v>
                </c:pt>
                <c:pt idx="331">
                  <c:v>44183</c:v>
                </c:pt>
                <c:pt idx="332">
                  <c:v>44184</c:v>
                </c:pt>
                <c:pt idx="333">
                  <c:v>44185</c:v>
                </c:pt>
                <c:pt idx="334">
                  <c:v>44186</c:v>
                </c:pt>
                <c:pt idx="335">
                  <c:v>44187</c:v>
                </c:pt>
                <c:pt idx="336">
                  <c:v>44188</c:v>
                </c:pt>
                <c:pt idx="337">
                  <c:v>44189</c:v>
                </c:pt>
                <c:pt idx="338">
                  <c:v>44190</c:v>
                </c:pt>
                <c:pt idx="339">
                  <c:v>44191</c:v>
                </c:pt>
                <c:pt idx="340">
                  <c:v>44192</c:v>
                </c:pt>
                <c:pt idx="341">
                  <c:v>44193</c:v>
                </c:pt>
                <c:pt idx="342">
                  <c:v>44194</c:v>
                </c:pt>
                <c:pt idx="343">
                  <c:v>44195</c:v>
                </c:pt>
                <c:pt idx="344">
                  <c:v>44196</c:v>
                </c:pt>
                <c:pt idx="345">
                  <c:v>44197</c:v>
                </c:pt>
                <c:pt idx="346">
                  <c:v>44198</c:v>
                </c:pt>
                <c:pt idx="347">
                  <c:v>44199</c:v>
                </c:pt>
                <c:pt idx="348">
                  <c:v>44200</c:v>
                </c:pt>
                <c:pt idx="349">
                  <c:v>44201</c:v>
                </c:pt>
                <c:pt idx="350">
                  <c:v>44202</c:v>
                </c:pt>
                <c:pt idx="351">
                  <c:v>44203</c:v>
                </c:pt>
                <c:pt idx="352">
                  <c:v>44204</c:v>
                </c:pt>
                <c:pt idx="353">
                  <c:v>44205</c:v>
                </c:pt>
                <c:pt idx="354">
                  <c:v>44206</c:v>
                </c:pt>
                <c:pt idx="355">
                  <c:v>44207</c:v>
                </c:pt>
                <c:pt idx="356">
                  <c:v>44208</c:v>
                </c:pt>
                <c:pt idx="357">
                  <c:v>44209</c:v>
                </c:pt>
                <c:pt idx="358">
                  <c:v>44210</c:v>
                </c:pt>
                <c:pt idx="359">
                  <c:v>44211</c:v>
                </c:pt>
                <c:pt idx="360">
                  <c:v>44212</c:v>
                </c:pt>
                <c:pt idx="361">
                  <c:v>44213</c:v>
                </c:pt>
                <c:pt idx="362">
                  <c:v>44214</c:v>
                </c:pt>
                <c:pt idx="363">
                  <c:v>44215</c:v>
                </c:pt>
                <c:pt idx="364">
                  <c:v>44216</c:v>
                </c:pt>
                <c:pt idx="365">
                  <c:v>44217</c:v>
                </c:pt>
                <c:pt idx="366">
                  <c:v>44218</c:v>
                </c:pt>
                <c:pt idx="367">
                  <c:v>44219</c:v>
                </c:pt>
                <c:pt idx="368">
                  <c:v>44220</c:v>
                </c:pt>
                <c:pt idx="369">
                  <c:v>44221</c:v>
                </c:pt>
                <c:pt idx="370">
                  <c:v>44222</c:v>
                </c:pt>
                <c:pt idx="371">
                  <c:v>44223</c:v>
                </c:pt>
                <c:pt idx="372">
                  <c:v>44224</c:v>
                </c:pt>
                <c:pt idx="373">
                  <c:v>44225</c:v>
                </c:pt>
                <c:pt idx="374">
                  <c:v>44226</c:v>
                </c:pt>
                <c:pt idx="375">
                  <c:v>44227</c:v>
                </c:pt>
                <c:pt idx="376">
                  <c:v>44228</c:v>
                </c:pt>
                <c:pt idx="377">
                  <c:v>44229</c:v>
                </c:pt>
                <c:pt idx="378">
                  <c:v>44230</c:v>
                </c:pt>
                <c:pt idx="379">
                  <c:v>44231</c:v>
                </c:pt>
                <c:pt idx="380">
                  <c:v>44232</c:v>
                </c:pt>
                <c:pt idx="381">
                  <c:v>44233</c:v>
                </c:pt>
                <c:pt idx="382">
                  <c:v>44234</c:v>
                </c:pt>
                <c:pt idx="383">
                  <c:v>44235</c:v>
                </c:pt>
                <c:pt idx="384">
                  <c:v>44236</c:v>
                </c:pt>
                <c:pt idx="385">
                  <c:v>44237</c:v>
                </c:pt>
                <c:pt idx="386">
                  <c:v>44238</c:v>
                </c:pt>
                <c:pt idx="387">
                  <c:v>44239</c:v>
                </c:pt>
                <c:pt idx="388">
                  <c:v>44240</c:v>
                </c:pt>
                <c:pt idx="389">
                  <c:v>44241</c:v>
                </c:pt>
                <c:pt idx="390">
                  <c:v>44242</c:v>
                </c:pt>
                <c:pt idx="391">
                  <c:v>44243</c:v>
                </c:pt>
                <c:pt idx="392">
                  <c:v>44244</c:v>
                </c:pt>
                <c:pt idx="393">
                  <c:v>44245</c:v>
                </c:pt>
                <c:pt idx="394">
                  <c:v>44246</c:v>
                </c:pt>
                <c:pt idx="395">
                  <c:v>44247</c:v>
                </c:pt>
                <c:pt idx="396">
                  <c:v>44248</c:v>
                </c:pt>
                <c:pt idx="397">
                  <c:v>44249</c:v>
                </c:pt>
                <c:pt idx="398">
                  <c:v>44250</c:v>
                </c:pt>
                <c:pt idx="399">
                  <c:v>44251</c:v>
                </c:pt>
                <c:pt idx="400">
                  <c:v>44252</c:v>
                </c:pt>
                <c:pt idx="401">
                  <c:v>44253</c:v>
                </c:pt>
                <c:pt idx="402">
                  <c:v>44254</c:v>
                </c:pt>
                <c:pt idx="403">
                  <c:v>44255</c:v>
                </c:pt>
                <c:pt idx="404">
                  <c:v>44256</c:v>
                </c:pt>
                <c:pt idx="405">
                  <c:v>44257</c:v>
                </c:pt>
                <c:pt idx="406">
                  <c:v>44258</c:v>
                </c:pt>
                <c:pt idx="407">
                  <c:v>44259</c:v>
                </c:pt>
                <c:pt idx="408">
                  <c:v>44260</c:v>
                </c:pt>
                <c:pt idx="409">
                  <c:v>44261</c:v>
                </c:pt>
                <c:pt idx="410">
                  <c:v>44262</c:v>
                </c:pt>
                <c:pt idx="411">
                  <c:v>44263</c:v>
                </c:pt>
                <c:pt idx="412">
                  <c:v>44264</c:v>
                </c:pt>
                <c:pt idx="413">
                  <c:v>44265</c:v>
                </c:pt>
                <c:pt idx="414">
                  <c:v>44266</c:v>
                </c:pt>
                <c:pt idx="415">
                  <c:v>44267</c:v>
                </c:pt>
                <c:pt idx="416">
                  <c:v>44268</c:v>
                </c:pt>
                <c:pt idx="417">
                  <c:v>44269</c:v>
                </c:pt>
                <c:pt idx="418">
                  <c:v>44270</c:v>
                </c:pt>
                <c:pt idx="419">
                  <c:v>44271</c:v>
                </c:pt>
                <c:pt idx="420">
                  <c:v>44272</c:v>
                </c:pt>
                <c:pt idx="421">
                  <c:v>44273</c:v>
                </c:pt>
                <c:pt idx="422">
                  <c:v>44274</c:v>
                </c:pt>
                <c:pt idx="423">
                  <c:v>44275</c:v>
                </c:pt>
                <c:pt idx="424">
                  <c:v>44276</c:v>
                </c:pt>
                <c:pt idx="425">
                  <c:v>44277</c:v>
                </c:pt>
                <c:pt idx="426">
                  <c:v>44278</c:v>
                </c:pt>
                <c:pt idx="427">
                  <c:v>44279</c:v>
                </c:pt>
                <c:pt idx="428">
                  <c:v>44280</c:v>
                </c:pt>
                <c:pt idx="429">
                  <c:v>44281</c:v>
                </c:pt>
                <c:pt idx="430">
                  <c:v>44282</c:v>
                </c:pt>
                <c:pt idx="431">
                  <c:v>44283</c:v>
                </c:pt>
                <c:pt idx="432">
                  <c:v>44284</c:v>
                </c:pt>
                <c:pt idx="433">
                  <c:v>44285</c:v>
                </c:pt>
                <c:pt idx="434">
                  <c:v>44286</c:v>
                </c:pt>
                <c:pt idx="435">
                  <c:v>44287</c:v>
                </c:pt>
                <c:pt idx="436">
                  <c:v>44288</c:v>
                </c:pt>
                <c:pt idx="437">
                  <c:v>44289</c:v>
                </c:pt>
                <c:pt idx="438">
                  <c:v>44290</c:v>
                </c:pt>
                <c:pt idx="439">
                  <c:v>44291</c:v>
                </c:pt>
                <c:pt idx="440">
                  <c:v>44292</c:v>
                </c:pt>
                <c:pt idx="441">
                  <c:v>44293</c:v>
                </c:pt>
                <c:pt idx="442">
                  <c:v>44294</c:v>
                </c:pt>
                <c:pt idx="443">
                  <c:v>44295</c:v>
                </c:pt>
                <c:pt idx="444">
                  <c:v>44296</c:v>
                </c:pt>
                <c:pt idx="445">
                  <c:v>44297</c:v>
                </c:pt>
                <c:pt idx="446">
                  <c:v>44298</c:v>
                </c:pt>
                <c:pt idx="447">
                  <c:v>44299</c:v>
                </c:pt>
                <c:pt idx="448">
                  <c:v>44300</c:v>
                </c:pt>
                <c:pt idx="449">
                  <c:v>44301</c:v>
                </c:pt>
                <c:pt idx="450">
                  <c:v>44302</c:v>
                </c:pt>
                <c:pt idx="451">
                  <c:v>44303</c:v>
                </c:pt>
                <c:pt idx="452">
                  <c:v>44304</c:v>
                </c:pt>
                <c:pt idx="453">
                  <c:v>44305</c:v>
                </c:pt>
                <c:pt idx="454">
                  <c:v>44306</c:v>
                </c:pt>
                <c:pt idx="455">
                  <c:v>44307</c:v>
                </c:pt>
                <c:pt idx="456">
                  <c:v>44308</c:v>
                </c:pt>
                <c:pt idx="457">
                  <c:v>44309</c:v>
                </c:pt>
                <c:pt idx="458">
                  <c:v>44310</c:v>
                </c:pt>
                <c:pt idx="459">
                  <c:v>44311</c:v>
                </c:pt>
                <c:pt idx="460">
                  <c:v>44312</c:v>
                </c:pt>
                <c:pt idx="461">
                  <c:v>44313</c:v>
                </c:pt>
                <c:pt idx="462">
                  <c:v>44314</c:v>
                </c:pt>
                <c:pt idx="463">
                  <c:v>44315</c:v>
                </c:pt>
                <c:pt idx="464">
                  <c:v>44316</c:v>
                </c:pt>
                <c:pt idx="465">
                  <c:v>44317</c:v>
                </c:pt>
                <c:pt idx="466">
                  <c:v>44318</c:v>
                </c:pt>
                <c:pt idx="467">
                  <c:v>44319</c:v>
                </c:pt>
                <c:pt idx="468">
                  <c:v>44320</c:v>
                </c:pt>
                <c:pt idx="469">
                  <c:v>44321</c:v>
                </c:pt>
                <c:pt idx="470">
                  <c:v>44322</c:v>
                </c:pt>
                <c:pt idx="471">
                  <c:v>44323</c:v>
                </c:pt>
                <c:pt idx="472">
                  <c:v>44324</c:v>
                </c:pt>
                <c:pt idx="473">
                  <c:v>44325</c:v>
                </c:pt>
                <c:pt idx="474">
                  <c:v>44326</c:v>
                </c:pt>
                <c:pt idx="475">
                  <c:v>44327</c:v>
                </c:pt>
                <c:pt idx="476">
                  <c:v>44328</c:v>
                </c:pt>
                <c:pt idx="477">
                  <c:v>44329</c:v>
                </c:pt>
                <c:pt idx="478">
                  <c:v>44330</c:v>
                </c:pt>
                <c:pt idx="479">
                  <c:v>44331</c:v>
                </c:pt>
                <c:pt idx="480">
                  <c:v>44332</c:v>
                </c:pt>
                <c:pt idx="481">
                  <c:v>44333</c:v>
                </c:pt>
                <c:pt idx="482">
                  <c:v>44334</c:v>
                </c:pt>
                <c:pt idx="483">
                  <c:v>44335</c:v>
                </c:pt>
                <c:pt idx="484">
                  <c:v>44336</c:v>
                </c:pt>
                <c:pt idx="485">
                  <c:v>44337</c:v>
                </c:pt>
                <c:pt idx="486">
                  <c:v>44338</c:v>
                </c:pt>
                <c:pt idx="487">
                  <c:v>44339</c:v>
                </c:pt>
                <c:pt idx="488">
                  <c:v>44340</c:v>
                </c:pt>
                <c:pt idx="489">
                  <c:v>44341</c:v>
                </c:pt>
                <c:pt idx="490">
                  <c:v>44342</c:v>
                </c:pt>
                <c:pt idx="491">
                  <c:v>44343</c:v>
                </c:pt>
                <c:pt idx="492">
                  <c:v>44344</c:v>
                </c:pt>
                <c:pt idx="493">
                  <c:v>44345</c:v>
                </c:pt>
                <c:pt idx="494">
                  <c:v>44346</c:v>
                </c:pt>
                <c:pt idx="495">
                  <c:v>44347</c:v>
                </c:pt>
                <c:pt idx="496">
                  <c:v>44348</c:v>
                </c:pt>
                <c:pt idx="497">
                  <c:v>44349</c:v>
                </c:pt>
                <c:pt idx="498">
                  <c:v>44350</c:v>
                </c:pt>
                <c:pt idx="499">
                  <c:v>44351</c:v>
                </c:pt>
                <c:pt idx="500">
                  <c:v>44352</c:v>
                </c:pt>
                <c:pt idx="501">
                  <c:v>44353</c:v>
                </c:pt>
                <c:pt idx="502">
                  <c:v>44354</c:v>
                </c:pt>
                <c:pt idx="503">
                  <c:v>44355</c:v>
                </c:pt>
                <c:pt idx="504">
                  <c:v>44356</c:v>
                </c:pt>
                <c:pt idx="505">
                  <c:v>44357</c:v>
                </c:pt>
                <c:pt idx="506">
                  <c:v>44358</c:v>
                </c:pt>
                <c:pt idx="507">
                  <c:v>44359</c:v>
                </c:pt>
                <c:pt idx="508">
                  <c:v>44360</c:v>
                </c:pt>
                <c:pt idx="509">
                  <c:v>44361</c:v>
                </c:pt>
                <c:pt idx="510">
                  <c:v>44362</c:v>
                </c:pt>
                <c:pt idx="511">
                  <c:v>44363</c:v>
                </c:pt>
                <c:pt idx="512">
                  <c:v>44364</c:v>
                </c:pt>
                <c:pt idx="513">
                  <c:v>44365</c:v>
                </c:pt>
                <c:pt idx="514">
                  <c:v>44366</c:v>
                </c:pt>
                <c:pt idx="515">
                  <c:v>44367</c:v>
                </c:pt>
                <c:pt idx="516">
                  <c:v>44368</c:v>
                </c:pt>
                <c:pt idx="517">
                  <c:v>44369</c:v>
                </c:pt>
                <c:pt idx="518">
                  <c:v>44370</c:v>
                </c:pt>
                <c:pt idx="519">
                  <c:v>44371</c:v>
                </c:pt>
                <c:pt idx="520">
                  <c:v>44372</c:v>
                </c:pt>
                <c:pt idx="521">
                  <c:v>44373</c:v>
                </c:pt>
                <c:pt idx="522">
                  <c:v>44374</c:v>
                </c:pt>
                <c:pt idx="523">
                  <c:v>44375</c:v>
                </c:pt>
                <c:pt idx="524">
                  <c:v>44376</c:v>
                </c:pt>
                <c:pt idx="525">
                  <c:v>44377</c:v>
                </c:pt>
                <c:pt idx="526">
                  <c:v>44378</c:v>
                </c:pt>
                <c:pt idx="527">
                  <c:v>44379</c:v>
                </c:pt>
                <c:pt idx="528">
                  <c:v>44380</c:v>
                </c:pt>
                <c:pt idx="529">
                  <c:v>44381</c:v>
                </c:pt>
                <c:pt idx="530">
                  <c:v>44382</c:v>
                </c:pt>
                <c:pt idx="531">
                  <c:v>44383</c:v>
                </c:pt>
                <c:pt idx="532">
                  <c:v>44384</c:v>
                </c:pt>
                <c:pt idx="533">
                  <c:v>44385</c:v>
                </c:pt>
                <c:pt idx="534">
                  <c:v>44386</c:v>
                </c:pt>
                <c:pt idx="535">
                  <c:v>44387</c:v>
                </c:pt>
                <c:pt idx="536">
                  <c:v>44388</c:v>
                </c:pt>
                <c:pt idx="537">
                  <c:v>44389</c:v>
                </c:pt>
                <c:pt idx="538">
                  <c:v>44390</c:v>
                </c:pt>
                <c:pt idx="539">
                  <c:v>44391</c:v>
                </c:pt>
                <c:pt idx="540">
                  <c:v>44392</c:v>
                </c:pt>
                <c:pt idx="541">
                  <c:v>44393</c:v>
                </c:pt>
                <c:pt idx="542">
                  <c:v>44394</c:v>
                </c:pt>
                <c:pt idx="543">
                  <c:v>44395</c:v>
                </c:pt>
                <c:pt idx="544">
                  <c:v>44396</c:v>
                </c:pt>
                <c:pt idx="545">
                  <c:v>44397</c:v>
                </c:pt>
                <c:pt idx="546">
                  <c:v>44398</c:v>
                </c:pt>
                <c:pt idx="547">
                  <c:v>44399</c:v>
                </c:pt>
                <c:pt idx="548">
                  <c:v>44400</c:v>
                </c:pt>
                <c:pt idx="549">
                  <c:v>44401</c:v>
                </c:pt>
                <c:pt idx="550">
                  <c:v>44402</c:v>
                </c:pt>
                <c:pt idx="551">
                  <c:v>44403</c:v>
                </c:pt>
                <c:pt idx="552">
                  <c:v>44404</c:v>
                </c:pt>
                <c:pt idx="553">
                  <c:v>44405</c:v>
                </c:pt>
                <c:pt idx="554">
                  <c:v>44406</c:v>
                </c:pt>
                <c:pt idx="555">
                  <c:v>44407</c:v>
                </c:pt>
                <c:pt idx="556">
                  <c:v>44408</c:v>
                </c:pt>
                <c:pt idx="557">
                  <c:v>44409</c:v>
                </c:pt>
                <c:pt idx="558">
                  <c:v>44410</c:v>
                </c:pt>
                <c:pt idx="559">
                  <c:v>44411</c:v>
                </c:pt>
                <c:pt idx="560">
                  <c:v>44412</c:v>
                </c:pt>
                <c:pt idx="561">
                  <c:v>44413</c:v>
                </c:pt>
                <c:pt idx="562">
                  <c:v>44414</c:v>
                </c:pt>
                <c:pt idx="563">
                  <c:v>44415</c:v>
                </c:pt>
                <c:pt idx="564">
                  <c:v>44416</c:v>
                </c:pt>
                <c:pt idx="565">
                  <c:v>44417</c:v>
                </c:pt>
                <c:pt idx="566">
                  <c:v>44418</c:v>
                </c:pt>
                <c:pt idx="567">
                  <c:v>44419</c:v>
                </c:pt>
                <c:pt idx="568">
                  <c:v>44420</c:v>
                </c:pt>
                <c:pt idx="569">
                  <c:v>44421</c:v>
                </c:pt>
                <c:pt idx="570">
                  <c:v>44422</c:v>
                </c:pt>
                <c:pt idx="571">
                  <c:v>44423</c:v>
                </c:pt>
                <c:pt idx="572">
                  <c:v>44424</c:v>
                </c:pt>
                <c:pt idx="573">
                  <c:v>44425</c:v>
                </c:pt>
                <c:pt idx="574">
                  <c:v>44426</c:v>
                </c:pt>
                <c:pt idx="575">
                  <c:v>44427</c:v>
                </c:pt>
                <c:pt idx="576">
                  <c:v>44428</c:v>
                </c:pt>
                <c:pt idx="577">
                  <c:v>44429</c:v>
                </c:pt>
                <c:pt idx="578">
                  <c:v>44430</c:v>
                </c:pt>
                <c:pt idx="579">
                  <c:v>44431</c:v>
                </c:pt>
                <c:pt idx="580">
                  <c:v>44432</c:v>
                </c:pt>
                <c:pt idx="581">
                  <c:v>44433</c:v>
                </c:pt>
                <c:pt idx="582">
                  <c:v>44434</c:v>
                </c:pt>
                <c:pt idx="583">
                  <c:v>44435</c:v>
                </c:pt>
                <c:pt idx="584">
                  <c:v>44436</c:v>
                </c:pt>
                <c:pt idx="585">
                  <c:v>44437</c:v>
                </c:pt>
                <c:pt idx="586">
                  <c:v>44438</c:v>
                </c:pt>
                <c:pt idx="587">
                  <c:v>44439</c:v>
                </c:pt>
                <c:pt idx="588">
                  <c:v>44440</c:v>
                </c:pt>
                <c:pt idx="589">
                  <c:v>44441</c:v>
                </c:pt>
                <c:pt idx="590">
                  <c:v>44442</c:v>
                </c:pt>
                <c:pt idx="591">
                  <c:v>44443</c:v>
                </c:pt>
                <c:pt idx="592">
                  <c:v>44444</c:v>
                </c:pt>
                <c:pt idx="593">
                  <c:v>44445</c:v>
                </c:pt>
                <c:pt idx="594">
                  <c:v>44446</c:v>
                </c:pt>
                <c:pt idx="595">
                  <c:v>44447</c:v>
                </c:pt>
                <c:pt idx="596">
                  <c:v>44448</c:v>
                </c:pt>
                <c:pt idx="597">
                  <c:v>44449</c:v>
                </c:pt>
                <c:pt idx="598">
                  <c:v>44450</c:v>
                </c:pt>
                <c:pt idx="599">
                  <c:v>44451</c:v>
                </c:pt>
                <c:pt idx="600">
                  <c:v>44452</c:v>
                </c:pt>
                <c:pt idx="601">
                  <c:v>44453</c:v>
                </c:pt>
                <c:pt idx="602">
                  <c:v>44454</c:v>
                </c:pt>
                <c:pt idx="603">
                  <c:v>44455</c:v>
                </c:pt>
                <c:pt idx="604">
                  <c:v>44456</c:v>
                </c:pt>
                <c:pt idx="605">
                  <c:v>44457</c:v>
                </c:pt>
                <c:pt idx="606">
                  <c:v>44458</c:v>
                </c:pt>
                <c:pt idx="607">
                  <c:v>44459</c:v>
                </c:pt>
                <c:pt idx="608">
                  <c:v>44460</c:v>
                </c:pt>
                <c:pt idx="609">
                  <c:v>44461</c:v>
                </c:pt>
                <c:pt idx="610">
                  <c:v>44462</c:v>
                </c:pt>
                <c:pt idx="611">
                  <c:v>44463</c:v>
                </c:pt>
                <c:pt idx="612">
                  <c:v>44464</c:v>
                </c:pt>
                <c:pt idx="613">
                  <c:v>44465</c:v>
                </c:pt>
                <c:pt idx="614">
                  <c:v>44466</c:v>
                </c:pt>
                <c:pt idx="615">
                  <c:v>44467</c:v>
                </c:pt>
                <c:pt idx="616">
                  <c:v>44468</c:v>
                </c:pt>
                <c:pt idx="617">
                  <c:v>44469</c:v>
                </c:pt>
                <c:pt idx="618">
                  <c:v>44470</c:v>
                </c:pt>
                <c:pt idx="619">
                  <c:v>44471</c:v>
                </c:pt>
                <c:pt idx="620">
                  <c:v>44472</c:v>
                </c:pt>
                <c:pt idx="621">
                  <c:v>44473</c:v>
                </c:pt>
                <c:pt idx="622">
                  <c:v>44474</c:v>
                </c:pt>
                <c:pt idx="623">
                  <c:v>44475</c:v>
                </c:pt>
                <c:pt idx="624">
                  <c:v>44476</c:v>
                </c:pt>
                <c:pt idx="625">
                  <c:v>44477</c:v>
                </c:pt>
                <c:pt idx="626">
                  <c:v>44478</c:v>
                </c:pt>
                <c:pt idx="627">
                  <c:v>44479</c:v>
                </c:pt>
                <c:pt idx="628">
                  <c:v>44480</c:v>
                </c:pt>
                <c:pt idx="629">
                  <c:v>44481</c:v>
                </c:pt>
                <c:pt idx="630">
                  <c:v>44482</c:v>
                </c:pt>
                <c:pt idx="631">
                  <c:v>44483</c:v>
                </c:pt>
                <c:pt idx="632">
                  <c:v>44484</c:v>
                </c:pt>
                <c:pt idx="633">
                  <c:v>44485</c:v>
                </c:pt>
                <c:pt idx="634">
                  <c:v>44486</c:v>
                </c:pt>
                <c:pt idx="635">
                  <c:v>44487</c:v>
                </c:pt>
                <c:pt idx="636">
                  <c:v>44488</c:v>
                </c:pt>
                <c:pt idx="637">
                  <c:v>44489</c:v>
                </c:pt>
                <c:pt idx="638">
                  <c:v>44490</c:v>
                </c:pt>
                <c:pt idx="639">
                  <c:v>44491</c:v>
                </c:pt>
                <c:pt idx="640">
                  <c:v>44492</c:v>
                </c:pt>
                <c:pt idx="641">
                  <c:v>44493</c:v>
                </c:pt>
                <c:pt idx="642">
                  <c:v>44494</c:v>
                </c:pt>
                <c:pt idx="643">
                  <c:v>44495</c:v>
                </c:pt>
                <c:pt idx="644">
                  <c:v>44496</c:v>
                </c:pt>
                <c:pt idx="645">
                  <c:v>44497</c:v>
                </c:pt>
                <c:pt idx="646">
                  <c:v>44498</c:v>
                </c:pt>
                <c:pt idx="647">
                  <c:v>44499</c:v>
                </c:pt>
                <c:pt idx="648">
                  <c:v>44500</c:v>
                </c:pt>
                <c:pt idx="649">
                  <c:v>44501</c:v>
                </c:pt>
                <c:pt idx="650">
                  <c:v>44502</c:v>
                </c:pt>
                <c:pt idx="651">
                  <c:v>44503</c:v>
                </c:pt>
                <c:pt idx="652">
                  <c:v>44504</c:v>
                </c:pt>
                <c:pt idx="653">
                  <c:v>44505</c:v>
                </c:pt>
                <c:pt idx="654">
                  <c:v>44506</c:v>
                </c:pt>
                <c:pt idx="655">
                  <c:v>44507</c:v>
                </c:pt>
                <c:pt idx="656">
                  <c:v>44508</c:v>
                </c:pt>
                <c:pt idx="657">
                  <c:v>44509</c:v>
                </c:pt>
                <c:pt idx="658">
                  <c:v>44510</c:v>
                </c:pt>
                <c:pt idx="659">
                  <c:v>44511</c:v>
                </c:pt>
                <c:pt idx="660">
                  <c:v>44512</c:v>
                </c:pt>
                <c:pt idx="661">
                  <c:v>44513</c:v>
                </c:pt>
                <c:pt idx="662">
                  <c:v>44514</c:v>
                </c:pt>
                <c:pt idx="663">
                  <c:v>44515</c:v>
                </c:pt>
                <c:pt idx="664">
                  <c:v>44516</c:v>
                </c:pt>
                <c:pt idx="665">
                  <c:v>44517</c:v>
                </c:pt>
                <c:pt idx="666">
                  <c:v>44518</c:v>
                </c:pt>
                <c:pt idx="667">
                  <c:v>44519</c:v>
                </c:pt>
                <c:pt idx="668">
                  <c:v>44520</c:v>
                </c:pt>
                <c:pt idx="669">
                  <c:v>44521</c:v>
                </c:pt>
                <c:pt idx="670">
                  <c:v>44522</c:v>
                </c:pt>
                <c:pt idx="671">
                  <c:v>44523</c:v>
                </c:pt>
                <c:pt idx="672">
                  <c:v>44524</c:v>
                </c:pt>
                <c:pt idx="673">
                  <c:v>44525</c:v>
                </c:pt>
                <c:pt idx="674">
                  <c:v>44526</c:v>
                </c:pt>
                <c:pt idx="675">
                  <c:v>44527</c:v>
                </c:pt>
                <c:pt idx="676">
                  <c:v>44528</c:v>
                </c:pt>
                <c:pt idx="677">
                  <c:v>44529</c:v>
                </c:pt>
                <c:pt idx="678">
                  <c:v>44530</c:v>
                </c:pt>
                <c:pt idx="679">
                  <c:v>44531</c:v>
                </c:pt>
                <c:pt idx="680">
                  <c:v>44532</c:v>
                </c:pt>
                <c:pt idx="681">
                  <c:v>44533</c:v>
                </c:pt>
                <c:pt idx="682">
                  <c:v>44534</c:v>
                </c:pt>
                <c:pt idx="683">
                  <c:v>44535</c:v>
                </c:pt>
                <c:pt idx="684">
                  <c:v>44536</c:v>
                </c:pt>
                <c:pt idx="685">
                  <c:v>44537</c:v>
                </c:pt>
                <c:pt idx="686">
                  <c:v>44538</c:v>
                </c:pt>
                <c:pt idx="687">
                  <c:v>44539</c:v>
                </c:pt>
                <c:pt idx="688">
                  <c:v>44540</c:v>
                </c:pt>
                <c:pt idx="689">
                  <c:v>44541</c:v>
                </c:pt>
                <c:pt idx="690">
                  <c:v>44542</c:v>
                </c:pt>
                <c:pt idx="691">
                  <c:v>44543</c:v>
                </c:pt>
                <c:pt idx="692">
                  <c:v>44544</c:v>
                </c:pt>
                <c:pt idx="693">
                  <c:v>44545</c:v>
                </c:pt>
                <c:pt idx="694">
                  <c:v>44546</c:v>
                </c:pt>
                <c:pt idx="695">
                  <c:v>44547</c:v>
                </c:pt>
                <c:pt idx="696">
                  <c:v>44548</c:v>
                </c:pt>
                <c:pt idx="697">
                  <c:v>44549</c:v>
                </c:pt>
                <c:pt idx="698">
                  <c:v>44550</c:v>
                </c:pt>
                <c:pt idx="699">
                  <c:v>44551</c:v>
                </c:pt>
                <c:pt idx="700">
                  <c:v>44552</c:v>
                </c:pt>
                <c:pt idx="701">
                  <c:v>44553</c:v>
                </c:pt>
                <c:pt idx="702">
                  <c:v>44554</c:v>
                </c:pt>
                <c:pt idx="703">
                  <c:v>44555</c:v>
                </c:pt>
                <c:pt idx="704">
                  <c:v>44556</c:v>
                </c:pt>
                <c:pt idx="705">
                  <c:v>44557</c:v>
                </c:pt>
                <c:pt idx="706">
                  <c:v>44558</c:v>
                </c:pt>
                <c:pt idx="707">
                  <c:v>44559</c:v>
                </c:pt>
                <c:pt idx="708">
                  <c:v>44560</c:v>
                </c:pt>
                <c:pt idx="709">
                  <c:v>44561</c:v>
                </c:pt>
                <c:pt idx="710">
                  <c:v>44562</c:v>
                </c:pt>
                <c:pt idx="711">
                  <c:v>44563</c:v>
                </c:pt>
                <c:pt idx="712">
                  <c:v>44564</c:v>
                </c:pt>
                <c:pt idx="713">
                  <c:v>44565</c:v>
                </c:pt>
                <c:pt idx="714">
                  <c:v>44566</c:v>
                </c:pt>
                <c:pt idx="715">
                  <c:v>44567</c:v>
                </c:pt>
                <c:pt idx="716">
                  <c:v>44568</c:v>
                </c:pt>
                <c:pt idx="717">
                  <c:v>44569</c:v>
                </c:pt>
                <c:pt idx="718">
                  <c:v>44570</c:v>
                </c:pt>
                <c:pt idx="719">
                  <c:v>44571</c:v>
                </c:pt>
                <c:pt idx="720">
                  <c:v>44572</c:v>
                </c:pt>
                <c:pt idx="721">
                  <c:v>44573</c:v>
                </c:pt>
                <c:pt idx="722">
                  <c:v>44574</c:v>
                </c:pt>
                <c:pt idx="723">
                  <c:v>44575</c:v>
                </c:pt>
                <c:pt idx="724">
                  <c:v>44576</c:v>
                </c:pt>
                <c:pt idx="725">
                  <c:v>44577</c:v>
                </c:pt>
                <c:pt idx="726">
                  <c:v>44578</c:v>
                </c:pt>
                <c:pt idx="727">
                  <c:v>44579</c:v>
                </c:pt>
                <c:pt idx="728">
                  <c:v>44580</c:v>
                </c:pt>
                <c:pt idx="729">
                  <c:v>44581</c:v>
                </c:pt>
                <c:pt idx="730">
                  <c:v>44582</c:v>
                </c:pt>
                <c:pt idx="731">
                  <c:v>44583</c:v>
                </c:pt>
                <c:pt idx="732">
                  <c:v>44584</c:v>
                </c:pt>
                <c:pt idx="733">
                  <c:v>44585</c:v>
                </c:pt>
                <c:pt idx="734">
                  <c:v>44586</c:v>
                </c:pt>
                <c:pt idx="735">
                  <c:v>44587</c:v>
                </c:pt>
                <c:pt idx="736">
                  <c:v>44588</c:v>
                </c:pt>
                <c:pt idx="737">
                  <c:v>44589</c:v>
                </c:pt>
                <c:pt idx="738">
                  <c:v>44590</c:v>
                </c:pt>
                <c:pt idx="739">
                  <c:v>44591</c:v>
                </c:pt>
                <c:pt idx="740">
                  <c:v>44592</c:v>
                </c:pt>
                <c:pt idx="741">
                  <c:v>44593</c:v>
                </c:pt>
                <c:pt idx="742">
                  <c:v>44594</c:v>
                </c:pt>
                <c:pt idx="743">
                  <c:v>44595</c:v>
                </c:pt>
                <c:pt idx="744">
                  <c:v>44596</c:v>
                </c:pt>
                <c:pt idx="745">
                  <c:v>44597</c:v>
                </c:pt>
                <c:pt idx="746">
                  <c:v>44598</c:v>
                </c:pt>
                <c:pt idx="747">
                  <c:v>44599</c:v>
                </c:pt>
                <c:pt idx="748">
                  <c:v>44600</c:v>
                </c:pt>
                <c:pt idx="749">
                  <c:v>44601</c:v>
                </c:pt>
                <c:pt idx="750">
                  <c:v>44602</c:v>
                </c:pt>
                <c:pt idx="751">
                  <c:v>44603</c:v>
                </c:pt>
                <c:pt idx="752">
                  <c:v>44604</c:v>
                </c:pt>
                <c:pt idx="753">
                  <c:v>44605</c:v>
                </c:pt>
                <c:pt idx="754">
                  <c:v>44606</c:v>
                </c:pt>
                <c:pt idx="755">
                  <c:v>44607</c:v>
                </c:pt>
                <c:pt idx="756">
                  <c:v>44608</c:v>
                </c:pt>
                <c:pt idx="757">
                  <c:v>44609</c:v>
                </c:pt>
                <c:pt idx="758">
                  <c:v>44610</c:v>
                </c:pt>
                <c:pt idx="759">
                  <c:v>44611</c:v>
                </c:pt>
                <c:pt idx="760">
                  <c:v>44612</c:v>
                </c:pt>
                <c:pt idx="761">
                  <c:v>44613</c:v>
                </c:pt>
                <c:pt idx="762">
                  <c:v>44614</c:v>
                </c:pt>
                <c:pt idx="763">
                  <c:v>44615</c:v>
                </c:pt>
                <c:pt idx="764">
                  <c:v>44616</c:v>
                </c:pt>
                <c:pt idx="765">
                  <c:v>44617</c:v>
                </c:pt>
                <c:pt idx="766">
                  <c:v>44618</c:v>
                </c:pt>
                <c:pt idx="767">
                  <c:v>44619</c:v>
                </c:pt>
                <c:pt idx="768">
                  <c:v>44620</c:v>
                </c:pt>
                <c:pt idx="769">
                  <c:v>44621</c:v>
                </c:pt>
                <c:pt idx="770">
                  <c:v>44622</c:v>
                </c:pt>
                <c:pt idx="771">
                  <c:v>44623</c:v>
                </c:pt>
                <c:pt idx="772">
                  <c:v>44624</c:v>
                </c:pt>
                <c:pt idx="773">
                  <c:v>44625</c:v>
                </c:pt>
                <c:pt idx="774">
                  <c:v>44626</c:v>
                </c:pt>
                <c:pt idx="775">
                  <c:v>44627</c:v>
                </c:pt>
                <c:pt idx="776">
                  <c:v>44628</c:v>
                </c:pt>
                <c:pt idx="777">
                  <c:v>44629</c:v>
                </c:pt>
                <c:pt idx="778">
                  <c:v>44630</c:v>
                </c:pt>
                <c:pt idx="779">
                  <c:v>44631</c:v>
                </c:pt>
                <c:pt idx="780">
                  <c:v>44632</c:v>
                </c:pt>
                <c:pt idx="781">
                  <c:v>44633</c:v>
                </c:pt>
                <c:pt idx="782">
                  <c:v>44634</c:v>
                </c:pt>
                <c:pt idx="783">
                  <c:v>44635</c:v>
                </c:pt>
                <c:pt idx="784">
                  <c:v>44636</c:v>
                </c:pt>
                <c:pt idx="785">
                  <c:v>44637</c:v>
                </c:pt>
                <c:pt idx="786">
                  <c:v>44638</c:v>
                </c:pt>
                <c:pt idx="787">
                  <c:v>44639</c:v>
                </c:pt>
                <c:pt idx="788">
                  <c:v>44640</c:v>
                </c:pt>
                <c:pt idx="789">
                  <c:v>44641</c:v>
                </c:pt>
                <c:pt idx="790">
                  <c:v>44642</c:v>
                </c:pt>
                <c:pt idx="791">
                  <c:v>44643</c:v>
                </c:pt>
                <c:pt idx="792">
                  <c:v>44644</c:v>
                </c:pt>
                <c:pt idx="793">
                  <c:v>44645</c:v>
                </c:pt>
                <c:pt idx="794">
                  <c:v>44646</c:v>
                </c:pt>
                <c:pt idx="795">
                  <c:v>44647</c:v>
                </c:pt>
                <c:pt idx="796">
                  <c:v>44648</c:v>
                </c:pt>
                <c:pt idx="797">
                  <c:v>44649</c:v>
                </c:pt>
                <c:pt idx="798">
                  <c:v>44650</c:v>
                </c:pt>
                <c:pt idx="799">
                  <c:v>44651</c:v>
                </c:pt>
                <c:pt idx="800">
                  <c:v>44652</c:v>
                </c:pt>
                <c:pt idx="801">
                  <c:v>44653</c:v>
                </c:pt>
                <c:pt idx="802">
                  <c:v>44654</c:v>
                </c:pt>
                <c:pt idx="803">
                  <c:v>44655</c:v>
                </c:pt>
                <c:pt idx="804">
                  <c:v>44656</c:v>
                </c:pt>
                <c:pt idx="805">
                  <c:v>44657</c:v>
                </c:pt>
                <c:pt idx="806">
                  <c:v>44658</c:v>
                </c:pt>
                <c:pt idx="807">
                  <c:v>44659</c:v>
                </c:pt>
                <c:pt idx="808">
                  <c:v>44660</c:v>
                </c:pt>
                <c:pt idx="809">
                  <c:v>44661</c:v>
                </c:pt>
                <c:pt idx="810">
                  <c:v>44662</c:v>
                </c:pt>
                <c:pt idx="811">
                  <c:v>44663</c:v>
                </c:pt>
                <c:pt idx="812">
                  <c:v>44664</c:v>
                </c:pt>
                <c:pt idx="813">
                  <c:v>44665</c:v>
                </c:pt>
                <c:pt idx="814">
                  <c:v>44666</c:v>
                </c:pt>
                <c:pt idx="815">
                  <c:v>44667</c:v>
                </c:pt>
                <c:pt idx="816">
                  <c:v>44668</c:v>
                </c:pt>
                <c:pt idx="817">
                  <c:v>44669</c:v>
                </c:pt>
                <c:pt idx="818">
                  <c:v>44670</c:v>
                </c:pt>
                <c:pt idx="819">
                  <c:v>44671</c:v>
                </c:pt>
                <c:pt idx="820">
                  <c:v>44672</c:v>
                </c:pt>
                <c:pt idx="821">
                  <c:v>44673</c:v>
                </c:pt>
                <c:pt idx="822">
                  <c:v>44674</c:v>
                </c:pt>
                <c:pt idx="823">
                  <c:v>44675</c:v>
                </c:pt>
                <c:pt idx="824">
                  <c:v>44676</c:v>
                </c:pt>
                <c:pt idx="825">
                  <c:v>44677</c:v>
                </c:pt>
                <c:pt idx="826">
                  <c:v>44678</c:v>
                </c:pt>
                <c:pt idx="827">
                  <c:v>44679</c:v>
                </c:pt>
                <c:pt idx="828">
                  <c:v>44680</c:v>
                </c:pt>
                <c:pt idx="829">
                  <c:v>44681</c:v>
                </c:pt>
                <c:pt idx="830">
                  <c:v>44682</c:v>
                </c:pt>
                <c:pt idx="831">
                  <c:v>44683</c:v>
                </c:pt>
                <c:pt idx="832">
                  <c:v>44684</c:v>
                </c:pt>
                <c:pt idx="833">
                  <c:v>44685</c:v>
                </c:pt>
                <c:pt idx="834">
                  <c:v>44686</c:v>
                </c:pt>
                <c:pt idx="835">
                  <c:v>44687</c:v>
                </c:pt>
                <c:pt idx="836">
                  <c:v>44688</c:v>
                </c:pt>
                <c:pt idx="837">
                  <c:v>44689</c:v>
                </c:pt>
                <c:pt idx="838">
                  <c:v>44690</c:v>
                </c:pt>
                <c:pt idx="839">
                  <c:v>44691</c:v>
                </c:pt>
                <c:pt idx="840">
                  <c:v>44692</c:v>
                </c:pt>
                <c:pt idx="841">
                  <c:v>44693</c:v>
                </c:pt>
                <c:pt idx="842">
                  <c:v>44694</c:v>
                </c:pt>
                <c:pt idx="843">
                  <c:v>44695</c:v>
                </c:pt>
                <c:pt idx="844">
                  <c:v>44696</c:v>
                </c:pt>
                <c:pt idx="845">
                  <c:v>44697</c:v>
                </c:pt>
                <c:pt idx="846">
                  <c:v>44698</c:v>
                </c:pt>
                <c:pt idx="847">
                  <c:v>44699</c:v>
                </c:pt>
                <c:pt idx="848">
                  <c:v>44700</c:v>
                </c:pt>
                <c:pt idx="849">
                  <c:v>44701</c:v>
                </c:pt>
                <c:pt idx="850">
                  <c:v>44702</c:v>
                </c:pt>
                <c:pt idx="851">
                  <c:v>44703</c:v>
                </c:pt>
                <c:pt idx="852">
                  <c:v>44704</c:v>
                </c:pt>
                <c:pt idx="853">
                  <c:v>44705</c:v>
                </c:pt>
                <c:pt idx="854">
                  <c:v>44706</c:v>
                </c:pt>
                <c:pt idx="855">
                  <c:v>44707</c:v>
                </c:pt>
                <c:pt idx="856">
                  <c:v>44708</c:v>
                </c:pt>
                <c:pt idx="857">
                  <c:v>44709</c:v>
                </c:pt>
                <c:pt idx="858">
                  <c:v>44710</c:v>
                </c:pt>
                <c:pt idx="859">
                  <c:v>44711</c:v>
                </c:pt>
                <c:pt idx="860">
                  <c:v>44712</c:v>
                </c:pt>
                <c:pt idx="861">
                  <c:v>44713</c:v>
                </c:pt>
                <c:pt idx="862">
                  <c:v>44714</c:v>
                </c:pt>
                <c:pt idx="863">
                  <c:v>44715</c:v>
                </c:pt>
                <c:pt idx="864">
                  <c:v>44716</c:v>
                </c:pt>
                <c:pt idx="865">
                  <c:v>44717</c:v>
                </c:pt>
                <c:pt idx="866">
                  <c:v>44718</c:v>
                </c:pt>
                <c:pt idx="867">
                  <c:v>44719</c:v>
                </c:pt>
                <c:pt idx="868">
                  <c:v>44720</c:v>
                </c:pt>
                <c:pt idx="869">
                  <c:v>44721</c:v>
                </c:pt>
                <c:pt idx="870">
                  <c:v>44722</c:v>
                </c:pt>
                <c:pt idx="871">
                  <c:v>44723</c:v>
                </c:pt>
                <c:pt idx="872">
                  <c:v>44724</c:v>
                </c:pt>
                <c:pt idx="873">
                  <c:v>44725</c:v>
                </c:pt>
                <c:pt idx="874">
                  <c:v>44726</c:v>
                </c:pt>
                <c:pt idx="875">
                  <c:v>44727</c:v>
                </c:pt>
                <c:pt idx="876">
                  <c:v>44728</c:v>
                </c:pt>
                <c:pt idx="877">
                  <c:v>44729</c:v>
                </c:pt>
                <c:pt idx="878">
                  <c:v>44730</c:v>
                </c:pt>
                <c:pt idx="879">
                  <c:v>44731</c:v>
                </c:pt>
                <c:pt idx="880">
                  <c:v>44732</c:v>
                </c:pt>
                <c:pt idx="881">
                  <c:v>44733</c:v>
                </c:pt>
                <c:pt idx="882">
                  <c:v>44734</c:v>
                </c:pt>
                <c:pt idx="883">
                  <c:v>44735</c:v>
                </c:pt>
                <c:pt idx="884">
                  <c:v>44736</c:v>
                </c:pt>
                <c:pt idx="885">
                  <c:v>44737</c:v>
                </c:pt>
                <c:pt idx="886">
                  <c:v>44738</c:v>
                </c:pt>
                <c:pt idx="887">
                  <c:v>44739</c:v>
                </c:pt>
                <c:pt idx="888">
                  <c:v>44740</c:v>
                </c:pt>
                <c:pt idx="889">
                  <c:v>44741</c:v>
                </c:pt>
                <c:pt idx="890">
                  <c:v>44742</c:v>
                </c:pt>
                <c:pt idx="891">
                  <c:v>44743</c:v>
                </c:pt>
                <c:pt idx="892">
                  <c:v>44744</c:v>
                </c:pt>
                <c:pt idx="893">
                  <c:v>44745</c:v>
                </c:pt>
                <c:pt idx="894">
                  <c:v>44746</c:v>
                </c:pt>
                <c:pt idx="895">
                  <c:v>44747</c:v>
                </c:pt>
                <c:pt idx="896">
                  <c:v>44748</c:v>
                </c:pt>
                <c:pt idx="897">
                  <c:v>44749</c:v>
                </c:pt>
                <c:pt idx="898">
                  <c:v>44750</c:v>
                </c:pt>
                <c:pt idx="899">
                  <c:v>44751</c:v>
                </c:pt>
                <c:pt idx="900">
                  <c:v>44752</c:v>
                </c:pt>
                <c:pt idx="901">
                  <c:v>44753</c:v>
                </c:pt>
                <c:pt idx="902">
                  <c:v>44754</c:v>
                </c:pt>
                <c:pt idx="903">
                  <c:v>44755</c:v>
                </c:pt>
                <c:pt idx="904">
                  <c:v>44756</c:v>
                </c:pt>
                <c:pt idx="905">
                  <c:v>44757</c:v>
                </c:pt>
                <c:pt idx="906">
                  <c:v>44758</c:v>
                </c:pt>
                <c:pt idx="907">
                  <c:v>44759</c:v>
                </c:pt>
                <c:pt idx="908">
                  <c:v>44760</c:v>
                </c:pt>
                <c:pt idx="909">
                  <c:v>44761</c:v>
                </c:pt>
                <c:pt idx="910">
                  <c:v>44762</c:v>
                </c:pt>
                <c:pt idx="911">
                  <c:v>44763</c:v>
                </c:pt>
                <c:pt idx="912">
                  <c:v>44764</c:v>
                </c:pt>
                <c:pt idx="913">
                  <c:v>44765</c:v>
                </c:pt>
                <c:pt idx="914">
                  <c:v>44766</c:v>
                </c:pt>
                <c:pt idx="915">
                  <c:v>44767</c:v>
                </c:pt>
                <c:pt idx="916">
                  <c:v>44768</c:v>
                </c:pt>
                <c:pt idx="917">
                  <c:v>44769</c:v>
                </c:pt>
                <c:pt idx="918">
                  <c:v>44770</c:v>
                </c:pt>
                <c:pt idx="919">
                  <c:v>44771</c:v>
                </c:pt>
                <c:pt idx="920">
                  <c:v>44772</c:v>
                </c:pt>
                <c:pt idx="921">
                  <c:v>44773</c:v>
                </c:pt>
                <c:pt idx="922">
                  <c:v>44774</c:v>
                </c:pt>
                <c:pt idx="923">
                  <c:v>44775</c:v>
                </c:pt>
                <c:pt idx="924">
                  <c:v>44776</c:v>
                </c:pt>
                <c:pt idx="925">
                  <c:v>44777</c:v>
                </c:pt>
                <c:pt idx="926">
                  <c:v>44778</c:v>
                </c:pt>
                <c:pt idx="927">
                  <c:v>44779</c:v>
                </c:pt>
                <c:pt idx="928">
                  <c:v>44780</c:v>
                </c:pt>
                <c:pt idx="929">
                  <c:v>44781</c:v>
                </c:pt>
                <c:pt idx="930">
                  <c:v>44782</c:v>
                </c:pt>
                <c:pt idx="931">
                  <c:v>44783</c:v>
                </c:pt>
                <c:pt idx="932">
                  <c:v>44784</c:v>
                </c:pt>
                <c:pt idx="933">
                  <c:v>44785</c:v>
                </c:pt>
                <c:pt idx="934">
                  <c:v>44786</c:v>
                </c:pt>
                <c:pt idx="935">
                  <c:v>44787</c:v>
                </c:pt>
                <c:pt idx="936">
                  <c:v>44788</c:v>
                </c:pt>
                <c:pt idx="937">
                  <c:v>44789</c:v>
                </c:pt>
                <c:pt idx="938">
                  <c:v>44790</c:v>
                </c:pt>
                <c:pt idx="939">
                  <c:v>44791</c:v>
                </c:pt>
                <c:pt idx="940">
                  <c:v>44792</c:v>
                </c:pt>
                <c:pt idx="941">
                  <c:v>44793</c:v>
                </c:pt>
                <c:pt idx="942">
                  <c:v>44794</c:v>
                </c:pt>
                <c:pt idx="943">
                  <c:v>44795</c:v>
                </c:pt>
                <c:pt idx="944">
                  <c:v>44796</c:v>
                </c:pt>
                <c:pt idx="945">
                  <c:v>44797</c:v>
                </c:pt>
                <c:pt idx="946">
                  <c:v>44798</c:v>
                </c:pt>
                <c:pt idx="947">
                  <c:v>44799</c:v>
                </c:pt>
                <c:pt idx="948">
                  <c:v>44800</c:v>
                </c:pt>
                <c:pt idx="949">
                  <c:v>44801</c:v>
                </c:pt>
                <c:pt idx="950">
                  <c:v>44802</c:v>
                </c:pt>
                <c:pt idx="951">
                  <c:v>44803</c:v>
                </c:pt>
                <c:pt idx="952">
                  <c:v>44804</c:v>
                </c:pt>
                <c:pt idx="953">
                  <c:v>44805</c:v>
                </c:pt>
                <c:pt idx="954">
                  <c:v>44806</c:v>
                </c:pt>
                <c:pt idx="955">
                  <c:v>44807</c:v>
                </c:pt>
                <c:pt idx="956">
                  <c:v>44808</c:v>
                </c:pt>
                <c:pt idx="957">
                  <c:v>44809</c:v>
                </c:pt>
                <c:pt idx="958">
                  <c:v>44810</c:v>
                </c:pt>
                <c:pt idx="959">
                  <c:v>44811</c:v>
                </c:pt>
                <c:pt idx="960">
                  <c:v>44812</c:v>
                </c:pt>
                <c:pt idx="961">
                  <c:v>44813</c:v>
                </c:pt>
                <c:pt idx="962">
                  <c:v>44814</c:v>
                </c:pt>
                <c:pt idx="963">
                  <c:v>44815</c:v>
                </c:pt>
                <c:pt idx="964">
                  <c:v>44816</c:v>
                </c:pt>
                <c:pt idx="965">
                  <c:v>44817</c:v>
                </c:pt>
                <c:pt idx="966">
                  <c:v>44818</c:v>
                </c:pt>
                <c:pt idx="967">
                  <c:v>44819</c:v>
                </c:pt>
                <c:pt idx="968">
                  <c:v>44820</c:v>
                </c:pt>
                <c:pt idx="969">
                  <c:v>44821</c:v>
                </c:pt>
                <c:pt idx="970">
                  <c:v>44822</c:v>
                </c:pt>
                <c:pt idx="971">
                  <c:v>44823</c:v>
                </c:pt>
                <c:pt idx="972">
                  <c:v>44824</c:v>
                </c:pt>
                <c:pt idx="973">
                  <c:v>44825</c:v>
                </c:pt>
                <c:pt idx="974">
                  <c:v>44826</c:v>
                </c:pt>
                <c:pt idx="975">
                  <c:v>44827</c:v>
                </c:pt>
                <c:pt idx="976">
                  <c:v>44828</c:v>
                </c:pt>
                <c:pt idx="977">
                  <c:v>44829</c:v>
                </c:pt>
                <c:pt idx="978">
                  <c:v>44830</c:v>
                </c:pt>
                <c:pt idx="979">
                  <c:v>44831</c:v>
                </c:pt>
                <c:pt idx="980">
                  <c:v>44832</c:v>
                </c:pt>
                <c:pt idx="981">
                  <c:v>44833</c:v>
                </c:pt>
                <c:pt idx="982">
                  <c:v>44834</c:v>
                </c:pt>
                <c:pt idx="983">
                  <c:v>44835</c:v>
                </c:pt>
                <c:pt idx="984">
                  <c:v>44836</c:v>
                </c:pt>
                <c:pt idx="985">
                  <c:v>44837</c:v>
                </c:pt>
                <c:pt idx="986">
                  <c:v>44838</c:v>
                </c:pt>
                <c:pt idx="987">
                  <c:v>#N/A</c:v>
                </c:pt>
                <c:pt idx="988">
                  <c:v>#N/A</c:v>
                </c:pt>
                <c:pt idx="989">
                  <c:v>#N/A</c:v>
                </c:pt>
                <c:pt idx="990">
                  <c:v>#N/A</c:v>
                </c:pt>
                <c:pt idx="991">
                  <c:v>#N/A</c:v>
                </c:pt>
                <c:pt idx="992">
                  <c:v>#N/A</c:v>
                </c:pt>
                <c:pt idx="993">
                  <c:v>#N/A</c:v>
                </c:pt>
                <c:pt idx="994">
                  <c:v>#N/A</c:v>
                </c:pt>
              </c:numCache>
            </c:numRef>
          </c:cat>
          <c:val>
            <c:numRef>
              <c:f>'COVID-19 cases - data'!$E$22:$ALG$22</c:f>
              <c:numCache>
                <c:formatCode>General</c:formatCode>
                <c:ptCount val="991"/>
                <c:pt idx="4">
                  <c:v>801.71428571428635</c:v>
                </c:pt>
                <c:pt idx="5">
                  <c:v>1082.8571428571399</c:v>
                </c:pt>
                <c:pt idx="6">
                  <c:v>1283.2857142857158</c:v>
                </c:pt>
                <c:pt idx="7">
                  <c:v>1514.4285714285716</c:v>
                </c:pt>
                <c:pt idx="8">
                  <c:v>2095.2857142857115</c:v>
                </c:pt>
                <c:pt idx="9">
                  <c:v>2422.571428571433</c:v>
                </c:pt>
                <c:pt idx="10">
                  <c:v>2617.0000000000014</c:v>
                </c:pt>
                <c:pt idx="11">
                  <c:v>3067.8571428571458</c:v>
                </c:pt>
                <c:pt idx="12">
                  <c:v>3224.1428571428532</c:v>
                </c:pt>
                <c:pt idx="13">
                  <c:v>3496.1428571428532</c:v>
                </c:pt>
                <c:pt idx="14">
                  <c:v>3584.714285714289</c:v>
                </c:pt>
                <c:pt idx="15">
                  <c:v>3339.2857142857106</c:v>
                </c:pt>
                <c:pt idx="16">
                  <c:v>3269.1428571428528</c:v>
                </c:pt>
                <c:pt idx="17">
                  <c:v>2987.857142857144</c:v>
                </c:pt>
                <c:pt idx="18">
                  <c:v>2512.571428571433</c:v>
                </c:pt>
                <c:pt idx="19">
                  <c:v>4225.4285714285697</c:v>
                </c:pt>
                <c:pt idx="20">
                  <c:v>4644.5714285714266</c:v>
                </c:pt>
                <c:pt idx="21">
                  <c:v>4560.5714285714248</c:v>
                </c:pt>
                <c:pt idx="22">
                  <c:v>4439.4285714285688</c:v>
                </c:pt>
                <c:pt idx="23">
                  <c:v>4357.4285714285697</c:v>
                </c:pt>
                <c:pt idx="24">
                  <c:v>4334.4285714285716</c:v>
                </c:pt>
                <c:pt idx="25">
                  <c:v>4346.1428571428542</c:v>
                </c:pt>
                <c:pt idx="26">
                  <c:v>2261.7142857142853</c:v>
                </c:pt>
                <c:pt idx="27">
                  <c:v>1419.1428571428585</c:v>
                </c:pt>
                <c:pt idx="28">
                  <c:v>1364.7142857142901</c:v>
                </c:pt>
                <c:pt idx="29">
                  <c:v>1107.4285714285757</c:v>
                </c:pt>
                <c:pt idx="30">
                  <c:v>897.85714285714255</c:v>
                </c:pt>
                <c:pt idx="31">
                  <c:v>751.00000000000045</c:v>
                </c:pt>
                <c:pt idx="32">
                  <c:v>818.42857142857144</c:v>
                </c:pt>
                <c:pt idx="33">
                  <c:v>930.28571428571433</c:v>
                </c:pt>
                <c:pt idx="34">
                  <c:v>1043.7142857142858</c:v>
                </c:pt>
                <c:pt idx="35">
                  <c:v>1059.285714285714</c:v>
                </c:pt>
                <c:pt idx="36">
                  <c:v>1344.5714285714296</c:v>
                </c:pt>
                <c:pt idx="37">
                  <c:v>1546.2857142857135</c:v>
                </c:pt>
                <c:pt idx="38">
                  <c:v>1797.4285714285722</c:v>
                </c:pt>
                <c:pt idx="39">
                  <c:v>1990.2857142857151</c:v>
                </c:pt>
                <c:pt idx="40">
                  <c:v>2185.5714285714294</c:v>
                </c:pt>
                <c:pt idx="41">
                  <c:v>2543.571428571428</c:v>
                </c:pt>
                <c:pt idx="42">
                  <c:v>2866.428571428577</c:v>
                </c:pt>
                <c:pt idx="43">
                  <c:v>3077.1428571428614</c:v>
                </c:pt>
                <c:pt idx="44">
                  <c:v>3411.8571428571413</c:v>
                </c:pt>
                <c:pt idx="45">
                  <c:v>3722.4285714285725</c:v>
                </c:pt>
                <c:pt idx="46">
                  <c:v>4458.714285714289</c:v>
                </c:pt>
                <c:pt idx="47">
                  <c:v>5036.571428571433</c:v>
                </c:pt>
                <c:pt idx="48">
                  <c:v>6359.9999999999936</c:v>
                </c:pt>
                <c:pt idx="49">
                  <c:v>7325.2857142857138</c:v>
                </c:pt>
                <c:pt idx="50">
                  <c:v>8379.4285714285779</c:v>
                </c:pt>
                <c:pt idx="51">
                  <c:v>9842.8571428571431</c:v>
                </c:pt>
                <c:pt idx="52">
                  <c:v>11326.857142857145</c:v>
                </c:pt>
                <c:pt idx="53">
                  <c:v>12767.571428571424</c:v>
                </c:pt>
                <c:pt idx="54">
                  <c:v>15672.000000000029</c:v>
                </c:pt>
                <c:pt idx="55">
                  <c:v>18005.714285714297</c:v>
                </c:pt>
                <c:pt idx="56">
                  <c:v>21082.714285714253</c:v>
                </c:pt>
                <c:pt idx="57">
                  <c:v>24365.428571428525</c:v>
                </c:pt>
                <c:pt idx="58">
                  <c:v>28363.714285714297</c:v>
                </c:pt>
                <c:pt idx="59">
                  <c:v>32179.285714285677</c:v>
                </c:pt>
                <c:pt idx="60">
                  <c:v>37024.999999999956</c:v>
                </c:pt>
                <c:pt idx="61">
                  <c:v>41843.142857142826</c:v>
                </c:pt>
                <c:pt idx="62">
                  <c:v>46757.571428571428</c:v>
                </c:pt>
                <c:pt idx="63">
                  <c:v>52065.428571428551</c:v>
                </c:pt>
                <c:pt idx="64">
                  <c:v>55251.71428571429</c:v>
                </c:pt>
                <c:pt idx="65">
                  <c:v>58459.714285714232</c:v>
                </c:pt>
                <c:pt idx="66">
                  <c:v>63682.428571428602</c:v>
                </c:pt>
                <c:pt idx="67">
                  <c:v>68664.000000000044</c:v>
                </c:pt>
                <c:pt idx="68">
                  <c:v>71754.000000000015</c:v>
                </c:pt>
                <c:pt idx="69">
                  <c:v>74650.714285714217</c:v>
                </c:pt>
                <c:pt idx="70">
                  <c:v>73300.85714285713</c:v>
                </c:pt>
                <c:pt idx="71">
                  <c:v>75472.000000000044</c:v>
                </c:pt>
                <c:pt idx="72">
                  <c:v>76859.857142857189</c:v>
                </c:pt>
                <c:pt idx="73">
                  <c:v>75502.714285714304</c:v>
                </c:pt>
                <c:pt idx="74">
                  <c:v>74906.28571428571</c:v>
                </c:pt>
                <c:pt idx="75">
                  <c:v>75583.428571428638</c:v>
                </c:pt>
                <c:pt idx="76">
                  <c:v>75900.999999999956</c:v>
                </c:pt>
                <c:pt idx="77">
                  <c:v>78097.71428571429</c:v>
                </c:pt>
                <c:pt idx="78">
                  <c:v>84792.999999999971</c:v>
                </c:pt>
                <c:pt idx="79">
                  <c:v>84380.285714285725</c:v>
                </c:pt>
                <c:pt idx="80">
                  <c:v>86619.714285714334</c:v>
                </c:pt>
                <c:pt idx="81">
                  <c:v>86061.428571428565</c:v>
                </c:pt>
                <c:pt idx="82">
                  <c:v>87100.714285714304</c:v>
                </c:pt>
                <c:pt idx="83">
                  <c:v>87306.571428571449</c:v>
                </c:pt>
                <c:pt idx="84">
                  <c:v>87694.857142857116</c:v>
                </c:pt>
                <c:pt idx="85">
                  <c:v>81658.428571428551</c:v>
                </c:pt>
                <c:pt idx="86">
                  <c:v>82323.428571428565</c:v>
                </c:pt>
                <c:pt idx="87">
                  <c:v>81103.857142857072</c:v>
                </c:pt>
                <c:pt idx="88">
                  <c:v>81639.285714285725</c:v>
                </c:pt>
                <c:pt idx="89">
                  <c:v>79957.857142857145</c:v>
                </c:pt>
                <c:pt idx="90">
                  <c:v>79343.285714285725</c:v>
                </c:pt>
                <c:pt idx="91">
                  <c:v>80049.28571428571</c:v>
                </c:pt>
                <c:pt idx="92">
                  <c:v>79254.571428571435</c:v>
                </c:pt>
                <c:pt idx="93">
                  <c:v>78474.285714285608</c:v>
                </c:pt>
                <c:pt idx="94">
                  <c:v>78427.714285714261</c:v>
                </c:pt>
                <c:pt idx="95">
                  <c:v>77756.428571428536</c:v>
                </c:pt>
                <c:pt idx="96">
                  <c:v>77902.142857142797</c:v>
                </c:pt>
                <c:pt idx="97">
                  <c:v>78674.142857142811</c:v>
                </c:pt>
                <c:pt idx="98">
                  <c:v>77967.428571428551</c:v>
                </c:pt>
                <c:pt idx="99">
                  <c:v>78434.285714285768</c:v>
                </c:pt>
                <c:pt idx="100">
                  <c:v>79373.571428571391</c:v>
                </c:pt>
                <c:pt idx="101">
                  <c:v>79930.85714285713</c:v>
                </c:pt>
                <c:pt idx="102">
                  <c:v>81805.714285714246</c:v>
                </c:pt>
                <c:pt idx="103">
                  <c:v>82497.857142857101</c:v>
                </c:pt>
                <c:pt idx="104">
                  <c:v>82703.428571428536</c:v>
                </c:pt>
                <c:pt idx="105">
                  <c:v>83563.142857142855</c:v>
                </c:pt>
                <c:pt idx="106">
                  <c:v>83731.999999999971</c:v>
                </c:pt>
                <c:pt idx="107">
                  <c:v>83527.999999999971</c:v>
                </c:pt>
                <c:pt idx="108">
                  <c:v>84346.571428571478</c:v>
                </c:pt>
                <c:pt idx="109">
                  <c:v>83485.57142857142</c:v>
                </c:pt>
                <c:pt idx="110">
                  <c:v>84498.428571428565</c:v>
                </c:pt>
                <c:pt idx="111">
                  <c:v>85343.857142857189</c:v>
                </c:pt>
                <c:pt idx="112">
                  <c:v>86724.714285714246</c:v>
                </c:pt>
                <c:pt idx="113">
                  <c:v>87172.571428571391</c:v>
                </c:pt>
                <c:pt idx="114">
                  <c:v>89024.428571428551</c:v>
                </c:pt>
                <c:pt idx="115">
                  <c:v>90484.857142857189</c:v>
                </c:pt>
                <c:pt idx="116">
                  <c:v>93485.857142857145</c:v>
                </c:pt>
                <c:pt idx="117">
                  <c:v>94958.85714285713</c:v>
                </c:pt>
                <c:pt idx="118">
                  <c:v>96519.000000000058</c:v>
                </c:pt>
                <c:pt idx="119">
                  <c:v>97976.14285714287</c:v>
                </c:pt>
                <c:pt idx="120">
                  <c:v>100098.85714285723</c:v>
                </c:pt>
                <c:pt idx="121">
                  <c:v>99966.142857142782</c:v>
                </c:pt>
                <c:pt idx="122">
                  <c:v>99501.714285714377</c:v>
                </c:pt>
                <c:pt idx="123">
                  <c:v>99092.142857142841</c:v>
                </c:pt>
                <c:pt idx="124">
                  <c:v>101097.42857142855</c:v>
                </c:pt>
                <c:pt idx="125">
                  <c:v>103129.14285714288</c:v>
                </c:pt>
                <c:pt idx="126">
                  <c:v>107548.71428571426</c:v>
                </c:pt>
                <c:pt idx="127">
                  <c:v>108927.71428571426</c:v>
                </c:pt>
                <c:pt idx="128">
                  <c:v>110652.57142857139</c:v>
                </c:pt>
                <c:pt idx="129">
                  <c:v>114993.57142857136</c:v>
                </c:pt>
                <c:pt idx="130">
                  <c:v>116236.1428571429</c:v>
                </c:pt>
                <c:pt idx="131">
                  <c:v>118855.28571428574</c:v>
                </c:pt>
                <c:pt idx="132">
                  <c:v>120582.14285714287</c:v>
                </c:pt>
                <c:pt idx="133">
                  <c:v>119766.28571428571</c:v>
                </c:pt>
                <c:pt idx="134">
                  <c:v>120930.5714285713</c:v>
                </c:pt>
                <c:pt idx="135">
                  <c:v>121326</c:v>
                </c:pt>
                <c:pt idx="136">
                  <c:v>121791.42857142852</c:v>
                </c:pt>
                <c:pt idx="137">
                  <c:v>125497.28571428559</c:v>
                </c:pt>
                <c:pt idx="138">
                  <c:v>125192.42857142849</c:v>
                </c:pt>
                <c:pt idx="139">
                  <c:v>124324.71428571432</c:v>
                </c:pt>
                <c:pt idx="140">
                  <c:v>124978.42857142858</c:v>
                </c:pt>
                <c:pt idx="141">
                  <c:v>127968.99999999991</c:v>
                </c:pt>
                <c:pt idx="142">
                  <c:v>131095.42857142855</c:v>
                </c:pt>
                <c:pt idx="143">
                  <c:v>133653.00000000012</c:v>
                </c:pt>
                <c:pt idx="144">
                  <c:v>134511.71428571426</c:v>
                </c:pt>
                <c:pt idx="145">
                  <c:v>135505.14285714278</c:v>
                </c:pt>
                <c:pt idx="146">
                  <c:v>143148.57142857165</c:v>
                </c:pt>
                <c:pt idx="147">
                  <c:v>150571.71428571435</c:v>
                </c:pt>
                <c:pt idx="148">
                  <c:v>145014.71428571426</c:v>
                </c:pt>
                <c:pt idx="149">
                  <c:v>147501.42857142858</c:v>
                </c:pt>
                <c:pt idx="150">
                  <c:v>150968.8571428571</c:v>
                </c:pt>
                <c:pt idx="151">
                  <c:v>155008.00000000023</c:v>
                </c:pt>
                <c:pt idx="152">
                  <c:v>160204.14285714299</c:v>
                </c:pt>
                <c:pt idx="153">
                  <c:v>161847.57142857148</c:v>
                </c:pt>
                <c:pt idx="154">
                  <c:v>160497.85714285725</c:v>
                </c:pt>
                <c:pt idx="155">
                  <c:v>171271.14285714287</c:v>
                </c:pt>
                <c:pt idx="156">
                  <c:v>172753.57142857136</c:v>
                </c:pt>
                <c:pt idx="157">
                  <c:v>174978.71428571426</c:v>
                </c:pt>
                <c:pt idx="158">
                  <c:v>181216.57142857133</c:v>
                </c:pt>
                <c:pt idx="159">
                  <c:v>184856.71428571426</c:v>
                </c:pt>
                <c:pt idx="160">
                  <c:v>186309.28571428554</c:v>
                </c:pt>
                <c:pt idx="161">
                  <c:v>188211.42857142881</c:v>
                </c:pt>
                <c:pt idx="162">
                  <c:v>190757.28571428574</c:v>
                </c:pt>
                <c:pt idx="163">
                  <c:v>192975.71428571429</c:v>
                </c:pt>
                <c:pt idx="164">
                  <c:v>196672.42857142867</c:v>
                </c:pt>
                <c:pt idx="165">
                  <c:v>196689.71428571432</c:v>
                </c:pt>
                <c:pt idx="166">
                  <c:v>199487.8571428571</c:v>
                </c:pt>
                <c:pt idx="167">
                  <c:v>203840.14285714296</c:v>
                </c:pt>
                <c:pt idx="168">
                  <c:v>207144.14285714284</c:v>
                </c:pt>
                <c:pt idx="169">
                  <c:v>208099.71428571426</c:v>
                </c:pt>
                <c:pt idx="170">
                  <c:v>211855.28571428556</c:v>
                </c:pt>
                <c:pt idx="171">
                  <c:v>213488.42857142855</c:v>
                </c:pt>
                <c:pt idx="172">
                  <c:v>215576.28571428577</c:v>
                </c:pt>
                <c:pt idx="173">
                  <c:v>218485.71428571438</c:v>
                </c:pt>
                <c:pt idx="174">
                  <c:v>219087.42857142858</c:v>
                </c:pt>
                <c:pt idx="175">
                  <c:v>222293.57142857151</c:v>
                </c:pt>
                <c:pt idx="176">
                  <c:v>224995.57142857148</c:v>
                </c:pt>
                <c:pt idx="177">
                  <c:v>226945.28571428571</c:v>
                </c:pt>
                <c:pt idx="178">
                  <c:v>230085.71428571432</c:v>
                </c:pt>
                <c:pt idx="179">
                  <c:v>236584.8571428571</c:v>
                </c:pt>
                <c:pt idx="180">
                  <c:v>241546.42857142858</c:v>
                </c:pt>
                <c:pt idx="181">
                  <c:v>248152.57142857154</c:v>
                </c:pt>
                <c:pt idx="182">
                  <c:v>250184.85714285722</c:v>
                </c:pt>
                <c:pt idx="183">
                  <c:v>250174.8571428571</c:v>
                </c:pt>
                <c:pt idx="184">
                  <c:v>253924.4285714287</c:v>
                </c:pt>
                <c:pt idx="185">
                  <c:v>256899.1428571429</c:v>
                </c:pt>
                <c:pt idx="186">
                  <c:v>256172.57142857142</c:v>
                </c:pt>
                <c:pt idx="187">
                  <c:v>256471.85714285722</c:v>
                </c:pt>
                <c:pt idx="188">
                  <c:v>257043.1428571429</c:v>
                </c:pt>
                <c:pt idx="189">
                  <c:v>256574.85714285722</c:v>
                </c:pt>
                <c:pt idx="190">
                  <c:v>259262.85714285725</c:v>
                </c:pt>
                <c:pt idx="191">
                  <c:v>255217.85714285716</c:v>
                </c:pt>
                <c:pt idx="192">
                  <c:v>255421.2857142858</c:v>
                </c:pt>
                <c:pt idx="193">
                  <c:v>256121.14285714284</c:v>
                </c:pt>
                <c:pt idx="194">
                  <c:v>256829.00000000003</c:v>
                </c:pt>
                <c:pt idx="195">
                  <c:v>256099</c:v>
                </c:pt>
                <c:pt idx="196">
                  <c:v>258801.85714285707</c:v>
                </c:pt>
                <c:pt idx="197">
                  <c:v>259134.42857142858</c:v>
                </c:pt>
                <c:pt idx="198">
                  <c:v>263008.28571428574</c:v>
                </c:pt>
                <c:pt idx="199">
                  <c:v>263042.57142857159</c:v>
                </c:pt>
                <c:pt idx="200">
                  <c:v>263028.71428571438</c:v>
                </c:pt>
                <c:pt idx="201">
                  <c:v>263510.85714285716</c:v>
                </c:pt>
                <c:pt idx="202">
                  <c:v>267027.42857142864</c:v>
                </c:pt>
                <c:pt idx="203">
                  <c:v>264720.1428571429</c:v>
                </c:pt>
                <c:pt idx="204">
                  <c:v>261450.85714285722</c:v>
                </c:pt>
                <c:pt idx="205">
                  <c:v>258541.42857142864</c:v>
                </c:pt>
                <c:pt idx="206">
                  <c:v>257665.14285714284</c:v>
                </c:pt>
                <c:pt idx="207">
                  <c:v>258007.2857142858</c:v>
                </c:pt>
                <c:pt idx="208">
                  <c:v>255346.85714285716</c:v>
                </c:pt>
                <c:pt idx="209">
                  <c:v>248900.42857142852</c:v>
                </c:pt>
                <c:pt idx="210">
                  <c:v>250974.57142857148</c:v>
                </c:pt>
                <c:pt idx="211">
                  <c:v>249929.71428571426</c:v>
                </c:pt>
                <c:pt idx="212">
                  <c:v>252106.57142857148</c:v>
                </c:pt>
                <c:pt idx="213">
                  <c:v>250080.28571428574</c:v>
                </c:pt>
                <c:pt idx="214">
                  <c:v>250680.71428571438</c:v>
                </c:pt>
                <c:pt idx="215">
                  <c:v>252934.42857142873</c:v>
                </c:pt>
                <c:pt idx="216">
                  <c:v>256073.00000000012</c:v>
                </c:pt>
                <c:pt idx="217">
                  <c:v>255668.71428571432</c:v>
                </c:pt>
                <c:pt idx="218">
                  <c:v>258094.14285714284</c:v>
                </c:pt>
                <c:pt idx="219">
                  <c:v>263266.2857142858</c:v>
                </c:pt>
                <c:pt idx="220">
                  <c:v>266362.00000000006</c:v>
                </c:pt>
                <c:pt idx="221">
                  <c:v>266389.28571428568</c:v>
                </c:pt>
                <c:pt idx="222">
                  <c:v>266128.14285714284</c:v>
                </c:pt>
                <c:pt idx="223">
                  <c:v>268673.14285714284</c:v>
                </c:pt>
                <c:pt idx="224">
                  <c:v>270526.28571428574</c:v>
                </c:pt>
                <c:pt idx="225">
                  <c:v>271847.28571428574</c:v>
                </c:pt>
                <c:pt idx="226">
                  <c:v>265128.7142857142</c:v>
                </c:pt>
                <c:pt idx="227">
                  <c:v>262217.57142857154</c:v>
                </c:pt>
                <c:pt idx="228">
                  <c:v>262706.28571428562</c:v>
                </c:pt>
                <c:pt idx="229">
                  <c:v>265414.57142857107</c:v>
                </c:pt>
                <c:pt idx="230">
                  <c:v>267504.57142857148</c:v>
                </c:pt>
                <c:pt idx="231">
                  <c:v>269647.42857142846</c:v>
                </c:pt>
                <c:pt idx="232">
                  <c:v>272480.71428571397</c:v>
                </c:pt>
                <c:pt idx="233">
                  <c:v>279605.57142857113</c:v>
                </c:pt>
                <c:pt idx="234">
                  <c:v>284468.57142857165</c:v>
                </c:pt>
                <c:pt idx="235">
                  <c:v>287275.57142857183</c:v>
                </c:pt>
                <c:pt idx="236">
                  <c:v>288873.5714285713</c:v>
                </c:pt>
                <c:pt idx="237">
                  <c:v>290338.28571428591</c:v>
                </c:pt>
                <c:pt idx="238">
                  <c:v>290966.42857142852</c:v>
                </c:pt>
                <c:pt idx="239">
                  <c:v>291865.85714285745</c:v>
                </c:pt>
                <c:pt idx="240">
                  <c:v>290833.28571428615</c:v>
                </c:pt>
                <c:pt idx="241">
                  <c:v>291369.28571428527</c:v>
                </c:pt>
                <c:pt idx="242">
                  <c:v>292326.42857142829</c:v>
                </c:pt>
                <c:pt idx="243">
                  <c:v>293089.85714285716</c:v>
                </c:pt>
                <c:pt idx="244">
                  <c:v>293572.14285714278</c:v>
                </c:pt>
                <c:pt idx="245">
                  <c:v>292511.71428571444</c:v>
                </c:pt>
                <c:pt idx="246">
                  <c:v>291350.42857142852</c:v>
                </c:pt>
                <c:pt idx="247">
                  <c:v>291752.85714285728</c:v>
                </c:pt>
                <c:pt idx="248">
                  <c:v>291538</c:v>
                </c:pt>
                <c:pt idx="249">
                  <c:v>293377.00000000023</c:v>
                </c:pt>
                <c:pt idx="250">
                  <c:v>293121.42857142858</c:v>
                </c:pt>
                <c:pt idx="251">
                  <c:v>293046.85714285728</c:v>
                </c:pt>
                <c:pt idx="252">
                  <c:v>294709.57142857136</c:v>
                </c:pt>
                <c:pt idx="253">
                  <c:v>296641.14285714278</c:v>
                </c:pt>
                <c:pt idx="254">
                  <c:v>303589.42857142875</c:v>
                </c:pt>
                <c:pt idx="255">
                  <c:v>308342.7142857142</c:v>
                </c:pt>
                <c:pt idx="256">
                  <c:v>311877.2857142858</c:v>
                </c:pt>
                <c:pt idx="257">
                  <c:v>317617.7142857142</c:v>
                </c:pt>
                <c:pt idx="258">
                  <c:v>322035.00000000006</c:v>
                </c:pt>
                <c:pt idx="259">
                  <c:v>330343.14285714243</c:v>
                </c:pt>
                <c:pt idx="260">
                  <c:v>334475.85714285745</c:v>
                </c:pt>
                <c:pt idx="261">
                  <c:v>331426.85714285669</c:v>
                </c:pt>
                <c:pt idx="262">
                  <c:v>331899.85714285669</c:v>
                </c:pt>
                <c:pt idx="263">
                  <c:v>336392.85714285669</c:v>
                </c:pt>
                <c:pt idx="264">
                  <c:v>343197.14285714325</c:v>
                </c:pt>
                <c:pt idx="265">
                  <c:v>350355.14285714336</c:v>
                </c:pt>
                <c:pt idx="266">
                  <c:v>352728.14285714261</c:v>
                </c:pt>
                <c:pt idx="267">
                  <c:v>358694.99999999971</c:v>
                </c:pt>
                <c:pt idx="268">
                  <c:v>370830.14285714255</c:v>
                </c:pt>
                <c:pt idx="269">
                  <c:v>380746.85714285687</c:v>
                </c:pt>
                <c:pt idx="270">
                  <c:v>389144.28571428586</c:v>
                </c:pt>
                <c:pt idx="271">
                  <c:v>399870.85714285669</c:v>
                </c:pt>
                <c:pt idx="272">
                  <c:v>411780.00000000041</c:v>
                </c:pt>
                <c:pt idx="273">
                  <c:v>423806.42857142887</c:v>
                </c:pt>
                <c:pt idx="274">
                  <c:v>427748.71428571473</c:v>
                </c:pt>
                <c:pt idx="275">
                  <c:v>443197.42857142852</c:v>
                </c:pt>
                <c:pt idx="276">
                  <c:v>454565.42857142852</c:v>
                </c:pt>
                <c:pt idx="277">
                  <c:v>466317.57142857177</c:v>
                </c:pt>
                <c:pt idx="278">
                  <c:v>476228.57142857142</c:v>
                </c:pt>
                <c:pt idx="279">
                  <c:v>487352.99999999994</c:v>
                </c:pt>
                <c:pt idx="280">
                  <c:v>489608.28571428551</c:v>
                </c:pt>
                <c:pt idx="281">
                  <c:v>501086.42857142841</c:v>
                </c:pt>
                <c:pt idx="282">
                  <c:v>510417.14285714319</c:v>
                </c:pt>
                <c:pt idx="283">
                  <c:v>524284.42857142846</c:v>
                </c:pt>
                <c:pt idx="284">
                  <c:v>520054.85714285728</c:v>
                </c:pt>
                <c:pt idx="285">
                  <c:v>529756.00000000012</c:v>
                </c:pt>
                <c:pt idx="286">
                  <c:v>537103.00000000058</c:v>
                </c:pt>
                <c:pt idx="287">
                  <c:v>555267.57142857148</c:v>
                </c:pt>
                <c:pt idx="288">
                  <c:v>562653.42857142771</c:v>
                </c:pt>
                <c:pt idx="289">
                  <c:v>557142.57142857125</c:v>
                </c:pt>
                <c:pt idx="290">
                  <c:v>557943.42857142875</c:v>
                </c:pt>
                <c:pt idx="291">
                  <c:v>576891.28571428533</c:v>
                </c:pt>
                <c:pt idx="292">
                  <c:v>579892.28571428556</c:v>
                </c:pt>
                <c:pt idx="293">
                  <c:v>585316.85714285751</c:v>
                </c:pt>
                <c:pt idx="294">
                  <c:v>583548.2857142865</c:v>
                </c:pt>
                <c:pt idx="295">
                  <c:v>583450.71428571455</c:v>
                </c:pt>
                <c:pt idx="296">
                  <c:v>585759.28571428591</c:v>
                </c:pt>
                <c:pt idx="297">
                  <c:v>590210.28571428545</c:v>
                </c:pt>
                <c:pt idx="298">
                  <c:v>589846</c:v>
                </c:pt>
                <c:pt idx="299">
                  <c:v>591780.14285714296</c:v>
                </c:pt>
                <c:pt idx="300">
                  <c:v>593649.57142857148</c:v>
                </c:pt>
                <c:pt idx="301">
                  <c:v>594437.42857142899</c:v>
                </c:pt>
                <c:pt idx="302">
                  <c:v>595568.57142857148</c:v>
                </c:pt>
                <c:pt idx="303">
                  <c:v>596756.57142857194</c:v>
                </c:pt>
                <c:pt idx="304">
                  <c:v>595107.00000000023</c:v>
                </c:pt>
                <c:pt idx="305">
                  <c:v>594377.14285714249</c:v>
                </c:pt>
                <c:pt idx="306">
                  <c:v>585128.57142857136</c:v>
                </c:pt>
                <c:pt idx="307">
                  <c:v>588122.57142857159</c:v>
                </c:pt>
                <c:pt idx="308">
                  <c:v>590256.2857142858</c:v>
                </c:pt>
                <c:pt idx="309">
                  <c:v>589884.42857142806</c:v>
                </c:pt>
                <c:pt idx="310">
                  <c:v>585957.57142857101</c:v>
                </c:pt>
                <c:pt idx="311">
                  <c:v>589402.71428571467</c:v>
                </c:pt>
                <c:pt idx="312">
                  <c:v>592715.42857142817</c:v>
                </c:pt>
                <c:pt idx="313">
                  <c:v>607212.14285714261</c:v>
                </c:pt>
                <c:pt idx="314">
                  <c:v>607387.0000000007</c:v>
                </c:pt>
                <c:pt idx="315">
                  <c:v>612370.57142857136</c:v>
                </c:pt>
                <c:pt idx="316">
                  <c:v>619294.85714285681</c:v>
                </c:pt>
                <c:pt idx="317">
                  <c:v>623339.99999999965</c:v>
                </c:pt>
                <c:pt idx="318">
                  <c:v>625603.4285714291</c:v>
                </c:pt>
                <c:pt idx="319">
                  <c:v>629194.71428571478</c:v>
                </c:pt>
                <c:pt idx="320">
                  <c:v>744158.00000000035</c:v>
                </c:pt>
                <c:pt idx="321">
                  <c:v>745504.42857142829</c:v>
                </c:pt>
                <c:pt idx="322">
                  <c:v>746407.42857142829</c:v>
                </c:pt>
                <c:pt idx="323">
                  <c:v>745675.00000000023</c:v>
                </c:pt>
                <c:pt idx="324">
                  <c:v>747973.85714285693</c:v>
                </c:pt>
                <c:pt idx="325">
                  <c:v>750547.57142857183</c:v>
                </c:pt>
                <c:pt idx="326">
                  <c:v>758003.42857142957</c:v>
                </c:pt>
                <c:pt idx="327">
                  <c:v>649900.57142857171</c:v>
                </c:pt>
                <c:pt idx="328">
                  <c:v>652147.71428571409</c:v>
                </c:pt>
                <c:pt idx="329">
                  <c:v>650270.7142857149</c:v>
                </c:pt>
                <c:pt idx="330">
                  <c:v>651490.57142857159</c:v>
                </c:pt>
                <c:pt idx="331">
                  <c:v>650795.57142857136</c:v>
                </c:pt>
                <c:pt idx="332">
                  <c:v>651197.85714285704</c:v>
                </c:pt>
                <c:pt idx="333">
                  <c:v>646125.99999999977</c:v>
                </c:pt>
                <c:pt idx="334">
                  <c:v>639655.42857142771</c:v>
                </c:pt>
                <c:pt idx="335">
                  <c:v>610657.00000000047</c:v>
                </c:pt>
                <c:pt idx="336">
                  <c:v>592343.57142857159</c:v>
                </c:pt>
                <c:pt idx="337">
                  <c:v>573190.99999999965</c:v>
                </c:pt>
                <c:pt idx="338">
                  <c:v>566478.57142857101</c:v>
                </c:pt>
                <c:pt idx="339">
                  <c:v>569377.14285714249</c:v>
                </c:pt>
                <c:pt idx="340">
                  <c:v>575555.71428571467</c:v>
                </c:pt>
                <c:pt idx="341">
                  <c:v>596468.14285714272</c:v>
                </c:pt>
                <c:pt idx="342">
                  <c:v>606142.57142857183</c:v>
                </c:pt>
                <c:pt idx="343">
                  <c:v>616733.00000000047</c:v>
                </c:pt>
                <c:pt idx="344">
                  <c:v>632026.57142857159</c:v>
                </c:pt>
                <c:pt idx="345">
                  <c:v>640351.28571428603</c:v>
                </c:pt>
                <c:pt idx="346">
                  <c:v>650232.57142857171</c:v>
                </c:pt>
                <c:pt idx="347">
                  <c:v>659609.28571428533</c:v>
                </c:pt>
                <c:pt idx="348">
                  <c:v>663927.57142857113</c:v>
                </c:pt>
                <c:pt idx="349">
                  <c:v>699535.0000000007</c:v>
                </c:pt>
                <c:pt idx="350">
                  <c:v>724525.99999999953</c:v>
                </c:pt>
                <c:pt idx="351">
                  <c:v>736109.00000000023</c:v>
                </c:pt>
                <c:pt idx="352">
                  <c:v>744258.42857142829</c:v>
                </c:pt>
                <c:pt idx="353">
                  <c:v>737340.99999999977</c:v>
                </c:pt>
                <c:pt idx="354">
                  <c:v>730525.00000000012</c:v>
                </c:pt>
                <c:pt idx="355">
                  <c:v>714699.5714285709</c:v>
                </c:pt>
                <c:pt idx="356">
                  <c:v>707299.14285714284</c:v>
                </c:pt>
                <c:pt idx="357">
                  <c:v>693110.57142857171</c:v>
                </c:pt>
                <c:pt idx="358">
                  <c:v>682563.14285714296</c:v>
                </c:pt>
                <c:pt idx="359">
                  <c:v>668646.71428571409</c:v>
                </c:pt>
                <c:pt idx="360">
                  <c:v>654403.57142857136</c:v>
                </c:pt>
                <c:pt idx="361">
                  <c:v>646389.00000000023</c:v>
                </c:pt>
                <c:pt idx="362">
                  <c:v>633493.28571428498</c:v>
                </c:pt>
                <c:pt idx="363">
                  <c:v>616313.42857142922</c:v>
                </c:pt>
                <c:pt idx="364">
                  <c:v>604848.71428571362</c:v>
                </c:pt>
                <c:pt idx="365">
                  <c:v>595474.85714285658</c:v>
                </c:pt>
                <c:pt idx="366">
                  <c:v>590375.71428571502</c:v>
                </c:pt>
                <c:pt idx="367">
                  <c:v>585882.7142857142</c:v>
                </c:pt>
                <c:pt idx="368">
                  <c:v>573565.99999999977</c:v>
                </c:pt>
                <c:pt idx="369">
                  <c:v>565891.00000000035</c:v>
                </c:pt>
                <c:pt idx="370">
                  <c:v>555248.42857142829</c:v>
                </c:pt>
                <c:pt idx="371">
                  <c:v>546417.71428571444</c:v>
                </c:pt>
                <c:pt idx="372">
                  <c:v>537077.42857142875</c:v>
                </c:pt>
                <c:pt idx="373">
                  <c:v>531572.14285714237</c:v>
                </c:pt>
                <c:pt idx="374">
                  <c:v>517891.85714285797</c:v>
                </c:pt>
                <c:pt idx="375">
                  <c:v>507083.71428571409</c:v>
                </c:pt>
                <c:pt idx="376">
                  <c:v>486602.42857142852</c:v>
                </c:pt>
                <c:pt idx="377">
                  <c:v>479105.71428571478</c:v>
                </c:pt>
                <c:pt idx="378">
                  <c:v>467724.1428571429</c:v>
                </c:pt>
                <c:pt idx="379">
                  <c:v>461288.00000000035</c:v>
                </c:pt>
                <c:pt idx="380">
                  <c:v>446557.85714285739</c:v>
                </c:pt>
                <c:pt idx="381">
                  <c:v>438225.42857142905</c:v>
                </c:pt>
                <c:pt idx="382">
                  <c:v>426102.14285714284</c:v>
                </c:pt>
                <c:pt idx="383">
                  <c:v>422101.42857142858</c:v>
                </c:pt>
                <c:pt idx="384">
                  <c:v>406826.99999999924</c:v>
                </c:pt>
                <c:pt idx="385">
                  <c:v>399015.57142857119</c:v>
                </c:pt>
                <c:pt idx="386">
                  <c:v>392888.85714285728</c:v>
                </c:pt>
                <c:pt idx="387">
                  <c:v>384448.57142857101</c:v>
                </c:pt>
                <c:pt idx="388">
                  <c:v>377668.71428571409</c:v>
                </c:pt>
                <c:pt idx="389">
                  <c:v>369939.57142857165</c:v>
                </c:pt>
                <c:pt idx="390">
                  <c:v>365227.14285714296</c:v>
                </c:pt>
                <c:pt idx="391">
                  <c:v>362380.00000000035</c:v>
                </c:pt>
                <c:pt idx="392">
                  <c:v>361613.85714285698</c:v>
                </c:pt>
                <c:pt idx="393">
                  <c:v>363176.71428571426</c:v>
                </c:pt>
                <c:pt idx="394">
                  <c:v>365277.00000000023</c:v>
                </c:pt>
                <c:pt idx="395">
                  <c:v>369986.14285714272</c:v>
                </c:pt>
                <c:pt idx="396">
                  <c:v>378355.99999999977</c:v>
                </c:pt>
                <c:pt idx="397">
                  <c:v>384381.14285714249</c:v>
                </c:pt>
                <c:pt idx="398">
                  <c:v>388994.42857142852</c:v>
                </c:pt>
                <c:pt idx="399">
                  <c:v>392082.14285714319</c:v>
                </c:pt>
                <c:pt idx="400">
                  <c:v>390394.28571428615</c:v>
                </c:pt>
                <c:pt idx="401">
                  <c:v>391814.71428571449</c:v>
                </c:pt>
                <c:pt idx="402">
                  <c:v>380458.57142857107</c:v>
                </c:pt>
                <c:pt idx="403">
                  <c:v>380015.57142857171</c:v>
                </c:pt>
                <c:pt idx="404">
                  <c:v>380795.71428571391</c:v>
                </c:pt>
                <c:pt idx="405">
                  <c:v>381818.85714285751</c:v>
                </c:pt>
                <c:pt idx="406">
                  <c:v>384288.57142857113</c:v>
                </c:pt>
                <c:pt idx="407">
                  <c:v>393811.57142857113</c:v>
                </c:pt>
                <c:pt idx="408">
                  <c:v>393810.00000000035</c:v>
                </c:pt>
                <c:pt idx="409">
                  <c:v>408207</c:v>
                </c:pt>
                <c:pt idx="410">
                  <c:v>410635.14285714336</c:v>
                </c:pt>
                <c:pt idx="411">
                  <c:v>415098.71428571432</c:v>
                </c:pt>
                <c:pt idx="412">
                  <c:v>420830.14285714325</c:v>
                </c:pt>
                <c:pt idx="413">
                  <c:v>426773.57142857171</c:v>
                </c:pt>
                <c:pt idx="414">
                  <c:v>425435.0000000007</c:v>
                </c:pt>
                <c:pt idx="415">
                  <c:v>432376.57142857136</c:v>
                </c:pt>
                <c:pt idx="416">
                  <c:v>439946.85714285681</c:v>
                </c:pt>
                <c:pt idx="417">
                  <c:v>452354.85714285728</c:v>
                </c:pt>
                <c:pt idx="418">
                  <c:v>460674.571428572</c:v>
                </c:pt>
                <c:pt idx="419">
                  <c:v>471146.2857142858</c:v>
                </c:pt>
                <c:pt idx="420">
                  <c:v>477262.85714285786</c:v>
                </c:pt>
                <c:pt idx="421">
                  <c:v>488033.42857142806</c:v>
                </c:pt>
                <c:pt idx="422">
                  <c:v>497615.14285714342</c:v>
                </c:pt>
                <c:pt idx="423">
                  <c:v>503164.85714285745</c:v>
                </c:pt>
                <c:pt idx="424">
                  <c:v>515163.2857142865</c:v>
                </c:pt>
                <c:pt idx="425">
                  <c:v>530058.71428571455</c:v>
                </c:pt>
                <c:pt idx="426">
                  <c:v>541129.42857142875</c:v>
                </c:pt>
                <c:pt idx="427">
                  <c:v>553428.28571428626</c:v>
                </c:pt>
                <c:pt idx="428">
                  <c:v>560883.85714285669</c:v>
                </c:pt>
                <c:pt idx="429">
                  <c:v>566329.42857142875</c:v>
                </c:pt>
                <c:pt idx="430">
                  <c:v>574377.85714285681</c:v>
                </c:pt>
                <c:pt idx="431">
                  <c:v>580691.42857142841</c:v>
                </c:pt>
                <c:pt idx="432">
                  <c:v>588923.71428571339</c:v>
                </c:pt>
                <c:pt idx="433">
                  <c:v>589603.85714285681</c:v>
                </c:pt>
                <c:pt idx="434">
                  <c:v>583291.5714285709</c:v>
                </c:pt>
                <c:pt idx="435">
                  <c:v>592901.28571428591</c:v>
                </c:pt>
                <c:pt idx="436">
                  <c:v>598289.57142857136</c:v>
                </c:pt>
                <c:pt idx="437">
                  <c:v>604756.85714285704</c:v>
                </c:pt>
                <c:pt idx="438">
                  <c:v>603222.57142857101</c:v>
                </c:pt>
                <c:pt idx="439">
                  <c:v>621255.14285714342</c:v>
                </c:pt>
                <c:pt idx="440">
                  <c:v>635901.85714285728</c:v>
                </c:pt>
                <c:pt idx="441">
                  <c:v>654514.42857142934</c:v>
                </c:pt>
                <c:pt idx="442">
                  <c:v>675897.57142857218</c:v>
                </c:pt>
                <c:pt idx="443">
                  <c:v>692590.99999999977</c:v>
                </c:pt>
                <c:pt idx="444">
                  <c:v>714922.14285714272</c:v>
                </c:pt>
                <c:pt idx="445">
                  <c:v>736075.42857142875</c:v>
                </c:pt>
                <c:pt idx="446">
                  <c:v>733970.28571428615</c:v>
                </c:pt>
                <c:pt idx="447">
                  <c:v>750047.00000000116</c:v>
                </c:pt>
                <c:pt idx="448">
                  <c:v>767667.28571428568</c:v>
                </c:pt>
                <c:pt idx="449">
                  <c:v>766310.57142857194</c:v>
                </c:pt>
                <c:pt idx="450">
                  <c:v>777323.14285714261</c:v>
                </c:pt>
                <c:pt idx="451">
                  <c:v>788133.71428571385</c:v>
                </c:pt>
                <c:pt idx="452">
                  <c:v>799279.71428571374</c:v>
                </c:pt>
                <c:pt idx="453">
                  <c:v>810430.85714285786</c:v>
                </c:pt>
                <c:pt idx="454">
                  <c:v>817261.85714285681</c:v>
                </c:pt>
                <c:pt idx="455">
                  <c:v>821582.71428571467</c:v>
                </c:pt>
                <c:pt idx="456">
                  <c:v>825636.42857142945</c:v>
                </c:pt>
                <c:pt idx="457">
                  <c:v>825365.42857142841</c:v>
                </c:pt>
                <c:pt idx="458">
                  <c:v>825310.57142857159</c:v>
                </c:pt>
                <c:pt idx="459">
                  <c:v>826677.00000000081</c:v>
                </c:pt>
                <c:pt idx="460">
                  <c:v>825915.28571428591</c:v>
                </c:pt>
                <c:pt idx="461">
                  <c:v>823585.7142857142</c:v>
                </c:pt>
                <c:pt idx="462">
                  <c:v>819399.28571428603</c:v>
                </c:pt>
                <c:pt idx="463">
                  <c:v>813511.14285714377</c:v>
                </c:pt>
                <c:pt idx="464">
                  <c:v>813708.85714285786</c:v>
                </c:pt>
                <c:pt idx="465">
                  <c:v>805974.42857142794</c:v>
                </c:pt>
                <c:pt idx="466">
                  <c:v>797860.14285714214</c:v>
                </c:pt>
                <c:pt idx="467">
                  <c:v>794829.85714285774</c:v>
                </c:pt>
                <c:pt idx="468">
                  <c:v>786754.85714285716</c:v>
                </c:pt>
                <c:pt idx="469">
                  <c:v>785808.57142857148</c:v>
                </c:pt>
                <c:pt idx="470">
                  <c:v>780400.28571428533</c:v>
                </c:pt>
                <c:pt idx="471">
                  <c:v>771144.28571428638</c:v>
                </c:pt>
                <c:pt idx="472">
                  <c:v>762693.71428571537</c:v>
                </c:pt>
                <c:pt idx="473">
                  <c:v>752047.42857142794</c:v>
                </c:pt>
                <c:pt idx="474">
                  <c:v>732313.85714285658</c:v>
                </c:pt>
                <c:pt idx="475">
                  <c:v>714417.71428571444</c:v>
                </c:pt>
                <c:pt idx="476">
                  <c:v>692034.71428571397</c:v>
                </c:pt>
                <c:pt idx="477">
                  <c:v>677350.99999999965</c:v>
                </c:pt>
                <c:pt idx="478">
                  <c:v>665621.99999999919</c:v>
                </c:pt>
                <c:pt idx="479">
                  <c:v>650454.71428571455</c:v>
                </c:pt>
                <c:pt idx="480">
                  <c:v>636821.57142857229</c:v>
                </c:pt>
                <c:pt idx="481">
                  <c:v>572193.42857142817</c:v>
                </c:pt>
                <c:pt idx="482">
                  <c:v>560323.42857142794</c:v>
                </c:pt>
                <c:pt idx="483">
                  <c:v>551858.28571428522</c:v>
                </c:pt>
                <c:pt idx="484">
                  <c:v>542572.2857142851</c:v>
                </c:pt>
                <c:pt idx="485">
                  <c:v>529363.14285714261</c:v>
                </c:pt>
                <c:pt idx="486">
                  <c:v>517044.5714285713</c:v>
                </c:pt>
                <c:pt idx="487">
                  <c:v>502242.00000000058</c:v>
                </c:pt>
                <c:pt idx="488">
                  <c:v>540040.00000000047</c:v>
                </c:pt>
                <c:pt idx="489">
                  <c:v>522759.28571428533</c:v>
                </c:pt>
                <c:pt idx="490">
                  <c:v>509627.57142857189</c:v>
                </c:pt>
                <c:pt idx="491">
                  <c:v>496531.14285714307</c:v>
                </c:pt>
                <c:pt idx="492">
                  <c:v>487382.42857142794</c:v>
                </c:pt>
                <c:pt idx="493">
                  <c:v>476897.99999999988</c:v>
                </c:pt>
                <c:pt idx="494">
                  <c:v>465351.42857142864</c:v>
                </c:pt>
                <c:pt idx="495">
                  <c:v>455869.85714285704</c:v>
                </c:pt>
                <c:pt idx="496">
                  <c:v>444354.28571428591</c:v>
                </c:pt>
                <c:pt idx="497">
                  <c:v>432387.14285714261</c:v>
                </c:pt>
                <c:pt idx="498">
                  <c:v>422820.85714285634</c:v>
                </c:pt>
                <c:pt idx="499">
                  <c:v>413494.99999999988</c:v>
                </c:pt>
                <c:pt idx="500">
                  <c:v>400652.7142857149</c:v>
                </c:pt>
                <c:pt idx="501">
                  <c:v>390749.00000000047</c:v>
                </c:pt>
                <c:pt idx="502">
                  <c:v>386890.99999999977</c:v>
                </c:pt>
                <c:pt idx="503">
                  <c:v>386481.14285714307</c:v>
                </c:pt>
                <c:pt idx="504">
                  <c:v>382442.57142857171</c:v>
                </c:pt>
                <c:pt idx="505">
                  <c:v>379559.28571428603</c:v>
                </c:pt>
                <c:pt idx="506">
                  <c:v>377777.71428571409</c:v>
                </c:pt>
                <c:pt idx="507">
                  <c:v>378441.57142857171</c:v>
                </c:pt>
                <c:pt idx="508">
                  <c:v>374281.42857142852</c:v>
                </c:pt>
                <c:pt idx="509">
                  <c:v>366064.5714285713</c:v>
                </c:pt>
                <c:pt idx="510">
                  <c:v>363416.14285714214</c:v>
                </c:pt>
                <c:pt idx="511">
                  <c:v>360561.85714285763</c:v>
                </c:pt>
                <c:pt idx="512">
                  <c:v>360683.85714285669</c:v>
                </c:pt>
                <c:pt idx="513">
                  <c:v>358877.71428571444</c:v>
                </c:pt>
                <c:pt idx="514">
                  <c:v>363942.14285714307</c:v>
                </c:pt>
                <c:pt idx="515">
                  <c:v>365006.99999999959</c:v>
                </c:pt>
                <c:pt idx="516">
                  <c:v>366901.85714285693</c:v>
                </c:pt>
                <c:pt idx="517">
                  <c:v>368926.42857142899</c:v>
                </c:pt>
                <c:pt idx="518">
                  <c:v>370999.42857142875</c:v>
                </c:pt>
                <c:pt idx="519">
                  <c:v>372082.4285714291</c:v>
                </c:pt>
                <c:pt idx="520">
                  <c:v>377278.28571428539</c:v>
                </c:pt>
                <c:pt idx="521">
                  <c:v>373134.57142857177</c:v>
                </c:pt>
                <c:pt idx="522">
                  <c:v>373540.28571428533</c:v>
                </c:pt>
                <c:pt idx="523">
                  <c:v>377296.00000000035</c:v>
                </c:pt>
                <c:pt idx="524">
                  <c:v>380822.28571428522</c:v>
                </c:pt>
                <c:pt idx="525">
                  <c:v>382474.71428571461</c:v>
                </c:pt>
                <c:pt idx="526">
                  <c:v>384912.42857142899</c:v>
                </c:pt>
                <c:pt idx="527">
                  <c:v>391148.42857142811</c:v>
                </c:pt>
                <c:pt idx="528">
                  <c:v>401055.14285714284</c:v>
                </c:pt>
                <c:pt idx="529">
                  <c:v>410451.14285714325</c:v>
                </c:pt>
                <c:pt idx="530">
                  <c:v>417069.8571428571</c:v>
                </c:pt>
                <c:pt idx="531">
                  <c:v>427198.28571428568</c:v>
                </c:pt>
                <c:pt idx="532">
                  <c:v>433991.14285714319</c:v>
                </c:pt>
                <c:pt idx="533">
                  <c:v>440038.57142857253</c:v>
                </c:pt>
                <c:pt idx="534">
                  <c:v>448011.71428571502</c:v>
                </c:pt>
                <c:pt idx="535">
                  <c:v>458736.71428571339</c:v>
                </c:pt>
                <c:pt idx="536">
                  <c:v>469132.57142857061</c:v>
                </c:pt>
                <c:pt idx="537">
                  <c:v>482641.57142857119</c:v>
                </c:pt>
                <c:pt idx="538">
                  <c:v>494454.28571428626</c:v>
                </c:pt>
                <c:pt idx="539">
                  <c:v>504225.85714285693</c:v>
                </c:pt>
                <c:pt idx="540">
                  <c:v>511491.42857142887</c:v>
                </c:pt>
                <c:pt idx="541">
                  <c:v>519214.42857142759</c:v>
                </c:pt>
                <c:pt idx="542">
                  <c:v>520184.28571428475</c:v>
                </c:pt>
                <c:pt idx="543">
                  <c:v>522771.28571428638</c:v>
                </c:pt>
                <c:pt idx="544">
                  <c:v>521164.71428571385</c:v>
                </c:pt>
                <c:pt idx="545">
                  <c:v>540056</c:v>
                </c:pt>
                <c:pt idx="546">
                  <c:v>531956.57142857113</c:v>
                </c:pt>
                <c:pt idx="547">
                  <c:v>535597.14285714296</c:v>
                </c:pt>
                <c:pt idx="548">
                  <c:v>542870.28571428545</c:v>
                </c:pt>
                <c:pt idx="549">
                  <c:v>553410.57142857101</c:v>
                </c:pt>
                <c:pt idx="550">
                  <c:v>566831.71428571432</c:v>
                </c:pt>
                <c:pt idx="551">
                  <c:v>577926.71428571409</c:v>
                </c:pt>
                <c:pt idx="552">
                  <c:v>578528.14285714226</c:v>
                </c:pt>
                <c:pt idx="553">
                  <c:v>590785.57142857101</c:v>
                </c:pt>
                <c:pt idx="554">
                  <c:v>596233.85714285739</c:v>
                </c:pt>
                <c:pt idx="555">
                  <c:v>600433.57142857113</c:v>
                </c:pt>
                <c:pt idx="556">
                  <c:v>604414.99999999953</c:v>
                </c:pt>
                <c:pt idx="557">
                  <c:v>608773.71428571385</c:v>
                </c:pt>
                <c:pt idx="558">
                  <c:v>614871.85714285716</c:v>
                </c:pt>
                <c:pt idx="559">
                  <c:v>627304.28571428615</c:v>
                </c:pt>
                <c:pt idx="560">
                  <c:v>633702.85714285646</c:v>
                </c:pt>
                <c:pt idx="561">
                  <c:v>631658.28571428591</c:v>
                </c:pt>
                <c:pt idx="562">
                  <c:v>638243.99999999988</c:v>
                </c:pt>
                <c:pt idx="563">
                  <c:v>639885.2857142858</c:v>
                </c:pt>
                <c:pt idx="564">
                  <c:v>647060.99999999977</c:v>
                </c:pt>
                <c:pt idx="565">
                  <c:v>649937.42857142829</c:v>
                </c:pt>
                <c:pt idx="566">
                  <c:v>647451.28571428545</c:v>
                </c:pt>
                <c:pt idx="567">
                  <c:v>646608.28571428603</c:v>
                </c:pt>
                <c:pt idx="568">
                  <c:v>646690.71428571455</c:v>
                </c:pt>
                <c:pt idx="569">
                  <c:v>652584.14285714261</c:v>
                </c:pt>
                <c:pt idx="570">
                  <c:v>657862.28571428522</c:v>
                </c:pt>
                <c:pt idx="571">
                  <c:v>658564.57142857113</c:v>
                </c:pt>
                <c:pt idx="572">
                  <c:v>659422.00000000012</c:v>
                </c:pt>
                <c:pt idx="573">
                  <c:v>657079.14285714366</c:v>
                </c:pt>
                <c:pt idx="574">
                  <c:v>658313.42857142817</c:v>
                </c:pt>
                <c:pt idx="575">
                  <c:v>655984.85714285646</c:v>
                </c:pt>
                <c:pt idx="576">
                  <c:v>658122.14285714226</c:v>
                </c:pt>
                <c:pt idx="577">
                  <c:v>657268.28571428522</c:v>
                </c:pt>
                <c:pt idx="578">
                  <c:v>657503.57142857171</c:v>
                </c:pt>
                <c:pt idx="579">
                  <c:v>661037.42857142887</c:v>
                </c:pt>
                <c:pt idx="580">
                  <c:v>656113.42857142806</c:v>
                </c:pt>
                <c:pt idx="581">
                  <c:v>656177.71428571409</c:v>
                </c:pt>
                <c:pt idx="582">
                  <c:v>656193.0000000007</c:v>
                </c:pt>
                <c:pt idx="583">
                  <c:v>653938.71428571455</c:v>
                </c:pt>
                <c:pt idx="584">
                  <c:v>645917.85714285751</c:v>
                </c:pt>
                <c:pt idx="585">
                  <c:v>643342.28571428568</c:v>
                </c:pt>
                <c:pt idx="586">
                  <c:v>634801.28571428498</c:v>
                </c:pt>
                <c:pt idx="587">
                  <c:v>630884.57142857218</c:v>
                </c:pt>
                <c:pt idx="588">
                  <c:v>622306.42857142864</c:v>
                </c:pt>
                <c:pt idx="589">
                  <c:v>622618.00000000012</c:v>
                </c:pt>
                <c:pt idx="590">
                  <c:v>594461.57142857136</c:v>
                </c:pt>
                <c:pt idx="591">
                  <c:v>599677.85714285739</c:v>
                </c:pt>
                <c:pt idx="592">
                  <c:v>588004.71428571409</c:v>
                </c:pt>
                <c:pt idx="593">
                  <c:v>582786.7142857142</c:v>
                </c:pt>
                <c:pt idx="594">
                  <c:v>573514.85714285681</c:v>
                </c:pt>
                <c:pt idx="595">
                  <c:v>569535.85714285704</c:v>
                </c:pt>
                <c:pt idx="596">
                  <c:v>558298.28571428556</c:v>
                </c:pt>
                <c:pt idx="597">
                  <c:v>573063.85714285623</c:v>
                </c:pt>
                <c:pt idx="598">
                  <c:v>557739.71428571397</c:v>
                </c:pt>
                <c:pt idx="599">
                  <c:v>547657.71428571409</c:v>
                </c:pt>
                <c:pt idx="600">
                  <c:v>540116.0000000007</c:v>
                </c:pt>
                <c:pt idx="601">
                  <c:v>535041.5714285709</c:v>
                </c:pt>
                <c:pt idx="602">
                  <c:v>542616.42857142922</c:v>
                </c:pt>
                <c:pt idx="603">
                  <c:v>541474.85714285786</c:v>
                </c:pt>
                <c:pt idx="604">
                  <c:v>534958.42857142934</c:v>
                </c:pt>
                <c:pt idx="605">
                  <c:v>526247.85714285693</c:v>
                </c:pt>
                <c:pt idx="606">
                  <c:v>521679.28571428615</c:v>
                </c:pt>
                <c:pt idx="607">
                  <c:v>516004.57142857148</c:v>
                </c:pt>
                <c:pt idx="608">
                  <c:v>505438.57142857241</c:v>
                </c:pt>
                <c:pt idx="609">
                  <c:v>483788.57142857148</c:v>
                </c:pt>
                <c:pt idx="610">
                  <c:v>482767.71428571461</c:v>
                </c:pt>
                <c:pt idx="611">
                  <c:v>476170.57142857177</c:v>
                </c:pt>
                <c:pt idx="612">
                  <c:v>470784.42857142881</c:v>
                </c:pt>
                <c:pt idx="613">
                  <c:v>464502.42857142829</c:v>
                </c:pt>
                <c:pt idx="614">
                  <c:v>456251.8571428578</c:v>
                </c:pt>
                <c:pt idx="615">
                  <c:v>452355.57142857171</c:v>
                </c:pt>
                <c:pt idx="616">
                  <c:v>449213.28571428492</c:v>
                </c:pt>
                <c:pt idx="617">
                  <c:v>442303.7142857138</c:v>
                </c:pt>
                <c:pt idx="618">
                  <c:v>437252.85714285792</c:v>
                </c:pt>
                <c:pt idx="619">
                  <c:v>433229.28571428609</c:v>
                </c:pt>
                <c:pt idx="620">
                  <c:v>435524.71428571397</c:v>
                </c:pt>
                <c:pt idx="621">
                  <c:v>431515.99999999959</c:v>
                </c:pt>
                <c:pt idx="622">
                  <c:v>424860.42857142864</c:v>
                </c:pt>
                <c:pt idx="623">
                  <c:v>423414.28571428562</c:v>
                </c:pt>
                <c:pt idx="624">
                  <c:v>424677.71428571403</c:v>
                </c:pt>
                <c:pt idx="625">
                  <c:v>415975.57142857142</c:v>
                </c:pt>
                <c:pt idx="626">
                  <c:v>418173.71428571385</c:v>
                </c:pt>
                <c:pt idx="627">
                  <c:v>410938.14285714284</c:v>
                </c:pt>
                <c:pt idx="628">
                  <c:v>409732</c:v>
                </c:pt>
                <c:pt idx="629">
                  <c:v>407246.14285714325</c:v>
                </c:pt>
                <c:pt idx="630">
                  <c:v>407714.85714285687</c:v>
                </c:pt>
                <c:pt idx="631">
                  <c:v>407418.14285714272</c:v>
                </c:pt>
                <c:pt idx="632">
                  <c:v>412645</c:v>
                </c:pt>
                <c:pt idx="633">
                  <c:v>411703.00000000023</c:v>
                </c:pt>
                <c:pt idx="634">
                  <c:v>414540.85714285768</c:v>
                </c:pt>
                <c:pt idx="635">
                  <c:v>415778.28571428533</c:v>
                </c:pt>
                <c:pt idx="636">
                  <c:v>420751.99999999983</c:v>
                </c:pt>
                <c:pt idx="637">
                  <c:v>425478.99999999959</c:v>
                </c:pt>
                <c:pt idx="638">
                  <c:v>425615.14285714342</c:v>
                </c:pt>
                <c:pt idx="639">
                  <c:v>427809.14285714267</c:v>
                </c:pt>
                <c:pt idx="640">
                  <c:v>427074.71428571432</c:v>
                </c:pt>
                <c:pt idx="641">
                  <c:v>432455.71428571432</c:v>
                </c:pt>
                <c:pt idx="642">
                  <c:v>435456.57142857142</c:v>
                </c:pt>
                <c:pt idx="643">
                  <c:v>435641.57142857159</c:v>
                </c:pt>
                <c:pt idx="644">
                  <c:v>437172.99999999994</c:v>
                </c:pt>
                <c:pt idx="645">
                  <c:v>443286.28571428545</c:v>
                </c:pt>
                <c:pt idx="646">
                  <c:v>442671.57142857125</c:v>
                </c:pt>
                <c:pt idx="647">
                  <c:v>439520.99999999977</c:v>
                </c:pt>
                <c:pt idx="648">
                  <c:v>441063.14285714255</c:v>
                </c:pt>
                <c:pt idx="649">
                  <c:v>445988.85714285733</c:v>
                </c:pt>
                <c:pt idx="650">
                  <c:v>450293.28571428545</c:v>
                </c:pt>
                <c:pt idx="651">
                  <c:v>456528.57142857171</c:v>
                </c:pt>
                <c:pt idx="652">
                  <c:v>456315.85714285733</c:v>
                </c:pt>
                <c:pt idx="653">
                  <c:v>463216.14285714336</c:v>
                </c:pt>
                <c:pt idx="654">
                  <c:v>472493.28571428551</c:v>
                </c:pt>
                <c:pt idx="655">
                  <c:v>479462.28571428586</c:v>
                </c:pt>
                <c:pt idx="656">
                  <c:v>479927.00000000029</c:v>
                </c:pt>
                <c:pt idx="657">
                  <c:v>490704.99999999988</c:v>
                </c:pt>
                <c:pt idx="658">
                  <c:v>490855.42857142881</c:v>
                </c:pt>
                <c:pt idx="659">
                  <c:v>493359.14285714325</c:v>
                </c:pt>
                <c:pt idx="660">
                  <c:v>501289.14285714302</c:v>
                </c:pt>
                <c:pt idx="661">
                  <c:v>506647.00000000029</c:v>
                </c:pt>
                <c:pt idx="662">
                  <c:v>512604.2857142862</c:v>
                </c:pt>
                <c:pt idx="663">
                  <c:v>527016.28571428556</c:v>
                </c:pt>
                <c:pt idx="664">
                  <c:v>529138.57142857113</c:v>
                </c:pt>
                <c:pt idx="665">
                  <c:v>537867.28571428545</c:v>
                </c:pt>
                <c:pt idx="666">
                  <c:v>543687.14285714272</c:v>
                </c:pt>
                <c:pt idx="667">
                  <c:v>554409.42857142841</c:v>
                </c:pt>
                <c:pt idx="668">
                  <c:v>566648.42857142864</c:v>
                </c:pt>
                <c:pt idx="669">
                  <c:v>572699.71428571467</c:v>
                </c:pt>
                <c:pt idx="670">
                  <c:v>569256.57142857183</c:v>
                </c:pt>
                <c:pt idx="671">
                  <c:v>569120.71428571385</c:v>
                </c:pt>
                <c:pt idx="672">
                  <c:v>566834.71428571409</c:v>
                </c:pt>
                <c:pt idx="673">
                  <c:v>568500.85714285681</c:v>
                </c:pt>
                <c:pt idx="674">
                  <c:v>573175.14285714307</c:v>
                </c:pt>
                <c:pt idx="675">
                  <c:v>574302.28571428522</c:v>
                </c:pt>
                <c:pt idx="676">
                  <c:v>580692.14285714307</c:v>
                </c:pt>
                <c:pt idx="677">
                  <c:v>596407.85714285751</c:v>
                </c:pt>
                <c:pt idx="678">
                  <c:v>613139.00000000047</c:v>
                </c:pt>
                <c:pt idx="679">
                  <c:v>620415.71428571444</c:v>
                </c:pt>
                <c:pt idx="680">
                  <c:v>624357.00000000023</c:v>
                </c:pt>
                <c:pt idx="681">
                  <c:v>619575.7142857135</c:v>
                </c:pt>
                <c:pt idx="682">
                  <c:v>625105.42857142922</c:v>
                </c:pt>
                <c:pt idx="683">
                  <c:v>626385.85714285669</c:v>
                </c:pt>
                <c:pt idx="684">
                  <c:v>625058.14285714226</c:v>
                </c:pt>
                <c:pt idx="685">
                  <c:v>619747.9999999993</c:v>
                </c:pt>
                <c:pt idx="686">
                  <c:v>617415.57142857136</c:v>
                </c:pt>
                <c:pt idx="687">
                  <c:v>617048.00000000047</c:v>
                </c:pt>
                <c:pt idx="688">
                  <c:v>618526</c:v>
                </c:pt>
                <c:pt idx="689">
                  <c:v>618179.57142857183</c:v>
                </c:pt>
                <c:pt idx="690">
                  <c:v>622306.57142857183</c:v>
                </c:pt>
                <c:pt idx="691">
                  <c:v>628852.71428571455</c:v>
                </c:pt>
                <c:pt idx="692">
                  <c:v>639430.85714285728</c:v>
                </c:pt>
                <c:pt idx="693">
                  <c:v>646879.7142857142</c:v>
                </c:pt>
                <c:pt idx="694">
                  <c:v>654753.85714285681</c:v>
                </c:pt>
                <c:pt idx="695">
                  <c:v>673369.14285714366</c:v>
                </c:pt>
                <c:pt idx="696">
                  <c:v>690779.14285714261</c:v>
                </c:pt>
                <c:pt idx="697">
                  <c:v>715686</c:v>
                </c:pt>
                <c:pt idx="698">
                  <c:v>753930.42857142887</c:v>
                </c:pt>
                <c:pt idx="699">
                  <c:v>771611.85714285716</c:v>
                </c:pt>
                <c:pt idx="700">
                  <c:v>790402.57142857159</c:v>
                </c:pt>
                <c:pt idx="701">
                  <c:v>800639.42857142899</c:v>
                </c:pt>
                <c:pt idx="702">
                  <c:v>877194.71428571409</c:v>
                </c:pt>
                <c:pt idx="703">
                  <c:v>959742.28571428661</c:v>
                </c:pt>
                <c:pt idx="704">
                  <c:v>1072715.2857142864</c:v>
                </c:pt>
                <c:pt idx="705">
                  <c:v>1206729.4285714289</c:v>
                </c:pt>
                <c:pt idx="706">
                  <c:v>1328536.0000000002</c:v>
                </c:pt>
                <c:pt idx="707">
                  <c:v>1403540.5714285723</c:v>
                </c:pt>
                <c:pt idx="708">
                  <c:v>1452818.4285714284</c:v>
                </c:pt>
                <c:pt idx="709">
                  <c:v>1607676.4285714289</c:v>
                </c:pt>
                <c:pt idx="710">
                  <c:v>1775950.2857142866</c:v>
                </c:pt>
                <c:pt idx="711">
                  <c:v>1901561.0000000009</c:v>
                </c:pt>
                <c:pt idx="712">
                  <c:v>2004186.714285715</c:v>
                </c:pt>
                <c:pt idx="713">
                  <c:v>2177093.1428571376</c:v>
                </c:pt>
                <c:pt idx="714">
                  <c:v>2314514.714285715</c:v>
                </c:pt>
                <c:pt idx="715">
                  <c:v>2473127.428571424</c:v>
                </c:pt>
                <c:pt idx="716">
                  <c:v>2587731.8571428526</c:v>
                </c:pt>
                <c:pt idx="717">
                  <c:v>2661513.7142857183</c:v>
                </c:pt>
                <c:pt idx="718">
                  <c:v>2784738.4285714291</c:v>
                </c:pt>
                <c:pt idx="719">
                  <c:v>2858681.1428571446</c:v>
                </c:pt>
                <c:pt idx="720">
                  <c:v>2910492.5714285751</c:v>
                </c:pt>
                <c:pt idx="721">
                  <c:v>2955361.7142857113</c:v>
                </c:pt>
                <c:pt idx="722">
                  <c:v>2976187.8571428549</c:v>
                </c:pt>
                <c:pt idx="723">
                  <c:v>2902617.4285714296</c:v>
                </c:pt>
                <c:pt idx="724">
                  <c:v>3007535.9999999977</c:v>
                </c:pt>
                <c:pt idx="725">
                  <c:v>3098226.7142857118</c:v>
                </c:pt>
                <c:pt idx="726">
                  <c:v>3175857.428571424</c:v>
                </c:pt>
                <c:pt idx="727">
                  <c:v>3248146.5714285728</c:v>
                </c:pt>
                <c:pt idx="728">
                  <c:v>3287424.9999999972</c:v>
                </c:pt>
                <c:pt idx="729">
                  <c:v>3327198.714285715</c:v>
                </c:pt>
                <c:pt idx="730">
                  <c:v>3436589.8571428624</c:v>
                </c:pt>
                <c:pt idx="731">
                  <c:v>3420248.1428571432</c:v>
                </c:pt>
                <c:pt idx="732">
                  <c:v>3374199.0000000014</c:v>
                </c:pt>
                <c:pt idx="733">
                  <c:v>3369936.9999999953</c:v>
                </c:pt>
                <c:pt idx="734">
                  <c:v>3346393.2857142892</c:v>
                </c:pt>
                <c:pt idx="735">
                  <c:v>3341168.8571428531</c:v>
                </c:pt>
                <c:pt idx="736">
                  <c:v>3316427.571428569</c:v>
                </c:pt>
                <c:pt idx="737">
                  <c:v>3336131.7142857099</c:v>
                </c:pt>
                <c:pt idx="738">
                  <c:v>3260980.5714285732</c:v>
                </c:pt>
                <c:pt idx="739">
                  <c:v>3177518.428571424</c:v>
                </c:pt>
                <c:pt idx="740">
                  <c:v>3104226.57142857</c:v>
                </c:pt>
                <c:pt idx="741">
                  <c:v>3002946.5714285686</c:v>
                </c:pt>
                <c:pt idx="742">
                  <c:v>2941831.7142857178</c:v>
                </c:pt>
                <c:pt idx="743">
                  <c:v>2884620.7142857099</c:v>
                </c:pt>
                <c:pt idx="744">
                  <c:v>2752281.8571428601</c:v>
                </c:pt>
                <c:pt idx="745">
                  <c:v>2677278.4285714338</c:v>
                </c:pt>
                <c:pt idx="746">
                  <c:v>2570480.2857142892</c:v>
                </c:pt>
                <c:pt idx="747">
                  <c:v>2516366.9999999977</c:v>
                </c:pt>
                <c:pt idx="748">
                  <c:v>2440215.857142854</c:v>
                </c:pt>
                <c:pt idx="749">
                  <c:v>2385198.714285715</c:v>
                </c:pt>
                <c:pt idx="750">
                  <c:v>2333407.1428571385</c:v>
                </c:pt>
                <c:pt idx="751">
                  <c:v>2202669.9999999981</c:v>
                </c:pt>
                <c:pt idx="752">
                  <c:v>2098021.9999999986</c:v>
                </c:pt>
                <c:pt idx="753">
                  <c:v>2070440.7142857173</c:v>
                </c:pt>
                <c:pt idx="754">
                  <c:v>1963570.4285714305</c:v>
                </c:pt>
                <c:pt idx="755">
                  <c:v>1901331.2857142864</c:v>
                </c:pt>
                <c:pt idx="756">
                  <c:v>1863157.4285714261</c:v>
                </c:pt>
                <c:pt idx="757">
                  <c:v>1831876.7142857194</c:v>
                </c:pt>
                <c:pt idx="758">
                  <c:v>1787805.7142857129</c:v>
                </c:pt>
                <c:pt idx="759">
                  <c:v>1759715</c:v>
                </c:pt>
                <c:pt idx="760">
                  <c:v>1714016.2857142854</c:v>
                </c:pt>
                <c:pt idx="761">
                  <c:v>1674922.1428571432</c:v>
                </c:pt>
                <c:pt idx="762">
                  <c:v>1628044.0000000012</c:v>
                </c:pt>
                <c:pt idx="763">
                  <c:v>1597261.1428571439</c:v>
                </c:pt>
                <c:pt idx="764">
                  <c:v>1575673.2857142854</c:v>
                </c:pt>
                <c:pt idx="765">
                  <c:v>1565171.8571428577</c:v>
                </c:pt>
                <c:pt idx="766">
                  <c:v>1554905.1428571423</c:v>
                </c:pt>
                <c:pt idx="767">
                  <c:v>1518131.5714285709</c:v>
                </c:pt>
                <c:pt idx="768">
                  <c:v>1516053.4285714286</c:v>
                </c:pt>
                <c:pt idx="769">
                  <c:v>1531541.2857142861</c:v>
                </c:pt>
                <c:pt idx="770">
                  <c:v>1536243.4285714284</c:v>
                </c:pt>
                <c:pt idx="771">
                  <c:v>1545771.4285714289</c:v>
                </c:pt>
                <c:pt idx="772">
                  <c:v>1561035.8571428573</c:v>
                </c:pt>
                <c:pt idx="773">
                  <c:v>1581114.7142857143</c:v>
                </c:pt>
                <c:pt idx="774">
                  <c:v>1605965.7142857146</c:v>
                </c:pt>
                <c:pt idx="775">
                  <c:v>1619978.2857142852</c:v>
                </c:pt>
                <c:pt idx="776">
                  <c:v>1635725.4285714289</c:v>
                </c:pt>
                <c:pt idx="777">
                  <c:v>1680989.4285714286</c:v>
                </c:pt>
                <c:pt idx="778">
                  <c:v>1689101.4285714284</c:v>
                </c:pt>
                <c:pt idx="779">
                  <c:v>1714983.4285714291</c:v>
                </c:pt>
                <c:pt idx="780">
                  <c:v>1724708.5714285723</c:v>
                </c:pt>
                <c:pt idx="781">
                  <c:v>1782621.1428571432</c:v>
                </c:pt>
                <c:pt idx="782">
                  <c:v>1812174.2857142857</c:v>
                </c:pt>
                <c:pt idx="783">
                  <c:v>1814884.1428571434</c:v>
                </c:pt>
                <c:pt idx="784">
                  <c:v>1806341.1428571427</c:v>
                </c:pt>
                <c:pt idx="785">
                  <c:v>1779092.7142857139</c:v>
                </c:pt>
                <c:pt idx="786">
                  <c:v>1761180.2857142857</c:v>
                </c:pt>
                <c:pt idx="787">
                  <c:v>1785154.5714285716</c:v>
                </c:pt>
                <c:pt idx="788">
                  <c:v>1723016.4285714289</c:v>
                </c:pt>
                <c:pt idx="789">
                  <c:v>1681079.4285714289</c:v>
                </c:pt>
                <c:pt idx="790">
                  <c:v>1662243.1428571434</c:v>
                </c:pt>
                <c:pt idx="791">
                  <c:v>1610598.1428571432</c:v>
                </c:pt>
                <c:pt idx="792">
                  <c:v>1591847.7142857148</c:v>
                </c:pt>
                <c:pt idx="793">
                  <c:v>1590724.5714285716</c:v>
                </c:pt>
                <c:pt idx="794">
                  <c:v>1558609.2857142857</c:v>
                </c:pt>
                <c:pt idx="795">
                  <c:v>1529191.7142857146</c:v>
                </c:pt>
                <c:pt idx="796">
                  <c:v>1533731.0000000002</c:v>
                </c:pt>
                <c:pt idx="797">
                  <c:v>1449003.7142857141</c:v>
                </c:pt>
                <c:pt idx="798">
                  <c:v>1404935.8571428575</c:v>
                </c:pt>
                <c:pt idx="799">
                  <c:v>1383115.8571428573</c:v>
                </c:pt>
                <c:pt idx="800">
                  <c:v>1303353.9999999998</c:v>
                </c:pt>
                <c:pt idx="801">
                  <c:v>1248319.1428571432</c:v>
                </c:pt>
                <c:pt idx="802">
                  <c:v>1223052.2857142854</c:v>
                </c:pt>
                <c:pt idx="803">
                  <c:v>1142529.4285714296</c:v>
                </c:pt>
                <c:pt idx="804">
                  <c:v>1140208.5714285718</c:v>
                </c:pt>
                <c:pt idx="805">
                  <c:v>1101491.7142857155</c:v>
                </c:pt>
                <c:pt idx="806">
                  <c:v>1070659.857142857</c:v>
                </c:pt>
                <c:pt idx="807">
                  <c:v>1074647.8571428573</c:v>
                </c:pt>
                <c:pt idx="808">
                  <c:v>1035990.7142857139</c:v>
                </c:pt>
                <c:pt idx="809">
                  <c:v>984657.71428571478</c:v>
                </c:pt>
                <c:pt idx="810">
                  <c:v>942682.14285714237</c:v>
                </c:pt>
                <c:pt idx="811">
                  <c:v>876547.57142857136</c:v>
                </c:pt>
                <c:pt idx="812">
                  <c:v>848942.85714285658</c:v>
                </c:pt>
                <c:pt idx="813">
                  <c:v>825514.42857142864</c:v>
                </c:pt>
                <c:pt idx="814">
                  <c:v>758372.99999999953</c:v>
                </c:pt>
                <c:pt idx="815">
                  <c:v>736213.85714285693</c:v>
                </c:pt>
                <c:pt idx="816">
                  <c:v>720352.14285714237</c:v>
                </c:pt>
                <c:pt idx="817">
                  <c:v>711704.71428571432</c:v>
                </c:pt>
                <c:pt idx="818">
                  <c:v>728671.5714285709</c:v>
                </c:pt>
                <c:pt idx="819">
                  <c:v>716302.85714285751</c:v>
                </c:pt>
                <c:pt idx="820">
                  <c:v>710194.42857142934</c:v>
                </c:pt>
                <c:pt idx="821">
                  <c:v>724521.28571428522</c:v>
                </c:pt>
                <c:pt idx="822">
                  <c:v>682081.42857142934</c:v>
                </c:pt>
                <c:pt idx="823">
                  <c:v>662778.71428571432</c:v>
                </c:pt>
                <c:pt idx="824">
                  <c:v>639087.85714285763</c:v>
                </c:pt>
                <c:pt idx="825">
                  <c:v>614102.14285714249</c:v>
                </c:pt>
                <c:pt idx="826">
                  <c:v>592337.57142857148</c:v>
                </c:pt>
                <c:pt idx="827">
                  <c:v>582058.71428571432</c:v>
                </c:pt>
                <c:pt idx="828">
                  <c:v>564618.85714285658</c:v>
                </c:pt>
                <c:pt idx="829">
                  <c:v>567923.28571428545</c:v>
                </c:pt>
                <c:pt idx="830">
                  <c:v>539782.57142857206</c:v>
                </c:pt>
                <c:pt idx="831">
                  <c:v>519434.571428572</c:v>
                </c:pt>
                <c:pt idx="832">
                  <c:v>517730.85714285698</c:v>
                </c:pt>
                <c:pt idx="833">
                  <c:v>515231.42857142887</c:v>
                </c:pt>
                <c:pt idx="834">
                  <c:v>510778.14285714313</c:v>
                </c:pt>
                <c:pt idx="835">
                  <c:v>547359.42857142841</c:v>
                </c:pt>
                <c:pt idx="836">
                  <c:v>542402.14285714331</c:v>
                </c:pt>
                <c:pt idx="837">
                  <c:v>552376.85714285728</c:v>
                </c:pt>
                <c:pt idx="838">
                  <c:v>558735.42857142934</c:v>
                </c:pt>
                <c:pt idx="839">
                  <c:v>551284.14285714319</c:v>
                </c:pt>
                <c:pt idx="840">
                  <c:v>565175</c:v>
                </c:pt>
                <c:pt idx="841">
                  <c:v>578559.00000000035</c:v>
                </c:pt>
                <c:pt idx="842">
                  <c:v>563196.42857142887</c:v>
                </c:pt>
                <c:pt idx="843">
                  <c:v>557978.14285714214</c:v>
                </c:pt>
                <c:pt idx="844">
                  <c:v>566649.42857142829</c:v>
                </c:pt>
                <c:pt idx="845">
                  <c:v>559994.42857142887</c:v>
                </c:pt>
                <c:pt idx="846">
                  <c:v>567685.28571428626</c:v>
                </c:pt>
                <c:pt idx="847">
                  <c:v>557174.14285714331</c:v>
                </c:pt>
                <c:pt idx="848">
                  <c:v>548931.42857142852</c:v>
                </c:pt>
                <c:pt idx="849">
                  <c:v>535019.71428571548</c:v>
                </c:pt>
                <c:pt idx="850">
                  <c:v>532880.14285714226</c:v>
                </c:pt>
                <c:pt idx="851">
                  <c:v>516774.57142857148</c:v>
                </c:pt>
                <c:pt idx="852">
                  <c:v>505088.42857142829</c:v>
                </c:pt>
                <c:pt idx="853">
                  <c:v>497759.42857142922</c:v>
                </c:pt>
                <c:pt idx="854">
                  <c:v>485935.57142857107</c:v>
                </c:pt>
                <c:pt idx="855">
                  <c:v>480113.42857142887</c:v>
                </c:pt>
                <c:pt idx="856">
                  <c:v>465423.00000000017</c:v>
                </c:pt>
                <c:pt idx="857">
                  <c:v>471033.85714285739</c:v>
                </c:pt>
                <c:pt idx="858">
                  <c:v>479267.28571428562</c:v>
                </c:pt>
                <c:pt idx="859">
                  <c:v>482176.57142857165</c:v>
                </c:pt>
                <c:pt idx="860">
                  <c:v>478428.00000000017</c:v>
                </c:pt>
                <c:pt idx="861">
                  <c:v>473396.14285714243</c:v>
                </c:pt>
                <c:pt idx="862">
                  <c:v>471796.57142857241</c:v>
                </c:pt>
                <c:pt idx="863">
                  <c:v>476135.7142857149</c:v>
                </c:pt>
                <c:pt idx="864">
                  <c:v>480669.71428571409</c:v>
                </c:pt>
                <c:pt idx="865">
                  <c:v>481774.42857142875</c:v>
                </c:pt>
                <c:pt idx="866">
                  <c:v>487528.14285714307</c:v>
                </c:pt>
                <c:pt idx="867">
                  <c:v>487844.85714285634</c:v>
                </c:pt>
                <c:pt idx="868">
                  <c:v>492208.85714285687</c:v>
                </c:pt>
                <c:pt idx="869">
                  <c:v>483252.57142857154</c:v>
                </c:pt>
                <c:pt idx="870">
                  <c:v>501330.99999999971</c:v>
                </c:pt>
                <c:pt idx="871">
                  <c:v>528932.71428571502</c:v>
                </c:pt>
                <c:pt idx="872">
                  <c:v>531669.71428571444</c:v>
                </c:pt>
                <c:pt idx="873">
                  <c:v>525444.99999999977</c:v>
                </c:pt>
                <c:pt idx="874">
                  <c:v>531306.99999999953</c:v>
                </c:pt>
                <c:pt idx="875">
                  <c:v>523446.57142857171</c:v>
                </c:pt>
                <c:pt idx="876">
                  <c:v>533689.28571428568</c:v>
                </c:pt>
                <c:pt idx="877">
                  <c:v>566253.42857142841</c:v>
                </c:pt>
                <c:pt idx="878">
                  <c:v>561790.14285714261</c:v>
                </c:pt>
                <c:pt idx="879">
                  <c:v>574225.2857142858</c:v>
                </c:pt>
                <c:pt idx="880">
                  <c:v>610019.7142857149</c:v>
                </c:pt>
                <c:pt idx="881">
                  <c:v>634771.14285714261</c:v>
                </c:pt>
                <c:pt idx="882">
                  <c:v>647372.14285714331</c:v>
                </c:pt>
                <c:pt idx="883">
                  <c:v>649083.9999999993</c:v>
                </c:pt>
                <c:pt idx="884">
                  <c:v>668189.85714285693</c:v>
                </c:pt>
                <c:pt idx="885">
                  <c:v>685482.42857142829</c:v>
                </c:pt>
                <c:pt idx="886">
                  <c:v>703403.42857142887</c:v>
                </c:pt>
                <c:pt idx="887">
                  <c:v>744255.28571428638</c:v>
                </c:pt>
                <c:pt idx="888">
                  <c:v>769724.42857142806</c:v>
                </c:pt>
                <c:pt idx="889">
                  <c:v>775739</c:v>
                </c:pt>
                <c:pt idx="890">
                  <c:v>786213.99999999988</c:v>
                </c:pt>
                <c:pt idx="891">
                  <c:v>782433.28571428522</c:v>
                </c:pt>
                <c:pt idx="892">
                  <c:v>818913.28571428556</c:v>
                </c:pt>
                <c:pt idx="893">
                  <c:v>861574.42857142887</c:v>
                </c:pt>
                <c:pt idx="894">
                  <c:v>858328.57142857183</c:v>
                </c:pt>
                <c:pt idx="895">
                  <c:v>865156.7142857135</c:v>
                </c:pt>
                <c:pt idx="896">
                  <c:v>885743.71428571362</c:v>
                </c:pt>
                <c:pt idx="897">
                  <c:v>895114.99999999988</c:v>
                </c:pt>
                <c:pt idx="898">
                  <c:v>925179.71428571432</c:v>
                </c:pt>
                <c:pt idx="899">
                  <c:v>926117.85714285704</c:v>
                </c:pt>
                <c:pt idx="900">
                  <c:v>957705.14285714296</c:v>
                </c:pt>
                <c:pt idx="901">
                  <c:v>946803.28571428556</c:v>
                </c:pt>
                <c:pt idx="902">
                  <c:v>951236.85714285774</c:v>
                </c:pt>
                <c:pt idx="903">
                  <c:v>958240.57142857125</c:v>
                </c:pt>
                <c:pt idx="904">
                  <c:v>962966.57142857148</c:v>
                </c:pt>
                <c:pt idx="905">
                  <c:v>981112.00000000012</c:v>
                </c:pt>
                <c:pt idx="906">
                  <c:v>1028105.285714286</c:v>
                </c:pt>
                <c:pt idx="907">
                  <c:v>1048905.8571428568</c:v>
                </c:pt>
                <c:pt idx="908">
                  <c:v>1072475.4285714286</c:v>
                </c:pt>
                <c:pt idx="909">
                  <c:v>1081535.4285714289</c:v>
                </c:pt>
                <c:pt idx="910">
                  <c:v>1093612.8571428573</c:v>
                </c:pt>
                <c:pt idx="911">
                  <c:v>1106561.5714285711</c:v>
                </c:pt>
                <c:pt idx="912">
                  <c:v>1076703.0000000005</c:v>
                </c:pt>
                <c:pt idx="913">
                  <c:v>1026360.0000000003</c:v>
                </c:pt>
                <c:pt idx="914">
                  <c:v>999385.57142857148</c:v>
                </c:pt>
                <c:pt idx="915">
                  <c:v>995313.42857142794</c:v>
                </c:pt>
                <c:pt idx="916">
                  <c:v>1034914.4285714295</c:v>
                </c:pt>
                <c:pt idx="917">
                  <c:v>1026129.2857142861</c:v>
                </c:pt>
                <c:pt idx="918">
                  <c:v>1025459.7142857134</c:v>
                </c:pt>
                <c:pt idx="919">
                  <c:v>1008669.4285714281</c:v>
                </c:pt>
                <c:pt idx="920">
                  <c:v>1009210.2857142851</c:v>
                </c:pt>
                <c:pt idx="921">
                  <c:v>971118.57142857113</c:v>
                </c:pt>
                <c:pt idx="922">
                  <c:v>1020014.5714285721</c:v>
                </c:pt>
                <c:pt idx="923">
                  <c:v>953404.57142857136</c:v>
                </c:pt>
                <c:pt idx="924">
                  <c:v>1039430.4285714284</c:v>
                </c:pt>
                <c:pt idx="925">
                  <c:v>1032627.0000000006</c:v>
                </c:pt>
                <c:pt idx="926">
                  <c:v>1023544.9999999992</c:v>
                </c:pt>
                <c:pt idx="927">
                  <c:v>1003365.5714285712</c:v>
                </c:pt>
                <c:pt idx="928">
                  <c:v>984889.71428571455</c:v>
                </c:pt>
                <c:pt idx="929">
                  <c:v>921543.85714285751</c:v>
                </c:pt>
                <c:pt idx="930">
                  <c:v>901360.57142857159</c:v>
                </c:pt>
                <c:pt idx="931">
                  <c:v>823986.14285714168</c:v>
                </c:pt>
                <c:pt idx="932">
                  <c:v>818721.28571428591</c:v>
                </c:pt>
                <c:pt idx="933">
                  <c:v>822676.99999999977</c:v>
                </c:pt>
                <c:pt idx="934">
                  <c:v>830047.42857142852</c:v>
                </c:pt>
                <c:pt idx="935">
                  <c:v>825575.57142857043</c:v>
                </c:pt>
                <c:pt idx="936">
                  <c:v>816650.57142857159</c:v>
                </c:pt>
                <c:pt idx="937">
                  <c:v>822634.42857142887</c:v>
                </c:pt>
                <c:pt idx="938">
                  <c:v>813759.42857142841</c:v>
                </c:pt>
                <c:pt idx="939">
                  <c:v>817138.7142857142</c:v>
                </c:pt>
                <c:pt idx="940">
                  <c:v>797422.85714285693</c:v>
                </c:pt>
                <c:pt idx="941">
                  <c:v>768258.14285714261</c:v>
                </c:pt>
                <c:pt idx="942">
                  <c:v>746822.28571428626</c:v>
                </c:pt>
                <c:pt idx="943">
                  <c:v>742358.2857142858</c:v>
                </c:pt>
                <c:pt idx="944">
                  <c:v>729093.42857142864</c:v>
                </c:pt>
                <c:pt idx="945">
                  <c:v>711720.57142857206</c:v>
                </c:pt>
                <c:pt idx="946">
                  <c:v>700529.85714285786</c:v>
                </c:pt>
                <c:pt idx="947">
                  <c:v>680969.00000000023</c:v>
                </c:pt>
                <c:pt idx="948">
                  <c:v>654098.85714285704</c:v>
                </c:pt>
                <c:pt idx="949">
                  <c:v>648513.57142857159</c:v>
                </c:pt>
                <c:pt idx="950">
                  <c:v>615899.14285714249</c:v>
                </c:pt>
                <c:pt idx="951">
                  <c:v>609390.71428571444</c:v>
                </c:pt>
                <c:pt idx="952">
                  <c:v>598525.28571428533</c:v>
                </c:pt>
                <c:pt idx="953">
                  <c:v>593410.57142857171</c:v>
                </c:pt>
                <c:pt idx="954">
                  <c:v>576207.28571428638</c:v>
                </c:pt>
                <c:pt idx="955">
                  <c:v>572958.42857142771</c:v>
                </c:pt>
                <c:pt idx="956">
                  <c:v>546983.7142857142</c:v>
                </c:pt>
                <c:pt idx="957">
                  <c:v>533400.42857142829</c:v>
                </c:pt>
                <c:pt idx="958">
                  <c:v>514393.42857142846</c:v>
                </c:pt>
                <c:pt idx="959">
                  <c:v>505290.1428571429</c:v>
                </c:pt>
                <c:pt idx="960">
                  <c:v>497261.42857142835</c:v>
                </c:pt>
                <c:pt idx="961">
                  <c:v>501806.14285714366</c:v>
                </c:pt>
                <c:pt idx="962">
                  <c:v>483742.42857142858</c:v>
                </c:pt>
                <c:pt idx="963">
                  <c:v>495251.99999999971</c:v>
                </c:pt>
                <c:pt idx="964">
                  <c:v>498762.28571428533</c:v>
                </c:pt>
                <c:pt idx="965">
                  <c:v>489244.57142857165</c:v>
                </c:pt>
                <c:pt idx="966">
                  <c:v>486627.71428571449</c:v>
                </c:pt>
                <c:pt idx="967">
                  <c:v>478080.28571428545</c:v>
                </c:pt>
                <c:pt idx="968">
                  <c:v>468119.00000000041</c:v>
                </c:pt>
                <c:pt idx="969">
                  <c:v>468638.42857142893</c:v>
                </c:pt>
                <c:pt idx="970">
                  <c:v>443846.00000000029</c:v>
                </c:pt>
                <c:pt idx="971">
                  <c:v>445290.14285714255</c:v>
                </c:pt>
                <c:pt idx="972">
                  <c:v>453921.14285714284</c:v>
                </c:pt>
                <c:pt idx="973">
                  <c:v>449626.85714285693</c:v>
                </c:pt>
                <c:pt idx="974">
                  <c:v>445016.14285714203</c:v>
                </c:pt>
                <c:pt idx="975">
                  <c:v>448400.85714285722</c:v>
                </c:pt>
                <c:pt idx="976">
                  <c:v>456192.42857142806</c:v>
                </c:pt>
                <c:pt idx="977">
                  <c:v>458278.57142857159</c:v>
                </c:pt>
                <c:pt idx="978">
                  <c:v>465237.85714285728</c:v>
                </c:pt>
                <c:pt idx="979">
                  <c:v>456493.85714285751</c:v>
                </c:pt>
                <c:pt idx="980">
                  <c:v>452970.14285714313</c:v>
                </c:pt>
                <c:pt idx="981">
                  <c:v>449835.57142857101</c:v>
                </c:pt>
                <c:pt idx="982">
                  <c:v>429169.28571428655</c:v>
                </c:pt>
                <c:pt idx="983">
                  <c:v>435202.71428571444</c:v>
                </c:pt>
                <c:pt idx="984">
                  <c:v>#N/A</c:v>
                </c:pt>
                <c:pt idx="985">
                  <c:v>#N/A</c:v>
                </c:pt>
                <c:pt idx="986">
                  <c:v>#N/A</c:v>
                </c:pt>
                <c:pt idx="987">
                  <c:v>#N/A</c:v>
                </c:pt>
                <c:pt idx="988">
                  <c:v>#N/A</c:v>
                </c:pt>
                <c:pt idx="989">
                  <c:v>#N/A</c:v>
                </c:pt>
                <c:pt idx="990">
                  <c:v>#N/A</c:v>
                </c:pt>
              </c:numCache>
            </c:numRef>
          </c:val>
          <c:smooth val="0"/>
          <c:extLst>
            <c:ext xmlns:c16="http://schemas.microsoft.com/office/drawing/2014/chart" uri="{C3380CC4-5D6E-409C-BE32-E72D297353CC}">
              <c16:uniqueId val="{00000003-2C36-40BD-BC7D-09303454034B}"/>
            </c:ext>
          </c:extLst>
        </c:ser>
        <c:dLbls>
          <c:showLegendKey val="0"/>
          <c:showVal val="0"/>
          <c:showCatName val="0"/>
          <c:showSerName val="0"/>
          <c:showPercent val="0"/>
          <c:showBubbleSize val="0"/>
        </c:dLbls>
        <c:smooth val="0"/>
        <c:axId val="1508232816"/>
        <c:axId val="1508225928"/>
      </c:lineChart>
      <c:dateAx>
        <c:axId val="1508232816"/>
        <c:scaling>
          <c:orientation val="minMax"/>
          <c:max val="44899"/>
        </c:scaling>
        <c:delete val="0"/>
        <c:axPos val="b"/>
        <c:numFmt formatCode="mmm\ yy" sourceLinked="0"/>
        <c:majorTickMark val="out"/>
        <c:minorTickMark val="none"/>
        <c:tickLblPos val="nextTo"/>
        <c:spPr>
          <a:noFill/>
          <a:ln w="9525" cap="flat" cmpd="sng" algn="ctr">
            <a:solidFill>
              <a:sysClr val="windowText" lastClr="000000">
                <a:lumMod val="65000"/>
                <a:lumOff val="35000"/>
              </a:sys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8225928"/>
        <c:crosses val="autoZero"/>
        <c:auto val="1"/>
        <c:lblOffset val="100"/>
        <c:baseTimeUnit val="days"/>
        <c:majorUnit val="3"/>
        <c:majorTimeUnit val="months"/>
      </c:dateAx>
      <c:valAx>
        <c:axId val="1508225928"/>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AU" sz="900" i="1"/>
                  <a:t>7-day rolling average, 000s</a:t>
                </a:r>
              </a:p>
            </c:rich>
          </c:tx>
          <c:layout>
            <c:manualLayout>
              <c:xMode val="edge"/>
              <c:yMode val="edge"/>
              <c:x val="1.1999832532929236E-2"/>
              <c:y val="0.23018065586086173"/>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 ##0" sourceLinked="0"/>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8232816"/>
        <c:crosses val="autoZero"/>
        <c:crossBetween val="between"/>
        <c:dispUnits>
          <c:builtInUnit val="thousands"/>
        </c:dispUnits>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900"/>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13945263884268"/>
          <c:y val="3.524609423822022E-2"/>
          <c:w val="0.85173487116927282"/>
          <c:h val="0.78838700717070009"/>
        </c:manualLayout>
      </c:layout>
      <c:lineChart>
        <c:grouping val="standard"/>
        <c:varyColors val="0"/>
        <c:ser>
          <c:idx val="3"/>
          <c:order val="0"/>
          <c:tx>
            <c:v>Real GSP</c:v>
          </c:tx>
          <c:spPr>
            <a:ln w="22225" cap="rnd">
              <a:solidFill>
                <a:sysClr val="windowText" lastClr="000000"/>
              </a:solidFill>
              <a:round/>
            </a:ln>
            <a:effectLst/>
          </c:spPr>
          <c:marker>
            <c:symbol val="none"/>
          </c:marker>
          <c:cat>
            <c:numRef>
              <c:f>'Scenario results - data'!$D$2:$W$2</c:f>
              <c:numCache>
                <c:formatCode>m/d/yyyy</c:formatCode>
                <c:ptCount val="20"/>
                <c:pt idx="0">
                  <c:v>44440</c:v>
                </c:pt>
                <c:pt idx="1">
                  <c:v>44531</c:v>
                </c:pt>
                <c:pt idx="2">
                  <c:v>44621</c:v>
                </c:pt>
                <c:pt idx="3">
                  <c:v>44713</c:v>
                </c:pt>
                <c:pt idx="4">
                  <c:v>44805</c:v>
                </c:pt>
                <c:pt idx="5">
                  <c:v>44896</c:v>
                </c:pt>
                <c:pt idx="6">
                  <c:v>44986</c:v>
                </c:pt>
                <c:pt idx="7">
                  <c:v>45078</c:v>
                </c:pt>
                <c:pt idx="8">
                  <c:v>45170</c:v>
                </c:pt>
                <c:pt idx="9">
                  <c:v>45261</c:v>
                </c:pt>
                <c:pt idx="10">
                  <c:v>45352</c:v>
                </c:pt>
                <c:pt idx="11">
                  <c:v>45444</c:v>
                </c:pt>
                <c:pt idx="12">
                  <c:v>45536</c:v>
                </c:pt>
                <c:pt idx="13">
                  <c:v>45627</c:v>
                </c:pt>
                <c:pt idx="14">
                  <c:v>45717</c:v>
                </c:pt>
                <c:pt idx="15">
                  <c:v>45809</c:v>
                </c:pt>
                <c:pt idx="16">
                  <c:v>45901</c:v>
                </c:pt>
                <c:pt idx="17">
                  <c:v>45992</c:v>
                </c:pt>
                <c:pt idx="18">
                  <c:v>46082</c:v>
                </c:pt>
                <c:pt idx="19">
                  <c:v>46174</c:v>
                </c:pt>
              </c:numCache>
            </c:numRef>
          </c:cat>
          <c:val>
            <c:numRef>
              <c:f>'Scenario results - data'!$D$5:$W$5</c:f>
              <c:numCache>
                <c:formatCode>0.0</c:formatCode>
                <c:ptCount val="20"/>
                <c:pt idx="0">
                  <c:v>0</c:v>
                </c:pt>
                <c:pt idx="1">
                  <c:v>0</c:v>
                </c:pt>
                <c:pt idx="2">
                  <c:v>0</c:v>
                </c:pt>
                <c:pt idx="3">
                  <c:v>0</c:v>
                </c:pt>
                <c:pt idx="4">
                  <c:v>0</c:v>
                </c:pt>
                <c:pt idx="5">
                  <c:v>0</c:v>
                </c:pt>
                <c:pt idx="6">
                  <c:v>-0.65420599999999995</c:v>
                </c:pt>
                <c:pt idx="7">
                  <c:v>-0.76297300000000001</c:v>
                </c:pt>
                <c:pt idx="8">
                  <c:v>-0.83486899999999997</c:v>
                </c:pt>
                <c:pt idx="9">
                  <c:v>-0.69937099999999996</c:v>
                </c:pt>
                <c:pt idx="10">
                  <c:v>-0.63356199999999996</c:v>
                </c:pt>
                <c:pt idx="11">
                  <c:v>-0.59763900000000003</c:v>
                </c:pt>
                <c:pt idx="12">
                  <c:v>-0.63882899999999998</c:v>
                </c:pt>
                <c:pt idx="13">
                  <c:v>-0.66609600000000002</c:v>
                </c:pt>
                <c:pt idx="14">
                  <c:v>-0.67118299999999997</c:v>
                </c:pt>
                <c:pt idx="15">
                  <c:v>-0.67710099999999995</c:v>
                </c:pt>
                <c:pt idx="16">
                  <c:v>-0.67499100000000001</c:v>
                </c:pt>
                <c:pt idx="17">
                  <c:v>-0.67486800000000002</c:v>
                </c:pt>
                <c:pt idx="18">
                  <c:v>-0.67429300000000003</c:v>
                </c:pt>
                <c:pt idx="19">
                  <c:v>-0.67231099999999999</c:v>
                </c:pt>
              </c:numCache>
            </c:numRef>
          </c:val>
          <c:smooth val="0"/>
          <c:extLst>
            <c:ext xmlns:c16="http://schemas.microsoft.com/office/drawing/2014/chart" uri="{C3380CC4-5D6E-409C-BE32-E72D297353CC}">
              <c16:uniqueId val="{00000000-BA61-4527-A698-B3888E43F117}"/>
            </c:ext>
          </c:extLst>
        </c:ser>
        <c:ser>
          <c:idx val="4"/>
          <c:order val="1"/>
          <c:tx>
            <c:v>Household consumption</c:v>
          </c:tx>
          <c:spPr>
            <a:ln>
              <a:solidFill>
                <a:sysClr val="window" lastClr="FFFFFF">
                  <a:lumMod val="75000"/>
                </a:sysClr>
              </a:solidFill>
            </a:ln>
          </c:spPr>
          <c:marker>
            <c:symbol val="none"/>
          </c:marker>
          <c:cat>
            <c:numRef>
              <c:f>'Scenario results - data'!$D$2:$W$2</c:f>
              <c:numCache>
                <c:formatCode>m/d/yyyy</c:formatCode>
                <c:ptCount val="20"/>
                <c:pt idx="0">
                  <c:v>44440</c:v>
                </c:pt>
                <c:pt idx="1">
                  <c:v>44531</c:v>
                </c:pt>
                <c:pt idx="2">
                  <c:v>44621</c:v>
                </c:pt>
                <c:pt idx="3">
                  <c:v>44713</c:v>
                </c:pt>
                <c:pt idx="4">
                  <c:v>44805</c:v>
                </c:pt>
                <c:pt idx="5">
                  <c:v>44896</c:v>
                </c:pt>
                <c:pt idx="6">
                  <c:v>44986</c:v>
                </c:pt>
                <c:pt idx="7">
                  <c:v>45078</c:v>
                </c:pt>
                <c:pt idx="8">
                  <c:v>45170</c:v>
                </c:pt>
                <c:pt idx="9">
                  <c:v>45261</c:v>
                </c:pt>
                <c:pt idx="10">
                  <c:v>45352</c:v>
                </c:pt>
                <c:pt idx="11">
                  <c:v>45444</c:v>
                </c:pt>
                <c:pt idx="12">
                  <c:v>45536</c:v>
                </c:pt>
                <c:pt idx="13">
                  <c:v>45627</c:v>
                </c:pt>
                <c:pt idx="14">
                  <c:v>45717</c:v>
                </c:pt>
                <c:pt idx="15">
                  <c:v>45809</c:v>
                </c:pt>
                <c:pt idx="16">
                  <c:v>45901</c:v>
                </c:pt>
                <c:pt idx="17">
                  <c:v>45992</c:v>
                </c:pt>
                <c:pt idx="18">
                  <c:v>46082</c:v>
                </c:pt>
                <c:pt idx="19">
                  <c:v>46174</c:v>
                </c:pt>
              </c:numCache>
            </c:numRef>
          </c:cat>
          <c:val>
            <c:numRef>
              <c:f>'Scenario results - data'!$D$6:$W$6</c:f>
              <c:numCache>
                <c:formatCode>0.0</c:formatCode>
                <c:ptCount val="20"/>
                <c:pt idx="0">
                  <c:v>0</c:v>
                </c:pt>
                <c:pt idx="1">
                  <c:v>0</c:v>
                </c:pt>
                <c:pt idx="2">
                  <c:v>0</c:v>
                </c:pt>
                <c:pt idx="3" formatCode="0">
                  <c:v>0</c:v>
                </c:pt>
                <c:pt idx="4" formatCode="0">
                  <c:v>0</c:v>
                </c:pt>
                <c:pt idx="5" formatCode="0">
                  <c:v>0</c:v>
                </c:pt>
                <c:pt idx="6" formatCode="0">
                  <c:v>-1.7112000000000001</c:v>
                </c:pt>
                <c:pt idx="7" formatCode="0">
                  <c:v>-1.89707</c:v>
                </c:pt>
                <c:pt idx="8" formatCode="0">
                  <c:v>-2.01959</c:v>
                </c:pt>
                <c:pt idx="9" formatCode="0">
                  <c:v>-1.4526399999999999</c:v>
                </c:pt>
                <c:pt idx="10" formatCode="0">
                  <c:v>-1.1561999999999999</c:v>
                </c:pt>
                <c:pt idx="11" formatCode="0">
                  <c:v>-0.90574600000000005</c:v>
                </c:pt>
                <c:pt idx="12" formatCode="0">
                  <c:v>-0.936191</c:v>
                </c:pt>
                <c:pt idx="13" formatCode="0">
                  <c:v>-0.94730999999999999</c:v>
                </c:pt>
                <c:pt idx="14" formatCode="0">
                  <c:v>-0.93424499999999999</c:v>
                </c:pt>
                <c:pt idx="15" formatCode="0">
                  <c:v>-0.92183400000000004</c:v>
                </c:pt>
                <c:pt idx="16" formatCode="0">
                  <c:v>-0.90359599999999995</c:v>
                </c:pt>
                <c:pt idx="17" formatCode="0">
                  <c:v>-0.89026700000000003</c:v>
                </c:pt>
                <c:pt idx="18" formatCode="0">
                  <c:v>-0.87708799999999998</c:v>
                </c:pt>
                <c:pt idx="19" formatCode="0">
                  <c:v>-0.86112100000000003</c:v>
                </c:pt>
              </c:numCache>
            </c:numRef>
          </c:val>
          <c:smooth val="0"/>
          <c:extLst>
            <c:ext xmlns:c16="http://schemas.microsoft.com/office/drawing/2014/chart" uri="{C3380CC4-5D6E-409C-BE32-E72D297353CC}">
              <c16:uniqueId val="{00000001-BA61-4527-A698-B3888E43F117}"/>
            </c:ext>
          </c:extLst>
        </c:ser>
        <c:dLbls>
          <c:showLegendKey val="0"/>
          <c:showVal val="0"/>
          <c:showCatName val="0"/>
          <c:showSerName val="0"/>
          <c:showPercent val="0"/>
          <c:showBubbleSize val="0"/>
        </c:dLbls>
        <c:smooth val="0"/>
        <c:axId val="1032676440"/>
        <c:axId val="1032677424"/>
        <c:extLst/>
      </c:lineChart>
      <c:dateAx>
        <c:axId val="1032676440"/>
        <c:scaling>
          <c:orientation val="minMax"/>
          <c:min val="44713"/>
        </c:scaling>
        <c:delete val="0"/>
        <c:axPos val="b"/>
        <c:numFmt formatCode="yyyy" sourceLinked="0"/>
        <c:majorTickMark val="out"/>
        <c:minorTickMark val="none"/>
        <c:tickLblPos val="low"/>
        <c:spPr>
          <a:noFill/>
          <a:ln w="9525" cap="flat" cmpd="sng" algn="ctr">
            <a:solidFill>
              <a:sysClr val="windowText" lastClr="000000">
                <a:lumMod val="65000"/>
                <a:lumOff val="35000"/>
              </a:sysClr>
            </a:solidFill>
            <a:round/>
          </a:ln>
          <a:effectLst/>
        </c:spPr>
        <c:txPr>
          <a:bodyPr rot="-60000000" vert="horz"/>
          <a:lstStyle/>
          <a:p>
            <a:pPr>
              <a:defRPr sz="1000"/>
            </a:pPr>
            <a:endParaRPr lang="en-US"/>
          </a:p>
        </c:txPr>
        <c:crossAx val="1032677424"/>
        <c:crosses val="autoZero"/>
        <c:auto val="0"/>
        <c:lblOffset val="100"/>
        <c:baseTimeUnit val="months"/>
        <c:majorUnit val="12"/>
        <c:majorTimeUnit val="months"/>
        <c:minorUnit val="1"/>
      </c:dateAx>
      <c:valAx>
        <c:axId val="1032677424"/>
        <c:scaling>
          <c:orientation val="minMax"/>
        </c:scaling>
        <c:delete val="0"/>
        <c:axPos val="l"/>
        <c:majorGridlines>
          <c:spPr>
            <a:ln w="9525">
              <a:solidFill>
                <a:schemeClr val="bg1">
                  <a:lumMod val="65000"/>
                </a:schemeClr>
              </a:solidFill>
              <a:prstDash val="dash"/>
            </a:ln>
          </c:spPr>
        </c:majorGridlines>
        <c:title>
          <c:tx>
            <c:rich>
              <a:bodyPr/>
              <a:lstStyle/>
              <a:p>
                <a:pPr>
                  <a:defRPr sz="900"/>
                </a:pPr>
                <a:r>
                  <a:rPr lang="en-AU" sz="900" b="0" i="1"/>
                  <a:t>percentage deviation from baseline</a:t>
                </a:r>
              </a:p>
            </c:rich>
          </c:tx>
          <c:layout>
            <c:manualLayout>
              <c:xMode val="edge"/>
              <c:yMode val="edge"/>
              <c:x val="1.4539950198263202E-4"/>
              <c:y val="0.14736005813440683"/>
            </c:manualLayout>
          </c:layout>
          <c:overlay val="0"/>
        </c:title>
        <c:numFmt formatCode="#,##0.0" sourceLinked="0"/>
        <c:majorTickMark val="out"/>
        <c:minorTickMark val="none"/>
        <c:tickLblPos val="nextTo"/>
        <c:spPr>
          <a:noFill/>
          <a:ln>
            <a:solidFill>
              <a:schemeClr val="tx1">
                <a:lumMod val="65000"/>
                <a:lumOff val="35000"/>
              </a:schemeClr>
            </a:solidFill>
          </a:ln>
          <a:effectLst/>
        </c:spPr>
        <c:txPr>
          <a:bodyPr rot="-60000000" vert="horz"/>
          <a:lstStyle/>
          <a:p>
            <a:pPr>
              <a:defRPr sz="1000"/>
            </a:pPr>
            <a:endParaRPr lang="en-US"/>
          </a:p>
        </c:txPr>
        <c:crossAx val="1032676440"/>
        <c:crossesAt val="1"/>
        <c:crossBetween val="between"/>
        <c:majorUnit val="0.5"/>
      </c:valAx>
      <c:spPr>
        <a:noFill/>
        <a:ln>
          <a:noFill/>
        </a:ln>
        <a:effectLst/>
      </c:spPr>
    </c:plotArea>
    <c:legend>
      <c:legendPos val="b"/>
      <c:layout>
        <c:manualLayout>
          <c:xMode val="edge"/>
          <c:yMode val="edge"/>
          <c:x val="0.25107123805268661"/>
          <c:y val="0.91692743335803872"/>
          <c:w val="0.49785733131250492"/>
          <c:h val="5.7994204989606619E-2"/>
        </c:manualLayout>
      </c:layout>
      <c:overlay val="0"/>
      <c:txPr>
        <a:bodyPr/>
        <a:lstStyle/>
        <a:p>
          <a:pPr>
            <a:defRPr sz="900"/>
          </a:pPr>
          <a:endParaRPr lang="en-US"/>
        </a:p>
      </c:txPr>
    </c:legend>
    <c:plotVisOnly val="1"/>
    <c:dispBlanksAs val="gap"/>
    <c:showDLblsOverMax val="0"/>
    <c:extLst/>
  </c:chart>
  <c:spPr>
    <a:noFill/>
    <a:ln w="9525" cap="flat" cmpd="sng" algn="ctr">
      <a:noFill/>
      <a:round/>
    </a:ln>
    <a:effectLst/>
  </c:spPr>
  <c:txPr>
    <a:bodyPr/>
    <a:lstStyle/>
    <a:p>
      <a:pPr>
        <a:defRPr sz="1100"/>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0.85197</cdr:x>
      <cdr:y>0.76131</cdr:y>
    </cdr:from>
    <cdr:to>
      <cdr:x>0.97729</cdr:x>
      <cdr:y>0.83631</cdr:y>
    </cdr:to>
    <cdr:sp macro="" textlink="">
      <cdr:nvSpPr>
        <cdr:cNvPr id="2" name="TextBox 1">
          <a:extLst xmlns:a="http://schemas.openxmlformats.org/drawingml/2006/main">
            <a:ext uri="{FF2B5EF4-FFF2-40B4-BE49-F238E27FC236}">
              <a16:creationId xmlns:a16="http://schemas.microsoft.com/office/drawing/2014/main" id="{28431739-75CB-42D9-98BD-361B4DFDDFDD}"/>
            </a:ext>
          </a:extLst>
        </cdr:cNvPr>
        <cdr:cNvSpPr txBox="1"/>
      </cdr:nvSpPr>
      <cdr:spPr>
        <a:xfrm xmlns:a="http://schemas.openxmlformats.org/drawingml/2006/main">
          <a:off x="4171650" y="2148371"/>
          <a:ext cx="613628" cy="21164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900">
              <a:solidFill>
                <a:srgbClr val="AFABAB"/>
              </a:solidFill>
            </a:rPr>
            <a:t>Europe</a:t>
          </a:r>
        </a:p>
      </cdr:txBody>
    </cdr:sp>
  </cdr:relSizeAnchor>
  <cdr:relSizeAnchor xmlns:cdr="http://schemas.openxmlformats.org/drawingml/2006/chartDrawing">
    <cdr:from>
      <cdr:x>0.84792</cdr:x>
      <cdr:y>0.82437</cdr:y>
    </cdr:from>
    <cdr:to>
      <cdr:x>0.99026</cdr:x>
      <cdr:y>0.91567</cdr:y>
    </cdr:to>
    <cdr:sp macro="" textlink="">
      <cdr:nvSpPr>
        <cdr:cNvPr id="4" name="TextBox 1">
          <a:extLst xmlns:a="http://schemas.openxmlformats.org/drawingml/2006/main">
            <a:ext uri="{FF2B5EF4-FFF2-40B4-BE49-F238E27FC236}">
              <a16:creationId xmlns:a16="http://schemas.microsoft.com/office/drawing/2014/main" id="{094FE7CC-74DE-4908-A18A-660F245D8652}"/>
            </a:ext>
          </a:extLst>
        </cdr:cNvPr>
        <cdr:cNvSpPr txBox="1"/>
      </cdr:nvSpPr>
      <cdr:spPr>
        <a:xfrm xmlns:a="http://schemas.openxmlformats.org/drawingml/2006/main">
          <a:off x="4151811" y="2326329"/>
          <a:ext cx="696966" cy="25764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solidFill>
                <a:srgbClr val="595959"/>
              </a:solidFill>
            </a:rPr>
            <a:t>America</a:t>
          </a:r>
        </a:p>
      </cdr:txBody>
    </cdr:sp>
  </cdr:relSizeAnchor>
  <cdr:relSizeAnchor xmlns:cdr="http://schemas.openxmlformats.org/drawingml/2006/chartDrawing">
    <cdr:from>
      <cdr:x>0.84929</cdr:x>
      <cdr:y>0.79538</cdr:y>
    </cdr:from>
    <cdr:to>
      <cdr:x>0.9993</cdr:x>
      <cdr:y>0.85376</cdr:y>
    </cdr:to>
    <cdr:sp macro="" textlink="">
      <cdr:nvSpPr>
        <cdr:cNvPr id="7" name="TextBox 1">
          <a:extLst xmlns:a="http://schemas.openxmlformats.org/drawingml/2006/main">
            <a:ext uri="{FF2B5EF4-FFF2-40B4-BE49-F238E27FC236}">
              <a16:creationId xmlns:a16="http://schemas.microsoft.com/office/drawing/2014/main" id="{7417B61E-2059-49D3-99A5-53354975167C}"/>
            </a:ext>
          </a:extLst>
        </cdr:cNvPr>
        <cdr:cNvSpPr txBox="1"/>
      </cdr:nvSpPr>
      <cdr:spPr>
        <a:xfrm xmlns:a="http://schemas.openxmlformats.org/drawingml/2006/main">
          <a:off x="4158532" y="2244516"/>
          <a:ext cx="734526" cy="16473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solidFill>
                <a:schemeClr val="tx1"/>
              </a:solidFill>
            </a:rPr>
            <a:t>Asia</a:t>
          </a:r>
          <a:r>
            <a:rPr lang="en-AU" sz="900" baseline="0">
              <a:solidFill>
                <a:schemeClr val="tx1"/>
              </a:solidFill>
            </a:rPr>
            <a:t>/</a:t>
          </a:r>
          <a:r>
            <a:rPr lang="en-AU" sz="900">
              <a:solidFill>
                <a:schemeClr val="tx1"/>
              </a:solidFill>
            </a:rPr>
            <a:t>Pacific</a:t>
          </a:r>
        </a:p>
      </cdr:txBody>
    </cdr:sp>
  </cdr:relSizeAnchor>
  <cdr:relSizeAnchor xmlns:cdr="http://schemas.openxmlformats.org/drawingml/2006/chartDrawing">
    <cdr:from>
      <cdr:x>0.85477</cdr:x>
      <cdr:y>0.71173</cdr:y>
    </cdr:from>
    <cdr:to>
      <cdr:x>0.98009</cdr:x>
      <cdr:y>0.79947</cdr:y>
    </cdr:to>
    <cdr:sp macro="" textlink="">
      <cdr:nvSpPr>
        <cdr:cNvPr id="8" name="TextBox 1">
          <a:extLst xmlns:a="http://schemas.openxmlformats.org/drawingml/2006/main">
            <a:ext uri="{FF2B5EF4-FFF2-40B4-BE49-F238E27FC236}">
              <a16:creationId xmlns:a16="http://schemas.microsoft.com/office/drawing/2014/main" id="{B2883924-B6CE-41CD-A262-CF18BDFB30E0}"/>
            </a:ext>
          </a:extLst>
        </cdr:cNvPr>
        <cdr:cNvSpPr txBox="1"/>
      </cdr:nvSpPr>
      <cdr:spPr>
        <a:xfrm xmlns:a="http://schemas.openxmlformats.org/drawingml/2006/main">
          <a:off x="4380860" y="2036750"/>
          <a:ext cx="642288" cy="25108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solidFill>
                <a:schemeClr val="tx1">
                  <a:lumMod val="75000"/>
                  <a:lumOff val="25000"/>
                </a:schemeClr>
              </a:solidFill>
            </a:rPr>
            <a:t>Total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TF Publication">
      <a:majorFont>
        <a:latin typeface="Calibri"/>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7810AF1-6292-4E35-8565-1B275E5D6A13}">
  <ds:schemaRefs>
    <ds:schemaRef ds:uri="http://schemas.openxmlformats.org/officeDocument/2006/bibliography"/>
  </ds:schemaRefs>
</ds:datastoreItem>
</file>

<file path=customXml/itemProps2.xml><?xml version="1.0" encoding="utf-8"?>
<ds:datastoreItem xmlns:ds="http://schemas.openxmlformats.org/officeDocument/2006/customXml" ds:itemID="{2710D623-C356-433B-9353-A0B38869AA1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128</Pages>
  <Words>35292</Words>
  <Characters>201168</Characters>
  <Application>Microsoft Office Word</Application>
  <DocSecurity>0</DocSecurity>
  <Lines>1676</Lines>
  <Paragraphs>471</Paragraphs>
  <ScaleCrop>false</ScaleCrop>
  <HeadingPairs>
    <vt:vector size="2" baseType="variant">
      <vt:variant>
        <vt:lpstr>Title</vt:lpstr>
      </vt:variant>
      <vt:variant>
        <vt:i4>1</vt:i4>
      </vt:variant>
    </vt:vector>
  </HeadingPairs>
  <TitlesOfParts>
    <vt:vector size="1" baseType="lpstr">
      <vt:lpstr>2022 Victorian Economic and Fiscal Update</vt:lpstr>
    </vt:vector>
  </TitlesOfParts>
  <Company/>
  <LinksUpToDate>false</LinksUpToDate>
  <CharactersWithSpaces>235989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Victorian Economic and Fiscal Update</dc:title>
  <dc:subject/>
  <dc:creator/>
  <cp:keywords/>
  <dc:description/>
  <cp:lastModifiedBy/>
  <cp:revision>1</cp:revision>
  <dcterms:created xsi:type="dcterms:W3CDTF">2022-10-28T01:20:00Z</dcterms:created>
  <dcterms:modified xsi:type="dcterms:W3CDTF">2022-10-28T03:51:00Z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4ee517-5ca4-4fff-98d2-ed4f906edd6d_Enabled">
    <vt:lpwstr>true</vt:lpwstr>
  </property>
  <property fmtid="{D5CDD505-2E9C-101B-9397-08002B2CF9AE}" pid="3" name="MSIP_Label_bb4ee517-5ca4-4fff-98d2-ed4f906edd6d_SetDate">
    <vt:lpwstr>2022-10-28T01:21:13Z</vt:lpwstr>
  </property>
  <property fmtid="{D5CDD505-2E9C-101B-9397-08002B2CF9AE}" pid="4" name="MSIP_Label_bb4ee517-5ca4-4fff-98d2-ed4f906edd6d_Method">
    <vt:lpwstr>Privileged</vt:lpwstr>
  </property>
  <property fmtid="{D5CDD505-2E9C-101B-9397-08002B2CF9AE}" pid="5" name="MSIP_Label_bb4ee517-5ca4-4fff-98d2-ed4f906edd6d_Name">
    <vt:lpwstr>bb4ee517-5ca4-4fff-98d2-ed4f906edd6d</vt:lpwstr>
  </property>
  <property fmtid="{D5CDD505-2E9C-101B-9397-08002B2CF9AE}" pid="6" name="MSIP_Label_bb4ee517-5ca4-4fff-98d2-ed4f906edd6d_SiteId">
    <vt:lpwstr>722ea0be-3e1c-4b11-ad6f-9401d6856e24</vt:lpwstr>
  </property>
  <property fmtid="{D5CDD505-2E9C-101B-9397-08002B2CF9AE}" pid="7" name="MSIP_Label_bb4ee517-5ca4-4fff-98d2-ed4f906edd6d_ActionId">
    <vt:lpwstr>220e6fe1-85ad-449f-b28e-875326d59531</vt:lpwstr>
  </property>
  <property fmtid="{D5CDD505-2E9C-101B-9397-08002B2CF9AE}" pid="8" name="MSIP_Label_bb4ee517-5ca4-4fff-98d2-ed4f906edd6d_ContentBits">
    <vt:lpwstr>0</vt:lpwstr>
  </property>
</Properties>
</file>