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579F" w14:textId="464E4C30" w:rsidR="00045296" w:rsidRPr="00DF5908" w:rsidRDefault="00063926" w:rsidP="0057389E">
      <w:pPr>
        <w:pStyle w:val="Title"/>
        <w:spacing w:before="3840"/>
      </w:pPr>
      <w:bookmarkStart w:id="0" w:name="_Toc442780672"/>
      <w:r w:rsidRPr="00DF5908">
        <w:t xml:space="preserve">Summary of changes applied to </w:t>
      </w:r>
      <w:r w:rsidR="00E90046" w:rsidRPr="00DF5908">
        <w:t xml:space="preserve">the </w:t>
      </w:r>
      <w:r w:rsidR="00E90046">
        <w:t>2019</w:t>
      </w:r>
      <w:r w:rsidR="007F76C0">
        <w:t>-20</w:t>
      </w:r>
      <w:r w:rsidR="00DA4121" w:rsidRPr="00DF5908">
        <w:t> </w:t>
      </w:r>
      <w:r w:rsidRPr="00DF5908">
        <w:t>Model Report</w:t>
      </w:r>
    </w:p>
    <w:p w14:paraId="1B595AF6" w14:textId="4B7B54F5" w:rsidR="00063926" w:rsidRDefault="00063926" w:rsidP="00063926">
      <w:pPr>
        <w:pStyle w:val="TertiaryTitle"/>
        <w:tabs>
          <w:tab w:val="left" w:pos="2790"/>
          <w:tab w:val="left" w:pos="5040"/>
        </w:tabs>
      </w:pPr>
    </w:p>
    <w:p w14:paraId="5577295F" w14:textId="77777777" w:rsidR="004636B4" w:rsidRPr="004636B4" w:rsidRDefault="004636B4">
      <w:pPr>
        <w:pStyle w:val="TertiaryTitle"/>
        <w:tabs>
          <w:tab w:val="left" w:pos="2790"/>
          <w:tab w:val="left" w:pos="5040"/>
        </w:tabs>
      </w:pPr>
    </w:p>
    <w:p w14:paraId="6FD196FF" w14:textId="77777777" w:rsidR="00063926" w:rsidRPr="00CE225E" w:rsidRDefault="00063926" w:rsidP="00CE225E">
      <w:pPr>
        <w:rPr>
          <w:sz w:val="28"/>
          <w:szCs w:val="22"/>
        </w:rPr>
      </w:pPr>
      <w:r w:rsidRPr="00CE225E">
        <w:rPr>
          <w:sz w:val="28"/>
          <w:szCs w:val="22"/>
        </w:rPr>
        <w:t xml:space="preserve">Contact details: </w:t>
      </w:r>
      <w:r w:rsidRPr="00CE225E">
        <w:rPr>
          <w:sz w:val="28"/>
          <w:szCs w:val="22"/>
        </w:rPr>
        <w:tab/>
      </w:r>
    </w:p>
    <w:p w14:paraId="569AB849" w14:textId="77777777" w:rsidR="00EE6810" w:rsidRPr="00EE6810" w:rsidRDefault="00EE6810" w:rsidP="00CE225E">
      <w:r w:rsidRPr="00EE6810">
        <w:t>Accounting</w:t>
      </w:r>
      <w:r>
        <w:t xml:space="preserve"> Policy</w:t>
      </w:r>
      <w:r>
        <w:tab/>
      </w:r>
      <w:r w:rsidRPr="00EE6810">
        <w:t>acc</w:t>
      </w:r>
      <w:r>
        <w:t>pol@dtf.vic.gov.au</w:t>
      </w:r>
    </w:p>
    <w:bookmarkEnd w:id="0"/>
    <w:p w14:paraId="089CA7E8" w14:textId="2BB60CAB" w:rsidR="00F4239A" w:rsidRPr="00DF5908" w:rsidRDefault="00F4239A" w:rsidP="00C35DEF">
      <w:pPr>
        <w:pStyle w:val="Heading2"/>
        <w:spacing w:before="0" w:after="0"/>
      </w:pPr>
      <w:r w:rsidRPr="00DF5908">
        <w:br w:type="page"/>
      </w:r>
    </w:p>
    <w:p w14:paraId="7CE22B85" w14:textId="77777777" w:rsidR="00222135" w:rsidRPr="00DF5908" w:rsidRDefault="00222135" w:rsidP="008D1C83">
      <w:pPr>
        <w:pStyle w:val="Heading1"/>
        <w:spacing w:after="240"/>
      </w:pPr>
      <w:r w:rsidRPr="00DF5908">
        <w:lastRenderedPageBreak/>
        <w:t>Purpose and overview</w:t>
      </w:r>
    </w:p>
    <w:p w14:paraId="0BAC8F05" w14:textId="725FCEB5" w:rsidR="000761ED" w:rsidRDefault="000761ED" w:rsidP="0050705C">
      <w:r>
        <w:t xml:space="preserve">The purpose of this document is to provide a summary of the key changes in the </w:t>
      </w:r>
      <w:r w:rsidR="007F76C0">
        <w:t xml:space="preserve">2019-20 </w:t>
      </w:r>
      <w:r>
        <w:t xml:space="preserve">Model Report (Model) since the publication of the </w:t>
      </w:r>
      <w:r w:rsidR="007F76C0">
        <w:t>2018-19</w:t>
      </w:r>
      <w:r>
        <w:t xml:space="preserve"> Model. </w:t>
      </w:r>
    </w:p>
    <w:p w14:paraId="75F77679" w14:textId="007DFCD1" w:rsidR="000761ED" w:rsidRDefault="000761ED" w:rsidP="0050705C">
      <w:r>
        <w:t>The changes in the Model incorporate a combination of revisions</w:t>
      </w:r>
      <w:r w:rsidR="00F8711E">
        <w:t xml:space="preserve"> </w:t>
      </w:r>
      <w:r w:rsidR="006F46C2">
        <w:t>and enhancements</w:t>
      </w:r>
      <w:r w:rsidR="00F8711E">
        <w:t>.</w:t>
      </w:r>
      <w:r>
        <w:t xml:space="preserve"> </w:t>
      </w:r>
    </w:p>
    <w:p w14:paraId="3F3A3E19" w14:textId="32E0F19B" w:rsidR="000E4264" w:rsidRDefault="000E4264" w:rsidP="000E4264">
      <w:pPr>
        <w:rPr>
          <w:rFonts w:ascii="Arial" w:hAnsi="Arial" w:cs="Arial"/>
          <w:szCs w:val="24"/>
        </w:rPr>
      </w:pPr>
      <w:r w:rsidRPr="00577054">
        <w:rPr>
          <w:rFonts w:ascii="Arial" w:hAnsi="Arial" w:cs="Arial"/>
          <w:szCs w:val="24"/>
        </w:rPr>
        <w:t>The main changes include:</w:t>
      </w:r>
    </w:p>
    <w:p w14:paraId="30C2D5E2" w14:textId="0CE46B27" w:rsidR="00C41BA0" w:rsidRDefault="00632BFD" w:rsidP="00BA3E45">
      <w:pPr>
        <w:pStyle w:val="ListParagraph"/>
        <w:numPr>
          <w:ilvl w:val="0"/>
          <w:numId w:val="39"/>
        </w:numPr>
        <w:rPr>
          <w:rFonts w:ascii="Arial" w:hAnsi="Arial" w:cs="Arial"/>
          <w:szCs w:val="24"/>
        </w:rPr>
      </w:pPr>
      <w:r>
        <w:rPr>
          <w:rFonts w:ascii="Arial" w:hAnsi="Arial" w:cs="Arial"/>
          <w:szCs w:val="24"/>
        </w:rPr>
        <w:t>i</w:t>
      </w:r>
      <w:r w:rsidR="00C41BA0">
        <w:rPr>
          <w:rFonts w:ascii="Arial" w:hAnsi="Arial" w:cs="Arial"/>
          <w:szCs w:val="24"/>
        </w:rPr>
        <w:t>ncorporation of the first-time adoption</w:t>
      </w:r>
      <w:r>
        <w:rPr>
          <w:rFonts w:ascii="Arial" w:hAnsi="Arial" w:cs="Arial"/>
          <w:szCs w:val="24"/>
        </w:rPr>
        <w:t>,</w:t>
      </w:r>
      <w:r w:rsidR="00C41BA0">
        <w:rPr>
          <w:rFonts w:ascii="Arial" w:hAnsi="Arial" w:cs="Arial"/>
          <w:szCs w:val="24"/>
        </w:rPr>
        <w:t xml:space="preserve"> including transition disclosures</w:t>
      </w:r>
      <w:r>
        <w:rPr>
          <w:rFonts w:ascii="Arial" w:hAnsi="Arial" w:cs="Arial"/>
          <w:szCs w:val="24"/>
        </w:rPr>
        <w:t>,</w:t>
      </w:r>
      <w:r w:rsidR="00C41BA0">
        <w:rPr>
          <w:rFonts w:ascii="Arial" w:hAnsi="Arial" w:cs="Arial"/>
          <w:szCs w:val="24"/>
        </w:rPr>
        <w:t xml:space="preserve"> in the financial statements and associated notes arising from the suite of </w:t>
      </w:r>
      <w:r>
        <w:rPr>
          <w:rFonts w:ascii="Arial" w:hAnsi="Arial" w:cs="Arial"/>
          <w:szCs w:val="24"/>
        </w:rPr>
        <w:t xml:space="preserve">new </w:t>
      </w:r>
      <w:r w:rsidR="00C41BA0">
        <w:rPr>
          <w:rFonts w:ascii="Arial" w:hAnsi="Arial" w:cs="Arial"/>
          <w:szCs w:val="24"/>
        </w:rPr>
        <w:t>accounting standards:</w:t>
      </w:r>
    </w:p>
    <w:p w14:paraId="0AF0A74B" w14:textId="50D84021" w:rsidR="00C41BA0" w:rsidRDefault="00C41BA0" w:rsidP="00C41BA0">
      <w:pPr>
        <w:pStyle w:val="ListParagraph"/>
        <w:numPr>
          <w:ilvl w:val="1"/>
          <w:numId w:val="39"/>
        </w:numPr>
        <w:rPr>
          <w:rFonts w:ascii="Arial" w:hAnsi="Arial" w:cs="Arial"/>
          <w:szCs w:val="24"/>
        </w:rPr>
      </w:pPr>
      <w:r>
        <w:rPr>
          <w:rFonts w:ascii="Arial" w:hAnsi="Arial" w:cs="Arial"/>
          <w:szCs w:val="24"/>
        </w:rPr>
        <w:t xml:space="preserve">AASB 15 </w:t>
      </w:r>
      <w:r w:rsidRPr="00632BFD">
        <w:rPr>
          <w:rFonts w:ascii="Arial" w:hAnsi="Arial" w:cs="Arial"/>
          <w:i/>
          <w:iCs/>
          <w:szCs w:val="24"/>
        </w:rPr>
        <w:t>Revenue from Contracts with Customers</w:t>
      </w:r>
      <w:r>
        <w:rPr>
          <w:rFonts w:ascii="Arial" w:hAnsi="Arial" w:cs="Arial"/>
          <w:szCs w:val="24"/>
        </w:rPr>
        <w:t>;</w:t>
      </w:r>
    </w:p>
    <w:p w14:paraId="132107C9" w14:textId="21A5D1DF" w:rsidR="00C41BA0" w:rsidRDefault="00C41BA0" w:rsidP="00C41BA0">
      <w:pPr>
        <w:pStyle w:val="ListParagraph"/>
        <w:numPr>
          <w:ilvl w:val="1"/>
          <w:numId w:val="39"/>
        </w:numPr>
        <w:rPr>
          <w:rFonts w:ascii="Arial" w:hAnsi="Arial" w:cs="Arial"/>
          <w:szCs w:val="24"/>
        </w:rPr>
      </w:pPr>
      <w:r>
        <w:rPr>
          <w:rFonts w:ascii="Arial" w:hAnsi="Arial" w:cs="Arial"/>
          <w:szCs w:val="24"/>
        </w:rPr>
        <w:t xml:space="preserve">AASB 1058 </w:t>
      </w:r>
      <w:r w:rsidRPr="00632BFD">
        <w:rPr>
          <w:rFonts w:ascii="Arial" w:hAnsi="Arial" w:cs="Arial"/>
          <w:i/>
          <w:iCs/>
          <w:szCs w:val="24"/>
        </w:rPr>
        <w:t>Income of Not-for-profit entities</w:t>
      </w:r>
      <w:r>
        <w:rPr>
          <w:rFonts w:ascii="Arial" w:hAnsi="Arial" w:cs="Arial"/>
          <w:szCs w:val="24"/>
        </w:rPr>
        <w:t>;</w:t>
      </w:r>
    </w:p>
    <w:p w14:paraId="7171281B" w14:textId="249B1F10" w:rsidR="00C41BA0" w:rsidRDefault="00C41BA0" w:rsidP="00C41BA0">
      <w:pPr>
        <w:pStyle w:val="ListParagraph"/>
        <w:numPr>
          <w:ilvl w:val="1"/>
          <w:numId w:val="39"/>
        </w:numPr>
        <w:rPr>
          <w:rFonts w:ascii="Arial" w:hAnsi="Arial" w:cs="Arial"/>
          <w:szCs w:val="24"/>
        </w:rPr>
      </w:pPr>
      <w:r>
        <w:rPr>
          <w:rFonts w:ascii="Arial" w:hAnsi="Arial" w:cs="Arial"/>
          <w:szCs w:val="24"/>
        </w:rPr>
        <w:t xml:space="preserve">AASB 16 </w:t>
      </w:r>
      <w:r w:rsidRPr="00632BFD">
        <w:rPr>
          <w:rFonts w:ascii="Arial" w:hAnsi="Arial" w:cs="Arial"/>
          <w:i/>
          <w:iCs/>
          <w:szCs w:val="24"/>
        </w:rPr>
        <w:t>Leases</w:t>
      </w:r>
      <w:r>
        <w:rPr>
          <w:rFonts w:ascii="Arial" w:hAnsi="Arial" w:cs="Arial"/>
          <w:szCs w:val="24"/>
        </w:rPr>
        <w:t>; and</w:t>
      </w:r>
    </w:p>
    <w:p w14:paraId="6E037310" w14:textId="02CFA935" w:rsidR="00C41BA0" w:rsidRDefault="00C41BA0" w:rsidP="00C41BA0">
      <w:pPr>
        <w:pStyle w:val="ListParagraph"/>
        <w:numPr>
          <w:ilvl w:val="1"/>
          <w:numId w:val="39"/>
        </w:numPr>
        <w:rPr>
          <w:rFonts w:ascii="Arial" w:hAnsi="Arial" w:cs="Arial"/>
          <w:szCs w:val="24"/>
        </w:rPr>
      </w:pPr>
      <w:r>
        <w:rPr>
          <w:rFonts w:ascii="Arial" w:hAnsi="Arial" w:cs="Arial"/>
          <w:szCs w:val="24"/>
        </w:rPr>
        <w:t xml:space="preserve">AASB 1059 </w:t>
      </w:r>
      <w:r w:rsidRPr="00632BFD">
        <w:rPr>
          <w:rFonts w:ascii="Arial" w:hAnsi="Arial" w:cs="Arial"/>
          <w:i/>
          <w:iCs/>
          <w:szCs w:val="24"/>
        </w:rPr>
        <w:t>Service Concession Arrangements</w:t>
      </w:r>
      <w:r w:rsidR="00632BFD" w:rsidRPr="00632BFD">
        <w:rPr>
          <w:rFonts w:ascii="Arial" w:hAnsi="Arial" w:cs="Arial"/>
          <w:i/>
          <w:iCs/>
          <w:szCs w:val="24"/>
        </w:rPr>
        <w:t>: Grantors</w:t>
      </w:r>
      <w:r w:rsidR="00632BFD">
        <w:rPr>
          <w:rFonts w:ascii="Arial" w:hAnsi="Arial" w:cs="Arial"/>
          <w:szCs w:val="24"/>
        </w:rPr>
        <w:t>;</w:t>
      </w:r>
    </w:p>
    <w:p w14:paraId="366BB707" w14:textId="61AF5B0A" w:rsidR="00F15CF4" w:rsidRDefault="00632BFD" w:rsidP="00BA3E45">
      <w:pPr>
        <w:pStyle w:val="ListParagraph"/>
        <w:numPr>
          <w:ilvl w:val="0"/>
          <w:numId w:val="39"/>
        </w:numPr>
        <w:rPr>
          <w:rFonts w:ascii="Arial" w:hAnsi="Arial" w:cs="Arial"/>
          <w:szCs w:val="24"/>
        </w:rPr>
      </w:pPr>
      <w:r>
        <w:rPr>
          <w:rFonts w:ascii="Arial" w:hAnsi="Arial" w:cs="Arial"/>
          <w:szCs w:val="24"/>
        </w:rPr>
        <w:t>r</w:t>
      </w:r>
      <w:r w:rsidR="00562EDE">
        <w:rPr>
          <w:rFonts w:ascii="Arial" w:hAnsi="Arial" w:cs="Arial"/>
          <w:szCs w:val="24"/>
        </w:rPr>
        <w:t>elocating appendices relating to accounting standards guidance</w:t>
      </w:r>
      <w:r>
        <w:rPr>
          <w:rFonts w:ascii="Arial" w:hAnsi="Arial" w:cs="Arial"/>
          <w:szCs w:val="24"/>
        </w:rPr>
        <w:t>, tools</w:t>
      </w:r>
      <w:r w:rsidR="00562EDE">
        <w:rPr>
          <w:rFonts w:ascii="Arial" w:hAnsi="Arial" w:cs="Arial"/>
          <w:szCs w:val="24"/>
        </w:rPr>
        <w:t xml:space="preserve"> and associated checklists to the DTF</w:t>
      </w:r>
      <w:r>
        <w:rPr>
          <w:rFonts w:ascii="Arial" w:hAnsi="Arial" w:cs="Arial"/>
          <w:szCs w:val="24"/>
        </w:rPr>
        <w:t xml:space="preserve"> website; and</w:t>
      </w:r>
    </w:p>
    <w:p w14:paraId="3C944A1F" w14:textId="1986C2D7" w:rsidR="00632BFD" w:rsidRDefault="00632BFD" w:rsidP="00BA3E45">
      <w:pPr>
        <w:pStyle w:val="ListParagraph"/>
        <w:numPr>
          <w:ilvl w:val="0"/>
          <w:numId w:val="39"/>
        </w:numPr>
        <w:rPr>
          <w:rFonts w:ascii="Arial" w:hAnsi="Arial" w:cs="Arial"/>
          <w:szCs w:val="24"/>
        </w:rPr>
      </w:pPr>
      <w:r>
        <w:rPr>
          <w:rFonts w:ascii="Arial" w:hAnsi="Arial" w:cs="Arial"/>
          <w:szCs w:val="24"/>
        </w:rPr>
        <w:t>editorial changes and enhancements.</w:t>
      </w:r>
    </w:p>
    <w:p w14:paraId="6E20A878" w14:textId="585BB836" w:rsidR="0057389E" w:rsidRDefault="000761ED" w:rsidP="001D2E12">
      <w:pPr>
        <w:pStyle w:val="Bullet2"/>
        <w:numPr>
          <w:ilvl w:val="0"/>
          <w:numId w:val="0"/>
        </w:numPr>
        <w:contextualSpacing/>
        <w:rPr>
          <w:rFonts w:ascii="Arial" w:hAnsi="Arial" w:cs="Arial"/>
        </w:rPr>
        <w:sectPr w:rsidR="0057389E" w:rsidSect="000E7610">
          <w:headerReference w:type="even" r:id="rId12"/>
          <w:headerReference w:type="default" r:id="rId13"/>
          <w:footerReference w:type="even" r:id="rId14"/>
          <w:footerReference w:type="default" r:id="rId15"/>
          <w:headerReference w:type="first" r:id="rId16"/>
          <w:footerReference w:type="first" r:id="rId17"/>
          <w:pgSz w:w="11906" w:h="16838" w:code="9"/>
          <w:pgMar w:top="2160" w:right="1440" w:bottom="1350" w:left="1440" w:header="706" w:footer="461" w:gutter="0"/>
          <w:pgNumType w:start="1"/>
          <w:cols w:space="708"/>
          <w:docGrid w:linePitch="360"/>
        </w:sectPr>
      </w:pPr>
      <w:r w:rsidRPr="001D2E12">
        <w:rPr>
          <w:rFonts w:ascii="Arial" w:hAnsi="Arial" w:cs="Arial"/>
        </w:rPr>
        <w:t xml:space="preserve">For details of the </w:t>
      </w:r>
      <w:r w:rsidRPr="001D2E12">
        <w:rPr>
          <w:rFonts w:ascii="Arial" w:hAnsi="Arial" w:cs="Arial"/>
          <w:b/>
          <w:color w:val="0063A6" w:themeColor="accent1"/>
        </w:rPr>
        <w:t>New</w:t>
      </w:r>
      <w:r w:rsidRPr="001D2E12">
        <w:rPr>
          <w:rFonts w:ascii="Arial" w:hAnsi="Arial" w:cs="Arial"/>
        </w:rPr>
        <w:t xml:space="preserve"> and </w:t>
      </w:r>
      <w:r w:rsidRPr="001D2E12">
        <w:rPr>
          <w:rFonts w:ascii="Arial" w:hAnsi="Arial" w:cs="Arial"/>
          <w:b/>
          <w:color w:val="D50032"/>
        </w:rPr>
        <w:t>Revised</w:t>
      </w:r>
      <w:r w:rsidRPr="001D2E12">
        <w:rPr>
          <w:rFonts w:ascii="Arial" w:hAnsi="Arial" w:cs="Arial"/>
        </w:rPr>
        <w:t xml:space="preserve"> reporting requirements in the Model, please refer to the summary of changes tables</w:t>
      </w:r>
      <w:r w:rsidR="00632BFD">
        <w:rPr>
          <w:rFonts w:ascii="Arial" w:hAnsi="Arial" w:cs="Arial"/>
        </w:rPr>
        <w:t xml:space="preserve"> below</w:t>
      </w:r>
      <w:r w:rsidRPr="001D2E12">
        <w:rPr>
          <w:rFonts w:ascii="Arial" w:hAnsi="Arial" w:cs="Arial"/>
        </w:rPr>
        <w:t>.</w:t>
      </w:r>
    </w:p>
    <w:p w14:paraId="53C79F89" w14:textId="33D3860B" w:rsidR="000761ED" w:rsidRDefault="0057389E" w:rsidP="00CE225E">
      <w:pPr>
        <w:pStyle w:val="Heading2"/>
      </w:pPr>
      <w:r>
        <w:lastRenderedPageBreak/>
        <w:t xml:space="preserve">General changes </w:t>
      </w:r>
      <w:r w:rsidR="00E576A4">
        <w:t>in</w:t>
      </w:r>
      <w:r>
        <w:t xml:space="preserve"> the Model Report </w:t>
      </w:r>
    </w:p>
    <w:tbl>
      <w:tblPr>
        <w:tblStyle w:val="DTFtexttable"/>
        <w:tblW w:w="5537" w:type="pct"/>
        <w:tblLayout w:type="fixed"/>
        <w:tblLook w:val="04A0" w:firstRow="1" w:lastRow="0" w:firstColumn="1" w:lastColumn="0" w:noHBand="0" w:noVBand="1"/>
      </w:tblPr>
      <w:tblGrid>
        <w:gridCol w:w="1757"/>
        <w:gridCol w:w="2814"/>
        <w:gridCol w:w="3284"/>
        <w:gridCol w:w="2267"/>
      </w:tblGrid>
      <w:tr w:rsidR="0057389E" w:rsidRPr="00DF5908" w14:paraId="32A13390" w14:textId="77777777" w:rsidTr="00562E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pct"/>
            <w:vAlign w:val="center"/>
          </w:tcPr>
          <w:p w14:paraId="30549686" w14:textId="34924C7A" w:rsidR="0057389E" w:rsidRPr="008D1C83" w:rsidRDefault="0057389E" w:rsidP="008D1C83">
            <w:pPr>
              <w:pStyle w:val="Tableheader"/>
              <w:spacing w:after="120" w:line="240" w:lineRule="atLeast"/>
              <w:rPr>
                <w:sz w:val="18"/>
                <w:szCs w:val="18"/>
              </w:rPr>
            </w:pPr>
            <w:bookmarkStart w:id="1" w:name="_Hlk32839549"/>
            <w:r w:rsidRPr="008D1C83">
              <w:rPr>
                <w:sz w:val="18"/>
                <w:szCs w:val="18"/>
              </w:rPr>
              <w:t>Subject matter</w:t>
            </w:r>
          </w:p>
        </w:tc>
        <w:tc>
          <w:tcPr>
            <w:tcW w:w="1390" w:type="pct"/>
            <w:vAlign w:val="center"/>
          </w:tcPr>
          <w:p w14:paraId="381F5B49" w14:textId="77777777" w:rsidR="0057389E" w:rsidRPr="008D1C83" w:rsidRDefault="0057389E" w:rsidP="008D1C83">
            <w:pPr>
              <w:pStyle w:val="Tableheader"/>
              <w:spacing w:after="120" w:line="240" w:lineRule="atLeast"/>
              <w:cnfStyle w:val="100000000000" w:firstRow="1" w:lastRow="0" w:firstColumn="0" w:lastColumn="0" w:oddVBand="0" w:evenVBand="0" w:oddHBand="0" w:evenHBand="0" w:firstRowFirstColumn="0" w:firstRowLastColumn="0" w:lastRowFirstColumn="0" w:lastRowLastColumn="0"/>
              <w:rPr>
                <w:sz w:val="18"/>
                <w:szCs w:val="18"/>
              </w:rPr>
            </w:pPr>
            <w:r w:rsidRPr="008D1C83">
              <w:rPr>
                <w:sz w:val="18"/>
                <w:szCs w:val="18"/>
              </w:rPr>
              <w:t>Source of change</w:t>
            </w:r>
          </w:p>
        </w:tc>
        <w:tc>
          <w:tcPr>
            <w:tcW w:w="1622" w:type="pct"/>
            <w:vAlign w:val="center"/>
          </w:tcPr>
          <w:p w14:paraId="25FDD9BC" w14:textId="77777777" w:rsidR="0057389E" w:rsidRPr="008D1C83" w:rsidRDefault="0057389E" w:rsidP="008D1C83">
            <w:pPr>
              <w:pStyle w:val="Tableheader"/>
              <w:spacing w:after="120" w:line="240" w:lineRule="atLeast"/>
              <w:cnfStyle w:val="100000000000" w:firstRow="1" w:lastRow="0" w:firstColumn="0" w:lastColumn="0" w:oddVBand="0" w:evenVBand="0" w:oddHBand="0" w:evenHBand="0" w:firstRowFirstColumn="0" w:firstRowLastColumn="0" w:lastRowFirstColumn="0" w:lastRowLastColumn="0"/>
              <w:rPr>
                <w:sz w:val="18"/>
                <w:szCs w:val="18"/>
              </w:rPr>
            </w:pPr>
            <w:r w:rsidRPr="008D1C83">
              <w:rPr>
                <w:sz w:val="18"/>
                <w:szCs w:val="18"/>
              </w:rPr>
              <w:t xml:space="preserve">Summary of changes throughout the </w:t>
            </w:r>
            <w:r w:rsidRPr="008D1C83">
              <w:rPr>
                <w:sz w:val="18"/>
                <w:szCs w:val="18"/>
              </w:rPr>
              <w:br/>
            </w:r>
            <w:r w:rsidRPr="008D1C83">
              <w:rPr>
                <w:i/>
                <w:sz w:val="18"/>
                <w:szCs w:val="18"/>
              </w:rPr>
              <w:t>2019-20 Model Report</w:t>
            </w:r>
          </w:p>
        </w:tc>
        <w:tc>
          <w:tcPr>
            <w:tcW w:w="1120" w:type="pct"/>
            <w:vAlign w:val="center"/>
          </w:tcPr>
          <w:p w14:paraId="1696CF73" w14:textId="77777777" w:rsidR="0057389E" w:rsidRPr="008D1C83" w:rsidRDefault="0057389E" w:rsidP="008D1C83">
            <w:pPr>
              <w:pStyle w:val="Tableheader"/>
              <w:spacing w:after="120" w:line="240" w:lineRule="atLeast"/>
              <w:cnfStyle w:val="100000000000" w:firstRow="1" w:lastRow="0" w:firstColumn="0" w:lastColumn="0" w:oddVBand="0" w:evenVBand="0" w:oddHBand="0" w:evenHBand="0" w:firstRowFirstColumn="0" w:firstRowLastColumn="0" w:lastRowFirstColumn="0" w:lastRowLastColumn="0"/>
              <w:rPr>
                <w:sz w:val="18"/>
                <w:szCs w:val="18"/>
              </w:rPr>
            </w:pPr>
            <w:r w:rsidRPr="008D1C83">
              <w:rPr>
                <w:sz w:val="18"/>
                <w:szCs w:val="18"/>
              </w:rPr>
              <w:t>Page reference</w:t>
            </w:r>
          </w:p>
        </w:tc>
      </w:tr>
      <w:tr w:rsidR="0057389E" w:rsidRPr="00DF5908" w14:paraId="2F24C6B8" w14:textId="77777777" w:rsidTr="00562EDE">
        <w:trPr>
          <w:trHeight w:val="416"/>
        </w:trPr>
        <w:tc>
          <w:tcPr>
            <w:cnfStyle w:val="001000000000" w:firstRow="0" w:lastRow="0" w:firstColumn="1" w:lastColumn="0" w:oddVBand="0" w:evenVBand="0" w:oddHBand="0" w:evenHBand="0" w:firstRowFirstColumn="0" w:firstRowLastColumn="0" w:lastRowFirstColumn="0" w:lastRowLastColumn="0"/>
            <w:tcW w:w="868" w:type="pct"/>
          </w:tcPr>
          <w:p w14:paraId="6D43EB69" w14:textId="47ADDE83" w:rsidR="0057389E" w:rsidRPr="008D1C83" w:rsidRDefault="0057389E" w:rsidP="008D1C83">
            <w:pPr>
              <w:pStyle w:val="Tabletext"/>
              <w:spacing w:before="120" w:after="120" w:line="240" w:lineRule="atLeast"/>
              <w:rPr>
                <w:sz w:val="18"/>
                <w:szCs w:val="18"/>
              </w:rPr>
            </w:pPr>
            <w:r w:rsidRPr="008D1C83">
              <w:rPr>
                <w:sz w:val="18"/>
                <w:szCs w:val="18"/>
              </w:rPr>
              <w:t xml:space="preserve">General improvements </w:t>
            </w:r>
            <w:r w:rsidR="00632BFD" w:rsidRPr="008D1C83">
              <w:rPr>
                <w:sz w:val="18"/>
                <w:szCs w:val="18"/>
              </w:rPr>
              <w:t xml:space="preserve">and revisions </w:t>
            </w:r>
            <w:r w:rsidRPr="008D1C83">
              <w:rPr>
                <w:sz w:val="18"/>
                <w:szCs w:val="18"/>
              </w:rPr>
              <w:t>to the Model</w:t>
            </w:r>
          </w:p>
        </w:tc>
        <w:tc>
          <w:tcPr>
            <w:tcW w:w="1390" w:type="pct"/>
          </w:tcPr>
          <w:p w14:paraId="61AAFBA7" w14:textId="273A9DBE" w:rsidR="0057389E" w:rsidRPr="008D1C83" w:rsidRDefault="0057389E"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Roll-forward dates</w:t>
            </w:r>
          </w:p>
        </w:tc>
        <w:tc>
          <w:tcPr>
            <w:tcW w:w="1622" w:type="pct"/>
          </w:tcPr>
          <w:p w14:paraId="77850DB5" w14:textId="0EC24B28" w:rsidR="0057389E" w:rsidRPr="008D1C83" w:rsidRDefault="0057389E"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All relevant dates have been rolled over in the 2019-20 Model Report as part of the roll-over process from the previous Model Report. </w:t>
            </w:r>
          </w:p>
        </w:tc>
        <w:tc>
          <w:tcPr>
            <w:tcW w:w="1120" w:type="pct"/>
          </w:tcPr>
          <w:p w14:paraId="466BC301" w14:textId="4EC9FBCC" w:rsidR="0057389E" w:rsidRPr="008D1C83" w:rsidRDefault="0057389E" w:rsidP="008D1C83">
            <w:pPr>
              <w:pStyle w:val="Tabletextcentred"/>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Whole Model</w:t>
            </w:r>
          </w:p>
        </w:tc>
      </w:tr>
      <w:tr w:rsidR="0057389E" w:rsidRPr="00DF5908" w14:paraId="51F7E0BA" w14:textId="77777777" w:rsidTr="00562EDE">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tcPr>
          <w:p w14:paraId="30E85404" w14:textId="77777777" w:rsidR="0057389E" w:rsidRPr="008D1C83" w:rsidRDefault="0057389E" w:rsidP="008D1C83">
            <w:pPr>
              <w:pStyle w:val="Tabletext"/>
              <w:spacing w:before="120" w:after="120" w:line="240" w:lineRule="atLeast"/>
              <w:rPr>
                <w:sz w:val="18"/>
                <w:szCs w:val="18"/>
              </w:rPr>
            </w:pPr>
          </w:p>
        </w:tc>
        <w:tc>
          <w:tcPr>
            <w:tcW w:w="1390" w:type="pct"/>
          </w:tcPr>
          <w:p w14:paraId="5BEBE8C1" w14:textId="35CD98C7" w:rsidR="0057389E" w:rsidRPr="008D1C83" w:rsidRDefault="0057389E"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D1C83">
              <w:rPr>
                <w:rFonts w:ascii="Arial" w:hAnsi="Arial" w:cs="Arial"/>
                <w:sz w:val="18"/>
                <w:szCs w:val="18"/>
              </w:rPr>
              <w:t>Enhanced guidance</w:t>
            </w:r>
          </w:p>
        </w:tc>
        <w:tc>
          <w:tcPr>
            <w:tcW w:w="1622" w:type="pct"/>
          </w:tcPr>
          <w:p w14:paraId="044D2303" w14:textId="2B6AD1B4" w:rsidR="0057389E" w:rsidRPr="008D1C83" w:rsidRDefault="0057389E"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D1C83">
              <w:rPr>
                <w:rFonts w:ascii="Arial" w:hAnsi="Arial" w:cs="Arial"/>
                <w:sz w:val="18"/>
                <w:szCs w:val="18"/>
              </w:rPr>
              <w:t xml:space="preserve">Editorial changes and updates to the phrasing and structure of sentences/paragraphs have been made to improve the guidance material throughout the Model. </w:t>
            </w:r>
          </w:p>
        </w:tc>
        <w:tc>
          <w:tcPr>
            <w:tcW w:w="1120" w:type="pct"/>
          </w:tcPr>
          <w:p w14:paraId="1E44D6F9" w14:textId="3BFB9DD7" w:rsidR="0057389E" w:rsidRPr="008D1C83" w:rsidRDefault="0057389E" w:rsidP="008D1C83">
            <w:pPr>
              <w:pStyle w:val="Tabletextcentred"/>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D1C83">
              <w:rPr>
                <w:rFonts w:ascii="Arial" w:hAnsi="Arial" w:cs="Arial"/>
                <w:sz w:val="18"/>
                <w:szCs w:val="18"/>
              </w:rPr>
              <w:t>Whole Model</w:t>
            </w:r>
          </w:p>
        </w:tc>
      </w:tr>
      <w:tr w:rsidR="0057389E" w:rsidRPr="00DF5908" w14:paraId="754060C2" w14:textId="77777777" w:rsidTr="00562EDE">
        <w:trPr>
          <w:trHeight w:val="910"/>
        </w:trPr>
        <w:tc>
          <w:tcPr>
            <w:cnfStyle w:val="001000000000" w:firstRow="0" w:lastRow="0" w:firstColumn="1" w:lastColumn="0" w:oddVBand="0" w:evenVBand="0" w:oddHBand="0" w:evenHBand="0" w:firstRowFirstColumn="0" w:firstRowLastColumn="0" w:lastRowFirstColumn="0" w:lastRowLastColumn="0"/>
            <w:tcW w:w="868" w:type="pct"/>
          </w:tcPr>
          <w:p w14:paraId="2D752A58" w14:textId="77777777" w:rsidR="0057389E" w:rsidRPr="008D1C83" w:rsidRDefault="0057389E" w:rsidP="008D1C83">
            <w:pPr>
              <w:pStyle w:val="Tabletext"/>
              <w:spacing w:before="120" w:after="120" w:line="240" w:lineRule="atLeast"/>
              <w:rPr>
                <w:sz w:val="18"/>
                <w:szCs w:val="18"/>
              </w:rPr>
            </w:pPr>
          </w:p>
        </w:tc>
        <w:tc>
          <w:tcPr>
            <w:tcW w:w="1390" w:type="pct"/>
          </w:tcPr>
          <w:p w14:paraId="02E64598" w14:textId="3EE30477" w:rsidR="0057389E" w:rsidRPr="008D1C83" w:rsidRDefault="0057389E"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To update the source references </w:t>
            </w:r>
          </w:p>
        </w:tc>
        <w:tc>
          <w:tcPr>
            <w:tcW w:w="1622" w:type="pct"/>
          </w:tcPr>
          <w:p w14:paraId="262F2E63" w14:textId="77777777" w:rsidR="0057389E" w:rsidRPr="008D1C83" w:rsidRDefault="0057389E"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The following changes have been made to the source references:</w:t>
            </w:r>
          </w:p>
          <w:p w14:paraId="7B1347AE" w14:textId="1C4B9B1C" w:rsidR="0057389E" w:rsidRPr="008D1C83" w:rsidRDefault="0057389E" w:rsidP="008D1C83">
            <w:pPr>
              <w:pStyle w:val="Tabletext"/>
              <w:numPr>
                <w:ilvl w:val="0"/>
                <w:numId w:val="24"/>
              </w:numPr>
              <w:spacing w:before="120" w:after="120" w:line="240" w:lineRule="atLeast"/>
              <w:ind w:left="340"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Changes to the AASB/FRD source references as a result of the update to the relevant AASB/FRD since 1 July 2019 until 1 </w:t>
            </w:r>
            <w:r w:rsidR="00632BFD" w:rsidRPr="008D1C83">
              <w:rPr>
                <w:rFonts w:ascii="Arial" w:hAnsi="Arial" w:cs="Arial"/>
                <w:sz w:val="18"/>
                <w:szCs w:val="18"/>
              </w:rPr>
              <w:t>June</w:t>
            </w:r>
            <w:r w:rsidRPr="008D1C83">
              <w:rPr>
                <w:rFonts w:ascii="Arial" w:hAnsi="Arial" w:cs="Arial"/>
                <w:sz w:val="18"/>
                <w:szCs w:val="18"/>
              </w:rPr>
              <w:t xml:space="preserve"> 2020; </w:t>
            </w:r>
          </w:p>
          <w:p w14:paraId="673C7B52" w14:textId="77777777" w:rsidR="0068319A" w:rsidRPr="008D1C83" w:rsidRDefault="0057389E" w:rsidP="008D1C83">
            <w:pPr>
              <w:pStyle w:val="Tabletext"/>
              <w:numPr>
                <w:ilvl w:val="0"/>
                <w:numId w:val="24"/>
              </w:numPr>
              <w:spacing w:before="120" w:after="120" w:line="240" w:lineRule="atLeast"/>
              <w:ind w:left="340"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Reference to the Resource Management Framework, effective 1 July 2019, which supersedes the BOF and PMF; and </w:t>
            </w:r>
          </w:p>
          <w:p w14:paraId="4D85205D" w14:textId="5E224712" w:rsidR="0057389E" w:rsidRPr="008D1C83" w:rsidRDefault="0057389E" w:rsidP="008D1C83">
            <w:pPr>
              <w:pStyle w:val="Tabletext"/>
              <w:numPr>
                <w:ilvl w:val="0"/>
                <w:numId w:val="24"/>
              </w:numPr>
              <w:spacing w:before="120" w:after="120" w:line="240" w:lineRule="atLeast"/>
              <w:ind w:left="340" w:hanging="2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Updated references to the Guidance and Appendices section to reflect </w:t>
            </w:r>
            <w:r w:rsidR="008D1C83">
              <w:rPr>
                <w:rFonts w:ascii="Arial" w:hAnsi="Arial" w:cs="Arial"/>
                <w:sz w:val="18"/>
                <w:szCs w:val="18"/>
              </w:rPr>
              <w:t xml:space="preserve">further </w:t>
            </w:r>
            <w:r w:rsidRPr="008D1C83">
              <w:rPr>
                <w:rFonts w:ascii="Arial" w:hAnsi="Arial" w:cs="Arial"/>
                <w:sz w:val="18"/>
                <w:szCs w:val="18"/>
              </w:rPr>
              <w:t xml:space="preserve">streamlining.  </w:t>
            </w:r>
          </w:p>
        </w:tc>
        <w:tc>
          <w:tcPr>
            <w:tcW w:w="1120" w:type="pct"/>
          </w:tcPr>
          <w:p w14:paraId="073772EB" w14:textId="480B371C" w:rsidR="0057389E" w:rsidRPr="008D1C83" w:rsidRDefault="0057389E" w:rsidP="008D1C83">
            <w:pPr>
              <w:pStyle w:val="Tabletextcentred"/>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Whole Model</w:t>
            </w:r>
          </w:p>
        </w:tc>
      </w:tr>
      <w:tr w:rsidR="00A65D80" w:rsidRPr="00DF5908" w14:paraId="7C512819" w14:textId="77777777" w:rsidTr="00562EDE">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68" w:type="pct"/>
          </w:tcPr>
          <w:p w14:paraId="6EDCBE74" w14:textId="3367EEFA" w:rsidR="00A65D80" w:rsidRPr="008D1C83" w:rsidRDefault="00A65D80" w:rsidP="008D1C83">
            <w:pPr>
              <w:pStyle w:val="Tabletext"/>
              <w:spacing w:before="120" w:after="120" w:line="240" w:lineRule="atLeast"/>
              <w:rPr>
                <w:sz w:val="18"/>
                <w:szCs w:val="18"/>
              </w:rPr>
            </w:pPr>
            <w:r w:rsidRPr="008D1C83">
              <w:rPr>
                <w:sz w:val="18"/>
                <w:szCs w:val="18"/>
              </w:rPr>
              <w:t>General updates to Guidance section</w:t>
            </w:r>
          </w:p>
        </w:tc>
        <w:tc>
          <w:tcPr>
            <w:tcW w:w="1390" w:type="pct"/>
          </w:tcPr>
          <w:p w14:paraId="258357A3" w14:textId="1B9572DE" w:rsidR="00A65D80" w:rsidRPr="008D1C83" w:rsidRDefault="00404C6D"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D1C83">
              <w:rPr>
                <w:rFonts w:ascii="Arial" w:hAnsi="Arial" w:cs="Arial"/>
                <w:sz w:val="18"/>
                <w:szCs w:val="18"/>
              </w:rPr>
              <w:t xml:space="preserve">Streamlining </w:t>
            </w:r>
            <w:r w:rsidR="00102DEB" w:rsidRPr="008D1C83">
              <w:rPr>
                <w:rFonts w:ascii="Arial" w:hAnsi="Arial" w:cs="Arial"/>
                <w:sz w:val="18"/>
                <w:szCs w:val="18"/>
              </w:rPr>
              <w:t>of Model Report</w:t>
            </w:r>
          </w:p>
        </w:tc>
        <w:tc>
          <w:tcPr>
            <w:tcW w:w="1622" w:type="pct"/>
          </w:tcPr>
          <w:p w14:paraId="3AC5C67B" w14:textId="2B8DC6A3" w:rsidR="00A65D80" w:rsidRPr="008D1C83" w:rsidRDefault="00820493"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D1C83">
              <w:rPr>
                <w:rFonts w:ascii="Arial" w:hAnsi="Arial" w:cs="Arial"/>
                <w:sz w:val="18"/>
                <w:szCs w:val="18"/>
              </w:rPr>
              <w:t xml:space="preserve">The previous guidance section on the streamlining of the Financial Statements has been removed as part of the broader streamlining of the Model Report, </w:t>
            </w:r>
            <w:r w:rsidR="00632BFD" w:rsidRPr="008D1C83">
              <w:rPr>
                <w:rFonts w:ascii="Arial" w:hAnsi="Arial" w:cs="Arial"/>
                <w:sz w:val="18"/>
                <w:szCs w:val="18"/>
              </w:rPr>
              <w:t>because most</w:t>
            </w:r>
            <w:r w:rsidR="000E7610" w:rsidRPr="008D1C83">
              <w:rPr>
                <w:rFonts w:ascii="Arial" w:hAnsi="Arial" w:cs="Arial"/>
                <w:sz w:val="18"/>
                <w:szCs w:val="18"/>
              </w:rPr>
              <w:t>,</w:t>
            </w:r>
            <w:r w:rsidR="00632BFD" w:rsidRPr="008D1C83">
              <w:rPr>
                <w:rFonts w:ascii="Arial" w:hAnsi="Arial" w:cs="Arial"/>
                <w:sz w:val="18"/>
                <w:szCs w:val="18"/>
              </w:rPr>
              <w:t xml:space="preserve"> if not all</w:t>
            </w:r>
            <w:r w:rsidR="000E7610" w:rsidRPr="008D1C83">
              <w:rPr>
                <w:rFonts w:ascii="Arial" w:hAnsi="Arial" w:cs="Arial"/>
                <w:sz w:val="18"/>
                <w:szCs w:val="18"/>
              </w:rPr>
              <w:t>,</w:t>
            </w:r>
            <w:r w:rsidR="00632BFD" w:rsidRPr="008D1C83">
              <w:rPr>
                <w:rFonts w:ascii="Arial" w:hAnsi="Arial" w:cs="Arial"/>
                <w:sz w:val="18"/>
                <w:szCs w:val="18"/>
              </w:rPr>
              <w:t xml:space="preserve"> material reporters have already streamlined their financial reports.</w:t>
            </w:r>
            <w:r w:rsidRPr="008D1C83">
              <w:rPr>
                <w:rFonts w:ascii="Arial" w:hAnsi="Arial" w:cs="Arial"/>
                <w:sz w:val="18"/>
                <w:szCs w:val="18"/>
              </w:rPr>
              <w:t xml:space="preserve"> </w:t>
            </w:r>
          </w:p>
        </w:tc>
        <w:tc>
          <w:tcPr>
            <w:tcW w:w="1120" w:type="pct"/>
          </w:tcPr>
          <w:p w14:paraId="505C3459" w14:textId="68B4FE47" w:rsidR="00A65D80" w:rsidRPr="008D1C83" w:rsidRDefault="00404C6D" w:rsidP="008D1C83">
            <w:pPr>
              <w:pStyle w:val="Tabletextcentred"/>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D1C83">
              <w:rPr>
                <w:rFonts w:ascii="Arial" w:hAnsi="Arial" w:cs="Arial"/>
                <w:sz w:val="18"/>
                <w:szCs w:val="18"/>
              </w:rPr>
              <w:t>Guidance section</w:t>
            </w:r>
          </w:p>
        </w:tc>
      </w:tr>
      <w:bookmarkEnd w:id="1"/>
    </w:tbl>
    <w:p w14:paraId="45E23842" w14:textId="77777777" w:rsidR="0057389E" w:rsidRDefault="0057389E">
      <w:pPr>
        <w:spacing w:before="0" w:after="200"/>
        <w:sectPr w:rsidR="0057389E" w:rsidSect="00F461B0">
          <w:pgSz w:w="11906" w:h="16838" w:code="9"/>
          <w:pgMar w:top="2160" w:right="1440" w:bottom="1350" w:left="1440" w:header="706" w:footer="461" w:gutter="0"/>
          <w:cols w:space="708"/>
          <w:docGrid w:linePitch="360"/>
        </w:sectPr>
      </w:pPr>
    </w:p>
    <w:p w14:paraId="4F6D0BF5" w14:textId="3A93AD6F" w:rsidR="0057389E" w:rsidRDefault="0057389E" w:rsidP="0057389E">
      <w:pPr>
        <w:pStyle w:val="Heading2"/>
      </w:pPr>
      <w:r>
        <w:lastRenderedPageBreak/>
        <w:t>Model Report of Operations</w:t>
      </w:r>
    </w:p>
    <w:tbl>
      <w:tblPr>
        <w:tblStyle w:val="DTFtexttable"/>
        <w:tblW w:w="5459" w:type="pct"/>
        <w:tblLayout w:type="fixed"/>
        <w:tblLook w:val="04A0" w:firstRow="1" w:lastRow="0" w:firstColumn="1" w:lastColumn="0" w:noHBand="0" w:noVBand="1"/>
      </w:tblPr>
      <w:tblGrid>
        <w:gridCol w:w="2468"/>
        <w:gridCol w:w="1559"/>
        <w:gridCol w:w="4395"/>
        <w:gridCol w:w="1557"/>
      </w:tblGrid>
      <w:tr w:rsidR="00057B4B" w:rsidRPr="00DF5908" w14:paraId="67A64BF9" w14:textId="77777777" w:rsidTr="00B825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7" w:type="pct"/>
            <w:vAlign w:val="center"/>
          </w:tcPr>
          <w:p w14:paraId="048780CF" w14:textId="77777777" w:rsidR="0057389E" w:rsidRPr="00DF5908" w:rsidRDefault="0057389E">
            <w:pPr>
              <w:pStyle w:val="Tableheader"/>
              <w:rPr>
                <w:sz w:val="18"/>
                <w:szCs w:val="18"/>
              </w:rPr>
            </w:pPr>
            <w:r w:rsidRPr="00DF5908">
              <w:rPr>
                <w:sz w:val="18"/>
                <w:szCs w:val="18"/>
              </w:rPr>
              <w:t xml:space="preserve">Subject matter </w:t>
            </w:r>
          </w:p>
        </w:tc>
        <w:tc>
          <w:tcPr>
            <w:tcW w:w="781" w:type="pct"/>
            <w:vAlign w:val="center"/>
          </w:tcPr>
          <w:p w14:paraId="5D654363" w14:textId="77777777" w:rsidR="0057389E" w:rsidRPr="00D94648" w:rsidRDefault="0057389E">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94648">
              <w:rPr>
                <w:sz w:val="18"/>
                <w:szCs w:val="18"/>
              </w:rPr>
              <w:t>Source of change</w:t>
            </w:r>
          </w:p>
        </w:tc>
        <w:tc>
          <w:tcPr>
            <w:tcW w:w="2202" w:type="pct"/>
            <w:vAlign w:val="center"/>
          </w:tcPr>
          <w:p w14:paraId="10D72407" w14:textId="3445FAF3" w:rsidR="0057389E" w:rsidRPr="00DF5908" w:rsidRDefault="0057389E">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 xml:space="preserve">Summary of changes </w:t>
            </w:r>
            <w:r w:rsidR="00A36C09">
              <w:rPr>
                <w:sz w:val="18"/>
                <w:szCs w:val="18"/>
              </w:rPr>
              <w:t>to the relevant sections in the Model Report of Operations</w:t>
            </w:r>
          </w:p>
        </w:tc>
        <w:tc>
          <w:tcPr>
            <w:tcW w:w="781" w:type="pct"/>
            <w:vAlign w:val="center"/>
          </w:tcPr>
          <w:p w14:paraId="288DEC13" w14:textId="77777777" w:rsidR="0057389E" w:rsidRPr="00DF5908" w:rsidRDefault="0057389E">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F5908">
              <w:rPr>
                <w:sz w:val="18"/>
                <w:szCs w:val="18"/>
              </w:rPr>
              <w:t>Page reference</w:t>
            </w:r>
          </w:p>
        </w:tc>
      </w:tr>
      <w:tr w:rsidR="00057B4B" w:rsidRPr="00DF5908" w14:paraId="43D52835" w14:textId="77777777" w:rsidTr="00B825BF">
        <w:trPr>
          <w:trHeight w:val="416"/>
        </w:trPr>
        <w:tc>
          <w:tcPr>
            <w:cnfStyle w:val="001000000000" w:firstRow="0" w:lastRow="0" w:firstColumn="1" w:lastColumn="0" w:oddVBand="0" w:evenVBand="0" w:oddHBand="0" w:evenHBand="0" w:firstRowFirstColumn="0" w:firstRowLastColumn="0" w:lastRowFirstColumn="0" w:lastRowLastColumn="0"/>
            <w:tcW w:w="1237" w:type="pct"/>
          </w:tcPr>
          <w:p w14:paraId="020B866D" w14:textId="77777777" w:rsidR="009076BD" w:rsidRPr="00B825BF" w:rsidRDefault="009076BD" w:rsidP="008D1C83">
            <w:pPr>
              <w:pStyle w:val="Tabletext"/>
              <w:spacing w:before="120" w:after="120" w:line="240" w:lineRule="atLeast"/>
              <w:rPr>
                <w:rFonts w:eastAsiaTheme="minorEastAsia" w:cstheme="minorHAnsi"/>
                <w:color w:val="FF0000"/>
                <w:sz w:val="18"/>
                <w:szCs w:val="18"/>
                <w:lang w:eastAsia="en-AU"/>
              </w:rPr>
            </w:pPr>
            <w:r w:rsidRPr="00B825BF">
              <w:rPr>
                <w:rFonts w:cstheme="minorHAnsi"/>
                <w:color w:val="FF0000"/>
                <w:sz w:val="18"/>
                <w:szCs w:val="18"/>
              </w:rPr>
              <w:t xml:space="preserve">[Revised] </w:t>
            </w:r>
          </w:p>
          <w:p w14:paraId="71BD7CB3" w14:textId="48DDDA46" w:rsidR="00A36C09" w:rsidRPr="00B825BF" w:rsidRDefault="00A36C09" w:rsidP="008D1C83">
            <w:pPr>
              <w:pStyle w:val="Tabletext"/>
              <w:spacing w:before="120" w:after="120" w:line="240" w:lineRule="atLeast"/>
              <w:rPr>
                <w:rFonts w:cstheme="minorHAnsi"/>
                <w:sz w:val="18"/>
                <w:szCs w:val="18"/>
              </w:rPr>
            </w:pPr>
            <w:r w:rsidRPr="00B825BF">
              <w:rPr>
                <w:rFonts w:eastAsiaTheme="minorEastAsia" w:cstheme="minorHAnsi"/>
                <w:sz w:val="18"/>
                <w:szCs w:val="18"/>
                <w:lang w:eastAsia="en-AU"/>
              </w:rPr>
              <w:t xml:space="preserve">Freedom of Information </w:t>
            </w:r>
          </w:p>
        </w:tc>
        <w:tc>
          <w:tcPr>
            <w:tcW w:w="781" w:type="pct"/>
          </w:tcPr>
          <w:p w14:paraId="0D65D8CA" w14:textId="4313EAA5" w:rsidR="00A36C09" w:rsidRPr="00B825BF" w:rsidRDefault="00A36C09"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25BF">
              <w:rPr>
                <w:rFonts w:eastAsiaTheme="minorEastAsia" w:cstheme="minorHAnsi"/>
                <w:sz w:val="18"/>
                <w:szCs w:val="18"/>
                <w:lang w:eastAsia="en-AU"/>
              </w:rPr>
              <w:t>General improvement</w:t>
            </w:r>
          </w:p>
        </w:tc>
        <w:tc>
          <w:tcPr>
            <w:tcW w:w="2202" w:type="pct"/>
          </w:tcPr>
          <w:p w14:paraId="173A774E" w14:textId="78822CED" w:rsidR="00A36C09" w:rsidRPr="00B825BF" w:rsidRDefault="00A36C09"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25BF">
              <w:rPr>
                <w:rFonts w:eastAsiaTheme="minorEastAsia" w:cstheme="minorHAnsi"/>
                <w:sz w:val="18"/>
                <w:szCs w:val="18"/>
                <w:lang w:eastAsia="en-AU"/>
              </w:rPr>
              <w:t xml:space="preserve">Minor amendments have been added to the section to provide clarity on the amendments to the </w:t>
            </w:r>
            <w:r w:rsidRPr="00B825BF">
              <w:rPr>
                <w:rFonts w:eastAsiaTheme="minorEastAsia" w:cstheme="minorHAnsi"/>
                <w:i/>
                <w:iCs/>
                <w:sz w:val="18"/>
                <w:szCs w:val="18"/>
                <w:lang w:eastAsia="en-AU"/>
              </w:rPr>
              <w:t>Freedom of Information Act 1982</w:t>
            </w:r>
            <w:r w:rsidR="00562EDE" w:rsidRPr="00B825BF">
              <w:rPr>
                <w:rFonts w:eastAsiaTheme="minorEastAsia" w:cstheme="minorHAnsi"/>
                <w:i/>
                <w:iCs/>
                <w:sz w:val="18"/>
                <w:szCs w:val="18"/>
                <w:lang w:eastAsia="en-AU"/>
              </w:rPr>
              <w:t xml:space="preserve"> </w:t>
            </w:r>
            <w:r w:rsidR="00562EDE" w:rsidRPr="00B825BF">
              <w:rPr>
                <w:rFonts w:eastAsiaTheme="minorEastAsia" w:cstheme="minorHAnsi"/>
                <w:sz w:val="18"/>
                <w:szCs w:val="18"/>
                <w:lang w:eastAsia="en-AU"/>
              </w:rPr>
              <w:t>and processing time for Freedom of Information requests.</w:t>
            </w:r>
          </w:p>
        </w:tc>
        <w:tc>
          <w:tcPr>
            <w:tcW w:w="781" w:type="pct"/>
          </w:tcPr>
          <w:p w14:paraId="38FFAE79" w14:textId="6B23B1C4" w:rsidR="00A36C09" w:rsidRPr="00CF6E46" w:rsidRDefault="00A36C09" w:rsidP="008D1C83">
            <w:pPr>
              <w:pStyle w:val="Tabletextcentred"/>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Theme="minorEastAsia"/>
                <w:szCs w:val="20"/>
                <w:lang w:eastAsia="en-AU"/>
              </w:rPr>
              <w:t>5</w:t>
            </w:r>
            <w:r w:rsidR="004F0472">
              <w:rPr>
                <w:rFonts w:eastAsiaTheme="minorEastAsia"/>
                <w:szCs w:val="20"/>
                <w:lang w:eastAsia="en-AU"/>
              </w:rPr>
              <w:t>2</w:t>
            </w:r>
            <w:r>
              <w:rPr>
                <w:rFonts w:eastAsiaTheme="minorEastAsia"/>
                <w:szCs w:val="20"/>
                <w:lang w:eastAsia="en-AU"/>
              </w:rPr>
              <w:t xml:space="preserve"> – 5</w:t>
            </w:r>
            <w:r w:rsidR="006C42AC">
              <w:rPr>
                <w:rFonts w:eastAsiaTheme="minorEastAsia"/>
                <w:szCs w:val="20"/>
                <w:lang w:eastAsia="en-AU"/>
              </w:rPr>
              <w:t>3</w:t>
            </w:r>
          </w:p>
        </w:tc>
      </w:tr>
      <w:tr w:rsidR="00057B4B" w:rsidRPr="00DF5908" w14:paraId="2BD36AD7" w14:textId="77777777" w:rsidTr="00B825BF">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237" w:type="pct"/>
          </w:tcPr>
          <w:p w14:paraId="1EAB4826" w14:textId="77777777" w:rsidR="009076BD" w:rsidRPr="00B825BF" w:rsidRDefault="009076BD" w:rsidP="008D1C83">
            <w:pPr>
              <w:pStyle w:val="Tabletext"/>
              <w:spacing w:before="120" w:after="120" w:line="240" w:lineRule="atLeast"/>
              <w:rPr>
                <w:rFonts w:eastAsiaTheme="minorEastAsia" w:cstheme="minorHAnsi"/>
                <w:color w:val="FF0000"/>
                <w:sz w:val="18"/>
                <w:szCs w:val="18"/>
                <w:lang w:eastAsia="en-AU"/>
              </w:rPr>
            </w:pPr>
            <w:r w:rsidRPr="00B825BF">
              <w:rPr>
                <w:rFonts w:eastAsiaTheme="minorEastAsia" w:cstheme="minorHAnsi"/>
                <w:color w:val="FF0000"/>
                <w:sz w:val="18"/>
                <w:szCs w:val="18"/>
                <w:lang w:eastAsia="en-AU"/>
              </w:rPr>
              <w:t xml:space="preserve">[Revised] </w:t>
            </w:r>
          </w:p>
          <w:p w14:paraId="63744155" w14:textId="2139B508" w:rsidR="00A36C09" w:rsidRPr="00B825BF" w:rsidRDefault="00A36C09" w:rsidP="008D1C83">
            <w:pPr>
              <w:pStyle w:val="Tabletext"/>
              <w:spacing w:before="120" w:after="120" w:line="240" w:lineRule="atLeast"/>
              <w:rPr>
                <w:rFonts w:cstheme="minorHAnsi"/>
                <w:sz w:val="18"/>
                <w:szCs w:val="18"/>
              </w:rPr>
            </w:pPr>
            <w:r w:rsidRPr="00B825BF">
              <w:rPr>
                <w:rFonts w:cstheme="minorHAnsi"/>
                <w:sz w:val="18"/>
                <w:szCs w:val="18"/>
              </w:rPr>
              <w:t>Compliance with the Protected Disclosure Act 2012</w:t>
            </w:r>
          </w:p>
        </w:tc>
        <w:tc>
          <w:tcPr>
            <w:tcW w:w="781" w:type="pct"/>
          </w:tcPr>
          <w:p w14:paraId="7DFB500A" w14:textId="3DE2B552" w:rsidR="00A36C09" w:rsidRPr="00B825BF" w:rsidRDefault="00A36C09"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cstheme="minorHAnsi"/>
                <w:sz w:val="18"/>
                <w:szCs w:val="18"/>
              </w:rPr>
              <w:t xml:space="preserve">General improvement </w:t>
            </w:r>
          </w:p>
        </w:tc>
        <w:tc>
          <w:tcPr>
            <w:tcW w:w="2202" w:type="pct"/>
          </w:tcPr>
          <w:p w14:paraId="2D3A7AA2" w14:textId="606140FF" w:rsidR="00A36C09" w:rsidRPr="00B825BF" w:rsidRDefault="00375D18"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cstheme="minorHAnsi"/>
                <w:sz w:val="18"/>
                <w:szCs w:val="18"/>
              </w:rPr>
              <w:t>An additional perso</w:t>
            </w:r>
            <w:r w:rsidR="00AE245F" w:rsidRPr="00B825BF">
              <w:rPr>
                <w:rFonts w:cstheme="minorHAnsi"/>
                <w:sz w:val="18"/>
                <w:szCs w:val="18"/>
              </w:rPr>
              <w:t>n</w:t>
            </w:r>
            <w:r w:rsidRPr="00B825BF">
              <w:rPr>
                <w:rFonts w:cstheme="minorHAnsi"/>
                <w:sz w:val="18"/>
                <w:szCs w:val="18"/>
              </w:rPr>
              <w:t xml:space="preserve"> has been included in </w:t>
            </w:r>
            <w:r w:rsidR="00A36C09" w:rsidRPr="00B825BF">
              <w:rPr>
                <w:rFonts w:cstheme="minorHAnsi"/>
                <w:sz w:val="18"/>
                <w:szCs w:val="18"/>
              </w:rPr>
              <w:t xml:space="preserve">the list of Departmental personnel who can make disclosures on improper conduct or detrimental action. </w:t>
            </w:r>
          </w:p>
        </w:tc>
        <w:tc>
          <w:tcPr>
            <w:tcW w:w="781" w:type="pct"/>
          </w:tcPr>
          <w:p w14:paraId="377F5B04" w14:textId="354F3248" w:rsidR="00A36C09" w:rsidRPr="00CF6E46" w:rsidRDefault="00A36C09" w:rsidP="008D1C83">
            <w:pPr>
              <w:pStyle w:val="Tabletextcentred"/>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rPr>
            </w:pPr>
            <w:r w:rsidRPr="00A42D89">
              <w:rPr>
                <w:rFonts w:eastAsiaTheme="minorEastAsia"/>
                <w:szCs w:val="20"/>
                <w:lang w:eastAsia="en-AU"/>
              </w:rPr>
              <w:t>5</w:t>
            </w:r>
            <w:r w:rsidR="006C42AC" w:rsidRPr="00A42D89">
              <w:rPr>
                <w:rFonts w:eastAsiaTheme="minorEastAsia"/>
                <w:szCs w:val="20"/>
                <w:lang w:eastAsia="en-AU"/>
              </w:rPr>
              <w:t>5</w:t>
            </w:r>
            <w:r w:rsidR="00A42D89">
              <w:rPr>
                <w:rFonts w:eastAsiaTheme="minorEastAsia"/>
                <w:szCs w:val="20"/>
                <w:lang w:eastAsia="en-AU"/>
              </w:rPr>
              <w:t xml:space="preserve"> </w:t>
            </w:r>
            <w:r w:rsidR="006C42AC" w:rsidRPr="00A42D89">
              <w:rPr>
                <w:rFonts w:eastAsiaTheme="minorEastAsia"/>
                <w:szCs w:val="20"/>
                <w:lang w:eastAsia="en-AU"/>
              </w:rPr>
              <w:t>-</w:t>
            </w:r>
            <w:r w:rsidR="00A42D89">
              <w:rPr>
                <w:rFonts w:eastAsiaTheme="minorEastAsia"/>
                <w:szCs w:val="20"/>
                <w:lang w:eastAsia="en-AU"/>
              </w:rPr>
              <w:t xml:space="preserve"> </w:t>
            </w:r>
            <w:r w:rsidR="006C42AC" w:rsidRPr="00A42D89">
              <w:rPr>
                <w:rFonts w:eastAsiaTheme="minorEastAsia"/>
                <w:szCs w:val="20"/>
                <w:lang w:eastAsia="en-AU"/>
              </w:rPr>
              <w:t>5</w:t>
            </w:r>
            <w:r w:rsidR="004F0472" w:rsidRPr="00A42D89">
              <w:rPr>
                <w:rFonts w:eastAsiaTheme="minorEastAsia"/>
                <w:szCs w:val="20"/>
                <w:lang w:eastAsia="en-AU"/>
              </w:rPr>
              <w:t>6</w:t>
            </w:r>
          </w:p>
        </w:tc>
      </w:tr>
      <w:tr w:rsidR="00057B4B" w:rsidRPr="00DF5908" w14:paraId="02AF87A6" w14:textId="77777777" w:rsidTr="00B825BF">
        <w:trPr>
          <w:trHeight w:val="910"/>
        </w:trPr>
        <w:tc>
          <w:tcPr>
            <w:cnfStyle w:val="001000000000" w:firstRow="0" w:lastRow="0" w:firstColumn="1" w:lastColumn="0" w:oddVBand="0" w:evenVBand="0" w:oddHBand="0" w:evenHBand="0" w:firstRowFirstColumn="0" w:firstRowLastColumn="0" w:lastRowFirstColumn="0" w:lastRowLastColumn="0"/>
            <w:tcW w:w="1237" w:type="pct"/>
          </w:tcPr>
          <w:p w14:paraId="3F0D64F2" w14:textId="77777777" w:rsidR="009076BD" w:rsidRPr="00B825BF" w:rsidRDefault="009076BD" w:rsidP="008D1C83">
            <w:pPr>
              <w:pStyle w:val="Tabletext"/>
              <w:spacing w:before="120" w:after="120" w:line="240" w:lineRule="atLeast"/>
              <w:rPr>
                <w:rFonts w:eastAsiaTheme="minorEastAsia" w:cstheme="minorHAnsi"/>
                <w:color w:val="FF0000"/>
                <w:sz w:val="18"/>
                <w:szCs w:val="18"/>
                <w:lang w:eastAsia="en-AU"/>
              </w:rPr>
            </w:pPr>
            <w:r w:rsidRPr="00B825BF">
              <w:rPr>
                <w:rFonts w:eastAsiaTheme="minorEastAsia" w:cstheme="minorHAnsi"/>
                <w:color w:val="FF0000"/>
                <w:sz w:val="18"/>
                <w:szCs w:val="18"/>
                <w:lang w:eastAsia="en-AU"/>
              </w:rPr>
              <w:t xml:space="preserve">[Revised] </w:t>
            </w:r>
          </w:p>
          <w:p w14:paraId="110095E3" w14:textId="76F47960" w:rsidR="001A0F35" w:rsidRPr="00B825BF" w:rsidRDefault="008E6FD4" w:rsidP="008D1C83">
            <w:pPr>
              <w:pStyle w:val="Tabletext"/>
              <w:spacing w:before="120" w:after="120" w:line="240" w:lineRule="atLeast"/>
              <w:rPr>
                <w:rFonts w:cstheme="minorHAnsi"/>
                <w:sz w:val="18"/>
                <w:szCs w:val="18"/>
              </w:rPr>
            </w:pPr>
            <w:r w:rsidRPr="00B825BF">
              <w:rPr>
                <w:rFonts w:cstheme="minorHAnsi"/>
                <w:sz w:val="18"/>
                <w:szCs w:val="18"/>
              </w:rPr>
              <w:t>Compliance with the Carers Recognition Act 2012</w:t>
            </w:r>
          </w:p>
        </w:tc>
        <w:tc>
          <w:tcPr>
            <w:tcW w:w="781" w:type="pct"/>
          </w:tcPr>
          <w:p w14:paraId="5E82E77A" w14:textId="4C42A532" w:rsidR="001A0F35" w:rsidRPr="00B825BF" w:rsidRDefault="008E6FD4"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25BF">
              <w:rPr>
                <w:rFonts w:cstheme="minorHAnsi"/>
                <w:sz w:val="18"/>
                <w:szCs w:val="18"/>
              </w:rPr>
              <w:t>General improvement</w:t>
            </w:r>
          </w:p>
        </w:tc>
        <w:tc>
          <w:tcPr>
            <w:tcW w:w="2202" w:type="pct"/>
          </w:tcPr>
          <w:p w14:paraId="5EF70E22" w14:textId="203B9655" w:rsidR="001A0F35" w:rsidRPr="00B825BF" w:rsidRDefault="00A65D80"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25BF">
              <w:rPr>
                <w:rFonts w:cstheme="minorHAnsi"/>
                <w:sz w:val="18"/>
                <w:szCs w:val="18"/>
              </w:rPr>
              <w:t xml:space="preserve">An additional </w:t>
            </w:r>
            <w:r w:rsidR="00B35951" w:rsidRPr="00B825BF">
              <w:rPr>
                <w:rFonts w:cstheme="minorHAnsi"/>
                <w:sz w:val="18"/>
                <w:szCs w:val="18"/>
              </w:rPr>
              <w:t xml:space="preserve">measure has been included in the example disclosure to provide further scope </w:t>
            </w:r>
            <w:r w:rsidR="003F38A0" w:rsidRPr="00B825BF">
              <w:rPr>
                <w:rFonts w:cstheme="minorHAnsi"/>
                <w:sz w:val="18"/>
                <w:szCs w:val="18"/>
              </w:rPr>
              <w:t xml:space="preserve">on how Departments can comply with </w:t>
            </w:r>
            <w:r w:rsidR="00AE245F" w:rsidRPr="00B825BF">
              <w:rPr>
                <w:rFonts w:cstheme="minorHAnsi"/>
                <w:sz w:val="18"/>
                <w:szCs w:val="18"/>
              </w:rPr>
              <w:t>their</w:t>
            </w:r>
            <w:r w:rsidR="003F38A0" w:rsidRPr="00B825BF">
              <w:rPr>
                <w:rFonts w:cstheme="minorHAnsi"/>
                <w:sz w:val="18"/>
                <w:szCs w:val="18"/>
              </w:rPr>
              <w:t xml:space="preserve"> obligations under the </w:t>
            </w:r>
            <w:r w:rsidR="003F38A0" w:rsidRPr="00B825BF">
              <w:rPr>
                <w:rFonts w:cstheme="minorHAnsi"/>
                <w:i/>
                <w:iCs/>
                <w:sz w:val="18"/>
                <w:szCs w:val="18"/>
              </w:rPr>
              <w:t>Carers Recognition Act 2012.</w:t>
            </w:r>
          </w:p>
        </w:tc>
        <w:tc>
          <w:tcPr>
            <w:tcW w:w="781" w:type="pct"/>
          </w:tcPr>
          <w:p w14:paraId="46E60DE3" w14:textId="6CCC104C" w:rsidR="001A0F35" w:rsidRDefault="00B91EEF" w:rsidP="008D1C83">
            <w:pPr>
              <w:pStyle w:val="Tabletextcentred"/>
              <w:spacing w:before="120" w:after="120" w:line="240" w:lineRule="atLeast"/>
              <w:cnfStyle w:val="000000000000" w:firstRow="0" w:lastRow="0" w:firstColumn="0" w:lastColumn="0" w:oddVBand="0" w:evenVBand="0" w:oddHBand="0" w:evenHBand="0" w:firstRowFirstColumn="0" w:firstRowLastColumn="0" w:lastRowFirstColumn="0" w:lastRowLastColumn="0"/>
            </w:pPr>
            <w:r>
              <w:t>5</w:t>
            </w:r>
            <w:r w:rsidR="006C42AC">
              <w:t>6</w:t>
            </w:r>
          </w:p>
        </w:tc>
      </w:tr>
      <w:tr w:rsidR="00057B4B" w:rsidRPr="00DF5908" w14:paraId="58CCDAB9" w14:textId="77777777" w:rsidTr="00B825BF">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237" w:type="pct"/>
          </w:tcPr>
          <w:p w14:paraId="6494942A" w14:textId="77777777" w:rsidR="009076BD" w:rsidRPr="00B825BF" w:rsidRDefault="009076BD" w:rsidP="008D1C83">
            <w:pPr>
              <w:pStyle w:val="Tabletext"/>
              <w:spacing w:before="120" w:after="120" w:line="240" w:lineRule="atLeast"/>
              <w:rPr>
                <w:rFonts w:eastAsiaTheme="minorEastAsia" w:cstheme="minorHAnsi"/>
                <w:color w:val="FF0000"/>
                <w:sz w:val="18"/>
                <w:szCs w:val="18"/>
                <w:lang w:eastAsia="en-AU"/>
              </w:rPr>
            </w:pPr>
            <w:r w:rsidRPr="00B825BF">
              <w:rPr>
                <w:rFonts w:eastAsiaTheme="minorEastAsia" w:cstheme="minorHAnsi"/>
                <w:color w:val="FF0000"/>
                <w:sz w:val="18"/>
                <w:szCs w:val="18"/>
                <w:lang w:eastAsia="en-AU"/>
              </w:rPr>
              <w:t xml:space="preserve">[Revised] </w:t>
            </w:r>
          </w:p>
          <w:p w14:paraId="68B69165" w14:textId="40CB039B" w:rsidR="001A0F35" w:rsidRPr="00B825BF" w:rsidRDefault="001A0F35" w:rsidP="008D1C83">
            <w:pPr>
              <w:pStyle w:val="Tabletext"/>
              <w:spacing w:before="120" w:after="120" w:line="240" w:lineRule="atLeast"/>
              <w:rPr>
                <w:rFonts w:cstheme="minorHAnsi"/>
                <w:sz w:val="18"/>
                <w:szCs w:val="18"/>
              </w:rPr>
            </w:pPr>
            <w:r w:rsidRPr="00B825BF">
              <w:rPr>
                <w:rFonts w:eastAsiaTheme="minorEastAsia" w:cstheme="minorHAnsi"/>
                <w:sz w:val="18"/>
                <w:szCs w:val="18"/>
                <w:lang w:eastAsia="en-AU"/>
              </w:rPr>
              <w:t>Compliance with Other Legislation</w:t>
            </w:r>
          </w:p>
        </w:tc>
        <w:tc>
          <w:tcPr>
            <w:tcW w:w="781" w:type="pct"/>
          </w:tcPr>
          <w:p w14:paraId="3EF4C0FC" w14:textId="0600984F" w:rsidR="001A0F35" w:rsidRPr="00B825BF" w:rsidRDefault="001A0F35"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eastAsiaTheme="minorEastAsia" w:cstheme="minorHAnsi"/>
                <w:sz w:val="18"/>
                <w:szCs w:val="18"/>
                <w:lang w:eastAsia="en-AU"/>
              </w:rPr>
              <w:t xml:space="preserve">General improvement </w:t>
            </w:r>
          </w:p>
        </w:tc>
        <w:tc>
          <w:tcPr>
            <w:tcW w:w="2202" w:type="pct"/>
          </w:tcPr>
          <w:p w14:paraId="4E9C4F99" w14:textId="47D3C015" w:rsidR="001A0F35" w:rsidRPr="00B825BF" w:rsidRDefault="001A0F35"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eastAsiaTheme="minorEastAsia" w:cstheme="minorHAnsi"/>
                <w:sz w:val="18"/>
                <w:szCs w:val="18"/>
                <w:lang w:eastAsia="en-AU"/>
              </w:rPr>
              <w:t>For enhanced clarity, the</w:t>
            </w:r>
            <w:r w:rsidRPr="00B825BF">
              <w:rPr>
                <w:rFonts w:eastAsiaTheme="minorEastAsia" w:cstheme="minorHAnsi"/>
                <w:i/>
                <w:iCs/>
                <w:sz w:val="18"/>
                <w:szCs w:val="18"/>
                <w:lang w:eastAsia="en-AU"/>
              </w:rPr>
              <w:t xml:space="preserve"> </w:t>
            </w:r>
            <w:r w:rsidRPr="00B825BF">
              <w:rPr>
                <w:rFonts w:eastAsiaTheme="minorEastAsia" w:cstheme="minorHAnsi"/>
                <w:sz w:val="18"/>
                <w:szCs w:val="18"/>
                <w:lang w:eastAsia="en-AU"/>
              </w:rPr>
              <w:t xml:space="preserve">previous </w:t>
            </w:r>
            <w:r w:rsidRPr="00B825BF">
              <w:rPr>
                <w:rFonts w:cstheme="minorHAnsi"/>
                <w:i/>
                <w:iCs/>
                <w:sz w:val="18"/>
                <w:szCs w:val="18"/>
              </w:rPr>
              <w:t>Compliance with Technology Act 1991</w:t>
            </w:r>
            <w:r w:rsidRPr="00B825BF">
              <w:rPr>
                <w:rFonts w:eastAsiaTheme="minorEastAsia" w:cstheme="minorHAnsi"/>
                <w:i/>
                <w:iCs/>
                <w:sz w:val="18"/>
                <w:szCs w:val="18"/>
                <w:lang w:eastAsia="en-AU"/>
              </w:rPr>
              <w:t xml:space="preserve"> </w:t>
            </w:r>
            <w:r w:rsidRPr="00B825BF">
              <w:rPr>
                <w:rFonts w:eastAsiaTheme="minorEastAsia" w:cstheme="minorHAnsi"/>
                <w:sz w:val="18"/>
                <w:szCs w:val="18"/>
                <w:lang w:eastAsia="en-AU"/>
              </w:rPr>
              <w:t xml:space="preserve">has been renamed to </w:t>
            </w:r>
            <w:r w:rsidRPr="00B825BF">
              <w:rPr>
                <w:rFonts w:eastAsiaTheme="minorEastAsia" w:cstheme="minorHAnsi"/>
                <w:i/>
                <w:iCs/>
                <w:sz w:val="18"/>
                <w:szCs w:val="18"/>
                <w:lang w:eastAsia="en-AU"/>
              </w:rPr>
              <w:t>Compliance with Other Legislation</w:t>
            </w:r>
            <w:r w:rsidRPr="00B825BF">
              <w:rPr>
                <w:rFonts w:eastAsiaTheme="minorEastAsia" w:cstheme="minorHAnsi"/>
                <w:sz w:val="18"/>
                <w:szCs w:val="18"/>
                <w:lang w:eastAsia="en-AU"/>
              </w:rPr>
              <w:t>.</w:t>
            </w:r>
            <w:r w:rsidRPr="00B825BF">
              <w:rPr>
                <w:rFonts w:eastAsiaTheme="minorEastAsia" w:cstheme="minorHAnsi"/>
                <w:i/>
                <w:iCs/>
                <w:sz w:val="18"/>
                <w:szCs w:val="18"/>
                <w:lang w:eastAsia="en-AU"/>
              </w:rPr>
              <w:t xml:space="preserve"> </w:t>
            </w:r>
            <w:r w:rsidRPr="00B825BF">
              <w:rPr>
                <w:rFonts w:eastAsiaTheme="minorEastAsia" w:cstheme="minorHAnsi"/>
                <w:sz w:val="18"/>
                <w:szCs w:val="18"/>
                <w:lang w:eastAsia="en-AU"/>
              </w:rPr>
              <w:t>This is to reflect the requirement for entities to disclose other applicable legislation</w:t>
            </w:r>
            <w:r w:rsidR="00375D18" w:rsidRPr="00B825BF">
              <w:rPr>
                <w:rFonts w:eastAsiaTheme="minorEastAsia" w:cstheme="minorHAnsi"/>
                <w:sz w:val="18"/>
                <w:szCs w:val="18"/>
                <w:lang w:eastAsia="en-AU"/>
              </w:rPr>
              <w:t xml:space="preserve"> which is relevant to their industry</w:t>
            </w:r>
            <w:r w:rsidR="003458F0" w:rsidRPr="00B825BF">
              <w:rPr>
                <w:rFonts w:eastAsiaTheme="minorEastAsia" w:cstheme="minorHAnsi"/>
                <w:sz w:val="18"/>
                <w:szCs w:val="18"/>
                <w:lang w:eastAsia="en-AU"/>
              </w:rPr>
              <w:t xml:space="preserve"> </w:t>
            </w:r>
            <w:r w:rsidR="00375D18" w:rsidRPr="00B825BF">
              <w:rPr>
                <w:rFonts w:eastAsiaTheme="minorEastAsia" w:cstheme="minorHAnsi"/>
                <w:sz w:val="18"/>
                <w:szCs w:val="18"/>
                <w:lang w:eastAsia="en-AU"/>
              </w:rPr>
              <w:t>and</w:t>
            </w:r>
            <w:r w:rsidRPr="00B825BF">
              <w:rPr>
                <w:rFonts w:eastAsiaTheme="minorEastAsia" w:cstheme="minorHAnsi"/>
                <w:sz w:val="18"/>
                <w:szCs w:val="18"/>
                <w:lang w:eastAsia="en-AU"/>
              </w:rPr>
              <w:t xml:space="preserve"> not covered in the Model</w:t>
            </w:r>
            <w:r w:rsidR="00AE245F" w:rsidRPr="00B825BF">
              <w:rPr>
                <w:rFonts w:eastAsiaTheme="minorEastAsia" w:cstheme="minorHAnsi"/>
                <w:sz w:val="18"/>
                <w:szCs w:val="18"/>
                <w:lang w:eastAsia="en-AU"/>
              </w:rPr>
              <w:t xml:space="preserve"> Report</w:t>
            </w:r>
            <w:r w:rsidR="00375D18" w:rsidRPr="00B825BF">
              <w:rPr>
                <w:rFonts w:eastAsiaTheme="minorEastAsia" w:cstheme="minorHAnsi"/>
                <w:sz w:val="18"/>
                <w:szCs w:val="18"/>
                <w:lang w:eastAsia="en-AU"/>
              </w:rPr>
              <w:t xml:space="preserve">. </w:t>
            </w:r>
            <w:r w:rsidR="00AE245F" w:rsidRPr="00B825BF">
              <w:rPr>
                <w:rFonts w:eastAsiaTheme="minorEastAsia" w:cstheme="minorHAnsi"/>
                <w:sz w:val="18"/>
                <w:szCs w:val="18"/>
                <w:lang w:eastAsia="en-AU"/>
              </w:rPr>
              <w:t>T</w:t>
            </w:r>
            <w:r w:rsidR="00375D18" w:rsidRPr="00B825BF">
              <w:rPr>
                <w:rFonts w:eastAsiaTheme="minorEastAsia" w:cstheme="minorHAnsi"/>
                <w:sz w:val="18"/>
                <w:szCs w:val="18"/>
                <w:lang w:eastAsia="en-AU"/>
              </w:rPr>
              <w:t>he Model</w:t>
            </w:r>
            <w:r w:rsidR="003458F0" w:rsidRPr="00B825BF">
              <w:rPr>
                <w:rFonts w:eastAsiaTheme="minorEastAsia" w:cstheme="minorHAnsi"/>
                <w:sz w:val="18"/>
                <w:szCs w:val="18"/>
                <w:lang w:eastAsia="en-AU"/>
              </w:rPr>
              <w:t xml:space="preserve"> </w:t>
            </w:r>
            <w:r w:rsidR="00AE245F" w:rsidRPr="00B825BF">
              <w:rPr>
                <w:rFonts w:eastAsiaTheme="minorEastAsia" w:cstheme="minorHAnsi"/>
                <w:sz w:val="18"/>
                <w:szCs w:val="18"/>
                <w:lang w:eastAsia="en-AU"/>
              </w:rPr>
              <w:t xml:space="preserve">Report </w:t>
            </w:r>
            <w:r w:rsidR="003458F0" w:rsidRPr="00B825BF">
              <w:rPr>
                <w:rFonts w:eastAsiaTheme="minorEastAsia" w:cstheme="minorHAnsi"/>
                <w:sz w:val="18"/>
                <w:szCs w:val="18"/>
                <w:lang w:eastAsia="en-AU"/>
              </w:rPr>
              <w:t xml:space="preserve">uses </w:t>
            </w:r>
            <w:r w:rsidRPr="00B825BF">
              <w:rPr>
                <w:rFonts w:eastAsiaTheme="minorEastAsia" w:cstheme="minorHAnsi"/>
                <w:sz w:val="18"/>
                <w:szCs w:val="18"/>
                <w:lang w:eastAsia="en-AU"/>
              </w:rPr>
              <w:t xml:space="preserve">the fictitious </w:t>
            </w:r>
            <w:r w:rsidRPr="00B825BF">
              <w:rPr>
                <w:rFonts w:cstheme="minorHAnsi"/>
                <w:i/>
                <w:iCs/>
                <w:sz w:val="18"/>
                <w:szCs w:val="18"/>
              </w:rPr>
              <w:t>Technology Act 1991</w:t>
            </w:r>
            <w:r w:rsidRPr="00B825BF">
              <w:rPr>
                <w:rFonts w:eastAsiaTheme="minorEastAsia" w:cstheme="minorHAnsi"/>
                <w:sz w:val="18"/>
                <w:szCs w:val="18"/>
                <w:lang w:eastAsia="en-AU"/>
              </w:rPr>
              <w:t xml:space="preserve"> as an example disclosure</w:t>
            </w:r>
            <w:r w:rsidR="003458F0" w:rsidRPr="00B825BF">
              <w:rPr>
                <w:rFonts w:eastAsiaTheme="minorEastAsia" w:cstheme="minorHAnsi"/>
                <w:sz w:val="18"/>
                <w:szCs w:val="18"/>
                <w:lang w:eastAsia="en-AU"/>
              </w:rPr>
              <w:t xml:space="preserve"> </w:t>
            </w:r>
            <w:r w:rsidR="00AE245F" w:rsidRPr="00B825BF">
              <w:rPr>
                <w:rFonts w:eastAsiaTheme="minorEastAsia" w:cstheme="minorHAnsi"/>
                <w:sz w:val="18"/>
                <w:szCs w:val="18"/>
                <w:lang w:eastAsia="en-AU"/>
              </w:rPr>
              <w:t>of compliance with legislation.</w:t>
            </w:r>
            <w:r w:rsidRPr="00B825BF">
              <w:rPr>
                <w:rFonts w:eastAsiaTheme="minorEastAsia" w:cstheme="minorHAnsi"/>
                <w:sz w:val="18"/>
                <w:szCs w:val="18"/>
                <w:lang w:eastAsia="en-AU"/>
              </w:rPr>
              <w:t xml:space="preserve"> </w:t>
            </w:r>
          </w:p>
        </w:tc>
        <w:tc>
          <w:tcPr>
            <w:tcW w:w="781" w:type="pct"/>
          </w:tcPr>
          <w:p w14:paraId="5DA6886E" w14:textId="48251363" w:rsidR="001A0F35" w:rsidRPr="00CF6E46" w:rsidRDefault="001A0F35" w:rsidP="008D1C83">
            <w:pPr>
              <w:pStyle w:val="Tabletextcentred"/>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rPr>
            </w:pPr>
            <w:r>
              <w:rPr>
                <w:rFonts w:eastAsiaTheme="minorEastAsia"/>
                <w:szCs w:val="20"/>
                <w:lang w:eastAsia="en-AU"/>
              </w:rPr>
              <w:t>5</w:t>
            </w:r>
            <w:r w:rsidR="006C42AC">
              <w:rPr>
                <w:rFonts w:eastAsiaTheme="minorEastAsia"/>
                <w:szCs w:val="20"/>
                <w:lang w:eastAsia="en-AU"/>
              </w:rPr>
              <w:t>8</w:t>
            </w:r>
          </w:p>
        </w:tc>
      </w:tr>
      <w:tr w:rsidR="00057B4B" w:rsidRPr="00DF5908" w14:paraId="2B76720B" w14:textId="77777777" w:rsidTr="00B825BF">
        <w:trPr>
          <w:trHeight w:val="910"/>
        </w:trPr>
        <w:tc>
          <w:tcPr>
            <w:cnfStyle w:val="001000000000" w:firstRow="0" w:lastRow="0" w:firstColumn="1" w:lastColumn="0" w:oddVBand="0" w:evenVBand="0" w:oddHBand="0" w:evenHBand="0" w:firstRowFirstColumn="0" w:firstRowLastColumn="0" w:lastRowFirstColumn="0" w:lastRowLastColumn="0"/>
            <w:tcW w:w="1237" w:type="pct"/>
          </w:tcPr>
          <w:p w14:paraId="37AB62A3" w14:textId="77777777" w:rsidR="00D558CA" w:rsidRPr="00B825BF" w:rsidRDefault="00D558CA" w:rsidP="008D1C83">
            <w:pPr>
              <w:pStyle w:val="Tabletext"/>
              <w:spacing w:before="120" w:after="120" w:line="240" w:lineRule="atLeast"/>
              <w:rPr>
                <w:rFonts w:eastAsiaTheme="minorEastAsia" w:cstheme="minorHAnsi"/>
                <w:color w:val="FF0000"/>
                <w:sz w:val="18"/>
                <w:szCs w:val="18"/>
                <w:lang w:eastAsia="en-AU"/>
              </w:rPr>
            </w:pPr>
            <w:r w:rsidRPr="00B825BF">
              <w:rPr>
                <w:rFonts w:eastAsiaTheme="minorEastAsia" w:cstheme="minorHAnsi"/>
                <w:color w:val="FF0000"/>
                <w:sz w:val="18"/>
                <w:szCs w:val="18"/>
                <w:lang w:eastAsia="en-AU"/>
              </w:rPr>
              <w:t xml:space="preserve">[Revised] </w:t>
            </w:r>
          </w:p>
          <w:p w14:paraId="62C1A27A" w14:textId="7131B654" w:rsidR="00A93772" w:rsidRPr="00B825BF" w:rsidRDefault="00A93772" w:rsidP="008D1C83">
            <w:pPr>
              <w:pStyle w:val="Tabletext"/>
              <w:spacing w:before="120" w:after="120" w:line="240" w:lineRule="atLeast"/>
              <w:rPr>
                <w:rFonts w:cstheme="minorHAnsi"/>
                <w:sz w:val="18"/>
                <w:szCs w:val="18"/>
              </w:rPr>
            </w:pPr>
            <w:r w:rsidRPr="00B825BF">
              <w:rPr>
                <w:rFonts w:cstheme="minorHAnsi"/>
                <w:sz w:val="18"/>
                <w:szCs w:val="18"/>
              </w:rPr>
              <w:t>Attestation for financial management compliance with Standing Direction 5,1,4</w:t>
            </w:r>
          </w:p>
        </w:tc>
        <w:tc>
          <w:tcPr>
            <w:tcW w:w="781" w:type="pct"/>
          </w:tcPr>
          <w:p w14:paraId="398302AE" w14:textId="14E95CD5" w:rsidR="00A93772" w:rsidRPr="00B825BF" w:rsidRDefault="00A93772"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25BF">
              <w:rPr>
                <w:rFonts w:cstheme="minorHAnsi"/>
                <w:sz w:val="18"/>
                <w:szCs w:val="18"/>
              </w:rPr>
              <w:t xml:space="preserve">General improvement </w:t>
            </w:r>
          </w:p>
        </w:tc>
        <w:tc>
          <w:tcPr>
            <w:tcW w:w="2202" w:type="pct"/>
          </w:tcPr>
          <w:p w14:paraId="720A9750" w14:textId="133E97B7" w:rsidR="00A93772" w:rsidRPr="00B825BF" w:rsidRDefault="004E3C16"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25BF">
              <w:rPr>
                <w:rFonts w:cstheme="minorHAnsi"/>
                <w:sz w:val="18"/>
                <w:szCs w:val="18"/>
              </w:rPr>
              <w:t xml:space="preserve">Minor editorial </w:t>
            </w:r>
            <w:r w:rsidR="006B565E" w:rsidRPr="00B825BF">
              <w:rPr>
                <w:rFonts w:cstheme="minorHAnsi"/>
                <w:sz w:val="18"/>
                <w:szCs w:val="18"/>
              </w:rPr>
              <w:t>updates</w:t>
            </w:r>
            <w:r w:rsidRPr="00B825BF">
              <w:rPr>
                <w:rFonts w:cstheme="minorHAnsi"/>
                <w:sz w:val="18"/>
                <w:szCs w:val="18"/>
              </w:rPr>
              <w:t xml:space="preserve"> were made to the wording of the Attestation Statement to provide more cl</w:t>
            </w:r>
            <w:r w:rsidR="00B017B8" w:rsidRPr="00B825BF">
              <w:rPr>
                <w:rFonts w:cstheme="minorHAnsi"/>
                <w:sz w:val="18"/>
                <w:szCs w:val="18"/>
              </w:rPr>
              <w:t>arity</w:t>
            </w:r>
            <w:r w:rsidRPr="00B825BF">
              <w:rPr>
                <w:rFonts w:cstheme="minorHAnsi"/>
                <w:sz w:val="18"/>
                <w:szCs w:val="18"/>
              </w:rPr>
              <w:t xml:space="preserve"> on the nature of the compliance </w:t>
            </w:r>
            <w:r w:rsidR="00B017B8" w:rsidRPr="00B825BF">
              <w:rPr>
                <w:rFonts w:cstheme="minorHAnsi"/>
                <w:sz w:val="18"/>
                <w:szCs w:val="18"/>
              </w:rPr>
              <w:t>statement</w:t>
            </w:r>
            <w:r w:rsidRPr="00B825BF">
              <w:rPr>
                <w:rFonts w:cstheme="minorHAnsi"/>
                <w:sz w:val="18"/>
                <w:szCs w:val="18"/>
              </w:rPr>
              <w:t xml:space="preserve"> under the Standing Directions. </w:t>
            </w:r>
          </w:p>
        </w:tc>
        <w:tc>
          <w:tcPr>
            <w:tcW w:w="781" w:type="pct"/>
          </w:tcPr>
          <w:p w14:paraId="1B5BCA8E" w14:textId="7B632216" w:rsidR="00A93772" w:rsidRDefault="00EC6022" w:rsidP="008D1C83">
            <w:pPr>
              <w:pStyle w:val="Tabletextcentred"/>
              <w:spacing w:before="120" w:after="120" w:line="240" w:lineRule="atLeast"/>
              <w:cnfStyle w:val="000000000000" w:firstRow="0" w:lastRow="0" w:firstColumn="0" w:lastColumn="0" w:oddVBand="0" w:evenVBand="0" w:oddHBand="0" w:evenHBand="0" w:firstRowFirstColumn="0" w:firstRowLastColumn="0" w:lastRowFirstColumn="0" w:lastRowLastColumn="0"/>
            </w:pPr>
            <w:r>
              <w:t>68</w:t>
            </w:r>
          </w:p>
        </w:tc>
      </w:tr>
      <w:tr w:rsidR="00057B4B" w:rsidRPr="00DF5908" w14:paraId="26D119AE" w14:textId="77777777" w:rsidTr="00B825BF">
        <w:trPr>
          <w:cnfStyle w:val="000000010000" w:firstRow="0" w:lastRow="0" w:firstColumn="0" w:lastColumn="0" w:oddVBand="0" w:evenVBand="0" w:oddHBand="0" w:evenHBand="1"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237" w:type="pct"/>
          </w:tcPr>
          <w:p w14:paraId="3CE97520" w14:textId="77777777" w:rsidR="00D558CA" w:rsidRPr="00B825BF" w:rsidRDefault="00D558CA" w:rsidP="008D1C83">
            <w:pPr>
              <w:pStyle w:val="Tabletext"/>
              <w:spacing w:before="120" w:after="120" w:line="240" w:lineRule="atLeast"/>
              <w:rPr>
                <w:rFonts w:eastAsiaTheme="minorEastAsia" w:cstheme="minorHAnsi"/>
                <w:color w:val="FF0000"/>
                <w:sz w:val="18"/>
                <w:szCs w:val="18"/>
                <w:lang w:eastAsia="en-AU"/>
              </w:rPr>
            </w:pPr>
            <w:r w:rsidRPr="00B825BF">
              <w:rPr>
                <w:rFonts w:eastAsiaTheme="minorEastAsia" w:cstheme="minorHAnsi"/>
                <w:color w:val="FF0000"/>
                <w:sz w:val="18"/>
                <w:szCs w:val="18"/>
                <w:lang w:eastAsia="en-AU"/>
              </w:rPr>
              <w:t xml:space="preserve">[Revised] </w:t>
            </w:r>
          </w:p>
          <w:p w14:paraId="45EFC13A" w14:textId="4A8BABCB" w:rsidR="00A36C09" w:rsidRPr="00B825BF" w:rsidRDefault="001F08AE" w:rsidP="008D1C83">
            <w:pPr>
              <w:pStyle w:val="Tabletext"/>
              <w:spacing w:before="120" w:after="120" w:line="240" w:lineRule="atLeast"/>
              <w:rPr>
                <w:rFonts w:cstheme="minorHAnsi"/>
                <w:sz w:val="18"/>
                <w:szCs w:val="18"/>
              </w:rPr>
            </w:pPr>
            <w:r w:rsidRPr="00B825BF">
              <w:rPr>
                <w:rFonts w:cstheme="minorHAnsi"/>
                <w:sz w:val="18"/>
                <w:szCs w:val="18"/>
              </w:rPr>
              <w:t>Disclosure index</w:t>
            </w:r>
            <w:r w:rsidR="00C100A9" w:rsidRPr="00B825BF">
              <w:rPr>
                <w:rFonts w:cstheme="minorHAnsi"/>
                <w:sz w:val="18"/>
                <w:szCs w:val="18"/>
              </w:rPr>
              <w:t xml:space="preserve"> and guidance section</w:t>
            </w:r>
          </w:p>
        </w:tc>
        <w:tc>
          <w:tcPr>
            <w:tcW w:w="781" w:type="pct"/>
          </w:tcPr>
          <w:p w14:paraId="19D495A1" w14:textId="763C941C" w:rsidR="00A36C09" w:rsidRPr="00B825BF" w:rsidRDefault="001F08AE"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cstheme="minorHAnsi"/>
                <w:sz w:val="18"/>
                <w:szCs w:val="18"/>
              </w:rPr>
              <w:t xml:space="preserve">General improvement </w:t>
            </w:r>
          </w:p>
        </w:tc>
        <w:tc>
          <w:tcPr>
            <w:tcW w:w="2202" w:type="pct"/>
          </w:tcPr>
          <w:p w14:paraId="3685D686" w14:textId="232F9236" w:rsidR="00A36C09" w:rsidRPr="00B825BF" w:rsidRDefault="00D67136"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cstheme="minorHAnsi"/>
                <w:sz w:val="18"/>
                <w:szCs w:val="18"/>
              </w:rPr>
              <w:t>For enhanced usability, e</w:t>
            </w:r>
            <w:r w:rsidR="00E62541" w:rsidRPr="00B825BF">
              <w:rPr>
                <w:rFonts w:cstheme="minorHAnsi"/>
                <w:sz w:val="18"/>
                <w:szCs w:val="18"/>
              </w:rPr>
              <w:t xml:space="preserve">mbedded </w:t>
            </w:r>
            <w:r w:rsidR="00AE245F" w:rsidRPr="00B825BF">
              <w:rPr>
                <w:rFonts w:cstheme="minorHAnsi"/>
                <w:sz w:val="18"/>
                <w:szCs w:val="18"/>
              </w:rPr>
              <w:t>hyperlinks</w:t>
            </w:r>
            <w:r w:rsidR="00E62541" w:rsidRPr="00B825BF">
              <w:rPr>
                <w:rFonts w:cstheme="minorHAnsi"/>
                <w:sz w:val="18"/>
                <w:szCs w:val="18"/>
              </w:rPr>
              <w:t xml:space="preserve"> ha</w:t>
            </w:r>
            <w:r w:rsidR="00AE245F" w:rsidRPr="00B825BF">
              <w:rPr>
                <w:rFonts w:cstheme="minorHAnsi"/>
                <w:sz w:val="18"/>
                <w:szCs w:val="18"/>
              </w:rPr>
              <w:t>ve</w:t>
            </w:r>
            <w:r w:rsidR="00E62541" w:rsidRPr="00B825BF">
              <w:rPr>
                <w:rFonts w:cstheme="minorHAnsi"/>
                <w:sz w:val="18"/>
                <w:szCs w:val="18"/>
              </w:rPr>
              <w:t xml:space="preserve"> been </w:t>
            </w:r>
            <w:r w:rsidR="00A6455E" w:rsidRPr="00B825BF">
              <w:rPr>
                <w:rFonts w:cstheme="minorHAnsi"/>
                <w:sz w:val="18"/>
                <w:szCs w:val="18"/>
              </w:rPr>
              <w:t xml:space="preserve">inserted </w:t>
            </w:r>
            <w:r w:rsidR="00E62541" w:rsidRPr="00B825BF">
              <w:rPr>
                <w:rFonts w:cstheme="minorHAnsi"/>
                <w:sz w:val="18"/>
                <w:szCs w:val="18"/>
              </w:rPr>
              <w:t>to the relevant page for the selected disclosure</w:t>
            </w:r>
            <w:r w:rsidRPr="00B825BF">
              <w:rPr>
                <w:rFonts w:cstheme="minorHAnsi"/>
                <w:sz w:val="18"/>
                <w:szCs w:val="18"/>
              </w:rPr>
              <w:t>.</w:t>
            </w:r>
          </w:p>
          <w:p w14:paraId="0B7D06E0" w14:textId="00463188" w:rsidR="00622A01" w:rsidRPr="00B825BF" w:rsidRDefault="00A6455E" w:rsidP="008D1C83">
            <w:pPr>
              <w:pStyle w:val="Tabletext"/>
              <w:spacing w:before="120" w:after="120" w:line="240" w:lineRule="atLeast"/>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825BF">
              <w:rPr>
                <w:rFonts w:cstheme="minorHAnsi"/>
                <w:sz w:val="18"/>
                <w:szCs w:val="18"/>
              </w:rPr>
              <w:t xml:space="preserve">Additional guidance has been inserted for preparers to </w:t>
            </w:r>
            <w:r w:rsidR="00AE245F" w:rsidRPr="00B825BF">
              <w:rPr>
                <w:rFonts w:cstheme="minorHAnsi"/>
                <w:sz w:val="18"/>
                <w:szCs w:val="18"/>
              </w:rPr>
              <w:t xml:space="preserve">refer to </w:t>
            </w:r>
            <w:r w:rsidRPr="00B825BF">
              <w:rPr>
                <w:rFonts w:cstheme="minorHAnsi"/>
                <w:sz w:val="18"/>
                <w:szCs w:val="18"/>
              </w:rPr>
              <w:t>the DTF website to ensure the most up to date references are being used in their annual reports.</w:t>
            </w:r>
            <w:r w:rsidR="00622A01" w:rsidRPr="00B825BF">
              <w:rPr>
                <w:rFonts w:cstheme="minorHAnsi"/>
                <w:sz w:val="18"/>
                <w:szCs w:val="18"/>
              </w:rPr>
              <w:t xml:space="preserve"> </w:t>
            </w:r>
          </w:p>
        </w:tc>
        <w:tc>
          <w:tcPr>
            <w:tcW w:w="781" w:type="pct"/>
          </w:tcPr>
          <w:p w14:paraId="7FE2C05F" w14:textId="0B905022" w:rsidR="00A36C09" w:rsidRDefault="00F659C5" w:rsidP="008D1C83">
            <w:pPr>
              <w:pStyle w:val="Tabletextcentred"/>
              <w:spacing w:before="120" w:after="120" w:line="240" w:lineRule="atLeast"/>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7</w:t>
            </w:r>
            <w:r w:rsidR="00EC6022">
              <w:rPr>
                <w:rFonts w:ascii="Arial" w:hAnsi="Arial" w:cs="Arial"/>
              </w:rPr>
              <w:t>0</w:t>
            </w:r>
            <w:r w:rsidR="00A42D89">
              <w:rPr>
                <w:rFonts w:ascii="Arial" w:hAnsi="Arial" w:cs="Arial"/>
              </w:rPr>
              <w:t xml:space="preserve"> </w:t>
            </w:r>
            <w:r w:rsidR="00EC6022">
              <w:rPr>
                <w:rFonts w:ascii="Arial" w:hAnsi="Arial" w:cs="Arial"/>
              </w:rPr>
              <w:t>-</w:t>
            </w:r>
            <w:r w:rsidR="00A42D89">
              <w:rPr>
                <w:rFonts w:ascii="Arial" w:hAnsi="Arial" w:cs="Arial"/>
              </w:rPr>
              <w:t xml:space="preserve"> </w:t>
            </w:r>
            <w:r w:rsidR="00EC6022">
              <w:rPr>
                <w:rFonts w:ascii="Arial" w:hAnsi="Arial" w:cs="Arial"/>
              </w:rPr>
              <w:t>71</w:t>
            </w:r>
          </w:p>
          <w:p w14:paraId="567D7A7E" w14:textId="3C71E1DD" w:rsidR="00C100A9" w:rsidRPr="00CF6E46" w:rsidRDefault="00C100A9" w:rsidP="008D1C83">
            <w:pPr>
              <w:pStyle w:val="Tabletextcentred"/>
              <w:spacing w:before="120" w:after="120" w:line="240" w:lineRule="atLeast"/>
              <w:ind w:left="-345" w:firstLine="345"/>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444DC0D0" w14:textId="77777777" w:rsidR="0057389E" w:rsidRDefault="0057389E" w:rsidP="0057389E">
      <w:pPr>
        <w:pStyle w:val="Heading2"/>
        <w:sectPr w:rsidR="0057389E" w:rsidSect="00F461B0">
          <w:pgSz w:w="11906" w:h="16838" w:code="9"/>
          <w:pgMar w:top="2160" w:right="1440" w:bottom="1350" w:left="1440" w:header="706" w:footer="461" w:gutter="0"/>
          <w:cols w:space="708"/>
          <w:docGrid w:linePitch="360"/>
        </w:sectPr>
      </w:pPr>
    </w:p>
    <w:p w14:paraId="72BA6A94" w14:textId="78034C51" w:rsidR="0068319A" w:rsidRDefault="0068319A" w:rsidP="0057389E">
      <w:pPr>
        <w:pStyle w:val="Heading2"/>
      </w:pPr>
      <w:r>
        <w:lastRenderedPageBreak/>
        <w:t>Model Financial Statements</w:t>
      </w:r>
      <w:r w:rsidR="00BD07C5">
        <w:t xml:space="preserve"> (</w:t>
      </w:r>
      <w:r w:rsidR="001B57CD">
        <w:t xml:space="preserve">grouped </w:t>
      </w:r>
      <w:r w:rsidR="00BD07C5">
        <w:t>by source of change)</w:t>
      </w:r>
    </w:p>
    <w:tbl>
      <w:tblPr>
        <w:tblStyle w:val="DTFtexttable"/>
        <w:tblW w:w="5304" w:type="pct"/>
        <w:tblLayout w:type="fixed"/>
        <w:tblLook w:val="04A0" w:firstRow="1" w:lastRow="0" w:firstColumn="1" w:lastColumn="0" w:noHBand="0" w:noVBand="1"/>
      </w:tblPr>
      <w:tblGrid>
        <w:gridCol w:w="1898"/>
        <w:gridCol w:w="1988"/>
        <w:gridCol w:w="4819"/>
        <w:gridCol w:w="991"/>
      </w:tblGrid>
      <w:tr w:rsidR="00844647" w:rsidRPr="0018391B" w14:paraId="4C1731E3" w14:textId="77777777" w:rsidTr="000C24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9" w:type="pct"/>
          </w:tcPr>
          <w:p w14:paraId="318A2000" w14:textId="00D157F3" w:rsidR="0068319A" w:rsidRPr="0018391B" w:rsidRDefault="0068319A">
            <w:pPr>
              <w:pStyle w:val="Tableheader"/>
              <w:rPr>
                <w:sz w:val="18"/>
                <w:szCs w:val="18"/>
              </w:rPr>
            </w:pPr>
            <w:r w:rsidRPr="0018391B">
              <w:rPr>
                <w:sz w:val="18"/>
                <w:szCs w:val="18"/>
              </w:rPr>
              <w:t>Subject matter</w:t>
            </w:r>
          </w:p>
        </w:tc>
        <w:tc>
          <w:tcPr>
            <w:tcW w:w="1025" w:type="pct"/>
            <w:tcBorders>
              <w:bottom w:val="nil"/>
            </w:tcBorders>
          </w:tcPr>
          <w:p w14:paraId="1AFA611E" w14:textId="77777777" w:rsidR="0068319A" w:rsidRPr="0018391B" w:rsidRDefault="0068319A">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8391B">
              <w:rPr>
                <w:sz w:val="18"/>
                <w:szCs w:val="18"/>
              </w:rPr>
              <w:t>Source of change</w:t>
            </w:r>
          </w:p>
        </w:tc>
        <w:tc>
          <w:tcPr>
            <w:tcW w:w="2485" w:type="pct"/>
          </w:tcPr>
          <w:p w14:paraId="126C6975" w14:textId="3C0AF34B" w:rsidR="0068319A" w:rsidRPr="0018391B" w:rsidRDefault="0068319A" w:rsidP="00956D7F">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18391B">
              <w:rPr>
                <w:sz w:val="18"/>
                <w:szCs w:val="18"/>
              </w:rPr>
              <w:t xml:space="preserve">Summary of changes </w:t>
            </w:r>
            <w:r w:rsidR="00A36C09" w:rsidRPr="0018391B">
              <w:rPr>
                <w:sz w:val="18"/>
                <w:szCs w:val="18"/>
              </w:rPr>
              <w:t>applied to the relevant sections in the Model Financial Statements</w:t>
            </w:r>
          </w:p>
        </w:tc>
        <w:tc>
          <w:tcPr>
            <w:tcW w:w="512" w:type="pct"/>
          </w:tcPr>
          <w:p w14:paraId="641671C3" w14:textId="77777777" w:rsidR="0068319A" w:rsidRPr="0018391B" w:rsidRDefault="0068319A" w:rsidP="00C35DEF">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18391B">
              <w:rPr>
                <w:sz w:val="18"/>
                <w:szCs w:val="18"/>
              </w:rPr>
              <w:t>Page reference</w:t>
            </w:r>
          </w:p>
        </w:tc>
      </w:tr>
      <w:tr w:rsidR="00844647" w:rsidRPr="0018391B" w14:paraId="6DC5DC44"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6B8248DD" w14:textId="77777777" w:rsidR="008D1C83" w:rsidRPr="008D1C83" w:rsidRDefault="008D1C83" w:rsidP="008D1C83">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23CFBFEF" w14:textId="54626FC0" w:rsidR="008D1C83" w:rsidRPr="008D1C83" w:rsidRDefault="008D1C83" w:rsidP="008D1C83">
            <w:pPr>
              <w:pStyle w:val="Tableheader"/>
              <w:spacing w:after="120" w:line="240" w:lineRule="atLeast"/>
              <w:rPr>
                <w:rFonts w:cstheme="minorHAnsi"/>
                <w:sz w:val="18"/>
                <w:szCs w:val="18"/>
              </w:rPr>
            </w:pPr>
            <w:r w:rsidRPr="008D1C83">
              <w:rPr>
                <w:rFonts w:cstheme="minorHAnsi"/>
                <w:color w:val="auto"/>
                <w:sz w:val="18"/>
                <w:szCs w:val="18"/>
              </w:rPr>
              <w:t>Balance sheet</w:t>
            </w:r>
          </w:p>
        </w:tc>
        <w:tc>
          <w:tcPr>
            <w:tcW w:w="1025" w:type="pct"/>
            <w:tcBorders>
              <w:bottom w:val="nil"/>
            </w:tcBorders>
            <w:shd w:val="clear" w:color="auto" w:fill="auto"/>
          </w:tcPr>
          <w:p w14:paraId="7402F4B6" w14:textId="339F2685" w:rsidR="008D1C83" w:rsidRPr="008D1C83"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D1C83">
              <w:rPr>
                <w:rFonts w:cstheme="minorHAnsi"/>
                <w:color w:val="auto"/>
                <w:sz w:val="18"/>
                <w:szCs w:val="18"/>
              </w:rPr>
              <w:t xml:space="preserve">Australian Accounting Standards  </w:t>
            </w:r>
          </w:p>
        </w:tc>
        <w:tc>
          <w:tcPr>
            <w:tcW w:w="2485" w:type="pct"/>
          </w:tcPr>
          <w:p w14:paraId="3072CF7F" w14:textId="66988D09" w:rsidR="008D1C83" w:rsidRPr="008D1C83"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D1C83">
              <w:rPr>
                <w:rFonts w:cstheme="minorHAnsi"/>
                <w:color w:val="auto"/>
                <w:sz w:val="18"/>
                <w:szCs w:val="18"/>
              </w:rPr>
              <w:t>The Balance sheet has been amended to incorporate the recognition of Contract Assets and Contract Liabilities under AASB 15 (new disclosure requirement).</w:t>
            </w:r>
          </w:p>
        </w:tc>
        <w:tc>
          <w:tcPr>
            <w:tcW w:w="512" w:type="pct"/>
          </w:tcPr>
          <w:p w14:paraId="3F8F0BD6" w14:textId="3721CECD" w:rsidR="008D1C83" w:rsidRPr="008D1C83" w:rsidRDefault="008D1C83"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D1C83">
              <w:rPr>
                <w:rFonts w:cstheme="minorHAnsi"/>
                <w:color w:val="auto"/>
                <w:sz w:val="18"/>
                <w:szCs w:val="18"/>
              </w:rPr>
              <w:t>83</w:t>
            </w:r>
          </w:p>
        </w:tc>
      </w:tr>
      <w:tr w:rsidR="008D1C83" w:rsidRPr="0018391B" w14:paraId="35DE335B"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71E1A022" w14:textId="77777777" w:rsidR="00962F88" w:rsidRPr="008D1C83" w:rsidRDefault="00962F88" w:rsidP="00962F88">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6AA9C459" w14:textId="1F71530D" w:rsidR="008D1C83" w:rsidRPr="008D1C83" w:rsidRDefault="008D1C83" w:rsidP="008D1C83">
            <w:pPr>
              <w:pStyle w:val="Tableheader"/>
              <w:spacing w:after="120" w:line="240" w:lineRule="atLeast"/>
              <w:rPr>
                <w:rFonts w:cstheme="minorHAnsi"/>
                <w:color w:val="auto"/>
                <w:sz w:val="18"/>
                <w:szCs w:val="18"/>
              </w:rPr>
            </w:pPr>
            <w:r w:rsidRPr="008D1C83">
              <w:rPr>
                <w:rFonts w:cstheme="minorHAnsi"/>
                <w:color w:val="auto"/>
                <w:sz w:val="18"/>
                <w:szCs w:val="18"/>
              </w:rPr>
              <w:t>Statement of Changes in Equity</w:t>
            </w:r>
          </w:p>
        </w:tc>
        <w:tc>
          <w:tcPr>
            <w:tcW w:w="1025" w:type="pct"/>
            <w:tcBorders>
              <w:bottom w:val="nil"/>
            </w:tcBorders>
          </w:tcPr>
          <w:p w14:paraId="0DDE76FB" w14:textId="1CB02CD1" w:rsidR="008D1C83" w:rsidRPr="008D1C83" w:rsidRDefault="008D1C83"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i/>
                <w:iCs/>
                <w:color w:val="auto"/>
                <w:sz w:val="18"/>
                <w:szCs w:val="18"/>
                <w:lang w:eastAsia="en-AU"/>
              </w:rPr>
            </w:pPr>
            <w:r w:rsidRPr="008D1C83">
              <w:rPr>
                <w:rFonts w:cstheme="minorHAnsi"/>
                <w:color w:val="auto"/>
                <w:sz w:val="18"/>
                <w:szCs w:val="18"/>
              </w:rPr>
              <w:t xml:space="preserve">Australian Accounting Standards  </w:t>
            </w:r>
          </w:p>
        </w:tc>
        <w:tc>
          <w:tcPr>
            <w:tcW w:w="2485" w:type="pct"/>
          </w:tcPr>
          <w:p w14:paraId="2A873D32" w14:textId="31D586ED" w:rsidR="008D1C83" w:rsidRPr="008D1C83" w:rsidRDefault="008D1C83"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The Statement of changes in equity has been amended to incorporate the transitional changes for the implementation of AASB 1059 and AASB 15 for the first time.</w:t>
            </w:r>
          </w:p>
        </w:tc>
        <w:tc>
          <w:tcPr>
            <w:tcW w:w="512" w:type="pct"/>
          </w:tcPr>
          <w:p w14:paraId="214381FB" w14:textId="1337395A" w:rsidR="008D1C83" w:rsidRPr="008D1C83" w:rsidRDefault="008D1C83" w:rsidP="008D1C83">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88</w:t>
            </w:r>
          </w:p>
        </w:tc>
      </w:tr>
      <w:tr w:rsidR="008D1C83" w:rsidRPr="0018391B" w14:paraId="739DF6A0"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33534A9D" w14:textId="77777777" w:rsidR="008D1C83" w:rsidRPr="008D1C83" w:rsidRDefault="008D1C83" w:rsidP="008D1C83">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573AFEBE" w14:textId="1D623397" w:rsidR="008D1C83" w:rsidRPr="008D1C83" w:rsidRDefault="008D1C83" w:rsidP="008D1C83">
            <w:pPr>
              <w:pStyle w:val="Tableheader"/>
              <w:spacing w:after="120" w:line="240" w:lineRule="atLeast"/>
              <w:rPr>
                <w:rFonts w:cstheme="minorHAnsi"/>
                <w:color w:val="auto"/>
                <w:sz w:val="18"/>
                <w:szCs w:val="18"/>
              </w:rPr>
            </w:pPr>
            <w:r w:rsidRPr="008D1C83">
              <w:rPr>
                <w:rFonts w:cstheme="minorHAnsi"/>
                <w:color w:val="auto"/>
                <w:sz w:val="18"/>
                <w:szCs w:val="18"/>
              </w:rPr>
              <w:t>9.7 Changes in accounting policies</w:t>
            </w:r>
          </w:p>
        </w:tc>
        <w:tc>
          <w:tcPr>
            <w:tcW w:w="1025" w:type="pct"/>
            <w:tcBorders>
              <w:bottom w:val="nil"/>
            </w:tcBorders>
            <w:shd w:val="clear" w:color="auto" w:fill="auto"/>
          </w:tcPr>
          <w:p w14:paraId="0D4BA142" w14:textId="1D759654" w:rsidR="008D1C83" w:rsidRPr="00E07ACD"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i/>
                <w:iCs/>
                <w:color w:val="auto"/>
                <w:sz w:val="18"/>
                <w:szCs w:val="18"/>
                <w:lang w:eastAsia="en-AU"/>
              </w:rPr>
            </w:pPr>
            <w:r w:rsidRPr="00E07ACD">
              <w:rPr>
                <w:rFonts w:cstheme="minorHAnsi"/>
                <w:color w:val="auto"/>
                <w:sz w:val="18"/>
                <w:szCs w:val="18"/>
              </w:rPr>
              <w:t xml:space="preserve">Australian Accounting Standards  </w:t>
            </w:r>
          </w:p>
        </w:tc>
        <w:tc>
          <w:tcPr>
            <w:tcW w:w="2485" w:type="pct"/>
            <w:shd w:val="clear" w:color="auto" w:fill="auto"/>
          </w:tcPr>
          <w:p w14:paraId="29761979" w14:textId="3D50B66E" w:rsidR="008D1C83" w:rsidRPr="00E07ACD"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E07ACD">
              <w:rPr>
                <w:rFonts w:cstheme="minorHAnsi"/>
                <w:color w:val="auto"/>
                <w:sz w:val="18"/>
                <w:szCs w:val="18"/>
              </w:rPr>
              <w:t>The s</w:t>
            </w:r>
            <w:bookmarkStart w:id="2" w:name="_GoBack"/>
            <w:bookmarkEnd w:id="2"/>
            <w:r w:rsidRPr="00E07ACD">
              <w:rPr>
                <w:rFonts w:cstheme="minorHAnsi"/>
                <w:color w:val="auto"/>
                <w:sz w:val="18"/>
                <w:szCs w:val="18"/>
              </w:rPr>
              <w:t>ection has been amended to incorporate the transitional disclosures for the first-time adoption of AASB15, 1058, AASB 16 and AASB 1059 in accordance with AASB 108.</w:t>
            </w:r>
          </w:p>
        </w:tc>
        <w:tc>
          <w:tcPr>
            <w:tcW w:w="512" w:type="pct"/>
          </w:tcPr>
          <w:p w14:paraId="32BC0F26" w14:textId="096EEF51" w:rsidR="008D1C83" w:rsidRPr="008D1C83" w:rsidRDefault="008D1C83"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23</w:t>
            </w:r>
            <w:r w:rsidR="00962F88">
              <w:rPr>
                <w:rFonts w:cstheme="minorHAnsi"/>
                <w:color w:val="auto"/>
                <w:sz w:val="18"/>
                <w:szCs w:val="18"/>
              </w:rPr>
              <w:t>0</w:t>
            </w:r>
            <w:r w:rsidR="00A42D89">
              <w:rPr>
                <w:rFonts w:cstheme="minorHAnsi"/>
                <w:color w:val="auto"/>
                <w:sz w:val="18"/>
                <w:szCs w:val="18"/>
              </w:rPr>
              <w:t xml:space="preserve"> </w:t>
            </w:r>
            <w:r w:rsidRPr="008D1C83">
              <w:rPr>
                <w:rFonts w:cstheme="minorHAnsi"/>
                <w:color w:val="auto"/>
                <w:sz w:val="18"/>
                <w:szCs w:val="18"/>
              </w:rPr>
              <w:t>-</w:t>
            </w:r>
            <w:r w:rsidR="00A42D89">
              <w:rPr>
                <w:rFonts w:cstheme="minorHAnsi"/>
                <w:color w:val="auto"/>
                <w:sz w:val="18"/>
                <w:szCs w:val="18"/>
              </w:rPr>
              <w:t xml:space="preserve"> </w:t>
            </w:r>
            <w:r w:rsidRPr="008D1C83">
              <w:rPr>
                <w:rFonts w:cstheme="minorHAnsi"/>
                <w:color w:val="auto"/>
                <w:sz w:val="18"/>
                <w:szCs w:val="18"/>
              </w:rPr>
              <w:t>2</w:t>
            </w:r>
            <w:r w:rsidR="00962F88">
              <w:rPr>
                <w:rFonts w:cstheme="minorHAnsi"/>
                <w:color w:val="auto"/>
                <w:sz w:val="18"/>
                <w:szCs w:val="18"/>
              </w:rPr>
              <w:t>36</w:t>
            </w:r>
          </w:p>
        </w:tc>
      </w:tr>
      <w:tr w:rsidR="008D1C83" w:rsidRPr="0018391B" w14:paraId="380364AD"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11FAA114" w14:textId="77777777" w:rsidR="008D1C83" w:rsidRPr="008D1C83" w:rsidRDefault="008D1C83" w:rsidP="008D1C83">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6290B9DE" w14:textId="570233A3" w:rsidR="008D1C83" w:rsidRPr="008D1C83" w:rsidRDefault="008D1C83" w:rsidP="008D1C83">
            <w:pPr>
              <w:pStyle w:val="Tableheader"/>
              <w:spacing w:after="120" w:line="240" w:lineRule="atLeast"/>
              <w:rPr>
                <w:rFonts w:cstheme="minorHAnsi"/>
                <w:color w:val="auto"/>
                <w:sz w:val="18"/>
                <w:szCs w:val="18"/>
              </w:rPr>
            </w:pPr>
            <w:r w:rsidRPr="008D1C83">
              <w:rPr>
                <w:rFonts w:cstheme="minorHAnsi"/>
                <w:color w:val="auto"/>
                <w:sz w:val="18"/>
                <w:szCs w:val="18"/>
              </w:rPr>
              <w:t>9.14 Australian Accounting Standards issued that are not effective</w:t>
            </w:r>
          </w:p>
        </w:tc>
        <w:tc>
          <w:tcPr>
            <w:tcW w:w="1025" w:type="pct"/>
            <w:tcBorders>
              <w:bottom w:val="nil"/>
            </w:tcBorders>
          </w:tcPr>
          <w:p w14:paraId="65375F2D" w14:textId="1FB23B46" w:rsidR="008D1C83" w:rsidRPr="008D1C83" w:rsidRDefault="008D1C83"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i/>
                <w:iCs/>
                <w:color w:val="auto"/>
                <w:sz w:val="18"/>
                <w:szCs w:val="18"/>
                <w:lang w:eastAsia="en-AU"/>
              </w:rPr>
            </w:pPr>
            <w:r w:rsidRPr="008D1C83">
              <w:rPr>
                <w:rFonts w:cstheme="minorHAnsi"/>
                <w:color w:val="auto"/>
                <w:sz w:val="18"/>
                <w:szCs w:val="18"/>
              </w:rPr>
              <w:t xml:space="preserve">Australian Accounting Standards  </w:t>
            </w:r>
          </w:p>
        </w:tc>
        <w:tc>
          <w:tcPr>
            <w:tcW w:w="2485" w:type="pct"/>
          </w:tcPr>
          <w:p w14:paraId="184B1FE9" w14:textId="622387FA" w:rsidR="008D1C83" w:rsidRPr="008D1C83" w:rsidRDefault="008D1C83"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This note has been updated to include disclosures associated with the new accounting standards (issued but not effective for 30 June 2020) to assist preparers to disclose the potential impacts of these standards on the Department’s financial statements.</w:t>
            </w:r>
          </w:p>
        </w:tc>
        <w:tc>
          <w:tcPr>
            <w:tcW w:w="512" w:type="pct"/>
          </w:tcPr>
          <w:p w14:paraId="1513E9F7" w14:textId="62DB3BBD" w:rsidR="008D1C83" w:rsidRPr="008D1C83" w:rsidRDefault="008D1C83" w:rsidP="008D1C83">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24</w:t>
            </w:r>
            <w:r w:rsidR="00962F88">
              <w:rPr>
                <w:rFonts w:cstheme="minorHAnsi"/>
                <w:color w:val="auto"/>
                <w:sz w:val="18"/>
                <w:szCs w:val="18"/>
              </w:rPr>
              <w:t>4</w:t>
            </w:r>
            <w:r w:rsidR="00A42D89">
              <w:rPr>
                <w:rFonts w:cstheme="minorHAnsi"/>
                <w:color w:val="auto"/>
                <w:sz w:val="18"/>
                <w:szCs w:val="18"/>
              </w:rPr>
              <w:t xml:space="preserve"> </w:t>
            </w:r>
            <w:r w:rsidRPr="008D1C83">
              <w:rPr>
                <w:rFonts w:cstheme="minorHAnsi"/>
                <w:color w:val="auto"/>
                <w:sz w:val="18"/>
                <w:szCs w:val="18"/>
              </w:rPr>
              <w:t>-</w:t>
            </w:r>
            <w:r w:rsidR="00A42D89">
              <w:rPr>
                <w:rFonts w:cstheme="minorHAnsi"/>
                <w:color w:val="auto"/>
                <w:sz w:val="18"/>
                <w:szCs w:val="18"/>
              </w:rPr>
              <w:t xml:space="preserve"> </w:t>
            </w:r>
            <w:r w:rsidRPr="008D1C83">
              <w:rPr>
                <w:rFonts w:cstheme="minorHAnsi"/>
                <w:color w:val="auto"/>
                <w:sz w:val="18"/>
                <w:szCs w:val="18"/>
              </w:rPr>
              <w:t>24</w:t>
            </w:r>
            <w:r w:rsidR="00962F88">
              <w:rPr>
                <w:rFonts w:cstheme="minorHAnsi"/>
                <w:color w:val="auto"/>
                <w:sz w:val="18"/>
                <w:szCs w:val="18"/>
              </w:rPr>
              <w:t>5</w:t>
            </w:r>
          </w:p>
        </w:tc>
      </w:tr>
      <w:tr w:rsidR="008D1C83" w:rsidRPr="0018391B" w14:paraId="69C924D7"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5601AC29" w14:textId="77777777" w:rsidR="008D1C83" w:rsidRPr="008D1C83" w:rsidRDefault="008D1C83" w:rsidP="008D1C83">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27AF1F8D" w14:textId="193682E7" w:rsidR="008D1C83" w:rsidRPr="008D1C83" w:rsidRDefault="008D1C83" w:rsidP="008D1C83">
            <w:pPr>
              <w:pStyle w:val="Tableheader"/>
              <w:spacing w:after="120" w:line="240" w:lineRule="atLeast"/>
              <w:rPr>
                <w:rFonts w:cstheme="minorHAnsi"/>
                <w:color w:val="auto"/>
                <w:sz w:val="18"/>
                <w:szCs w:val="18"/>
              </w:rPr>
            </w:pPr>
            <w:r w:rsidRPr="008D1C83">
              <w:rPr>
                <w:rFonts w:cstheme="minorHAnsi"/>
                <w:color w:val="auto"/>
                <w:sz w:val="18"/>
                <w:szCs w:val="18"/>
              </w:rPr>
              <w:t>7.2 Leases</w:t>
            </w:r>
          </w:p>
        </w:tc>
        <w:tc>
          <w:tcPr>
            <w:tcW w:w="1025" w:type="pct"/>
            <w:tcBorders>
              <w:bottom w:val="nil"/>
            </w:tcBorders>
            <w:shd w:val="clear" w:color="auto" w:fill="auto"/>
          </w:tcPr>
          <w:p w14:paraId="045A1BAC" w14:textId="0A142455" w:rsidR="008D1C83" w:rsidRPr="00E07ACD"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i/>
                <w:iCs/>
                <w:color w:val="auto"/>
                <w:sz w:val="18"/>
                <w:szCs w:val="18"/>
              </w:rPr>
            </w:pPr>
            <w:r w:rsidRPr="00E07ACD">
              <w:rPr>
                <w:rFonts w:cstheme="minorHAnsi"/>
                <w:color w:val="auto"/>
                <w:sz w:val="18"/>
                <w:szCs w:val="18"/>
              </w:rPr>
              <w:t xml:space="preserve">AASB 16 </w:t>
            </w:r>
            <w:r w:rsidRPr="00E07ACD">
              <w:rPr>
                <w:rFonts w:cstheme="minorHAnsi"/>
                <w:i/>
                <w:iCs/>
                <w:color w:val="auto"/>
                <w:sz w:val="18"/>
                <w:szCs w:val="18"/>
              </w:rPr>
              <w:t>Leases</w:t>
            </w:r>
          </w:p>
        </w:tc>
        <w:tc>
          <w:tcPr>
            <w:tcW w:w="2485" w:type="pct"/>
            <w:shd w:val="clear" w:color="auto" w:fill="auto"/>
          </w:tcPr>
          <w:p w14:paraId="13CE5251" w14:textId="77777777" w:rsidR="008D1C83" w:rsidRPr="00E07ACD"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E07ACD">
              <w:rPr>
                <w:rFonts w:cstheme="minorHAnsi"/>
                <w:color w:val="auto"/>
                <w:sz w:val="18"/>
                <w:szCs w:val="18"/>
              </w:rPr>
              <w:t xml:space="preserve">AASB 16 prescribes the accounting for leases which requires the lessee to recognise right-of-use assets and lease liabilities created by leases. </w:t>
            </w:r>
          </w:p>
          <w:p w14:paraId="0FE458D9" w14:textId="545FC805" w:rsidR="008D1C83" w:rsidRPr="00E07ACD" w:rsidRDefault="008D1C83"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07ACD">
              <w:rPr>
                <w:rFonts w:cstheme="minorHAnsi"/>
                <w:sz w:val="18"/>
                <w:szCs w:val="18"/>
              </w:rPr>
              <w:t xml:space="preserve">As a result of the first-time adoption of AASB 16, note 7.2 has been added to provide illustrations and guidance on the transitional, as well as on-going disclosure requirements for leases. </w:t>
            </w:r>
          </w:p>
        </w:tc>
        <w:tc>
          <w:tcPr>
            <w:tcW w:w="512" w:type="pct"/>
          </w:tcPr>
          <w:p w14:paraId="46313B9F" w14:textId="7A444919" w:rsidR="008D1C83" w:rsidRPr="008D1C83" w:rsidRDefault="00006937"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160</w:t>
            </w:r>
          </w:p>
        </w:tc>
      </w:tr>
      <w:tr w:rsidR="008D1C83" w:rsidRPr="0018391B" w14:paraId="5CFBA5F6"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30A964A5" w14:textId="77777777" w:rsidR="008D1C83" w:rsidRPr="008D1C83" w:rsidRDefault="008D1C83" w:rsidP="008D1C83">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44E30E56" w14:textId="6D86E71B" w:rsidR="008D1C83" w:rsidRPr="008D1C83" w:rsidRDefault="008D1C83" w:rsidP="008D1C83">
            <w:pPr>
              <w:pStyle w:val="Tableheader"/>
              <w:spacing w:after="120" w:line="240" w:lineRule="atLeast"/>
              <w:rPr>
                <w:rFonts w:cstheme="minorHAnsi"/>
                <w:color w:val="auto"/>
                <w:sz w:val="18"/>
                <w:szCs w:val="18"/>
              </w:rPr>
            </w:pPr>
            <w:r w:rsidRPr="008D1C83">
              <w:rPr>
                <w:rFonts w:cstheme="minorHAnsi"/>
                <w:color w:val="auto"/>
                <w:sz w:val="18"/>
                <w:szCs w:val="18"/>
              </w:rPr>
              <w:t>9.15 Glossary of Technical terms</w:t>
            </w:r>
          </w:p>
        </w:tc>
        <w:tc>
          <w:tcPr>
            <w:tcW w:w="1025" w:type="pct"/>
            <w:tcBorders>
              <w:bottom w:val="nil"/>
            </w:tcBorders>
          </w:tcPr>
          <w:p w14:paraId="55A9DFF8" w14:textId="1C9860C8" w:rsidR="008D1C83" w:rsidRPr="008D1C83" w:rsidRDefault="00E07ACD"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i/>
                <w:iCs/>
                <w:color w:val="auto"/>
                <w:sz w:val="18"/>
                <w:szCs w:val="18"/>
                <w:lang w:eastAsia="en-AU"/>
              </w:rPr>
            </w:pPr>
            <w:r w:rsidRPr="00E07ACD">
              <w:rPr>
                <w:rFonts w:cstheme="minorHAnsi"/>
                <w:color w:val="auto"/>
                <w:sz w:val="18"/>
                <w:szCs w:val="18"/>
              </w:rPr>
              <w:t xml:space="preserve">AASB 16 </w:t>
            </w:r>
            <w:r w:rsidRPr="00E07ACD">
              <w:rPr>
                <w:rFonts w:cstheme="minorHAnsi"/>
                <w:i/>
                <w:iCs/>
                <w:color w:val="auto"/>
                <w:sz w:val="18"/>
                <w:szCs w:val="18"/>
              </w:rPr>
              <w:t>Leases</w:t>
            </w:r>
          </w:p>
        </w:tc>
        <w:tc>
          <w:tcPr>
            <w:tcW w:w="2485" w:type="pct"/>
          </w:tcPr>
          <w:p w14:paraId="7102080E" w14:textId="3B727A2E" w:rsidR="008D1C83" w:rsidRPr="008D1C83" w:rsidRDefault="008D1C83"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The revision to the definition of leases to align with the definition provided in AASB 16. Also adjusting the Borrowings and Interest expense terms to reflect the adoption of the standard.</w:t>
            </w:r>
          </w:p>
        </w:tc>
        <w:tc>
          <w:tcPr>
            <w:tcW w:w="512" w:type="pct"/>
          </w:tcPr>
          <w:p w14:paraId="75FBEE8E" w14:textId="1D020EBD" w:rsidR="008D1C83" w:rsidRPr="008D1C83" w:rsidRDefault="008D1C83" w:rsidP="008D1C83">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2</w:t>
            </w:r>
            <w:r w:rsidR="00962F88">
              <w:rPr>
                <w:rFonts w:cstheme="minorHAnsi"/>
                <w:color w:val="auto"/>
                <w:sz w:val="18"/>
                <w:szCs w:val="18"/>
              </w:rPr>
              <w:t>4</w:t>
            </w:r>
            <w:r w:rsidR="00006937">
              <w:rPr>
                <w:rFonts w:cstheme="minorHAnsi"/>
                <w:color w:val="auto"/>
                <w:sz w:val="18"/>
                <w:szCs w:val="18"/>
              </w:rPr>
              <w:t>8</w:t>
            </w:r>
          </w:p>
        </w:tc>
      </w:tr>
      <w:tr w:rsidR="008D1C83" w:rsidRPr="0018391B" w14:paraId="2CD7CAC7"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18567892" w14:textId="77777777" w:rsidR="008D1C83" w:rsidRPr="008D1C83" w:rsidRDefault="008D1C83" w:rsidP="008D1C83">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05227E45" w14:textId="485C24DF" w:rsidR="008D1C83" w:rsidRPr="008D1C83" w:rsidRDefault="008D1C83" w:rsidP="008D1C83">
            <w:pPr>
              <w:pStyle w:val="Tableheader"/>
              <w:spacing w:after="120" w:line="240" w:lineRule="atLeast"/>
              <w:rPr>
                <w:rFonts w:cstheme="minorHAnsi"/>
                <w:color w:val="auto"/>
                <w:sz w:val="18"/>
                <w:szCs w:val="18"/>
              </w:rPr>
            </w:pPr>
            <w:r w:rsidRPr="008D1C83">
              <w:rPr>
                <w:rFonts w:cstheme="minorHAnsi"/>
                <w:color w:val="auto"/>
                <w:sz w:val="18"/>
                <w:szCs w:val="18"/>
              </w:rPr>
              <w:t>5.1 Total property, plant and equipment</w:t>
            </w:r>
          </w:p>
        </w:tc>
        <w:tc>
          <w:tcPr>
            <w:tcW w:w="1025" w:type="pct"/>
            <w:tcBorders>
              <w:bottom w:val="nil"/>
            </w:tcBorders>
            <w:shd w:val="clear" w:color="auto" w:fill="auto"/>
          </w:tcPr>
          <w:p w14:paraId="1752D232" w14:textId="6CB1C14F" w:rsidR="008D1C83" w:rsidRPr="00E07ACD" w:rsidRDefault="00E07ACD"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i/>
                <w:iCs/>
                <w:color w:val="auto"/>
                <w:sz w:val="18"/>
                <w:szCs w:val="18"/>
                <w:lang w:eastAsia="en-AU"/>
              </w:rPr>
            </w:pPr>
            <w:r w:rsidRPr="00E07ACD">
              <w:rPr>
                <w:rFonts w:cstheme="minorHAnsi"/>
                <w:color w:val="auto"/>
                <w:sz w:val="18"/>
                <w:szCs w:val="18"/>
              </w:rPr>
              <w:t xml:space="preserve">AASB 16 </w:t>
            </w:r>
            <w:r w:rsidRPr="00E07ACD">
              <w:rPr>
                <w:rFonts w:cstheme="minorHAnsi"/>
                <w:i/>
                <w:iCs/>
                <w:color w:val="auto"/>
                <w:sz w:val="18"/>
                <w:szCs w:val="18"/>
              </w:rPr>
              <w:t>Leases</w:t>
            </w:r>
          </w:p>
        </w:tc>
        <w:tc>
          <w:tcPr>
            <w:tcW w:w="2485" w:type="pct"/>
            <w:shd w:val="clear" w:color="auto" w:fill="auto"/>
          </w:tcPr>
          <w:p w14:paraId="5F567352" w14:textId="353A6A7B" w:rsidR="008D1C83" w:rsidRPr="00E07ACD" w:rsidRDefault="008D1C83" w:rsidP="00844647">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E07ACD">
              <w:rPr>
                <w:rFonts w:cstheme="minorHAnsi"/>
                <w:color w:val="auto"/>
                <w:sz w:val="18"/>
                <w:szCs w:val="18"/>
              </w:rPr>
              <w:t>Tables 5.1, 5.1.1, and 5.1.2 and the associated accounting policy notes ha</w:t>
            </w:r>
            <w:r w:rsidR="00844647" w:rsidRPr="00E07ACD">
              <w:rPr>
                <w:rFonts w:cstheme="minorHAnsi"/>
                <w:color w:val="auto"/>
                <w:sz w:val="18"/>
                <w:szCs w:val="18"/>
              </w:rPr>
              <w:t>ve</w:t>
            </w:r>
            <w:r w:rsidRPr="00E07ACD">
              <w:rPr>
                <w:rFonts w:cstheme="minorHAnsi"/>
                <w:color w:val="auto"/>
                <w:sz w:val="18"/>
                <w:szCs w:val="18"/>
              </w:rPr>
              <w:t xml:space="preserve"> been updated to reflect the disclosure of right-of-use assets recognised</w:t>
            </w:r>
            <w:r w:rsidR="00844647" w:rsidRPr="00E07ACD">
              <w:rPr>
                <w:rFonts w:cstheme="minorHAnsi"/>
                <w:color w:val="auto"/>
                <w:sz w:val="18"/>
                <w:szCs w:val="18"/>
              </w:rPr>
              <w:t xml:space="preserve">. </w:t>
            </w:r>
            <w:r w:rsidRPr="00E07ACD">
              <w:rPr>
                <w:rFonts w:cstheme="minorHAnsi"/>
                <w:color w:val="auto"/>
                <w:sz w:val="18"/>
                <w:szCs w:val="18"/>
              </w:rPr>
              <w:t>Table 5.1.3 has been updated to reflect the adjustment to opening balances to reflect the disclosure of right-of-use assets on transition.</w:t>
            </w:r>
          </w:p>
        </w:tc>
        <w:tc>
          <w:tcPr>
            <w:tcW w:w="512" w:type="pct"/>
          </w:tcPr>
          <w:p w14:paraId="1293029C" w14:textId="6467011C" w:rsidR="008D1C83" w:rsidRPr="008D1C83" w:rsidRDefault="00844647"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12</w:t>
            </w:r>
            <w:r w:rsidR="00962F88">
              <w:rPr>
                <w:rFonts w:cstheme="minorHAnsi"/>
                <w:color w:val="auto"/>
                <w:sz w:val="18"/>
                <w:szCs w:val="18"/>
              </w:rPr>
              <w:t>3</w:t>
            </w:r>
            <w:r w:rsidR="00A42D89">
              <w:rPr>
                <w:rFonts w:cstheme="minorHAnsi"/>
                <w:color w:val="auto"/>
                <w:sz w:val="18"/>
                <w:szCs w:val="18"/>
              </w:rPr>
              <w:t xml:space="preserve"> </w:t>
            </w:r>
            <w:r w:rsidRPr="008D1C83">
              <w:rPr>
                <w:rFonts w:cstheme="minorHAnsi"/>
                <w:color w:val="auto"/>
                <w:sz w:val="18"/>
                <w:szCs w:val="18"/>
              </w:rPr>
              <w:t>-</w:t>
            </w:r>
            <w:r w:rsidR="00A42D89">
              <w:rPr>
                <w:rFonts w:cstheme="minorHAnsi"/>
                <w:color w:val="auto"/>
                <w:sz w:val="18"/>
                <w:szCs w:val="18"/>
              </w:rPr>
              <w:t xml:space="preserve"> </w:t>
            </w:r>
            <w:r w:rsidRPr="008D1C83">
              <w:rPr>
                <w:rFonts w:cstheme="minorHAnsi"/>
                <w:color w:val="auto"/>
                <w:sz w:val="18"/>
                <w:szCs w:val="18"/>
              </w:rPr>
              <w:t>1</w:t>
            </w:r>
            <w:r w:rsidR="00962F88">
              <w:rPr>
                <w:rFonts w:cstheme="minorHAnsi"/>
                <w:color w:val="auto"/>
                <w:sz w:val="18"/>
                <w:szCs w:val="18"/>
              </w:rPr>
              <w:t>29</w:t>
            </w:r>
          </w:p>
        </w:tc>
      </w:tr>
      <w:tr w:rsidR="008D1C83" w:rsidRPr="0018391B" w14:paraId="6663F38B"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10080CB2" w14:textId="77777777"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6D8AFF4B" w14:textId="1FDBC67B" w:rsidR="008D1C83" w:rsidRPr="008D1C83" w:rsidRDefault="00844647" w:rsidP="00844647">
            <w:pPr>
              <w:pStyle w:val="Tableheader"/>
              <w:spacing w:after="120" w:line="240" w:lineRule="atLeast"/>
              <w:rPr>
                <w:rFonts w:cstheme="minorHAnsi"/>
                <w:color w:val="auto"/>
                <w:sz w:val="18"/>
                <w:szCs w:val="18"/>
              </w:rPr>
            </w:pPr>
            <w:r w:rsidRPr="008D1C83">
              <w:rPr>
                <w:rFonts w:cstheme="minorHAnsi"/>
                <w:color w:val="auto"/>
                <w:sz w:val="18"/>
                <w:szCs w:val="18"/>
              </w:rPr>
              <w:t>5.2 Investment Properties</w:t>
            </w:r>
          </w:p>
        </w:tc>
        <w:tc>
          <w:tcPr>
            <w:tcW w:w="1025" w:type="pct"/>
            <w:tcBorders>
              <w:bottom w:val="nil"/>
            </w:tcBorders>
          </w:tcPr>
          <w:p w14:paraId="0870D9A2" w14:textId="77777777" w:rsidR="008D1C83" w:rsidRPr="008D1C83" w:rsidRDefault="008D1C83"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i/>
                <w:iCs/>
                <w:color w:val="auto"/>
                <w:sz w:val="18"/>
                <w:szCs w:val="18"/>
                <w:lang w:eastAsia="en-AU"/>
              </w:rPr>
            </w:pPr>
          </w:p>
        </w:tc>
        <w:tc>
          <w:tcPr>
            <w:tcW w:w="2485" w:type="pct"/>
            <w:tcBorders>
              <w:bottom w:val="nil"/>
            </w:tcBorders>
          </w:tcPr>
          <w:p w14:paraId="6C59D937" w14:textId="213A4C44" w:rsidR="008D1C83" w:rsidRPr="008D1C83" w:rsidRDefault="00844647"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New guidance has been inserted to reflect disclosures under AASB 16.</w:t>
            </w:r>
          </w:p>
        </w:tc>
        <w:tc>
          <w:tcPr>
            <w:tcW w:w="512" w:type="pct"/>
            <w:tcBorders>
              <w:bottom w:val="nil"/>
            </w:tcBorders>
          </w:tcPr>
          <w:p w14:paraId="4DEF0A1E" w14:textId="375F413E" w:rsidR="008D1C83" w:rsidRPr="008D1C83" w:rsidRDefault="00844647" w:rsidP="008D1C83">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13</w:t>
            </w:r>
            <w:r w:rsidR="00962F88">
              <w:rPr>
                <w:rFonts w:cstheme="minorHAnsi"/>
                <w:color w:val="auto"/>
                <w:sz w:val="18"/>
                <w:szCs w:val="18"/>
              </w:rPr>
              <w:t>0</w:t>
            </w:r>
          </w:p>
        </w:tc>
      </w:tr>
      <w:tr w:rsidR="008D1C83" w:rsidRPr="0018391B" w14:paraId="572ACAF5"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0063A6" w:themeColor="accent1"/>
            </w:tcBorders>
          </w:tcPr>
          <w:p w14:paraId="375386F2" w14:textId="77777777"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FF0000"/>
                <w:sz w:val="18"/>
                <w:szCs w:val="18"/>
              </w:rPr>
              <w:t>[New &amp; Revised]</w:t>
            </w:r>
          </w:p>
          <w:p w14:paraId="238302C0" w14:textId="54C33E7D" w:rsidR="008D1C83" w:rsidRPr="008D1C83" w:rsidRDefault="00844647" w:rsidP="00844647">
            <w:pPr>
              <w:pStyle w:val="Tableheader"/>
              <w:spacing w:after="120" w:line="240" w:lineRule="atLeast"/>
              <w:rPr>
                <w:rFonts w:cstheme="minorHAnsi"/>
                <w:color w:val="auto"/>
                <w:sz w:val="18"/>
                <w:szCs w:val="18"/>
              </w:rPr>
            </w:pPr>
            <w:r w:rsidRPr="008D1C83">
              <w:rPr>
                <w:rFonts w:cstheme="minorHAnsi"/>
                <w:color w:val="auto"/>
                <w:sz w:val="18"/>
                <w:szCs w:val="18"/>
              </w:rPr>
              <w:t>6.1 Finance leases (</w:t>
            </w:r>
            <w:r>
              <w:rPr>
                <w:rFonts w:cstheme="minorHAnsi"/>
                <w:color w:val="auto"/>
                <w:sz w:val="18"/>
                <w:szCs w:val="18"/>
              </w:rPr>
              <w:t>L</w:t>
            </w:r>
            <w:r w:rsidRPr="008D1C83">
              <w:rPr>
                <w:rFonts w:cstheme="minorHAnsi"/>
                <w:color w:val="auto"/>
                <w:sz w:val="18"/>
                <w:szCs w:val="18"/>
              </w:rPr>
              <w:t>essor)</w:t>
            </w:r>
          </w:p>
        </w:tc>
        <w:tc>
          <w:tcPr>
            <w:tcW w:w="1025" w:type="pct"/>
            <w:tcBorders>
              <w:bottom w:val="single" w:sz="4" w:space="0" w:color="0063A6" w:themeColor="accent1"/>
            </w:tcBorders>
            <w:shd w:val="clear" w:color="auto" w:fill="auto"/>
          </w:tcPr>
          <w:p w14:paraId="59B1DD91" w14:textId="77777777" w:rsidR="00844647" w:rsidRPr="00E07ACD" w:rsidRDefault="00844647" w:rsidP="00844647">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i/>
                <w:iCs/>
                <w:color w:val="auto"/>
                <w:sz w:val="18"/>
                <w:szCs w:val="18"/>
              </w:rPr>
            </w:pPr>
            <w:r w:rsidRPr="00E07ACD">
              <w:rPr>
                <w:rFonts w:cstheme="minorHAnsi"/>
                <w:color w:val="auto"/>
                <w:sz w:val="18"/>
                <w:szCs w:val="18"/>
              </w:rPr>
              <w:t xml:space="preserve">AASB 16 </w:t>
            </w:r>
            <w:r w:rsidRPr="00E07ACD">
              <w:rPr>
                <w:rFonts w:cstheme="minorHAnsi"/>
                <w:i/>
                <w:iCs/>
                <w:color w:val="auto"/>
                <w:sz w:val="18"/>
                <w:szCs w:val="18"/>
              </w:rPr>
              <w:t>Leases</w:t>
            </w:r>
          </w:p>
          <w:p w14:paraId="740D3EC3" w14:textId="77777777" w:rsidR="008D1C83" w:rsidRPr="00E07ACD" w:rsidRDefault="008D1C83"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i/>
                <w:iCs/>
                <w:color w:val="auto"/>
                <w:sz w:val="18"/>
                <w:szCs w:val="18"/>
                <w:lang w:eastAsia="en-AU"/>
              </w:rPr>
            </w:pPr>
          </w:p>
        </w:tc>
        <w:tc>
          <w:tcPr>
            <w:tcW w:w="2485" w:type="pct"/>
            <w:tcBorders>
              <w:bottom w:val="single" w:sz="4" w:space="0" w:color="0063A6" w:themeColor="accent1"/>
            </w:tcBorders>
            <w:shd w:val="clear" w:color="auto" w:fill="auto"/>
          </w:tcPr>
          <w:p w14:paraId="3B2DB5D4" w14:textId="5B87A638" w:rsidR="008D1C83" w:rsidRPr="00E07ACD" w:rsidRDefault="00844647"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E07ACD">
              <w:rPr>
                <w:rFonts w:cstheme="minorHAnsi"/>
                <w:color w:val="auto"/>
                <w:sz w:val="18"/>
                <w:szCs w:val="18"/>
              </w:rPr>
              <w:t>New maturity analysis of lease receivables table and additional guidance have been inserted to reflect AASB 16 Lessor disclosure requirements.</w:t>
            </w:r>
          </w:p>
        </w:tc>
        <w:tc>
          <w:tcPr>
            <w:tcW w:w="512" w:type="pct"/>
            <w:tcBorders>
              <w:bottom w:val="single" w:sz="4" w:space="0" w:color="0063A6" w:themeColor="accent1"/>
            </w:tcBorders>
          </w:tcPr>
          <w:p w14:paraId="63A54A93" w14:textId="36EF7A4C" w:rsidR="008D1C83" w:rsidRPr="008D1C83" w:rsidRDefault="00844647"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14</w:t>
            </w:r>
            <w:r w:rsidR="00962F88">
              <w:rPr>
                <w:rFonts w:cstheme="minorHAnsi"/>
                <w:color w:val="auto"/>
                <w:sz w:val="18"/>
                <w:szCs w:val="18"/>
              </w:rPr>
              <w:t>7</w:t>
            </w:r>
          </w:p>
        </w:tc>
      </w:tr>
      <w:tr w:rsidR="00844647" w:rsidRPr="00844647" w14:paraId="140BFB19"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0063A6" w:themeColor="accent1"/>
            </w:tcBorders>
            <w:shd w:val="clear" w:color="auto" w:fill="0063A6" w:themeFill="accent1"/>
          </w:tcPr>
          <w:p w14:paraId="7A2865B2" w14:textId="77777777" w:rsidR="00844647" w:rsidRPr="00844647" w:rsidRDefault="00844647" w:rsidP="00E07ACD">
            <w:pPr>
              <w:pStyle w:val="Tableheader"/>
              <w:rPr>
                <w:b/>
                <w:sz w:val="18"/>
                <w:szCs w:val="18"/>
              </w:rPr>
            </w:pPr>
            <w:r w:rsidRPr="00844647">
              <w:rPr>
                <w:b/>
                <w:sz w:val="18"/>
                <w:szCs w:val="18"/>
              </w:rPr>
              <w:lastRenderedPageBreak/>
              <w:t>Subject matter</w:t>
            </w:r>
          </w:p>
        </w:tc>
        <w:tc>
          <w:tcPr>
            <w:tcW w:w="1025" w:type="pct"/>
            <w:tcBorders>
              <w:top w:val="single" w:sz="4" w:space="0" w:color="0063A6" w:themeColor="accent1"/>
              <w:bottom w:val="nil"/>
            </w:tcBorders>
            <w:shd w:val="clear" w:color="auto" w:fill="0063A6" w:themeFill="accent1"/>
          </w:tcPr>
          <w:p w14:paraId="7AD24E81" w14:textId="77777777" w:rsidR="00844647" w:rsidRPr="00844647" w:rsidRDefault="00844647" w:rsidP="00E07ACD">
            <w:pPr>
              <w:pStyle w:val="Tableheader"/>
              <w:cnfStyle w:val="000000010000" w:firstRow="0" w:lastRow="0" w:firstColumn="0" w:lastColumn="0" w:oddVBand="0" w:evenVBand="0" w:oddHBand="0" w:evenHBand="1" w:firstRowFirstColumn="0" w:firstRowLastColumn="0" w:lastRowFirstColumn="0" w:lastRowLastColumn="0"/>
              <w:rPr>
                <w:b/>
                <w:sz w:val="18"/>
                <w:szCs w:val="18"/>
              </w:rPr>
            </w:pPr>
            <w:r w:rsidRPr="00844647">
              <w:rPr>
                <w:b/>
                <w:sz w:val="18"/>
                <w:szCs w:val="18"/>
              </w:rPr>
              <w:t>Source of change</w:t>
            </w:r>
          </w:p>
        </w:tc>
        <w:tc>
          <w:tcPr>
            <w:tcW w:w="2485" w:type="pct"/>
            <w:tcBorders>
              <w:top w:val="single" w:sz="4" w:space="0" w:color="0063A6" w:themeColor="accent1"/>
            </w:tcBorders>
            <w:shd w:val="clear" w:color="auto" w:fill="0063A6" w:themeFill="accent1"/>
          </w:tcPr>
          <w:p w14:paraId="711A99FB" w14:textId="77777777" w:rsidR="00844647" w:rsidRPr="00844647" w:rsidRDefault="00844647" w:rsidP="00E07ACD">
            <w:pPr>
              <w:pStyle w:val="Tableheader"/>
              <w:cnfStyle w:val="000000010000" w:firstRow="0" w:lastRow="0" w:firstColumn="0" w:lastColumn="0" w:oddVBand="0" w:evenVBand="0" w:oddHBand="0" w:evenHBand="1" w:firstRowFirstColumn="0" w:firstRowLastColumn="0" w:lastRowFirstColumn="0" w:lastRowLastColumn="0"/>
              <w:rPr>
                <w:b/>
                <w:sz w:val="18"/>
                <w:szCs w:val="18"/>
              </w:rPr>
            </w:pPr>
            <w:r w:rsidRPr="00844647">
              <w:rPr>
                <w:b/>
                <w:sz w:val="18"/>
                <w:szCs w:val="18"/>
              </w:rPr>
              <w:t>Summary of changes applied to the relevant sections in the Model Financial Statements</w:t>
            </w:r>
          </w:p>
        </w:tc>
        <w:tc>
          <w:tcPr>
            <w:tcW w:w="512" w:type="pct"/>
            <w:tcBorders>
              <w:top w:val="single" w:sz="4" w:space="0" w:color="0063A6" w:themeColor="accent1"/>
            </w:tcBorders>
            <w:shd w:val="clear" w:color="auto" w:fill="0063A6" w:themeFill="accent1"/>
          </w:tcPr>
          <w:p w14:paraId="24921A69" w14:textId="77777777" w:rsidR="00844647" w:rsidRPr="00844647" w:rsidRDefault="00844647" w:rsidP="00844647">
            <w:pPr>
              <w:pStyle w:val="Tableheader"/>
              <w:cnfStyle w:val="000000010000" w:firstRow="0" w:lastRow="0" w:firstColumn="0" w:lastColumn="0" w:oddVBand="0" w:evenVBand="0" w:oddHBand="0" w:evenHBand="1" w:firstRowFirstColumn="0" w:firstRowLastColumn="0" w:lastRowFirstColumn="0" w:lastRowLastColumn="0"/>
              <w:rPr>
                <w:b/>
                <w:sz w:val="18"/>
                <w:szCs w:val="18"/>
              </w:rPr>
            </w:pPr>
            <w:r w:rsidRPr="00844647">
              <w:rPr>
                <w:b/>
                <w:sz w:val="18"/>
                <w:szCs w:val="18"/>
              </w:rPr>
              <w:t>Page reference</w:t>
            </w:r>
          </w:p>
        </w:tc>
      </w:tr>
      <w:tr w:rsidR="00844647" w:rsidRPr="0018391B" w14:paraId="4BF4EE76"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54A9BA1E" w14:textId="77777777"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0E55E6B2" w14:textId="77777777" w:rsidR="00844647" w:rsidRPr="008D1C83" w:rsidRDefault="00844647" w:rsidP="00844647">
            <w:pPr>
              <w:pStyle w:val="Tableheader"/>
              <w:spacing w:after="120" w:line="240" w:lineRule="atLeast"/>
              <w:rPr>
                <w:rFonts w:cstheme="minorHAnsi"/>
                <w:color w:val="auto"/>
                <w:sz w:val="18"/>
                <w:szCs w:val="18"/>
              </w:rPr>
            </w:pPr>
            <w:r w:rsidRPr="008D1C83">
              <w:rPr>
                <w:rFonts w:cstheme="minorHAnsi"/>
                <w:color w:val="auto"/>
                <w:sz w:val="18"/>
                <w:szCs w:val="18"/>
              </w:rPr>
              <w:t xml:space="preserve">7.1 Borrowings </w:t>
            </w:r>
          </w:p>
          <w:p w14:paraId="107FED52" w14:textId="77777777" w:rsidR="00844647" w:rsidRPr="008D1C83" w:rsidRDefault="00844647" w:rsidP="00844647">
            <w:pPr>
              <w:pStyle w:val="Tableheader"/>
              <w:spacing w:after="120" w:line="240" w:lineRule="atLeast"/>
              <w:rPr>
                <w:rFonts w:cstheme="minorHAnsi"/>
                <w:color w:val="auto"/>
                <w:sz w:val="18"/>
                <w:szCs w:val="18"/>
              </w:rPr>
            </w:pPr>
            <w:r w:rsidRPr="008D1C83">
              <w:rPr>
                <w:rFonts w:cstheme="minorHAnsi"/>
                <w:color w:val="auto"/>
                <w:sz w:val="18"/>
                <w:szCs w:val="18"/>
              </w:rPr>
              <w:t>Maturity analysis of borrowings</w:t>
            </w:r>
          </w:p>
          <w:p w14:paraId="5B876B22" w14:textId="16C00E2D"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auto"/>
                <w:sz w:val="18"/>
                <w:szCs w:val="18"/>
              </w:rPr>
              <w:t>Interest Expense</w:t>
            </w:r>
          </w:p>
        </w:tc>
        <w:tc>
          <w:tcPr>
            <w:tcW w:w="1025" w:type="pct"/>
            <w:tcBorders>
              <w:bottom w:val="nil"/>
            </w:tcBorders>
            <w:shd w:val="clear" w:color="auto" w:fill="auto"/>
          </w:tcPr>
          <w:p w14:paraId="36687C18" w14:textId="77777777" w:rsidR="00844647" w:rsidRPr="008D1C83" w:rsidRDefault="00844647" w:rsidP="00844647">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i/>
                <w:iCs/>
                <w:color w:val="auto"/>
                <w:sz w:val="18"/>
                <w:szCs w:val="18"/>
              </w:rPr>
            </w:pPr>
            <w:r w:rsidRPr="008D1C83">
              <w:rPr>
                <w:rFonts w:cstheme="minorHAnsi"/>
                <w:color w:val="auto"/>
                <w:sz w:val="18"/>
                <w:szCs w:val="18"/>
              </w:rPr>
              <w:t xml:space="preserve">AASB 16 </w:t>
            </w:r>
            <w:r w:rsidRPr="008D1C83">
              <w:rPr>
                <w:rFonts w:cstheme="minorHAnsi"/>
                <w:i/>
                <w:iCs/>
                <w:color w:val="auto"/>
                <w:sz w:val="18"/>
                <w:szCs w:val="18"/>
              </w:rPr>
              <w:t>Leases</w:t>
            </w:r>
          </w:p>
          <w:p w14:paraId="7525F0A8" w14:textId="77777777" w:rsidR="00844647" w:rsidRPr="008D1C83" w:rsidRDefault="00844647" w:rsidP="00844647">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2485" w:type="pct"/>
            <w:shd w:val="clear" w:color="auto" w:fill="auto"/>
          </w:tcPr>
          <w:p w14:paraId="4B8E6028" w14:textId="47AD90CF" w:rsidR="00844647" w:rsidRPr="008D1C83" w:rsidRDefault="00844647"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The associated tables, accounting policy notes and guidance have been updated to reflect the disclosure of lease liabilities, including split by current and non-current financial liabilities and the associated maturity analysis. The disclosure of the interest charges on the associated lease liabilities has also been added.</w:t>
            </w:r>
          </w:p>
        </w:tc>
        <w:tc>
          <w:tcPr>
            <w:tcW w:w="512" w:type="pct"/>
          </w:tcPr>
          <w:p w14:paraId="300BB393" w14:textId="4C35B8AA" w:rsidR="00844647" w:rsidRPr="008D1C83" w:rsidRDefault="00844647"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1</w:t>
            </w:r>
            <w:r w:rsidR="00962F88">
              <w:rPr>
                <w:rFonts w:cstheme="minorHAnsi"/>
                <w:color w:val="auto"/>
                <w:sz w:val="18"/>
                <w:szCs w:val="18"/>
              </w:rPr>
              <w:t>58</w:t>
            </w:r>
            <w:r w:rsidR="00A42D89">
              <w:rPr>
                <w:rFonts w:cstheme="minorHAnsi"/>
                <w:color w:val="auto"/>
                <w:sz w:val="18"/>
                <w:szCs w:val="18"/>
              </w:rPr>
              <w:t xml:space="preserve"> </w:t>
            </w:r>
            <w:r w:rsidRPr="008D1C83">
              <w:rPr>
                <w:rFonts w:cstheme="minorHAnsi"/>
                <w:color w:val="auto"/>
                <w:sz w:val="18"/>
                <w:szCs w:val="18"/>
              </w:rPr>
              <w:t>-</w:t>
            </w:r>
            <w:r w:rsidR="00A42D89">
              <w:rPr>
                <w:rFonts w:cstheme="minorHAnsi"/>
                <w:color w:val="auto"/>
                <w:sz w:val="18"/>
                <w:szCs w:val="18"/>
              </w:rPr>
              <w:t xml:space="preserve"> </w:t>
            </w:r>
            <w:r w:rsidRPr="008D1C83">
              <w:rPr>
                <w:rFonts w:cstheme="minorHAnsi"/>
                <w:color w:val="auto"/>
                <w:sz w:val="18"/>
                <w:szCs w:val="18"/>
              </w:rPr>
              <w:t>1</w:t>
            </w:r>
            <w:r w:rsidR="00962F88">
              <w:rPr>
                <w:rFonts w:cstheme="minorHAnsi"/>
                <w:color w:val="auto"/>
                <w:sz w:val="18"/>
                <w:szCs w:val="18"/>
              </w:rPr>
              <w:t>60</w:t>
            </w:r>
          </w:p>
        </w:tc>
      </w:tr>
      <w:tr w:rsidR="00844647" w:rsidRPr="0018391B" w14:paraId="6160E8AE"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35F4427E" w14:textId="77777777"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FF0000"/>
                <w:sz w:val="18"/>
                <w:szCs w:val="18"/>
              </w:rPr>
              <w:t>[New &amp; Revised]</w:t>
            </w:r>
          </w:p>
          <w:p w14:paraId="556804E2" w14:textId="76A79D7C"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auto"/>
                <w:sz w:val="18"/>
                <w:szCs w:val="18"/>
              </w:rPr>
              <w:t>8.1.1 Financial Instruments: Categorisation</w:t>
            </w:r>
          </w:p>
        </w:tc>
        <w:tc>
          <w:tcPr>
            <w:tcW w:w="1025" w:type="pct"/>
            <w:tcBorders>
              <w:bottom w:val="nil"/>
            </w:tcBorders>
          </w:tcPr>
          <w:p w14:paraId="180F7CBA" w14:textId="77777777" w:rsidR="00844647" w:rsidRPr="008D1C83" w:rsidRDefault="00844647" w:rsidP="00844647">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i/>
                <w:iCs/>
                <w:color w:val="auto"/>
                <w:sz w:val="18"/>
                <w:szCs w:val="18"/>
              </w:rPr>
            </w:pPr>
            <w:r w:rsidRPr="008D1C83">
              <w:rPr>
                <w:rFonts w:cstheme="minorHAnsi"/>
                <w:color w:val="auto"/>
                <w:sz w:val="18"/>
                <w:szCs w:val="18"/>
              </w:rPr>
              <w:t xml:space="preserve">AASB 16 </w:t>
            </w:r>
            <w:r w:rsidRPr="008D1C83">
              <w:rPr>
                <w:rFonts w:cstheme="minorHAnsi"/>
                <w:i/>
                <w:iCs/>
                <w:color w:val="auto"/>
                <w:sz w:val="18"/>
                <w:szCs w:val="18"/>
              </w:rPr>
              <w:t>Leases</w:t>
            </w:r>
          </w:p>
          <w:p w14:paraId="129024E7" w14:textId="77777777" w:rsidR="00844647" w:rsidRPr="008D1C83" w:rsidRDefault="00844647" w:rsidP="00844647">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p>
        </w:tc>
        <w:tc>
          <w:tcPr>
            <w:tcW w:w="2485" w:type="pct"/>
          </w:tcPr>
          <w:p w14:paraId="3EE47162" w14:textId="221935AC" w:rsidR="00844647" w:rsidRPr="008D1C83" w:rsidRDefault="00844647" w:rsidP="008D1C83">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Addition of lease liabilities as financial liabilities.</w:t>
            </w:r>
          </w:p>
        </w:tc>
        <w:tc>
          <w:tcPr>
            <w:tcW w:w="512" w:type="pct"/>
          </w:tcPr>
          <w:p w14:paraId="5CDE90AB" w14:textId="03EF3EA8" w:rsidR="00844647" w:rsidRPr="008D1C83" w:rsidRDefault="00844647" w:rsidP="008D1C83">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cstheme="minorHAnsi"/>
                <w:color w:val="auto"/>
                <w:sz w:val="18"/>
                <w:szCs w:val="18"/>
              </w:rPr>
              <w:t>18</w:t>
            </w:r>
            <w:r w:rsidR="00962F88">
              <w:rPr>
                <w:rFonts w:cstheme="minorHAnsi"/>
                <w:color w:val="auto"/>
                <w:sz w:val="18"/>
                <w:szCs w:val="18"/>
              </w:rPr>
              <w:t>5</w:t>
            </w:r>
            <w:r w:rsidR="00A42D89">
              <w:rPr>
                <w:rFonts w:cstheme="minorHAnsi"/>
                <w:color w:val="auto"/>
                <w:sz w:val="18"/>
                <w:szCs w:val="18"/>
              </w:rPr>
              <w:t xml:space="preserve"> </w:t>
            </w:r>
            <w:r w:rsidR="00962F88">
              <w:rPr>
                <w:rFonts w:cstheme="minorHAnsi"/>
                <w:color w:val="auto"/>
                <w:sz w:val="18"/>
                <w:szCs w:val="18"/>
              </w:rPr>
              <w:t>-</w:t>
            </w:r>
            <w:r w:rsidR="00A42D89">
              <w:rPr>
                <w:rFonts w:cstheme="minorHAnsi"/>
                <w:color w:val="auto"/>
                <w:sz w:val="18"/>
                <w:szCs w:val="18"/>
              </w:rPr>
              <w:t xml:space="preserve"> </w:t>
            </w:r>
            <w:r w:rsidR="00962F88">
              <w:rPr>
                <w:rFonts w:cstheme="minorHAnsi"/>
                <w:color w:val="auto"/>
                <w:sz w:val="18"/>
                <w:szCs w:val="18"/>
              </w:rPr>
              <w:t>186</w:t>
            </w:r>
          </w:p>
        </w:tc>
      </w:tr>
      <w:tr w:rsidR="00844647" w:rsidRPr="0018391B" w14:paraId="203647C2"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10666378" w14:textId="77777777"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663022C2" w14:textId="4302AD43"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auto"/>
                <w:sz w:val="18"/>
                <w:szCs w:val="18"/>
              </w:rPr>
              <w:t>3.4 Other operating expenses</w:t>
            </w:r>
          </w:p>
        </w:tc>
        <w:tc>
          <w:tcPr>
            <w:tcW w:w="1025" w:type="pct"/>
            <w:tcBorders>
              <w:bottom w:val="nil"/>
            </w:tcBorders>
            <w:shd w:val="clear" w:color="auto" w:fill="auto"/>
          </w:tcPr>
          <w:p w14:paraId="5FB26B7A" w14:textId="5B9787FF" w:rsidR="00844647" w:rsidRPr="008D1C83" w:rsidRDefault="00844647" w:rsidP="00844647">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 xml:space="preserve">AASB 16 </w:t>
            </w:r>
            <w:r w:rsidRPr="008D1C83">
              <w:rPr>
                <w:rFonts w:cstheme="minorHAnsi"/>
                <w:i/>
                <w:iCs/>
                <w:color w:val="auto"/>
                <w:sz w:val="18"/>
                <w:szCs w:val="18"/>
              </w:rPr>
              <w:t>Leases</w:t>
            </w:r>
          </w:p>
        </w:tc>
        <w:tc>
          <w:tcPr>
            <w:tcW w:w="2485" w:type="pct"/>
            <w:shd w:val="clear" w:color="auto" w:fill="auto"/>
          </w:tcPr>
          <w:p w14:paraId="5AD222F3" w14:textId="27D95690" w:rsidR="00844647" w:rsidRPr="008D1C83" w:rsidRDefault="00844647" w:rsidP="008D1C83">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The associated tables, accounting policy notes and guidance has been amended to incorporate AASB 16 disclosure requirements.</w:t>
            </w:r>
          </w:p>
        </w:tc>
        <w:tc>
          <w:tcPr>
            <w:tcW w:w="512" w:type="pct"/>
          </w:tcPr>
          <w:p w14:paraId="4A93B93D" w14:textId="793B101E" w:rsidR="00844647" w:rsidRPr="008D1C83" w:rsidRDefault="00844647"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D1C83">
              <w:rPr>
                <w:rFonts w:cstheme="minorHAnsi"/>
                <w:color w:val="auto"/>
                <w:sz w:val="18"/>
                <w:szCs w:val="18"/>
              </w:rPr>
              <w:t>11</w:t>
            </w:r>
            <w:r w:rsidR="00962F88">
              <w:rPr>
                <w:rFonts w:cstheme="minorHAnsi"/>
                <w:color w:val="auto"/>
                <w:sz w:val="18"/>
                <w:szCs w:val="18"/>
              </w:rPr>
              <w:t>0</w:t>
            </w:r>
            <w:r w:rsidR="00A42D89">
              <w:rPr>
                <w:rFonts w:cstheme="minorHAnsi"/>
                <w:color w:val="auto"/>
                <w:sz w:val="18"/>
                <w:szCs w:val="18"/>
              </w:rPr>
              <w:t xml:space="preserve"> </w:t>
            </w:r>
            <w:r w:rsidRPr="008D1C83">
              <w:rPr>
                <w:rFonts w:cstheme="minorHAnsi"/>
                <w:color w:val="auto"/>
                <w:sz w:val="18"/>
                <w:szCs w:val="18"/>
              </w:rPr>
              <w:t>-</w:t>
            </w:r>
            <w:r w:rsidR="00A42D89">
              <w:rPr>
                <w:rFonts w:cstheme="minorHAnsi"/>
                <w:color w:val="auto"/>
                <w:sz w:val="18"/>
                <w:szCs w:val="18"/>
              </w:rPr>
              <w:t xml:space="preserve"> </w:t>
            </w:r>
            <w:r w:rsidRPr="008D1C83">
              <w:rPr>
                <w:rFonts w:cstheme="minorHAnsi"/>
                <w:color w:val="auto"/>
                <w:sz w:val="18"/>
                <w:szCs w:val="18"/>
              </w:rPr>
              <w:t>11</w:t>
            </w:r>
            <w:r w:rsidR="00962F88">
              <w:rPr>
                <w:rFonts w:cstheme="minorHAnsi"/>
                <w:color w:val="auto"/>
                <w:sz w:val="18"/>
                <w:szCs w:val="18"/>
              </w:rPr>
              <w:t>1</w:t>
            </w:r>
          </w:p>
        </w:tc>
      </w:tr>
      <w:tr w:rsidR="00844647" w:rsidRPr="0018391B" w14:paraId="7BB0FBDE"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1A5F9FAB" w14:textId="77777777" w:rsidR="00844647" w:rsidRPr="008D1C83" w:rsidRDefault="00844647" w:rsidP="00844647">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63A0D56C" w14:textId="617D1339" w:rsidR="00844647" w:rsidRPr="008D1C83" w:rsidRDefault="00844647" w:rsidP="00844647">
            <w:pPr>
              <w:pStyle w:val="Tableheader"/>
              <w:spacing w:after="120" w:line="240" w:lineRule="atLeast"/>
              <w:rPr>
                <w:rFonts w:cstheme="minorHAnsi"/>
                <w:color w:val="FF0000"/>
                <w:sz w:val="18"/>
                <w:szCs w:val="18"/>
              </w:rPr>
            </w:pPr>
            <w:r w:rsidRPr="008D1C83">
              <w:rPr>
                <w:rFonts w:eastAsiaTheme="minorEastAsia" w:cstheme="minorHAnsi"/>
                <w:color w:val="auto"/>
                <w:sz w:val="18"/>
                <w:szCs w:val="18"/>
                <w:lang w:eastAsia="en-AU"/>
              </w:rPr>
              <w:t>7.5.3 AASB 1059 Service Concession Arrangements: Grantors</w:t>
            </w:r>
          </w:p>
        </w:tc>
        <w:tc>
          <w:tcPr>
            <w:tcW w:w="1025" w:type="pct"/>
            <w:tcBorders>
              <w:bottom w:val="nil"/>
            </w:tcBorders>
          </w:tcPr>
          <w:p w14:paraId="2C28722B" w14:textId="433A2F58" w:rsidR="00844647" w:rsidRPr="008D1C83" w:rsidRDefault="00844647" w:rsidP="00844647">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eastAsiaTheme="minorEastAsia" w:cstheme="minorHAnsi"/>
                <w:color w:val="auto"/>
                <w:sz w:val="18"/>
                <w:szCs w:val="18"/>
                <w:lang w:eastAsia="en-AU"/>
              </w:rPr>
              <w:t xml:space="preserve">AASB 1059 </w:t>
            </w:r>
            <w:r w:rsidRPr="008D1C83">
              <w:rPr>
                <w:rFonts w:eastAsiaTheme="minorEastAsia" w:cstheme="minorHAnsi"/>
                <w:i/>
                <w:iCs/>
                <w:color w:val="auto"/>
                <w:sz w:val="18"/>
                <w:szCs w:val="18"/>
                <w:lang w:eastAsia="en-AU"/>
              </w:rPr>
              <w:t>Service Concession Arrangement</w:t>
            </w:r>
            <w:r>
              <w:rPr>
                <w:rFonts w:eastAsiaTheme="minorEastAsia" w:cstheme="minorHAnsi"/>
                <w:i/>
                <w:iCs/>
                <w:color w:val="auto"/>
                <w:sz w:val="18"/>
                <w:szCs w:val="18"/>
                <w:lang w:eastAsia="en-AU"/>
              </w:rPr>
              <w:t>s</w:t>
            </w:r>
            <w:r w:rsidRPr="008D1C83">
              <w:rPr>
                <w:rFonts w:eastAsiaTheme="minorEastAsia" w:cstheme="minorHAnsi"/>
                <w:i/>
                <w:iCs/>
                <w:color w:val="auto"/>
                <w:sz w:val="18"/>
                <w:szCs w:val="18"/>
                <w:lang w:eastAsia="en-AU"/>
              </w:rPr>
              <w:t>: Grantors</w:t>
            </w:r>
          </w:p>
        </w:tc>
        <w:tc>
          <w:tcPr>
            <w:tcW w:w="2485" w:type="pct"/>
          </w:tcPr>
          <w:p w14:paraId="2E367F0C" w14:textId="77777777" w:rsidR="00844647" w:rsidRPr="008D1C83" w:rsidRDefault="00844647" w:rsidP="00844647">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AASB 1059 prescribes the accounting for service concession arrangement by a grantor that is a public sector entity. The grantor is required to record the service concession asset at current replacement cost with an associated Financial Liability, Grant-of-right-to-operator Liability (GORTO) or a combination of both. </w:t>
            </w:r>
          </w:p>
          <w:p w14:paraId="26B09E9C" w14:textId="7BB4C945" w:rsidR="00844647" w:rsidRPr="008D1C83" w:rsidRDefault="00844647" w:rsidP="00844647">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eastAsiaTheme="minorEastAsia" w:cstheme="minorHAnsi"/>
                <w:color w:val="auto"/>
                <w:sz w:val="18"/>
                <w:szCs w:val="18"/>
                <w:lang w:eastAsia="en-AU"/>
              </w:rPr>
              <w:t>As a result of the first-time adoption of AASB 1059, note 7.5.3 has been added to provide guidance on the transitional, as well as ongoing, disclosure requirements for service concession arrangements. Illustrations have been included on service concession arrangements under the GORTO and Financial Liability models.</w:t>
            </w:r>
          </w:p>
        </w:tc>
        <w:tc>
          <w:tcPr>
            <w:tcW w:w="512" w:type="pct"/>
          </w:tcPr>
          <w:p w14:paraId="60C188FB" w14:textId="2BB3ECB2" w:rsidR="00844647" w:rsidRPr="008D1C83" w:rsidRDefault="00844647" w:rsidP="008D1C83">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cstheme="minorHAnsi"/>
                <w:color w:val="auto"/>
                <w:sz w:val="18"/>
                <w:szCs w:val="18"/>
              </w:rPr>
            </w:pPr>
            <w:r w:rsidRPr="008D1C83">
              <w:rPr>
                <w:rFonts w:eastAsiaTheme="minorEastAsia" w:cstheme="minorHAnsi"/>
                <w:color w:val="auto"/>
                <w:sz w:val="18"/>
                <w:szCs w:val="18"/>
                <w:lang w:eastAsia="en-AU"/>
              </w:rPr>
              <w:t>17</w:t>
            </w:r>
            <w:r w:rsidR="0071675B">
              <w:rPr>
                <w:rFonts w:eastAsiaTheme="minorEastAsia" w:cstheme="minorHAnsi"/>
                <w:color w:val="auto"/>
                <w:sz w:val="18"/>
                <w:szCs w:val="18"/>
                <w:lang w:eastAsia="en-AU"/>
              </w:rPr>
              <w:t>3</w:t>
            </w:r>
            <w:r w:rsidR="00A42D89">
              <w:rPr>
                <w:rFonts w:eastAsiaTheme="minorEastAsia" w:cstheme="minorHAnsi"/>
                <w:color w:val="auto"/>
                <w:sz w:val="18"/>
                <w:szCs w:val="18"/>
                <w:lang w:eastAsia="en-AU"/>
              </w:rPr>
              <w:t xml:space="preserve"> </w:t>
            </w:r>
            <w:r w:rsidRPr="008D1C83">
              <w:rPr>
                <w:rFonts w:eastAsiaTheme="minorEastAsia" w:cstheme="minorHAnsi"/>
                <w:color w:val="auto"/>
                <w:sz w:val="18"/>
                <w:szCs w:val="18"/>
                <w:lang w:eastAsia="en-AU"/>
              </w:rPr>
              <w:t>-</w:t>
            </w:r>
            <w:r w:rsidR="00A42D89">
              <w:rPr>
                <w:rFonts w:eastAsiaTheme="minorEastAsia" w:cstheme="minorHAnsi"/>
                <w:color w:val="auto"/>
                <w:sz w:val="18"/>
                <w:szCs w:val="18"/>
                <w:lang w:eastAsia="en-AU"/>
              </w:rPr>
              <w:t xml:space="preserve"> </w:t>
            </w:r>
            <w:r w:rsidRPr="008D1C83">
              <w:rPr>
                <w:rFonts w:eastAsiaTheme="minorEastAsia" w:cstheme="minorHAnsi"/>
                <w:color w:val="auto"/>
                <w:sz w:val="18"/>
                <w:szCs w:val="18"/>
                <w:lang w:eastAsia="en-AU"/>
              </w:rPr>
              <w:t>1</w:t>
            </w:r>
            <w:r w:rsidR="0071675B">
              <w:rPr>
                <w:rFonts w:eastAsiaTheme="minorEastAsia" w:cstheme="minorHAnsi"/>
                <w:color w:val="auto"/>
                <w:sz w:val="18"/>
                <w:szCs w:val="18"/>
                <w:lang w:eastAsia="en-AU"/>
              </w:rPr>
              <w:t>76</w:t>
            </w:r>
          </w:p>
        </w:tc>
      </w:tr>
      <w:tr w:rsidR="00E07ACD" w:rsidRPr="00E07ACD" w14:paraId="353F5DE0"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31177302" w14:textId="77777777" w:rsidR="00E07ACD" w:rsidRPr="00E07ACD" w:rsidRDefault="00E07ACD" w:rsidP="00E07ACD">
            <w:pPr>
              <w:pStyle w:val="Tableheader"/>
              <w:spacing w:after="120" w:line="240" w:lineRule="atLeast"/>
              <w:rPr>
                <w:rFonts w:cstheme="minorHAnsi"/>
                <w:color w:val="FF0000"/>
                <w:sz w:val="18"/>
                <w:szCs w:val="18"/>
              </w:rPr>
            </w:pPr>
            <w:r w:rsidRPr="00E07ACD">
              <w:rPr>
                <w:rFonts w:cstheme="minorHAnsi"/>
                <w:color w:val="FF0000"/>
                <w:sz w:val="18"/>
                <w:szCs w:val="18"/>
              </w:rPr>
              <w:t>[Revised]</w:t>
            </w:r>
          </w:p>
          <w:p w14:paraId="7635A8EE" w14:textId="6BA3E3BF" w:rsidR="00E07ACD" w:rsidRPr="00E07ACD" w:rsidRDefault="00E07ACD" w:rsidP="00E07ACD">
            <w:pPr>
              <w:pStyle w:val="Tableheader"/>
              <w:spacing w:after="120" w:line="240" w:lineRule="atLeast"/>
              <w:rPr>
                <w:rFonts w:cstheme="minorHAnsi"/>
                <w:color w:val="auto"/>
                <w:sz w:val="18"/>
                <w:szCs w:val="18"/>
              </w:rPr>
            </w:pPr>
            <w:r w:rsidRPr="00E07ACD">
              <w:rPr>
                <w:rFonts w:eastAsiaTheme="minorEastAsia" w:cstheme="minorHAnsi"/>
                <w:color w:val="auto"/>
                <w:sz w:val="18"/>
                <w:szCs w:val="18"/>
                <w:lang w:eastAsia="en-AU"/>
              </w:rPr>
              <w:t>5.1 Total property, plant and equipment</w:t>
            </w:r>
          </w:p>
        </w:tc>
        <w:tc>
          <w:tcPr>
            <w:tcW w:w="1025" w:type="pct"/>
            <w:tcBorders>
              <w:bottom w:val="nil"/>
            </w:tcBorders>
            <w:shd w:val="clear" w:color="auto" w:fill="auto"/>
          </w:tcPr>
          <w:p w14:paraId="039EAAE0" w14:textId="7FE626F5" w:rsidR="00E07ACD" w:rsidRPr="00E07ACD" w:rsidRDefault="00E07ACD" w:rsidP="00844647">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AASB 1059 </w:t>
            </w:r>
            <w:r w:rsidRPr="008D1C83">
              <w:rPr>
                <w:rFonts w:eastAsiaTheme="minorEastAsia" w:cstheme="minorHAnsi"/>
                <w:i/>
                <w:iCs/>
                <w:color w:val="auto"/>
                <w:sz w:val="18"/>
                <w:szCs w:val="18"/>
                <w:lang w:eastAsia="en-AU"/>
              </w:rPr>
              <w:t>Service Concession Arrangement</w:t>
            </w:r>
            <w:r>
              <w:rPr>
                <w:rFonts w:eastAsiaTheme="minorEastAsia" w:cstheme="minorHAnsi"/>
                <w:i/>
                <w:iCs/>
                <w:color w:val="auto"/>
                <w:sz w:val="18"/>
                <w:szCs w:val="18"/>
                <w:lang w:eastAsia="en-AU"/>
              </w:rPr>
              <w:t>s</w:t>
            </w:r>
            <w:r w:rsidRPr="008D1C83">
              <w:rPr>
                <w:rFonts w:eastAsiaTheme="minorEastAsia" w:cstheme="minorHAnsi"/>
                <w:i/>
                <w:iCs/>
                <w:color w:val="auto"/>
                <w:sz w:val="18"/>
                <w:szCs w:val="18"/>
                <w:lang w:eastAsia="en-AU"/>
              </w:rPr>
              <w:t>: Grantors</w:t>
            </w:r>
          </w:p>
        </w:tc>
        <w:tc>
          <w:tcPr>
            <w:tcW w:w="2485" w:type="pct"/>
            <w:tcBorders>
              <w:bottom w:val="nil"/>
            </w:tcBorders>
            <w:shd w:val="clear" w:color="auto" w:fill="auto"/>
          </w:tcPr>
          <w:p w14:paraId="7C0FC5B2" w14:textId="77777777" w:rsidR="00E07ACD" w:rsidRPr="008D1C83" w:rsidRDefault="00E07ACD" w:rsidP="00E07ACD">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D1C83">
              <w:rPr>
                <w:rFonts w:eastAsiaTheme="minorEastAsia" w:cstheme="minorHAnsi"/>
                <w:sz w:val="18"/>
                <w:szCs w:val="18"/>
                <w:lang w:eastAsia="en-AU"/>
              </w:rPr>
              <w:t xml:space="preserve">Consequential amendments have been applied to the financial statements </w:t>
            </w:r>
            <w:r w:rsidRPr="008D1C83">
              <w:rPr>
                <w:rFonts w:cstheme="minorHAnsi"/>
                <w:sz w:val="18"/>
                <w:szCs w:val="18"/>
              </w:rPr>
              <w:t xml:space="preserve">and accompanying notes </w:t>
            </w:r>
            <w:r w:rsidRPr="008D1C83">
              <w:rPr>
                <w:rFonts w:eastAsiaTheme="minorEastAsia" w:cstheme="minorHAnsi"/>
                <w:sz w:val="18"/>
                <w:szCs w:val="18"/>
                <w:lang w:eastAsia="en-AU"/>
              </w:rPr>
              <w:t>to reflect the</w:t>
            </w:r>
            <w:r w:rsidRPr="008D1C83">
              <w:rPr>
                <w:rFonts w:cstheme="minorHAnsi"/>
                <w:sz w:val="18"/>
                <w:szCs w:val="18"/>
              </w:rPr>
              <w:t xml:space="preserve"> adoption of AASB 1059</w:t>
            </w:r>
            <w:r w:rsidRPr="008D1C83">
              <w:rPr>
                <w:rFonts w:eastAsiaTheme="minorEastAsia" w:cstheme="minorHAnsi"/>
                <w:sz w:val="18"/>
                <w:szCs w:val="18"/>
                <w:lang w:eastAsia="en-AU"/>
              </w:rPr>
              <w:t>. This includes:</w:t>
            </w:r>
          </w:p>
          <w:p w14:paraId="5F9C2D49" w14:textId="77777777" w:rsidR="00E07ACD" w:rsidRDefault="00E07ACD" w:rsidP="00E07ACD">
            <w:pPr>
              <w:pStyle w:val="Tabletext"/>
              <w:numPr>
                <w:ilvl w:val="0"/>
                <w:numId w:val="43"/>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eastAsia="en-AU"/>
              </w:rPr>
            </w:pPr>
            <w:r w:rsidRPr="008D1C83">
              <w:rPr>
                <w:rFonts w:eastAsiaTheme="minorEastAsia" w:cstheme="minorHAnsi"/>
                <w:sz w:val="18"/>
                <w:szCs w:val="18"/>
                <w:lang w:eastAsia="en-AU"/>
              </w:rPr>
              <w:t>The adjustment of the Property, Plant and Equipment to include the carrying amount</w:t>
            </w:r>
            <w:r>
              <w:rPr>
                <w:rFonts w:eastAsiaTheme="minorEastAsia" w:cstheme="minorHAnsi"/>
                <w:sz w:val="18"/>
                <w:szCs w:val="18"/>
                <w:lang w:eastAsia="en-AU"/>
              </w:rPr>
              <w:t>s</w:t>
            </w:r>
            <w:r w:rsidRPr="008D1C83">
              <w:rPr>
                <w:rFonts w:eastAsiaTheme="minorEastAsia" w:cstheme="minorHAnsi"/>
                <w:sz w:val="18"/>
                <w:szCs w:val="18"/>
                <w:lang w:eastAsia="en-AU"/>
              </w:rPr>
              <w:t xml:space="preserve"> of the service concession asset</w:t>
            </w:r>
            <w:r>
              <w:rPr>
                <w:rFonts w:eastAsiaTheme="minorEastAsia" w:cstheme="minorHAnsi"/>
                <w:sz w:val="18"/>
                <w:szCs w:val="18"/>
                <w:lang w:eastAsia="en-AU"/>
              </w:rPr>
              <w:t>s</w:t>
            </w:r>
            <w:r w:rsidRPr="008D1C83">
              <w:rPr>
                <w:rFonts w:eastAsiaTheme="minorEastAsia" w:cstheme="minorHAnsi"/>
                <w:sz w:val="18"/>
                <w:szCs w:val="18"/>
                <w:lang w:eastAsia="en-AU"/>
              </w:rPr>
              <w:t xml:space="preserve">. The reconciliation of movements table in 5.1.3 has also been updated to include the addition of the </w:t>
            </w:r>
            <w:r>
              <w:rPr>
                <w:rFonts w:eastAsiaTheme="minorEastAsia" w:cstheme="minorHAnsi"/>
                <w:sz w:val="18"/>
                <w:szCs w:val="18"/>
                <w:lang w:eastAsia="en-AU"/>
              </w:rPr>
              <w:t xml:space="preserve">service concession </w:t>
            </w:r>
            <w:r w:rsidRPr="008D1C83">
              <w:rPr>
                <w:rFonts w:eastAsiaTheme="minorEastAsia" w:cstheme="minorHAnsi"/>
                <w:sz w:val="18"/>
                <w:szCs w:val="18"/>
                <w:lang w:eastAsia="en-AU"/>
              </w:rPr>
              <w:t>asset and to recognise the associated depreciation on the asset.</w:t>
            </w:r>
          </w:p>
          <w:p w14:paraId="790E02F4" w14:textId="78047F7F" w:rsidR="00E07ACD" w:rsidRPr="008D1C83" w:rsidRDefault="00E07ACD" w:rsidP="00E07ACD">
            <w:pPr>
              <w:pStyle w:val="Tabletext"/>
              <w:numPr>
                <w:ilvl w:val="0"/>
                <w:numId w:val="43"/>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eastAsia="en-AU"/>
              </w:rPr>
            </w:pPr>
            <w:r w:rsidRPr="008D1C83">
              <w:rPr>
                <w:rFonts w:eastAsiaTheme="minorEastAsia" w:cstheme="minorHAnsi"/>
                <w:bCs/>
                <w:sz w:val="18"/>
                <w:szCs w:val="18"/>
                <w:lang w:eastAsia="en-AU"/>
              </w:rPr>
              <w:t xml:space="preserve">Table 5.1.1 The </w:t>
            </w:r>
            <w:r w:rsidRPr="008D1C83">
              <w:rPr>
                <w:rFonts w:cstheme="minorHAnsi"/>
                <w:bCs/>
                <w:sz w:val="18"/>
                <w:szCs w:val="18"/>
              </w:rPr>
              <w:t>disclosure of</w:t>
            </w:r>
            <w:r w:rsidRPr="008D1C83">
              <w:rPr>
                <w:rFonts w:eastAsiaTheme="minorEastAsia" w:cstheme="minorHAnsi"/>
                <w:bCs/>
                <w:sz w:val="18"/>
                <w:szCs w:val="18"/>
                <w:lang w:eastAsia="en-AU"/>
              </w:rPr>
              <w:t xml:space="preserve"> the</w:t>
            </w:r>
            <w:r w:rsidRPr="008D1C83">
              <w:rPr>
                <w:rFonts w:cstheme="minorHAnsi"/>
                <w:bCs/>
                <w:sz w:val="18"/>
                <w:szCs w:val="18"/>
              </w:rPr>
              <w:t xml:space="preserve"> associated </w:t>
            </w:r>
            <w:r w:rsidRPr="008D1C83">
              <w:rPr>
                <w:rFonts w:eastAsiaTheme="minorEastAsia" w:cstheme="minorHAnsi"/>
                <w:bCs/>
                <w:sz w:val="18"/>
                <w:szCs w:val="18"/>
                <w:lang w:eastAsia="en-AU"/>
              </w:rPr>
              <w:t xml:space="preserve">depreciation and amortisation charges </w:t>
            </w:r>
            <w:r w:rsidRPr="008D1C83">
              <w:rPr>
                <w:rFonts w:cstheme="minorHAnsi"/>
                <w:bCs/>
                <w:sz w:val="18"/>
                <w:szCs w:val="18"/>
              </w:rPr>
              <w:t xml:space="preserve">on </w:t>
            </w:r>
            <w:r w:rsidRPr="008D1C83">
              <w:rPr>
                <w:rFonts w:eastAsiaTheme="minorEastAsia" w:cstheme="minorHAnsi"/>
                <w:bCs/>
                <w:sz w:val="18"/>
                <w:szCs w:val="18"/>
                <w:lang w:eastAsia="en-AU"/>
              </w:rPr>
              <w:t xml:space="preserve">the </w:t>
            </w:r>
            <w:r w:rsidRPr="008D1C83">
              <w:rPr>
                <w:rFonts w:cstheme="minorHAnsi"/>
                <w:bCs/>
                <w:sz w:val="18"/>
                <w:szCs w:val="18"/>
              </w:rPr>
              <w:t xml:space="preserve">service concession </w:t>
            </w:r>
            <w:r w:rsidRPr="008D1C83">
              <w:rPr>
                <w:rFonts w:eastAsiaTheme="minorEastAsia" w:cstheme="minorHAnsi"/>
                <w:bCs/>
                <w:sz w:val="18"/>
                <w:szCs w:val="18"/>
                <w:lang w:eastAsia="en-AU"/>
              </w:rPr>
              <w:t>asset</w:t>
            </w:r>
            <w:r w:rsidRPr="008D1C83">
              <w:rPr>
                <w:rFonts w:cstheme="minorHAnsi"/>
                <w:bCs/>
                <w:sz w:val="18"/>
                <w:szCs w:val="18"/>
              </w:rPr>
              <w:t>s</w:t>
            </w:r>
            <w:r w:rsidRPr="008D1C83">
              <w:rPr>
                <w:rFonts w:eastAsiaTheme="minorEastAsia" w:cstheme="minorHAnsi"/>
                <w:bCs/>
                <w:sz w:val="18"/>
                <w:szCs w:val="18"/>
                <w:lang w:eastAsia="en-AU"/>
              </w:rPr>
              <w:t xml:space="preserve"> for the period.</w:t>
            </w:r>
          </w:p>
        </w:tc>
        <w:tc>
          <w:tcPr>
            <w:tcW w:w="512" w:type="pct"/>
            <w:tcBorders>
              <w:bottom w:val="nil"/>
            </w:tcBorders>
          </w:tcPr>
          <w:p w14:paraId="29943198" w14:textId="5022022A" w:rsidR="00E07ACD" w:rsidRPr="00E07ACD" w:rsidRDefault="00E07ACD" w:rsidP="008D1C83">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12</w:t>
            </w:r>
            <w:r w:rsidR="0071675B">
              <w:rPr>
                <w:rFonts w:eastAsiaTheme="minorEastAsia" w:cstheme="minorHAnsi"/>
                <w:color w:val="auto"/>
                <w:sz w:val="18"/>
                <w:szCs w:val="18"/>
                <w:lang w:eastAsia="en-AU"/>
              </w:rPr>
              <w:t>3</w:t>
            </w:r>
            <w:r w:rsidR="00A42D89">
              <w:rPr>
                <w:rFonts w:eastAsiaTheme="minorEastAsia" w:cstheme="minorHAnsi"/>
                <w:color w:val="auto"/>
                <w:sz w:val="18"/>
                <w:szCs w:val="18"/>
                <w:lang w:eastAsia="en-AU"/>
              </w:rPr>
              <w:t xml:space="preserve"> </w:t>
            </w:r>
            <w:r w:rsidRPr="00E07ACD">
              <w:rPr>
                <w:rFonts w:eastAsiaTheme="minorEastAsia" w:cstheme="minorHAnsi"/>
                <w:color w:val="auto"/>
                <w:sz w:val="18"/>
                <w:szCs w:val="18"/>
                <w:lang w:eastAsia="en-AU"/>
              </w:rPr>
              <w:t>-</w:t>
            </w:r>
            <w:r w:rsidR="00A42D89">
              <w:rPr>
                <w:rFonts w:eastAsiaTheme="minorEastAsia" w:cstheme="minorHAnsi"/>
                <w:color w:val="auto"/>
                <w:sz w:val="18"/>
                <w:szCs w:val="18"/>
                <w:lang w:eastAsia="en-AU"/>
              </w:rPr>
              <w:t xml:space="preserve"> </w:t>
            </w:r>
            <w:r w:rsidRPr="00E07ACD">
              <w:rPr>
                <w:rFonts w:eastAsiaTheme="minorEastAsia" w:cstheme="minorHAnsi"/>
                <w:color w:val="auto"/>
                <w:sz w:val="18"/>
                <w:szCs w:val="18"/>
                <w:lang w:eastAsia="en-AU"/>
              </w:rPr>
              <w:t>12</w:t>
            </w:r>
            <w:r w:rsidR="0071675B">
              <w:rPr>
                <w:rFonts w:eastAsiaTheme="minorEastAsia" w:cstheme="minorHAnsi"/>
                <w:color w:val="auto"/>
                <w:sz w:val="18"/>
                <w:szCs w:val="18"/>
                <w:lang w:eastAsia="en-AU"/>
              </w:rPr>
              <w:t>9</w:t>
            </w:r>
          </w:p>
        </w:tc>
      </w:tr>
      <w:tr w:rsidR="00E07ACD" w:rsidRPr="0018391B" w14:paraId="44D1691A"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0063A6" w:themeColor="accent1"/>
            </w:tcBorders>
          </w:tcPr>
          <w:p w14:paraId="15CCD8D1" w14:textId="77777777" w:rsidR="00E07ACD" w:rsidRPr="008D1C83" w:rsidRDefault="00E07ACD" w:rsidP="00E07ACD">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5B01230E" w14:textId="6EA6808C" w:rsidR="00E07ACD" w:rsidRPr="008D1C83" w:rsidRDefault="00E07ACD" w:rsidP="00E07ACD">
            <w:pPr>
              <w:pStyle w:val="Tableheader"/>
              <w:spacing w:after="120" w:line="240" w:lineRule="atLeast"/>
              <w:rPr>
                <w:rFonts w:cstheme="minorHAnsi"/>
                <w:color w:val="FF0000"/>
                <w:sz w:val="18"/>
                <w:szCs w:val="18"/>
              </w:rPr>
            </w:pPr>
            <w:r w:rsidRPr="00E07ACD">
              <w:rPr>
                <w:rFonts w:eastAsiaTheme="minorEastAsia" w:cstheme="minorHAnsi"/>
                <w:color w:val="auto"/>
                <w:sz w:val="18"/>
                <w:szCs w:val="18"/>
                <w:lang w:eastAsia="en-AU"/>
              </w:rPr>
              <w:t>5.4 Intangible assets</w:t>
            </w:r>
          </w:p>
        </w:tc>
        <w:tc>
          <w:tcPr>
            <w:tcW w:w="1025" w:type="pct"/>
            <w:tcBorders>
              <w:bottom w:val="single" w:sz="4" w:space="0" w:color="0063A6" w:themeColor="accent1"/>
            </w:tcBorders>
          </w:tcPr>
          <w:p w14:paraId="55AAB144" w14:textId="6768819D" w:rsidR="00E07ACD" w:rsidRPr="008D1C83"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AASB 1059 </w:t>
            </w:r>
            <w:r w:rsidRPr="008D1C83">
              <w:rPr>
                <w:rFonts w:eastAsiaTheme="minorEastAsia" w:cstheme="minorHAnsi"/>
                <w:i/>
                <w:iCs/>
                <w:color w:val="auto"/>
                <w:sz w:val="18"/>
                <w:szCs w:val="18"/>
                <w:lang w:eastAsia="en-AU"/>
              </w:rPr>
              <w:t>Service Concession Arrangement</w:t>
            </w:r>
            <w:r>
              <w:rPr>
                <w:rFonts w:eastAsiaTheme="minorEastAsia" w:cstheme="minorHAnsi"/>
                <w:i/>
                <w:iCs/>
                <w:color w:val="auto"/>
                <w:sz w:val="18"/>
                <w:szCs w:val="18"/>
                <w:lang w:eastAsia="en-AU"/>
              </w:rPr>
              <w:t>s</w:t>
            </w:r>
            <w:r w:rsidRPr="008D1C83">
              <w:rPr>
                <w:rFonts w:eastAsiaTheme="minorEastAsia" w:cstheme="minorHAnsi"/>
                <w:i/>
                <w:iCs/>
                <w:color w:val="auto"/>
                <w:sz w:val="18"/>
                <w:szCs w:val="18"/>
                <w:lang w:eastAsia="en-AU"/>
              </w:rPr>
              <w:t>: Grantors</w:t>
            </w:r>
          </w:p>
        </w:tc>
        <w:tc>
          <w:tcPr>
            <w:tcW w:w="2485" w:type="pct"/>
            <w:tcBorders>
              <w:bottom w:val="single" w:sz="4" w:space="0" w:color="0063A6" w:themeColor="accent1"/>
            </w:tcBorders>
          </w:tcPr>
          <w:p w14:paraId="105F6E19" w14:textId="3230DD5A" w:rsidR="00E07ACD" w:rsidRPr="00E07ACD"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The disclosure of the intellectual property database and associated </w:t>
            </w:r>
            <w:r w:rsidRPr="00E07ACD">
              <w:rPr>
                <w:rFonts w:cstheme="minorHAnsi"/>
                <w:color w:val="auto"/>
                <w:sz w:val="18"/>
                <w:szCs w:val="18"/>
              </w:rPr>
              <w:t>notes</w:t>
            </w:r>
            <w:r w:rsidRPr="00E07ACD">
              <w:rPr>
                <w:rFonts w:eastAsiaTheme="minorEastAsia" w:cstheme="minorHAnsi"/>
                <w:color w:val="auto"/>
                <w:sz w:val="18"/>
                <w:szCs w:val="18"/>
                <w:lang w:eastAsia="en-AU"/>
              </w:rPr>
              <w:t xml:space="preserve"> to reflect the recognition of the previously unrecognised intangible asset prior to the adoption of AASB 1059.</w:t>
            </w:r>
          </w:p>
        </w:tc>
        <w:tc>
          <w:tcPr>
            <w:tcW w:w="512" w:type="pct"/>
            <w:tcBorders>
              <w:bottom w:val="single" w:sz="4" w:space="0" w:color="0063A6" w:themeColor="accent1"/>
            </w:tcBorders>
          </w:tcPr>
          <w:p w14:paraId="380F7A3E" w14:textId="04F704F4" w:rsidR="00E07ACD" w:rsidRPr="00E07ACD" w:rsidRDefault="00E07ACD" w:rsidP="00E07ACD">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13</w:t>
            </w:r>
            <w:r w:rsidR="0071675B">
              <w:rPr>
                <w:rFonts w:eastAsiaTheme="minorEastAsia" w:cstheme="minorHAnsi"/>
                <w:color w:val="auto"/>
                <w:sz w:val="18"/>
                <w:szCs w:val="18"/>
                <w:lang w:eastAsia="en-AU"/>
              </w:rPr>
              <w:t>4</w:t>
            </w:r>
            <w:r w:rsidR="00A42D89">
              <w:rPr>
                <w:rFonts w:eastAsiaTheme="minorEastAsia" w:cstheme="minorHAnsi"/>
                <w:color w:val="auto"/>
                <w:sz w:val="18"/>
                <w:szCs w:val="18"/>
                <w:lang w:eastAsia="en-AU"/>
              </w:rPr>
              <w:t xml:space="preserve"> </w:t>
            </w:r>
            <w:r w:rsidR="00006937">
              <w:rPr>
                <w:rFonts w:eastAsiaTheme="minorEastAsia" w:cstheme="minorHAnsi"/>
                <w:color w:val="auto"/>
                <w:sz w:val="18"/>
                <w:szCs w:val="18"/>
                <w:lang w:eastAsia="en-AU"/>
              </w:rPr>
              <w:t>-</w:t>
            </w:r>
            <w:r w:rsidR="00A42D89">
              <w:rPr>
                <w:rFonts w:eastAsiaTheme="minorEastAsia" w:cstheme="minorHAnsi"/>
                <w:color w:val="auto"/>
                <w:sz w:val="18"/>
                <w:szCs w:val="18"/>
                <w:lang w:eastAsia="en-AU"/>
              </w:rPr>
              <w:t xml:space="preserve"> </w:t>
            </w:r>
            <w:r w:rsidR="00006937">
              <w:rPr>
                <w:rFonts w:eastAsiaTheme="minorEastAsia" w:cstheme="minorHAnsi"/>
                <w:color w:val="auto"/>
                <w:sz w:val="18"/>
                <w:szCs w:val="18"/>
                <w:lang w:eastAsia="en-AU"/>
              </w:rPr>
              <w:t>135</w:t>
            </w:r>
          </w:p>
        </w:tc>
      </w:tr>
      <w:tr w:rsidR="00237232" w:rsidRPr="00844647" w14:paraId="29A2A909"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0063A6" w:themeColor="accent1"/>
            </w:tcBorders>
            <w:shd w:val="clear" w:color="auto" w:fill="0063A6" w:themeFill="accent1"/>
          </w:tcPr>
          <w:p w14:paraId="6B5B5722" w14:textId="77777777" w:rsidR="00237232" w:rsidRPr="00844647" w:rsidRDefault="00237232" w:rsidP="00541921">
            <w:pPr>
              <w:pStyle w:val="Tableheader"/>
              <w:rPr>
                <w:b/>
                <w:sz w:val="18"/>
                <w:szCs w:val="18"/>
              </w:rPr>
            </w:pPr>
            <w:r w:rsidRPr="00844647">
              <w:rPr>
                <w:b/>
                <w:sz w:val="18"/>
                <w:szCs w:val="18"/>
              </w:rPr>
              <w:lastRenderedPageBreak/>
              <w:t>Subject matter</w:t>
            </w:r>
          </w:p>
        </w:tc>
        <w:tc>
          <w:tcPr>
            <w:tcW w:w="1025" w:type="pct"/>
            <w:tcBorders>
              <w:top w:val="single" w:sz="4" w:space="0" w:color="0063A6" w:themeColor="accent1"/>
              <w:bottom w:val="nil"/>
            </w:tcBorders>
            <w:shd w:val="clear" w:color="auto" w:fill="0063A6" w:themeFill="accent1"/>
          </w:tcPr>
          <w:p w14:paraId="2A2AA279" w14:textId="77777777" w:rsidR="00237232" w:rsidRPr="00844647" w:rsidRDefault="00237232" w:rsidP="00541921">
            <w:pPr>
              <w:pStyle w:val="Tableheader"/>
              <w:cnfStyle w:val="000000000000" w:firstRow="0" w:lastRow="0" w:firstColumn="0" w:lastColumn="0" w:oddVBand="0" w:evenVBand="0" w:oddHBand="0" w:evenHBand="0" w:firstRowFirstColumn="0" w:firstRowLastColumn="0" w:lastRowFirstColumn="0" w:lastRowLastColumn="0"/>
              <w:rPr>
                <w:b/>
                <w:sz w:val="18"/>
                <w:szCs w:val="18"/>
              </w:rPr>
            </w:pPr>
            <w:r w:rsidRPr="00844647">
              <w:rPr>
                <w:b/>
                <w:sz w:val="18"/>
                <w:szCs w:val="18"/>
              </w:rPr>
              <w:t>Source of change</w:t>
            </w:r>
          </w:p>
        </w:tc>
        <w:tc>
          <w:tcPr>
            <w:tcW w:w="2485" w:type="pct"/>
            <w:tcBorders>
              <w:top w:val="single" w:sz="4" w:space="0" w:color="0063A6" w:themeColor="accent1"/>
            </w:tcBorders>
            <w:shd w:val="clear" w:color="auto" w:fill="0063A6" w:themeFill="accent1"/>
          </w:tcPr>
          <w:p w14:paraId="40A7BDD2" w14:textId="77777777" w:rsidR="00237232" w:rsidRPr="00844647" w:rsidRDefault="00237232" w:rsidP="00541921">
            <w:pPr>
              <w:pStyle w:val="Tableheader"/>
              <w:cnfStyle w:val="000000000000" w:firstRow="0" w:lastRow="0" w:firstColumn="0" w:lastColumn="0" w:oddVBand="0" w:evenVBand="0" w:oddHBand="0" w:evenHBand="0" w:firstRowFirstColumn="0" w:firstRowLastColumn="0" w:lastRowFirstColumn="0" w:lastRowLastColumn="0"/>
              <w:rPr>
                <w:b/>
                <w:sz w:val="18"/>
                <w:szCs w:val="18"/>
              </w:rPr>
            </w:pPr>
            <w:r w:rsidRPr="00844647">
              <w:rPr>
                <w:b/>
                <w:sz w:val="18"/>
                <w:szCs w:val="18"/>
              </w:rPr>
              <w:t>Summary of changes applied to the relevant sections in the Model Financial Statements</w:t>
            </w:r>
          </w:p>
        </w:tc>
        <w:tc>
          <w:tcPr>
            <w:tcW w:w="512" w:type="pct"/>
            <w:tcBorders>
              <w:top w:val="single" w:sz="4" w:space="0" w:color="0063A6" w:themeColor="accent1"/>
            </w:tcBorders>
            <w:shd w:val="clear" w:color="auto" w:fill="0063A6" w:themeFill="accent1"/>
          </w:tcPr>
          <w:p w14:paraId="7E29EE29" w14:textId="77777777" w:rsidR="00237232" w:rsidRPr="00844647" w:rsidRDefault="00237232" w:rsidP="00541921">
            <w:pPr>
              <w:pStyle w:val="Tableheader"/>
              <w:cnfStyle w:val="000000000000" w:firstRow="0" w:lastRow="0" w:firstColumn="0" w:lastColumn="0" w:oddVBand="0" w:evenVBand="0" w:oddHBand="0" w:evenHBand="0" w:firstRowFirstColumn="0" w:firstRowLastColumn="0" w:lastRowFirstColumn="0" w:lastRowLastColumn="0"/>
              <w:rPr>
                <w:b/>
                <w:sz w:val="18"/>
                <w:szCs w:val="18"/>
              </w:rPr>
            </w:pPr>
            <w:r w:rsidRPr="00844647">
              <w:rPr>
                <w:b/>
                <w:sz w:val="18"/>
                <w:szCs w:val="18"/>
              </w:rPr>
              <w:t>Page reference</w:t>
            </w:r>
          </w:p>
        </w:tc>
      </w:tr>
      <w:tr w:rsidR="00E07ACD" w:rsidRPr="0018391B" w14:paraId="67B492CF"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0063A6" w:themeColor="accent1"/>
            </w:tcBorders>
          </w:tcPr>
          <w:p w14:paraId="049E64A9" w14:textId="77777777" w:rsidR="00E07ACD" w:rsidRPr="008D1C83" w:rsidRDefault="00E07ACD" w:rsidP="00E07ACD">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30B9D659" w14:textId="4B886D27" w:rsidR="00E07ACD" w:rsidRPr="008D1C83" w:rsidRDefault="00E07ACD" w:rsidP="00E07ACD">
            <w:pPr>
              <w:pStyle w:val="Tableheader"/>
              <w:spacing w:after="120" w:line="240" w:lineRule="atLeast"/>
              <w:rPr>
                <w:rFonts w:cstheme="minorHAnsi"/>
                <w:color w:val="FF0000"/>
                <w:sz w:val="18"/>
                <w:szCs w:val="18"/>
              </w:rPr>
            </w:pPr>
            <w:r w:rsidRPr="00E07ACD">
              <w:rPr>
                <w:rFonts w:eastAsiaTheme="minorEastAsia" w:cstheme="minorHAnsi"/>
                <w:color w:val="auto"/>
                <w:sz w:val="18"/>
                <w:szCs w:val="18"/>
                <w:lang w:eastAsia="en-AU"/>
              </w:rPr>
              <w:t>6.2 Payables</w:t>
            </w:r>
          </w:p>
        </w:tc>
        <w:tc>
          <w:tcPr>
            <w:tcW w:w="1025" w:type="pct"/>
            <w:tcBorders>
              <w:top w:val="single" w:sz="4" w:space="0" w:color="0063A6" w:themeColor="accent1"/>
              <w:bottom w:val="nil"/>
            </w:tcBorders>
          </w:tcPr>
          <w:p w14:paraId="6460EE3E" w14:textId="7352492D" w:rsidR="00E07ACD" w:rsidRPr="008D1C83"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AASB 1059 </w:t>
            </w:r>
            <w:r w:rsidRPr="008D1C83">
              <w:rPr>
                <w:rFonts w:eastAsiaTheme="minorEastAsia" w:cstheme="minorHAnsi"/>
                <w:i/>
                <w:iCs/>
                <w:color w:val="auto"/>
                <w:sz w:val="18"/>
                <w:szCs w:val="18"/>
                <w:lang w:eastAsia="en-AU"/>
              </w:rPr>
              <w:t>Service Concession Arrangement</w:t>
            </w:r>
            <w:r>
              <w:rPr>
                <w:rFonts w:eastAsiaTheme="minorEastAsia" w:cstheme="minorHAnsi"/>
                <w:i/>
                <w:iCs/>
                <w:color w:val="auto"/>
                <w:sz w:val="18"/>
                <w:szCs w:val="18"/>
                <w:lang w:eastAsia="en-AU"/>
              </w:rPr>
              <w:t>s</w:t>
            </w:r>
            <w:r w:rsidRPr="008D1C83">
              <w:rPr>
                <w:rFonts w:eastAsiaTheme="minorEastAsia" w:cstheme="minorHAnsi"/>
                <w:i/>
                <w:iCs/>
                <w:color w:val="auto"/>
                <w:sz w:val="18"/>
                <w:szCs w:val="18"/>
                <w:lang w:eastAsia="en-AU"/>
              </w:rPr>
              <w:t>: Grantors</w:t>
            </w:r>
          </w:p>
        </w:tc>
        <w:tc>
          <w:tcPr>
            <w:tcW w:w="2485" w:type="pct"/>
            <w:tcBorders>
              <w:top w:val="single" w:sz="4" w:space="0" w:color="0063A6" w:themeColor="accent1"/>
            </w:tcBorders>
          </w:tcPr>
          <w:p w14:paraId="75A0BF86" w14:textId="3AAE88CA" w:rsidR="00E07ACD" w:rsidRPr="00E07ACD"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The disclosure of the GORTO liability</w:t>
            </w:r>
            <w:r w:rsidRPr="00E07ACD">
              <w:rPr>
                <w:rFonts w:cstheme="minorHAnsi"/>
                <w:color w:val="auto"/>
                <w:sz w:val="18"/>
                <w:szCs w:val="18"/>
              </w:rPr>
              <w:t xml:space="preserve"> to reflect the </w:t>
            </w:r>
            <w:r>
              <w:rPr>
                <w:rFonts w:cstheme="minorHAnsi"/>
                <w:color w:val="auto"/>
                <w:sz w:val="18"/>
                <w:szCs w:val="18"/>
              </w:rPr>
              <w:t>unrecognised r</w:t>
            </w:r>
            <w:r w:rsidRPr="00E07ACD">
              <w:rPr>
                <w:rFonts w:cstheme="minorHAnsi"/>
                <w:color w:val="auto"/>
                <w:sz w:val="18"/>
                <w:szCs w:val="18"/>
              </w:rPr>
              <w:t>evenue</w:t>
            </w:r>
            <w:r>
              <w:rPr>
                <w:rFonts w:cstheme="minorHAnsi"/>
                <w:color w:val="auto"/>
                <w:sz w:val="18"/>
                <w:szCs w:val="18"/>
              </w:rPr>
              <w:t xml:space="preserve"> at balance date, to be recognised</w:t>
            </w:r>
            <w:r w:rsidRPr="00E07ACD">
              <w:rPr>
                <w:rFonts w:cstheme="minorHAnsi"/>
                <w:color w:val="auto"/>
                <w:sz w:val="18"/>
                <w:szCs w:val="18"/>
              </w:rPr>
              <w:t xml:space="preserve"> over the </w:t>
            </w:r>
            <w:r>
              <w:rPr>
                <w:rFonts w:cstheme="minorHAnsi"/>
                <w:color w:val="auto"/>
                <w:sz w:val="18"/>
                <w:szCs w:val="18"/>
              </w:rPr>
              <w:t xml:space="preserve">remaining </w:t>
            </w:r>
            <w:r w:rsidRPr="00E07ACD">
              <w:rPr>
                <w:rFonts w:cstheme="minorHAnsi"/>
                <w:color w:val="auto"/>
                <w:sz w:val="18"/>
                <w:szCs w:val="18"/>
              </w:rPr>
              <w:t xml:space="preserve">concession term. </w:t>
            </w:r>
          </w:p>
        </w:tc>
        <w:tc>
          <w:tcPr>
            <w:tcW w:w="512" w:type="pct"/>
            <w:tcBorders>
              <w:top w:val="single" w:sz="4" w:space="0" w:color="0063A6" w:themeColor="accent1"/>
            </w:tcBorders>
          </w:tcPr>
          <w:p w14:paraId="32E07350" w14:textId="5645760A" w:rsidR="00E07ACD" w:rsidRPr="00E07ACD" w:rsidRDefault="00E07ACD" w:rsidP="00E07ACD">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15</w:t>
            </w:r>
            <w:r w:rsidR="0071675B">
              <w:rPr>
                <w:rFonts w:eastAsiaTheme="minorEastAsia" w:cstheme="minorHAnsi"/>
                <w:color w:val="auto"/>
                <w:sz w:val="18"/>
                <w:szCs w:val="18"/>
                <w:lang w:eastAsia="en-AU"/>
              </w:rPr>
              <w:t>2</w:t>
            </w:r>
            <w:r w:rsidR="00A42D89">
              <w:rPr>
                <w:rFonts w:eastAsiaTheme="minorEastAsia" w:cstheme="minorHAnsi"/>
                <w:color w:val="auto"/>
                <w:sz w:val="18"/>
                <w:szCs w:val="18"/>
                <w:lang w:eastAsia="en-AU"/>
              </w:rPr>
              <w:t xml:space="preserve"> </w:t>
            </w:r>
            <w:r w:rsidR="0071675B">
              <w:rPr>
                <w:rFonts w:eastAsiaTheme="minorEastAsia" w:cstheme="minorHAnsi"/>
                <w:color w:val="auto"/>
                <w:sz w:val="18"/>
                <w:szCs w:val="18"/>
                <w:lang w:eastAsia="en-AU"/>
              </w:rPr>
              <w:t>-</w:t>
            </w:r>
            <w:r w:rsidR="00A42D89">
              <w:rPr>
                <w:rFonts w:eastAsiaTheme="minorEastAsia" w:cstheme="minorHAnsi"/>
                <w:color w:val="auto"/>
                <w:sz w:val="18"/>
                <w:szCs w:val="18"/>
                <w:lang w:eastAsia="en-AU"/>
              </w:rPr>
              <w:t xml:space="preserve"> </w:t>
            </w:r>
            <w:r w:rsidR="0071675B">
              <w:rPr>
                <w:rFonts w:eastAsiaTheme="minorEastAsia" w:cstheme="minorHAnsi"/>
                <w:color w:val="auto"/>
                <w:sz w:val="18"/>
                <w:szCs w:val="18"/>
                <w:lang w:eastAsia="en-AU"/>
              </w:rPr>
              <w:t>154</w:t>
            </w:r>
          </w:p>
        </w:tc>
      </w:tr>
      <w:tr w:rsidR="00E07ACD" w:rsidRPr="0018391B" w14:paraId="226B19B6"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4BD04F21" w14:textId="77777777" w:rsidR="00E07ACD" w:rsidRPr="008D1C83" w:rsidRDefault="00E07ACD" w:rsidP="00E07ACD">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15710BBC" w14:textId="1178764A" w:rsidR="00E07ACD" w:rsidRPr="008D1C83" w:rsidRDefault="00E07ACD" w:rsidP="00E07ACD">
            <w:pPr>
              <w:pStyle w:val="Tableheader"/>
              <w:spacing w:after="120" w:line="240" w:lineRule="atLeast"/>
              <w:rPr>
                <w:rFonts w:cstheme="minorHAnsi"/>
                <w:color w:val="FF0000"/>
                <w:sz w:val="18"/>
                <w:szCs w:val="18"/>
              </w:rPr>
            </w:pPr>
            <w:r w:rsidRPr="00E07ACD">
              <w:rPr>
                <w:rFonts w:eastAsiaTheme="minorEastAsia" w:cstheme="minorHAnsi"/>
                <w:color w:val="auto"/>
                <w:sz w:val="18"/>
                <w:szCs w:val="18"/>
                <w:lang w:eastAsia="en-AU"/>
              </w:rPr>
              <w:t>7.1 Borrowings</w:t>
            </w:r>
          </w:p>
        </w:tc>
        <w:tc>
          <w:tcPr>
            <w:tcW w:w="1025" w:type="pct"/>
            <w:tcBorders>
              <w:bottom w:val="nil"/>
            </w:tcBorders>
          </w:tcPr>
          <w:p w14:paraId="2CDBDA6E" w14:textId="1203EABA" w:rsidR="00E07ACD" w:rsidRPr="008D1C83" w:rsidRDefault="00E07ACD" w:rsidP="00E07ACD">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AASB 1059 </w:t>
            </w:r>
            <w:r w:rsidRPr="008D1C83">
              <w:rPr>
                <w:rFonts w:eastAsiaTheme="minorEastAsia" w:cstheme="minorHAnsi"/>
                <w:i/>
                <w:iCs/>
                <w:color w:val="auto"/>
                <w:sz w:val="18"/>
                <w:szCs w:val="18"/>
                <w:lang w:eastAsia="en-AU"/>
              </w:rPr>
              <w:t>Service Concession Arrangement</w:t>
            </w:r>
            <w:r>
              <w:rPr>
                <w:rFonts w:eastAsiaTheme="minorEastAsia" w:cstheme="minorHAnsi"/>
                <w:i/>
                <w:iCs/>
                <w:color w:val="auto"/>
                <w:sz w:val="18"/>
                <w:szCs w:val="18"/>
                <w:lang w:eastAsia="en-AU"/>
              </w:rPr>
              <w:t>s</w:t>
            </w:r>
            <w:r w:rsidRPr="008D1C83">
              <w:rPr>
                <w:rFonts w:eastAsiaTheme="minorEastAsia" w:cstheme="minorHAnsi"/>
                <w:i/>
                <w:iCs/>
                <w:color w:val="auto"/>
                <w:sz w:val="18"/>
                <w:szCs w:val="18"/>
                <w:lang w:eastAsia="en-AU"/>
              </w:rPr>
              <w:t>: Grantors</w:t>
            </w:r>
          </w:p>
        </w:tc>
        <w:tc>
          <w:tcPr>
            <w:tcW w:w="2485" w:type="pct"/>
          </w:tcPr>
          <w:p w14:paraId="3914661B" w14:textId="77777777" w:rsidR="00E07ACD" w:rsidRPr="00E07ACD" w:rsidRDefault="00E07ACD" w:rsidP="00E07ACD">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lang w:eastAsia="en-AU"/>
              </w:rPr>
            </w:pPr>
            <w:r w:rsidRPr="00E07ACD">
              <w:rPr>
                <w:rFonts w:cstheme="minorHAnsi"/>
                <w:sz w:val="18"/>
                <w:szCs w:val="18"/>
              </w:rPr>
              <w:t xml:space="preserve">The </w:t>
            </w:r>
            <w:r w:rsidRPr="00E07ACD">
              <w:rPr>
                <w:rFonts w:eastAsiaTheme="minorEastAsia" w:cstheme="minorHAnsi"/>
                <w:sz w:val="18"/>
                <w:szCs w:val="18"/>
                <w:lang w:eastAsia="en-AU"/>
              </w:rPr>
              <w:t>disclosure of the</w:t>
            </w:r>
            <w:r w:rsidRPr="00E07ACD">
              <w:rPr>
                <w:rFonts w:cstheme="minorHAnsi"/>
                <w:sz w:val="18"/>
                <w:szCs w:val="18"/>
              </w:rPr>
              <w:t xml:space="preserve"> service concession financial liability</w:t>
            </w:r>
            <w:r w:rsidRPr="00E07ACD">
              <w:rPr>
                <w:rFonts w:eastAsiaTheme="minorEastAsia" w:cstheme="minorHAnsi"/>
                <w:sz w:val="18"/>
                <w:szCs w:val="18"/>
                <w:lang w:eastAsia="en-AU"/>
              </w:rPr>
              <w:t xml:space="preserve"> split by current and non-current financial liabilities </w:t>
            </w:r>
            <w:r w:rsidRPr="00E07ACD">
              <w:rPr>
                <w:rFonts w:cstheme="minorHAnsi"/>
                <w:sz w:val="18"/>
                <w:szCs w:val="18"/>
              </w:rPr>
              <w:t xml:space="preserve">and </w:t>
            </w:r>
            <w:r w:rsidRPr="00E07ACD">
              <w:rPr>
                <w:rFonts w:eastAsiaTheme="minorEastAsia" w:cstheme="minorHAnsi"/>
                <w:sz w:val="18"/>
                <w:szCs w:val="18"/>
                <w:lang w:eastAsia="en-AU"/>
              </w:rPr>
              <w:t xml:space="preserve">the associated maturity profile. </w:t>
            </w:r>
          </w:p>
          <w:p w14:paraId="09576B1B" w14:textId="5E9DF119" w:rsidR="00E07ACD" w:rsidRPr="00E07ACD" w:rsidRDefault="00E07ACD" w:rsidP="00E07ACD">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bCs/>
                <w:color w:val="auto"/>
                <w:sz w:val="18"/>
                <w:szCs w:val="18"/>
                <w:lang w:eastAsia="en-AU"/>
              </w:rPr>
              <w:t xml:space="preserve">The </w:t>
            </w:r>
            <w:r w:rsidRPr="00E07ACD">
              <w:rPr>
                <w:rFonts w:cstheme="minorHAnsi"/>
                <w:bCs/>
                <w:color w:val="auto"/>
                <w:sz w:val="18"/>
                <w:szCs w:val="18"/>
              </w:rPr>
              <w:t>disclosure of the</w:t>
            </w:r>
            <w:r w:rsidRPr="00E07ACD">
              <w:rPr>
                <w:rFonts w:eastAsiaTheme="minorEastAsia" w:cstheme="minorHAnsi"/>
                <w:bCs/>
                <w:color w:val="auto"/>
                <w:sz w:val="18"/>
                <w:szCs w:val="18"/>
                <w:lang w:eastAsia="en-AU"/>
              </w:rPr>
              <w:t xml:space="preserve"> interest </w:t>
            </w:r>
            <w:r w:rsidRPr="00E07ACD">
              <w:rPr>
                <w:rFonts w:cstheme="minorHAnsi"/>
                <w:bCs/>
                <w:color w:val="auto"/>
                <w:sz w:val="18"/>
                <w:szCs w:val="18"/>
              </w:rPr>
              <w:t xml:space="preserve">charges </w:t>
            </w:r>
            <w:r w:rsidRPr="00E07ACD">
              <w:rPr>
                <w:rFonts w:eastAsiaTheme="minorEastAsia" w:cstheme="minorHAnsi"/>
                <w:bCs/>
                <w:color w:val="auto"/>
                <w:sz w:val="18"/>
                <w:szCs w:val="18"/>
                <w:lang w:eastAsia="en-AU"/>
              </w:rPr>
              <w:t xml:space="preserve">on </w:t>
            </w:r>
            <w:r w:rsidRPr="00E07ACD">
              <w:rPr>
                <w:rFonts w:cstheme="minorHAnsi"/>
                <w:bCs/>
                <w:color w:val="auto"/>
                <w:sz w:val="18"/>
                <w:szCs w:val="18"/>
              </w:rPr>
              <w:t xml:space="preserve">the associated financial liability under the </w:t>
            </w:r>
            <w:r w:rsidRPr="00E07ACD">
              <w:rPr>
                <w:rFonts w:eastAsiaTheme="minorEastAsia" w:cstheme="minorHAnsi"/>
                <w:bCs/>
                <w:color w:val="auto"/>
                <w:sz w:val="18"/>
                <w:szCs w:val="18"/>
                <w:lang w:eastAsia="en-AU"/>
              </w:rPr>
              <w:t>service concession arrangements</w:t>
            </w:r>
            <w:r w:rsidRPr="00E07ACD">
              <w:rPr>
                <w:rFonts w:cstheme="minorHAnsi"/>
                <w:bCs/>
                <w:color w:val="auto"/>
                <w:sz w:val="18"/>
                <w:szCs w:val="18"/>
              </w:rPr>
              <w:t>.</w:t>
            </w:r>
          </w:p>
        </w:tc>
        <w:tc>
          <w:tcPr>
            <w:tcW w:w="512" w:type="pct"/>
          </w:tcPr>
          <w:p w14:paraId="79B4A6AC" w14:textId="7F014360" w:rsidR="00E07ACD" w:rsidRPr="00E07ACD" w:rsidRDefault="00E07ACD" w:rsidP="00E07ACD">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cstheme="minorHAnsi"/>
                <w:color w:val="auto"/>
                <w:sz w:val="18"/>
                <w:szCs w:val="18"/>
              </w:rPr>
              <w:t>1</w:t>
            </w:r>
            <w:r w:rsidR="001E6EEB">
              <w:rPr>
                <w:rFonts w:cstheme="minorHAnsi"/>
                <w:color w:val="auto"/>
                <w:sz w:val="18"/>
                <w:szCs w:val="18"/>
              </w:rPr>
              <w:t>58</w:t>
            </w:r>
            <w:r w:rsidR="00A42D89">
              <w:rPr>
                <w:rFonts w:cstheme="minorHAnsi"/>
                <w:color w:val="auto"/>
                <w:sz w:val="18"/>
                <w:szCs w:val="18"/>
              </w:rPr>
              <w:t xml:space="preserve"> </w:t>
            </w:r>
            <w:r w:rsidRPr="00E07ACD">
              <w:rPr>
                <w:rFonts w:cstheme="minorHAnsi"/>
                <w:color w:val="auto"/>
                <w:sz w:val="18"/>
                <w:szCs w:val="18"/>
              </w:rPr>
              <w:t>-</w:t>
            </w:r>
            <w:r w:rsidR="00A42D89">
              <w:rPr>
                <w:rFonts w:cstheme="minorHAnsi"/>
                <w:color w:val="auto"/>
                <w:sz w:val="18"/>
                <w:szCs w:val="18"/>
              </w:rPr>
              <w:t xml:space="preserve"> </w:t>
            </w:r>
            <w:r w:rsidRPr="00E07ACD">
              <w:rPr>
                <w:rFonts w:cstheme="minorHAnsi"/>
                <w:color w:val="auto"/>
                <w:sz w:val="18"/>
                <w:szCs w:val="18"/>
              </w:rPr>
              <w:t>1</w:t>
            </w:r>
            <w:r w:rsidR="00006937">
              <w:rPr>
                <w:rFonts w:cstheme="minorHAnsi"/>
                <w:color w:val="auto"/>
                <w:sz w:val="18"/>
                <w:szCs w:val="18"/>
              </w:rPr>
              <w:t>60</w:t>
            </w:r>
          </w:p>
        </w:tc>
      </w:tr>
      <w:tr w:rsidR="00E07ACD" w:rsidRPr="0018391B" w14:paraId="02A760CA"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555EAB6E" w14:textId="77777777" w:rsidR="00E07ACD" w:rsidRPr="008D1C83" w:rsidRDefault="00E07ACD" w:rsidP="00E07ACD">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3E78133A" w14:textId="2BE37DCB" w:rsidR="00E07ACD" w:rsidRPr="008D1C83" w:rsidRDefault="00E07ACD" w:rsidP="00E07ACD">
            <w:pPr>
              <w:pStyle w:val="Tableheader"/>
              <w:spacing w:after="120" w:line="240" w:lineRule="atLeast"/>
              <w:rPr>
                <w:rFonts w:cstheme="minorHAnsi"/>
                <w:color w:val="FF0000"/>
                <w:sz w:val="18"/>
                <w:szCs w:val="18"/>
              </w:rPr>
            </w:pPr>
            <w:r w:rsidRPr="00E07ACD">
              <w:rPr>
                <w:rFonts w:cstheme="minorHAnsi"/>
                <w:color w:val="auto"/>
                <w:sz w:val="18"/>
                <w:szCs w:val="18"/>
              </w:rPr>
              <w:t>7.5.2 PPP commitments</w:t>
            </w:r>
          </w:p>
        </w:tc>
        <w:tc>
          <w:tcPr>
            <w:tcW w:w="1025" w:type="pct"/>
            <w:tcBorders>
              <w:bottom w:val="nil"/>
            </w:tcBorders>
          </w:tcPr>
          <w:p w14:paraId="1F866D57" w14:textId="10844A3A" w:rsidR="00E07ACD" w:rsidRPr="008D1C83"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AASB 1059 </w:t>
            </w:r>
            <w:r w:rsidRPr="008D1C83">
              <w:rPr>
                <w:rFonts w:eastAsiaTheme="minorEastAsia" w:cstheme="minorHAnsi"/>
                <w:i/>
                <w:iCs/>
                <w:color w:val="auto"/>
                <w:sz w:val="18"/>
                <w:szCs w:val="18"/>
                <w:lang w:eastAsia="en-AU"/>
              </w:rPr>
              <w:t>Service Concession Arrangement</w:t>
            </w:r>
            <w:r>
              <w:rPr>
                <w:rFonts w:eastAsiaTheme="minorEastAsia" w:cstheme="minorHAnsi"/>
                <w:i/>
                <w:iCs/>
                <w:color w:val="auto"/>
                <w:sz w:val="18"/>
                <w:szCs w:val="18"/>
                <w:lang w:eastAsia="en-AU"/>
              </w:rPr>
              <w:t>s</w:t>
            </w:r>
            <w:r w:rsidRPr="008D1C83">
              <w:rPr>
                <w:rFonts w:eastAsiaTheme="minorEastAsia" w:cstheme="minorHAnsi"/>
                <w:i/>
                <w:iCs/>
                <w:color w:val="auto"/>
                <w:sz w:val="18"/>
                <w:szCs w:val="18"/>
                <w:lang w:eastAsia="en-AU"/>
              </w:rPr>
              <w:t>: Grantors</w:t>
            </w:r>
          </w:p>
        </w:tc>
        <w:tc>
          <w:tcPr>
            <w:tcW w:w="2485" w:type="pct"/>
          </w:tcPr>
          <w:p w14:paraId="031D7136" w14:textId="084402F7" w:rsidR="00E07ACD" w:rsidRPr="00E07ACD"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cstheme="minorHAnsi"/>
                <w:bCs/>
                <w:color w:val="auto"/>
                <w:sz w:val="18"/>
                <w:szCs w:val="18"/>
              </w:rPr>
              <w:t xml:space="preserve">Additional disclosure inserted explaining that some PPP arrangements may fall within the scope of AASB 1059 if certain criteria </w:t>
            </w:r>
            <w:r>
              <w:rPr>
                <w:rFonts w:cstheme="minorHAnsi"/>
                <w:bCs/>
                <w:color w:val="auto"/>
                <w:sz w:val="18"/>
                <w:szCs w:val="18"/>
              </w:rPr>
              <w:t>are</w:t>
            </w:r>
            <w:r w:rsidRPr="00E07ACD">
              <w:rPr>
                <w:rFonts w:cstheme="minorHAnsi"/>
                <w:bCs/>
                <w:color w:val="auto"/>
                <w:sz w:val="18"/>
                <w:szCs w:val="18"/>
              </w:rPr>
              <w:t xml:space="preserve"> met.  </w:t>
            </w:r>
          </w:p>
        </w:tc>
        <w:tc>
          <w:tcPr>
            <w:tcW w:w="512" w:type="pct"/>
          </w:tcPr>
          <w:p w14:paraId="1B8CC67D" w14:textId="421B4316" w:rsidR="00E07ACD" w:rsidRPr="00E07ACD" w:rsidRDefault="00E07ACD" w:rsidP="00E07ACD">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cstheme="minorHAnsi"/>
                <w:color w:val="auto"/>
                <w:sz w:val="18"/>
                <w:szCs w:val="18"/>
              </w:rPr>
              <w:t>17</w:t>
            </w:r>
            <w:r w:rsidR="001E6EEB">
              <w:rPr>
                <w:rFonts w:cstheme="minorHAnsi"/>
                <w:color w:val="auto"/>
                <w:sz w:val="18"/>
                <w:szCs w:val="18"/>
              </w:rPr>
              <w:t>2</w:t>
            </w:r>
          </w:p>
        </w:tc>
      </w:tr>
      <w:tr w:rsidR="00E07ACD" w:rsidRPr="00E07ACD" w14:paraId="65E68101"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1F66CAF9" w14:textId="77777777" w:rsidR="00E07ACD" w:rsidRPr="00E07ACD" w:rsidRDefault="00E07ACD" w:rsidP="00E07ACD">
            <w:pPr>
              <w:pStyle w:val="Tableheader"/>
              <w:spacing w:after="120" w:line="240" w:lineRule="atLeast"/>
              <w:rPr>
                <w:rFonts w:cstheme="minorHAnsi"/>
                <w:color w:val="FF0000"/>
                <w:sz w:val="18"/>
                <w:szCs w:val="18"/>
              </w:rPr>
            </w:pPr>
            <w:r w:rsidRPr="00E07ACD">
              <w:rPr>
                <w:rFonts w:cstheme="minorHAnsi"/>
                <w:color w:val="FF0000"/>
                <w:sz w:val="18"/>
                <w:szCs w:val="18"/>
              </w:rPr>
              <w:t>[New]</w:t>
            </w:r>
          </w:p>
          <w:p w14:paraId="6A38D26A" w14:textId="45857EA9" w:rsidR="00E07ACD" w:rsidRPr="00E07ACD" w:rsidRDefault="00E07ACD" w:rsidP="00E07ACD">
            <w:pPr>
              <w:pStyle w:val="Tableheader"/>
              <w:spacing w:after="120" w:line="240" w:lineRule="atLeast"/>
              <w:rPr>
                <w:rFonts w:cstheme="minorHAnsi"/>
                <w:color w:val="auto"/>
                <w:sz w:val="18"/>
                <w:szCs w:val="18"/>
              </w:rPr>
            </w:pPr>
            <w:r w:rsidRPr="00E07ACD">
              <w:rPr>
                <w:rFonts w:cstheme="minorHAnsi"/>
                <w:color w:val="auto"/>
                <w:sz w:val="18"/>
                <w:szCs w:val="18"/>
              </w:rPr>
              <w:t>8.1.1 Financial Instruments: Categorisation</w:t>
            </w:r>
          </w:p>
        </w:tc>
        <w:tc>
          <w:tcPr>
            <w:tcW w:w="1025" w:type="pct"/>
            <w:tcBorders>
              <w:bottom w:val="nil"/>
            </w:tcBorders>
          </w:tcPr>
          <w:p w14:paraId="20ED0CB8" w14:textId="425FE087" w:rsidR="00E07ACD" w:rsidRPr="00E07ACD" w:rsidRDefault="00E07ACD" w:rsidP="00E07ACD">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tc>
        <w:tc>
          <w:tcPr>
            <w:tcW w:w="2485" w:type="pct"/>
          </w:tcPr>
          <w:p w14:paraId="410DC204" w14:textId="0707C859" w:rsidR="00E07ACD" w:rsidRPr="00E07ACD" w:rsidRDefault="00E07ACD" w:rsidP="00E07ACD">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cstheme="minorHAnsi"/>
                <w:bCs/>
                <w:color w:val="auto"/>
                <w:sz w:val="18"/>
                <w:szCs w:val="18"/>
              </w:rPr>
              <w:t>Addition of financial liability for service concession arrangement that fall within that category, classified as a financial liability.</w:t>
            </w:r>
          </w:p>
        </w:tc>
        <w:tc>
          <w:tcPr>
            <w:tcW w:w="512" w:type="pct"/>
          </w:tcPr>
          <w:p w14:paraId="47D8DEC2" w14:textId="0E3741EC" w:rsidR="00E07ACD" w:rsidRPr="00E07ACD" w:rsidRDefault="00E07ACD" w:rsidP="00E07ACD">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cstheme="minorHAnsi"/>
                <w:color w:val="auto"/>
                <w:sz w:val="18"/>
                <w:szCs w:val="18"/>
              </w:rPr>
              <w:t>18</w:t>
            </w:r>
            <w:r w:rsidR="001E6EEB">
              <w:rPr>
                <w:rFonts w:cstheme="minorHAnsi"/>
                <w:color w:val="auto"/>
                <w:sz w:val="18"/>
                <w:szCs w:val="18"/>
              </w:rPr>
              <w:t>5</w:t>
            </w:r>
            <w:r w:rsidR="00A42D89">
              <w:rPr>
                <w:rFonts w:cstheme="minorHAnsi"/>
                <w:color w:val="auto"/>
                <w:sz w:val="18"/>
                <w:szCs w:val="18"/>
              </w:rPr>
              <w:t xml:space="preserve"> </w:t>
            </w:r>
            <w:r w:rsidR="001E6EEB">
              <w:rPr>
                <w:rFonts w:cstheme="minorHAnsi"/>
                <w:color w:val="auto"/>
                <w:sz w:val="18"/>
                <w:szCs w:val="18"/>
              </w:rPr>
              <w:t>-</w:t>
            </w:r>
            <w:r w:rsidR="00A42D89">
              <w:rPr>
                <w:rFonts w:cstheme="minorHAnsi"/>
                <w:color w:val="auto"/>
                <w:sz w:val="18"/>
                <w:szCs w:val="18"/>
              </w:rPr>
              <w:t xml:space="preserve"> </w:t>
            </w:r>
            <w:r w:rsidR="001E6EEB">
              <w:rPr>
                <w:rFonts w:cstheme="minorHAnsi"/>
                <w:color w:val="auto"/>
                <w:sz w:val="18"/>
                <w:szCs w:val="18"/>
              </w:rPr>
              <w:t>186</w:t>
            </w:r>
          </w:p>
        </w:tc>
      </w:tr>
      <w:tr w:rsidR="00E07ACD" w:rsidRPr="0018391B" w14:paraId="370C869B"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0474AB5F" w14:textId="77777777" w:rsidR="00E07ACD" w:rsidRPr="00E07ACD" w:rsidRDefault="00E07ACD" w:rsidP="00E07ACD">
            <w:pPr>
              <w:pStyle w:val="Tableheader"/>
              <w:spacing w:after="120" w:line="240" w:lineRule="atLeast"/>
              <w:rPr>
                <w:rFonts w:cstheme="minorHAnsi"/>
                <w:color w:val="FF0000"/>
                <w:sz w:val="18"/>
                <w:szCs w:val="18"/>
              </w:rPr>
            </w:pPr>
            <w:r w:rsidRPr="00E07ACD">
              <w:rPr>
                <w:rFonts w:cstheme="minorHAnsi"/>
                <w:color w:val="FF0000"/>
                <w:sz w:val="18"/>
                <w:szCs w:val="18"/>
              </w:rPr>
              <w:t>[New]</w:t>
            </w:r>
          </w:p>
          <w:p w14:paraId="56EFFCF9" w14:textId="2EB4A8D2" w:rsidR="00E07ACD" w:rsidRPr="00E07ACD" w:rsidRDefault="00E07ACD" w:rsidP="00E07ACD">
            <w:pPr>
              <w:pStyle w:val="Tableheader"/>
              <w:spacing w:after="120" w:line="240" w:lineRule="atLeast"/>
              <w:rPr>
                <w:rFonts w:cstheme="minorHAnsi"/>
                <w:color w:val="auto"/>
                <w:sz w:val="18"/>
                <w:szCs w:val="18"/>
              </w:rPr>
            </w:pPr>
            <w:r w:rsidRPr="00E07ACD">
              <w:rPr>
                <w:rFonts w:cstheme="minorHAnsi"/>
                <w:color w:val="auto"/>
                <w:sz w:val="18"/>
                <w:szCs w:val="18"/>
              </w:rPr>
              <w:t>8.3.2 Fair Value Determination: Non-financial physical assets</w:t>
            </w:r>
          </w:p>
        </w:tc>
        <w:tc>
          <w:tcPr>
            <w:tcW w:w="1025" w:type="pct"/>
            <w:tcBorders>
              <w:bottom w:val="nil"/>
            </w:tcBorders>
          </w:tcPr>
          <w:p w14:paraId="4FC8AEBA" w14:textId="29E23CD4" w:rsidR="00E07ACD" w:rsidRPr="00E07ACD"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tc>
        <w:tc>
          <w:tcPr>
            <w:tcW w:w="2485" w:type="pct"/>
          </w:tcPr>
          <w:p w14:paraId="60E40057" w14:textId="1D854A81" w:rsidR="00E07ACD" w:rsidRPr="00E07ACD" w:rsidRDefault="00E07ACD" w:rsidP="00E07ACD">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cstheme="minorHAnsi"/>
                <w:bCs/>
                <w:color w:val="auto"/>
                <w:sz w:val="18"/>
                <w:szCs w:val="18"/>
              </w:rPr>
              <w:t>Added Service Concession Arrangements to the table of non-financial physical assets subject to fair value determination.</w:t>
            </w:r>
          </w:p>
        </w:tc>
        <w:tc>
          <w:tcPr>
            <w:tcW w:w="512" w:type="pct"/>
          </w:tcPr>
          <w:p w14:paraId="25EE0397" w14:textId="379F82FD" w:rsidR="00E07ACD" w:rsidRPr="00E07ACD" w:rsidRDefault="00E07ACD" w:rsidP="00E07ACD">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cstheme="minorHAnsi"/>
                <w:color w:val="auto"/>
                <w:sz w:val="18"/>
                <w:szCs w:val="18"/>
              </w:rPr>
              <w:t>2</w:t>
            </w:r>
            <w:r w:rsidR="001E6EEB">
              <w:rPr>
                <w:rFonts w:cstheme="minorHAnsi"/>
                <w:color w:val="auto"/>
                <w:sz w:val="18"/>
                <w:szCs w:val="18"/>
              </w:rPr>
              <w:t>09</w:t>
            </w:r>
            <w:r w:rsidR="00A42D89">
              <w:rPr>
                <w:rFonts w:cstheme="minorHAnsi"/>
                <w:color w:val="auto"/>
                <w:sz w:val="18"/>
                <w:szCs w:val="18"/>
              </w:rPr>
              <w:t xml:space="preserve"> </w:t>
            </w:r>
            <w:r w:rsidR="00006937">
              <w:rPr>
                <w:rFonts w:cstheme="minorHAnsi"/>
                <w:color w:val="auto"/>
                <w:sz w:val="18"/>
                <w:szCs w:val="18"/>
              </w:rPr>
              <w:t>-</w:t>
            </w:r>
            <w:r w:rsidR="00A42D89">
              <w:rPr>
                <w:rFonts w:cstheme="minorHAnsi"/>
                <w:color w:val="auto"/>
                <w:sz w:val="18"/>
                <w:szCs w:val="18"/>
              </w:rPr>
              <w:t xml:space="preserve"> </w:t>
            </w:r>
            <w:r w:rsidR="00006937">
              <w:rPr>
                <w:rFonts w:cstheme="minorHAnsi"/>
                <w:color w:val="auto"/>
                <w:sz w:val="18"/>
                <w:szCs w:val="18"/>
              </w:rPr>
              <w:t>211</w:t>
            </w:r>
          </w:p>
        </w:tc>
      </w:tr>
      <w:tr w:rsidR="00237232" w:rsidRPr="0018391B" w14:paraId="5B214A88" w14:textId="77777777" w:rsidTr="000C2434">
        <w:tc>
          <w:tcPr>
            <w:cnfStyle w:val="001000000000" w:firstRow="0" w:lastRow="0" w:firstColumn="1" w:lastColumn="0" w:oddVBand="0" w:evenVBand="0" w:oddHBand="0" w:evenHBand="0" w:firstRowFirstColumn="0" w:firstRowLastColumn="0" w:lastRowFirstColumn="0" w:lastRowLastColumn="0"/>
            <w:tcW w:w="979" w:type="pct"/>
          </w:tcPr>
          <w:p w14:paraId="01EBD499"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7694BE79" w14:textId="4F47AC40"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9.2 Other economic flows included in net result</w:t>
            </w:r>
          </w:p>
        </w:tc>
        <w:tc>
          <w:tcPr>
            <w:tcW w:w="1025" w:type="pct"/>
            <w:tcBorders>
              <w:bottom w:val="nil"/>
            </w:tcBorders>
          </w:tcPr>
          <w:p w14:paraId="435C23D0" w14:textId="2C0408C4"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tc>
        <w:tc>
          <w:tcPr>
            <w:tcW w:w="2485" w:type="pct"/>
          </w:tcPr>
          <w:p w14:paraId="40D6C624" w14:textId="7A25FE46"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bCs/>
                <w:color w:val="auto"/>
                <w:sz w:val="18"/>
                <w:szCs w:val="18"/>
              </w:rPr>
              <w:t>Recognition of previously unrecognised intangible asset as a result of applying AASB 1059.</w:t>
            </w:r>
          </w:p>
        </w:tc>
        <w:tc>
          <w:tcPr>
            <w:tcW w:w="512" w:type="pct"/>
          </w:tcPr>
          <w:p w14:paraId="0A7C3C48" w14:textId="32E2CB79" w:rsidR="00237232" w:rsidRPr="00237232" w:rsidRDefault="00237232" w:rsidP="00237232">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22</w:t>
            </w:r>
            <w:r w:rsidR="001E6EEB">
              <w:rPr>
                <w:rFonts w:cstheme="minorHAnsi"/>
                <w:color w:val="auto"/>
                <w:sz w:val="18"/>
                <w:szCs w:val="18"/>
              </w:rPr>
              <w:t>0</w:t>
            </w:r>
          </w:p>
        </w:tc>
      </w:tr>
      <w:tr w:rsidR="00237232" w:rsidRPr="0018391B" w14:paraId="23EF3346"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0BA7F5B6"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71F77B2A" w14:textId="458A0528" w:rsidR="00237232" w:rsidRPr="008D1C83" w:rsidRDefault="00237232" w:rsidP="00237232">
            <w:pPr>
              <w:pStyle w:val="Tableheader"/>
              <w:spacing w:after="120" w:line="240" w:lineRule="atLeast"/>
              <w:rPr>
                <w:rFonts w:cstheme="minorHAnsi"/>
                <w:color w:val="FF0000"/>
                <w:sz w:val="18"/>
                <w:szCs w:val="18"/>
              </w:rPr>
            </w:pPr>
            <w:r w:rsidRPr="00237232">
              <w:rPr>
                <w:rFonts w:eastAsiaTheme="minorEastAsia" w:cstheme="minorHAnsi"/>
                <w:color w:val="auto"/>
                <w:sz w:val="18"/>
                <w:szCs w:val="18"/>
                <w:lang w:eastAsia="en-AU"/>
              </w:rPr>
              <w:t>9.4 Reserves</w:t>
            </w:r>
          </w:p>
        </w:tc>
        <w:tc>
          <w:tcPr>
            <w:tcW w:w="1025" w:type="pct"/>
            <w:tcBorders>
              <w:bottom w:val="nil"/>
            </w:tcBorders>
          </w:tcPr>
          <w:p w14:paraId="3E3CEC39" w14:textId="4B48D978" w:rsidR="00237232" w:rsidRPr="00237232"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tc>
        <w:tc>
          <w:tcPr>
            <w:tcW w:w="2485" w:type="pct"/>
            <w:tcBorders>
              <w:bottom w:val="nil"/>
            </w:tcBorders>
          </w:tcPr>
          <w:p w14:paraId="423F2B30" w14:textId="667EC50C" w:rsidR="00237232" w:rsidRPr="00237232"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bCs/>
                <w:color w:val="auto"/>
                <w:sz w:val="18"/>
                <w:szCs w:val="18"/>
                <w:lang w:eastAsia="en-AU"/>
              </w:rPr>
              <w:t>The Revaluation of increments/(decrements) line in physical asset revaluation surplus has been updated to include the addition of the previously unrecognised intangible asset classified as a GORTO liability service concession asset.</w:t>
            </w:r>
          </w:p>
        </w:tc>
        <w:tc>
          <w:tcPr>
            <w:tcW w:w="512" w:type="pct"/>
            <w:tcBorders>
              <w:bottom w:val="nil"/>
            </w:tcBorders>
          </w:tcPr>
          <w:p w14:paraId="0C689A2C" w14:textId="1C6F4F2D" w:rsidR="00237232" w:rsidRPr="00237232" w:rsidRDefault="00237232" w:rsidP="00237232">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color w:val="auto"/>
                <w:sz w:val="18"/>
                <w:szCs w:val="18"/>
                <w:lang w:eastAsia="en-AU"/>
              </w:rPr>
              <w:t>22</w:t>
            </w:r>
            <w:r w:rsidR="001E6EEB">
              <w:rPr>
                <w:rFonts w:eastAsiaTheme="minorEastAsia" w:cstheme="minorHAnsi"/>
                <w:color w:val="auto"/>
                <w:sz w:val="18"/>
                <w:szCs w:val="18"/>
                <w:lang w:eastAsia="en-AU"/>
              </w:rPr>
              <w:t>5</w:t>
            </w:r>
          </w:p>
        </w:tc>
      </w:tr>
      <w:tr w:rsidR="00237232" w:rsidRPr="0018391B" w14:paraId="02E9194A"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auto"/>
            </w:tcBorders>
          </w:tcPr>
          <w:p w14:paraId="5AF4B8A8"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73E6DC84" w14:textId="795CD8CC" w:rsidR="00237232" w:rsidRPr="008D1C83" w:rsidRDefault="00237232" w:rsidP="00237232">
            <w:pPr>
              <w:pStyle w:val="Tableheader"/>
              <w:spacing w:after="120" w:line="240" w:lineRule="atLeast"/>
              <w:rPr>
                <w:rFonts w:cstheme="minorHAnsi"/>
                <w:color w:val="FF0000"/>
                <w:sz w:val="18"/>
                <w:szCs w:val="18"/>
              </w:rPr>
            </w:pPr>
            <w:r w:rsidRPr="00237232">
              <w:rPr>
                <w:rFonts w:eastAsiaTheme="minorEastAsia" w:cstheme="minorHAnsi"/>
                <w:color w:val="auto"/>
                <w:sz w:val="18"/>
                <w:szCs w:val="18"/>
                <w:lang w:eastAsia="en-AU"/>
              </w:rPr>
              <w:t>2.4.5 Other Income</w:t>
            </w:r>
          </w:p>
        </w:tc>
        <w:tc>
          <w:tcPr>
            <w:tcW w:w="1025" w:type="pct"/>
            <w:tcBorders>
              <w:bottom w:val="single" w:sz="4" w:space="0" w:color="auto"/>
            </w:tcBorders>
          </w:tcPr>
          <w:p w14:paraId="6706680D" w14:textId="77777777" w:rsid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i/>
                <w:iCs/>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p w14:paraId="7AA6B02E" w14:textId="384FC35C" w:rsidR="00DB46C7" w:rsidRPr="00237232" w:rsidRDefault="00DB46C7"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p>
        </w:tc>
        <w:tc>
          <w:tcPr>
            <w:tcW w:w="2485" w:type="pct"/>
            <w:tcBorders>
              <w:bottom w:val="single" w:sz="4" w:space="0" w:color="auto"/>
            </w:tcBorders>
          </w:tcPr>
          <w:p w14:paraId="67C1DB35" w14:textId="2139DE38"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bCs/>
                <w:color w:val="auto"/>
                <w:sz w:val="18"/>
                <w:szCs w:val="18"/>
                <w:lang w:eastAsia="en-AU"/>
              </w:rPr>
              <w:t xml:space="preserve">The </w:t>
            </w:r>
            <w:r w:rsidRPr="00237232">
              <w:rPr>
                <w:rFonts w:cstheme="minorHAnsi"/>
                <w:bCs/>
                <w:color w:val="auto"/>
                <w:sz w:val="18"/>
                <w:szCs w:val="18"/>
              </w:rPr>
              <w:t>disclosure of</w:t>
            </w:r>
            <w:r w:rsidRPr="00237232">
              <w:rPr>
                <w:rFonts w:eastAsiaTheme="minorEastAsia" w:cstheme="minorHAnsi"/>
                <w:bCs/>
                <w:color w:val="auto"/>
                <w:sz w:val="18"/>
                <w:szCs w:val="18"/>
                <w:lang w:eastAsia="en-AU"/>
              </w:rPr>
              <w:t xml:space="preserve"> service concession </w:t>
            </w:r>
            <w:r w:rsidRPr="00237232">
              <w:rPr>
                <w:rFonts w:cstheme="minorHAnsi"/>
                <w:bCs/>
                <w:color w:val="auto"/>
                <w:sz w:val="18"/>
                <w:szCs w:val="18"/>
              </w:rPr>
              <w:t xml:space="preserve">revenue under </w:t>
            </w:r>
            <w:r>
              <w:rPr>
                <w:rFonts w:cstheme="minorHAnsi"/>
                <w:bCs/>
                <w:color w:val="auto"/>
                <w:sz w:val="18"/>
                <w:szCs w:val="18"/>
              </w:rPr>
              <w:t>“</w:t>
            </w:r>
            <w:r w:rsidRPr="00237232">
              <w:rPr>
                <w:rFonts w:cstheme="minorHAnsi"/>
                <w:bCs/>
                <w:color w:val="auto"/>
                <w:sz w:val="18"/>
                <w:szCs w:val="18"/>
              </w:rPr>
              <w:t>other income</w:t>
            </w:r>
            <w:r>
              <w:rPr>
                <w:rFonts w:cstheme="minorHAnsi"/>
                <w:bCs/>
                <w:color w:val="auto"/>
                <w:sz w:val="18"/>
                <w:szCs w:val="18"/>
              </w:rPr>
              <w:t>”</w:t>
            </w:r>
            <w:r w:rsidRPr="00237232">
              <w:rPr>
                <w:rFonts w:eastAsiaTheme="minorEastAsia" w:cstheme="minorHAnsi"/>
                <w:bCs/>
                <w:color w:val="auto"/>
                <w:sz w:val="18"/>
                <w:szCs w:val="18"/>
                <w:lang w:eastAsia="en-AU"/>
              </w:rPr>
              <w:t xml:space="preserve"> to reflect the revenue recognised progressively under the GORTO model. </w:t>
            </w:r>
          </w:p>
        </w:tc>
        <w:tc>
          <w:tcPr>
            <w:tcW w:w="512" w:type="pct"/>
            <w:tcBorders>
              <w:bottom w:val="single" w:sz="4" w:space="0" w:color="auto"/>
            </w:tcBorders>
          </w:tcPr>
          <w:p w14:paraId="13035BE5" w14:textId="0A34DE2B" w:rsidR="00237232" w:rsidRPr="00237232" w:rsidRDefault="00237232" w:rsidP="00237232">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color w:val="auto"/>
                <w:sz w:val="18"/>
                <w:szCs w:val="18"/>
                <w:lang w:eastAsia="en-AU"/>
              </w:rPr>
              <w:t>10</w:t>
            </w:r>
            <w:r w:rsidR="001E6EEB">
              <w:rPr>
                <w:rFonts w:eastAsiaTheme="minorEastAsia" w:cstheme="minorHAnsi"/>
                <w:color w:val="auto"/>
                <w:sz w:val="18"/>
                <w:szCs w:val="18"/>
                <w:lang w:eastAsia="en-AU"/>
              </w:rPr>
              <w:t>0</w:t>
            </w:r>
          </w:p>
        </w:tc>
      </w:tr>
    </w:tbl>
    <w:p w14:paraId="4C965457" w14:textId="77777777" w:rsidR="000C2434" w:rsidRDefault="000C2434">
      <w:r>
        <w:br w:type="page"/>
      </w:r>
    </w:p>
    <w:tbl>
      <w:tblPr>
        <w:tblStyle w:val="DTFtexttable"/>
        <w:tblW w:w="5304" w:type="pct"/>
        <w:tblLayout w:type="fixed"/>
        <w:tblLook w:val="04A0" w:firstRow="1" w:lastRow="0" w:firstColumn="1" w:lastColumn="0" w:noHBand="0" w:noVBand="1"/>
      </w:tblPr>
      <w:tblGrid>
        <w:gridCol w:w="1898"/>
        <w:gridCol w:w="1988"/>
        <w:gridCol w:w="4819"/>
        <w:gridCol w:w="991"/>
      </w:tblGrid>
      <w:tr w:rsidR="00237232" w:rsidRPr="00844647" w14:paraId="7646741F" w14:textId="77777777" w:rsidTr="000C24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9" w:type="pct"/>
            <w:tcBorders>
              <w:top w:val="single" w:sz="4" w:space="0" w:color="0063A6" w:themeColor="accent1"/>
            </w:tcBorders>
          </w:tcPr>
          <w:p w14:paraId="12075A48" w14:textId="45CC6047" w:rsidR="00237232" w:rsidRPr="00844647" w:rsidRDefault="00237232" w:rsidP="00541921">
            <w:pPr>
              <w:pStyle w:val="Tableheader"/>
              <w:rPr>
                <w:b w:val="0"/>
                <w:sz w:val="18"/>
                <w:szCs w:val="18"/>
              </w:rPr>
            </w:pPr>
            <w:r w:rsidRPr="00844647">
              <w:rPr>
                <w:b w:val="0"/>
                <w:sz w:val="18"/>
                <w:szCs w:val="18"/>
              </w:rPr>
              <w:lastRenderedPageBreak/>
              <w:t>Subject matter</w:t>
            </w:r>
          </w:p>
        </w:tc>
        <w:tc>
          <w:tcPr>
            <w:tcW w:w="1025" w:type="pct"/>
            <w:tcBorders>
              <w:top w:val="single" w:sz="4" w:space="0" w:color="0063A6" w:themeColor="accent1"/>
              <w:bottom w:val="nil"/>
            </w:tcBorders>
          </w:tcPr>
          <w:p w14:paraId="3F1F3960" w14:textId="77777777" w:rsidR="00237232" w:rsidRPr="00844647" w:rsidRDefault="00237232" w:rsidP="00541921">
            <w:pPr>
              <w:pStyle w:val="Tableheader"/>
              <w:cnfStyle w:val="100000000000" w:firstRow="1" w:lastRow="0" w:firstColumn="0" w:lastColumn="0" w:oddVBand="0" w:evenVBand="0" w:oddHBand="0" w:evenHBand="0" w:firstRowFirstColumn="0" w:firstRowLastColumn="0" w:lastRowFirstColumn="0" w:lastRowLastColumn="0"/>
              <w:rPr>
                <w:b w:val="0"/>
                <w:sz w:val="18"/>
                <w:szCs w:val="18"/>
              </w:rPr>
            </w:pPr>
            <w:r w:rsidRPr="00844647">
              <w:rPr>
                <w:b w:val="0"/>
                <w:sz w:val="18"/>
                <w:szCs w:val="18"/>
              </w:rPr>
              <w:t>Source of change</w:t>
            </w:r>
          </w:p>
        </w:tc>
        <w:tc>
          <w:tcPr>
            <w:tcW w:w="2485" w:type="pct"/>
            <w:tcBorders>
              <w:top w:val="single" w:sz="4" w:space="0" w:color="0063A6" w:themeColor="accent1"/>
            </w:tcBorders>
          </w:tcPr>
          <w:p w14:paraId="2BE8DAB6" w14:textId="77777777" w:rsidR="00237232" w:rsidRPr="00844647" w:rsidRDefault="00237232" w:rsidP="00541921">
            <w:pPr>
              <w:pStyle w:val="Tableheader"/>
              <w:cnfStyle w:val="100000000000" w:firstRow="1" w:lastRow="0" w:firstColumn="0" w:lastColumn="0" w:oddVBand="0" w:evenVBand="0" w:oddHBand="0" w:evenHBand="0" w:firstRowFirstColumn="0" w:firstRowLastColumn="0" w:lastRowFirstColumn="0" w:lastRowLastColumn="0"/>
              <w:rPr>
                <w:b w:val="0"/>
                <w:sz w:val="18"/>
                <w:szCs w:val="18"/>
              </w:rPr>
            </w:pPr>
            <w:r w:rsidRPr="00844647">
              <w:rPr>
                <w:b w:val="0"/>
                <w:sz w:val="18"/>
                <w:szCs w:val="18"/>
              </w:rPr>
              <w:t>Summary of changes applied to the relevant sections in the Model Financial Statements</w:t>
            </w:r>
          </w:p>
        </w:tc>
        <w:tc>
          <w:tcPr>
            <w:tcW w:w="512" w:type="pct"/>
            <w:tcBorders>
              <w:top w:val="single" w:sz="4" w:space="0" w:color="0063A6" w:themeColor="accent1"/>
            </w:tcBorders>
          </w:tcPr>
          <w:p w14:paraId="1F1B52DC" w14:textId="77777777" w:rsidR="00237232" w:rsidRPr="00844647" w:rsidRDefault="00237232" w:rsidP="00541921">
            <w:pPr>
              <w:pStyle w:val="Tableheader"/>
              <w:cnfStyle w:val="100000000000" w:firstRow="1" w:lastRow="0" w:firstColumn="0" w:lastColumn="0" w:oddVBand="0" w:evenVBand="0" w:oddHBand="0" w:evenHBand="0" w:firstRowFirstColumn="0" w:firstRowLastColumn="0" w:lastRowFirstColumn="0" w:lastRowLastColumn="0"/>
              <w:rPr>
                <w:b w:val="0"/>
                <w:sz w:val="18"/>
                <w:szCs w:val="18"/>
              </w:rPr>
            </w:pPr>
            <w:r w:rsidRPr="00844647">
              <w:rPr>
                <w:b w:val="0"/>
                <w:sz w:val="18"/>
                <w:szCs w:val="18"/>
              </w:rPr>
              <w:t>Page reference</w:t>
            </w:r>
          </w:p>
        </w:tc>
      </w:tr>
      <w:tr w:rsidR="00237232" w:rsidRPr="0018391B" w14:paraId="773554BA"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79F60D28"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437BEF18" w14:textId="6F63ABE4" w:rsidR="00237232" w:rsidRPr="008D1C83" w:rsidRDefault="00237232" w:rsidP="00237232">
            <w:pPr>
              <w:pStyle w:val="Tableheader"/>
              <w:spacing w:after="120" w:line="240" w:lineRule="atLeast"/>
              <w:rPr>
                <w:rFonts w:cstheme="minorHAnsi"/>
                <w:color w:val="FF0000"/>
                <w:sz w:val="18"/>
                <w:szCs w:val="18"/>
              </w:rPr>
            </w:pPr>
            <w:r w:rsidRPr="00237232">
              <w:rPr>
                <w:rFonts w:eastAsiaTheme="minorEastAsia" w:cstheme="minorHAnsi"/>
                <w:color w:val="auto"/>
                <w:sz w:val="18"/>
                <w:szCs w:val="18"/>
                <w:lang w:eastAsia="en-AU"/>
              </w:rPr>
              <w:t>3.4 Other operating expenses</w:t>
            </w:r>
          </w:p>
        </w:tc>
        <w:tc>
          <w:tcPr>
            <w:tcW w:w="1025" w:type="pct"/>
            <w:tcBorders>
              <w:bottom w:val="nil"/>
            </w:tcBorders>
          </w:tcPr>
          <w:p w14:paraId="049042F1" w14:textId="73EE8283"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tc>
        <w:tc>
          <w:tcPr>
            <w:tcW w:w="2485" w:type="pct"/>
            <w:tcBorders>
              <w:bottom w:val="nil"/>
            </w:tcBorders>
          </w:tcPr>
          <w:p w14:paraId="2D64CC27" w14:textId="62EB3567"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bCs/>
                <w:color w:val="auto"/>
                <w:sz w:val="18"/>
                <w:szCs w:val="18"/>
                <w:lang w:eastAsia="en-AU"/>
              </w:rPr>
              <w:t>The disclosure of additional expenses being recognised as a result of the service concession arrangement under the GORTO model.</w:t>
            </w:r>
          </w:p>
        </w:tc>
        <w:tc>
          <w:tcPr>
            <w:tcW w:w="512" w:type="pct"/>
            <w:tcBorders>
              <w:bottom w:val="nil"/>
            </w:tcBorders>
          </w:tcPr>
          <w:p w14:paraId="0EF8BB47" w14:textId="7220A4F4" w:rsidR="00237232" w:rsidRPr="00237232" w:rsidRDefault="00237232" w:rsidP="00237232">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11</w:t>
            </w:r>
            <w:r w:rsidR="001E6EEB">
              <w:rPr>
                <w:rFonts w:cstheme="minorHAnsi"/>
                <w:color w:val="auto"/>
                <w:sz w:val="18"/>
                <w:szCs w:val="18"/>
              </w:rPr>
              <w:t>0</w:t>
            </w:r>
          </w:p>
        </w:tc>
      </w:tr>
      <w:tr w:rsidR="00237232" w:rsidRPr="0018391B" w14:paraId="1F59CC37"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5DC64D7A"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0FFAD73F" w14:textId="1B9720B5"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9.15 Glossary of Technical terms</w:t>
            </w:r>
          </w:p>
        </w:tc>
        <w:tc>
          <w:tcPr>
            <w:tcW w:w="1025" w:type="pct"/>
            <w:tcBorders>
              <w:bottom w:val="nil"/>
            </w:tcBorders>
          </w:tcPr>
          <w:p w14:paraId="25204F8D" w14:textId="034E1137" w:rsidR="00237232" w:rsidRPr="00237232"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E07ACD">
              <w:rPr>
                <w:rFonts w:eastAsiaTheme="minorEastAsia" w:cstheme="minorHAnsi"/>
                <w:color w:val="auto"/>
                <w:sz w:val="18"/>
                <w:szCs w:val="18"/>
                <w:lang w:eastAsia="en-AU"/>
              </w:rPr>
              <w:t xml:space="preserve">AASB 1059 </w:t>
            </w:r>
            <w:r w:rsidRPr="00E07ACD">
              <w:rPr>
                <w:rFonts w:eastAsiaTheme="minorEastAsia" w:cstheme="minorHAnsi"/>
                <w:i/>
                <w:iCs/>
                <w:color w:val="auto"/>
                <w:sz w:val="18"/>
                <w:szCs w:val="18"/>
                <w:lang w:eastAsia="en-AU"/>
              </w:rPr>
              <w:t>Service Concession Arrangements: Grantors</w:t>
            </w:r>
          </w:p>
        </w:tc>
        <w:tc>
          <w:tcPr>
            <w:tcW w:w="2485" w:type="pct"/>
            <w:tcBorders>
              <w:bottom w:val="nil"/>
            </w:tcBorders>
          </w:tcPr>
          <w:p w14:paraId="63988885" w14:textId="03CCEE78" w:rsidR="00237232" w:rsidRPr="00237232"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The inclusion of the definition of service concession arrangements as provided in AASB 1059. Also amending the Borrowings and Interest expense terms to reflect adoption of the standard.</w:t>
            </w:r>
          </w:p>
        </w:tc>
        <w:tc>
          <w:tcPr>
            <w:tcW w:w="512" w:type="pct"/>
            <w:tcBorders>
              <w:bottom w:val="nil"/>
            </w:tcBorders>
          </w:tcPr>
          <w:p w14:paraId="6DBA4E46" w14:textId="466E02BF" w:rsidR="00237232" w:rsidRPr="00237232" w:rsidRDefault="001E6EEB" w:rsidP="00237232">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Pr>
                <w:rFonts w:cstheme="minorHAnsi"/>
                <w:color w:val="auto"/>
                <w:sz w:val="18"/>
                <w:szCs w:val="18"/>
              </w:rPr>
              <w:t>249</w:t>
            </w:r>
          </w:p>
        </w:tc>
      </w:tr>
      <w:tr w:rsidR="00237232" w:rsidRPr="0018391B" w14:paraId="557FFA3E"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top w:val="nil"/>
              <w:bottom w:val="nil"/>
            </w:tcBorders>
          </w:tcPr>
          <w:p w14:paraId="0FCE7C00"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52FC2C53" w14:textId="7F77C0F9"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6.1 Contract Assets</w:t>
            </w:r>
          </w:p>
        </w:tc>
        <w:tc>
          <w:tcPr>
            <w:tcW w:w="1025" w:type="pct"/>
            <w:tcBorders>
              <w:top w:val="nil"/>
              <w:bottom w:val="nil"/>
            </w:tcBorders>
          </w:tcPr>
          <w:p w14:paraId="2F3D5DE5" w14:textId="3930EEBC" w:rsidR="00237232" w:rsidRPr="00237232" w:rsidRDefault="00237232" w:rsidP="00237232">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cstheme="minorHAnsi"/>
                <w:bCs/>
                <w:i/>
                <w:iCs/>
                <w:sz w:val="18"/>
                <w:szCs w:val="18"/>
              </w:rPr>
            </w:pPr>
            <w:r w:rsidRPr="008D1C83">
              <w:rPr>
                <w:rFonts w:cstheme="minorHAnsi"/>
                <w:bCs/>
                <w:i/>
                <w:iCs/>
                <w:sz w:val="18"/>
                <w:szCs w:val="18"/>
              </w:rPr>
              <w:t xml:space="preserve">Contracts with Customers / </w:t>
            </w:r>
            <w:r w:rsidRPr="008D1C83">
              <w:rPr>
                <w:rFonts w:cstheme="minorHAnsi"/>
                <w:bCs/>
                <w:sz w:val="18"/>
                <w:szCs w:val="18"/>
              </w:rPr>
              <w:t xml:space="preserve">AASB 1058 </w:t>
            </w:r>
            <w:r w:rsidRPr="008D1C83">
              <w:rPr>
                <w:rFonts w:cstheme="minorHAnsi"/>
                <w:bCs/>
                <w:i/>
                <w:iCs/>
                <w:sz w:val="18"/>
                <w:szCs w:val="18"/>
              </w:rPr>
              <w:t xml:space="preserve">Income of </w:t>
            </w:r>
            <w:r w:rsidRPr="008D1C83">
              <w:rPr>
                <w:rFonts w:cstheme="minorHAnsi"/>
                <w:bCs/>
                <w:i/>
                <w:iCs/>
                <w:sz w:val="18"/>
                <w:szCs w:val="18"/>
              </w:rPr>
              <w:br/>
              <w:t>Not-for-Profit entities</w:t>
            </w:r>
          </w:p>
        </w:tc>
        <w:tc>
          <w:tcPr>
            <w:tcW w:w="2485" w:type="pct"/>
            <w:tcBorders>
              <w:top w:val="nil"/>
              <w:bottom w:val="nil"/>
            </w:tcBorders>
          </w:tcPr>
          <w:p w14:paraId="6047E9B0" w14:textId="5EE29D28"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color w:val="auto"/>
                <w:sz w:val="18"/>
                <w:szCs w:val="18"/>
                <w:lang w:eastAsia="en-AU"/>
              </w:rPr>
              <w:t>Included new table to reflect contract assets for amounts owing to the Department for works completed, but not invoiced to align with the new disclosure requirements, with associated guidance.</w:t>
            </w:r>
          </w:p>
        </w:tc>
        <w:tc>
          <w:tcPr>
            <w:tcW w:w="512" w:type="pct"/>
            <w:tcBorders>
              <w:top w:val="nil"/>
              <w:bottom w:val="nil"/>
            </w:tcBorders>
          </w:tcPr>
          <w:p w14:paraId="41DCFA6D" w14:textId="38FF019B" w:rsidR="00237232" w:rsidRPr="00237232" w:rsidRDefault="00237232" w:rsidP="00237232">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1</w:t>
            </w:r>
            <w:r w:rsidR="001E6EEB">
              <w:rPr>
                <w:rFonts w:cstheme="minorHAnsi"/>
                <w:color w:val="auto"/>
                <w:sz w:val="18"/>
                <w:szCs w:val="18"/>
              </w:rPr>
              <w:t>48</w:t>
            </w:r>
          </w:p>
        </w:tc>
      </w:tr>
      <w:tr w:rsidR="00237232" w:rsidRPr="0018391B" w14:paraId="49B272AC"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3032FA68" w14:textId="77777777" w:rsidR="00237232" w:rsidRPr="008D1C83" w:rsidRDefault="00237232" w:rsidP="00237232">
            <w:pPr>
              <w:pStyle w:val="Tabletext"/>
              <w:spacing w:before="120" w:after="120" w:line="240" w:lineRule="atLeast"/>
              <w:rPr>
                <w:rFonts w:cstheme="minorHAnsi"/>
                <w:color w:val="FF0000"/>
                <w:sz w:val="18"/>
                <w:szCs w:val="18"/>
              </w:rPr>
            </w:pPr>
            <w:r w:rsidRPr="008D1C83">
              <w:rPr>
                <w:rFonts w:cstheme="minorHAnsi"/>
                <w:color w:val="FF0000"/>
                <w:sz w:val="18"/>
                <w:szCs w:val="18"/>
              </w:rPr>
              <w:t>[New]</w:t>
            </w:r>
          </w:p>
          <w:p w14:paraId="29B003C7" w14:textId="2EBD3BA1"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6.2 Contract liabilities</w:t>
            </w:r>
          </w:p>
        </w:tc>
        <w:tc>
          <w:tcPr>
            <w:tcW w:w="1025" w:type="pct"/>
            <w:tcBorders>
              <w:bottom w:val="nil"/>
            </w:tcBorders>
          </w:tcPr>
          <w:p w14:paraId="608DA84E" w14:textId="1C70BBC9" w:rsidR="00237232" w:rsidRPr="00237232"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bCs/>
                <w:i/>
                <w:iCs/>
                <w:color w:val="auto"/>
                <w:sz w:val="18"/>
                <w:szCs w:val="18"/>
              </w:rPr>
              <w:t xml:space="preserve">Contracts with Customers / </w:t>
            </w:r>
            <w:r w:rsidRPr="00237232">
              <w:rPr>
                <w:rFonts w:cstheme="minorHAnsi"/>
                <w:bCs/>
                <w:color w:val="auto"/>
                <w:sz w:val="18"/>
                <w:szCs w:val="18"/>
              </w:rPr>
              <w:t xml:space="preserve">AASB 1058 </w:t>
            </w:r>
            <w:r w:rsidRPr="00237232">
              <w:rPr>
                <w:rFonts w:cstheme="minorHAnsi"/>
                <w:bCs/>
                <w:i/>
                <w:iCs/>
                <w:color w:val="auto"/>
                <w:sz w:val="18"/>
                <w:szCs w:val="18"/>
              </w:rPr>
              <w:t xml:space="preserve">Income of </w:t>
            </w:r>
            <w:r w:rsidRPr="00237232">
              <w:rPr>
                <w:rFonts w:cstheme="minorHAnsi"/>
                <w:bCs/>
                <w:i/>
                <w:iCs/>
                <w:color w:val="auto"/>
                <w:sz w:val="18"/>
                <w:szCs w:val="18"/>
              </w:rPr>
              <w:br/>
              <w:t>Not-for-Profit entities</w:t>
            </w:r>
          </w:p>
        </w:tc>
        <w:tc>
          <w:tcPr>
            <w:tcW w:w="2485" w:type="pct"/>
            <w:tcBorders>
              <w:bottom w:val="nil"/>
            </w:tcBorders>
          </w:tcPr>
          <w:p w14:paraId="357EAF53" w14:textId="22CF931C" w:rsidR="00237232" w:rsidRPr="00237232"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Included a new table for contract liabilities relating to consideration received in advance of satisfying performance obligations, with associated guidance.</w:t>
            </w:r>
          </w:p>
        </w:tc>
        <w:tc>
          <w:tcPr>
            <w:tcW w:w="512" w:type="pct"/>
            <w:tcBorders>
              <w:bottom w:val="nil"/>
            </w:tcBorders>
          </w:tcPr>
          <w:p w14:paraId="5818C7B6" w14:textId="67C02BFF" w:rsidR="00237232" w:rsidRPr="00237232" w:rsidRDefault="00237232" w:rsidP="00237232">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1</w:t>
            </w:r>
            <w:r w:rsidR="001E6EEB">
              <w:rPr>
                <w:rFonts w:cstheme="minorHAnsi"/>
                <w:color w:val="auto"/>
                <w:sz w:val="18"/>
                <w:szCs w:val="18"/>
              </w:rPr>
              <w:t>53</w:t>
            </w:r>
          </w:p>
        </w:tc>
      </w:tr>
      <w:tr w:rsidR="00237232" w:rsidRPr="00237232" w14:paraId="109DBB74"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top w:val="nil"/>
            </w:tcBorders>
          </w:tcPr>
          <w:p w14:paraId="48481FD2"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[New]</w:t>
            </w:r>
          </w:p>
          <w:p w14:paraId="6565CE9D" w14:textId="11F99701"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6.2 Payables</w:t>
            </w:r>
          </w:p>
        </w:tc>
        <w:tc>
          <w:tcPr>
            <w:tcW w:w="1025" w:type="pct"/>
            <w:tcBorders>
              <w:top w:val="nil"/>
              <w:bottom w:val="nil"/>
            </w:tcBorders>
          </w:tcPr>
          <w:p w14:paraId="0DB4596B" w14:textId="763AE8D4" w:rsidR="00237232" w:rsidRPr="008D1C83"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bCs/>
                <w:i/>
                <w:iCs/>
                <w:color w:val="auto"/>
                <w:sz w:val="18"/>
                <w:szCs w:val="18"/>
              </w:rPr>
              <w:t xml:space="preserve">Contracts with Customers / </w:t>
            </w:r>
            <w:r w:rsidRPr="00237232">
              <w:rPr>
                <w:rFonts w:cstheme="minorHAnsi"/>
                <w:bCs/>
                <w:color w:val="auto"/>
                <w:sz w:val="18"/>
                <w:szCs w:val="18"/>
              </w:rPr>
              <w:t xml:space="preserve">AASB 1058 </w:t>
            </w:r>
            <w:r w:rsidRPr="00237232">
              <w:rPr>
                <w:rFonts w:cstheme="minorHAnsi"/>
                <w:bCs/>
                <w:i/>
                <w:iCs/>
                <w:color w:val="auto"/>
                <w:sz w:val="18"/>
                <w:szCs w:val="18"/>
              </w:rPr>
              <w:t xml:space="preserve">Income of </w:t>
            </w:r>
            <w:r w:rsidRPr="00237232">
              <w:rPr>
                <w:rFonts w:cstheme="minorHAnsi"/>
                <w:bCs/>
                <w:i/>
                <w:iCs/>
                <w:color w:val="auto"/>
                <w:sz w:val="18"/>
                <w:szCs w:val="18"/>
              </w:rPr>
              <w:br/>
              <w:t>Not-for-Profit entities</w:t>
            </w:r>
          </w:p>
        </w:tc>
        <w:tc>
          <w:tcPr>
            <w:tcW w:w="2485" w:type="pct"/>
            <w:tcBorders>
              <w:top w:val="nil"/>
            </w:tcBorders>
          </w:tcPr>
          <w:p w14:paraId="5AD7256D" w14:textId="538A533A" w:rsidR="00237232" w:rsidRPr="00237232"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eastAsiaTheme="minorEastAsia" w:cstheme="minorHAnsi"/>
                <w:color w:val="auto"/>
                <w:sz w:val="18"/>
                <w:szCs w:val="18"/>
                <w:lang w:eastAsia="en-AU"/>
              </w:rPr>
              <w:t>The disclosure of deferred revenue as a result of new AASB 1058 criterion for transfers to the Department to construct a recognisable non-financial asset, or grant revenue deferred due to unsatisfied performance obligations at 30 June.</w:t>
            </w:r>
          </w:p>
        </w:tc>
        <w:tc>
          <w:tcPr>
            <w:tcW w:w="512" w:type="pct"/>
            <w:tcBorders>
              <w:top w:val="nil"/>
            </w:tcBorders>
          </w:tcPr>
          <w:p w14:paraId="0AC3B259" w14:textId="7C5A7863" w:rsidR="00237232" w:rsidRPr="00237232" w:rsidRDefault="00237232" w:rsidP="00237232">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15</w:t>
            </w:r>
            <w:r w:rsidR="001E6EEB">
              <w:rPr>
                <w:rFonts w:cstheme="minorHAnsi"/>
                <w:color w:val="auto"/>
                <w:sz w:val="18"/>
                <w:szCs w:val="18"/>
              </w:rPr>
              <w:t>2</w:t>
            </w:r>
          </w:p>
        </w:tc>
      </w:tr>
      <w:tr w:rsidR="00237232" w:rsidRPr="0018391B" w14:paraId="2F867EAD"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Pr>
          <w:p w14:paraId="450FBB94"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32AE2AFF" w14:textId="079BFD80"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2.4.2 Sale of goods and services</w:t>
            </w:r>
          </w:p>
        </w:tc>
        <w:tc>
          <w:tcPr>
            <w:tcW w:w="1025" w:type="pct"/>
            <w:tcBorders>
              <w:bottom w:val="nil"/>
            </w:tcBorders>
          </w:tcPr>
          <w:p w14:paraId="5EB454F2" w14:textId="36F04A47" w:rsidR="00237232" w:rsidRPr="008D1C83" w:rsidRDefault="000C2434"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bCs/>
                <w:i/>
                <w:iCs/>
                <w:color w:val="auto"/>
                <w:sz w:val="18"/>
                <w:szCs w:val="18"/>
              </w:rPr>
              <w:t xml:space="preserve">Contracts with Customers / </w:t>
            </w:r>
            <w:r w:rsidRPr="00237232">
              <w:rPr>
                <w:rFonts w:cstheme="minorHAnsi"/>
                <w:bCs/>
                <w:color w:val="auto"/>
                <w:sz w:val="18"/>
                <w:szCs w:val="18"/>
              </w:rPr>
              <w:t xml:space="preserve">AASB 1058 </w:t>
            </w:r>
            <w:r w:rsidRPr="00237232">
              <w:rPr>
                <w:rFonts w:cstheme="minorHAnsi"/>
                <w:bCs/>
                <w:i/>
                <w:iCs/>
                <w:color w:val="auto"/>
                <w:sz w:val="18"/>
                <w:szCs w:val="18"/>
              </w:rPr>
              <w:t xml:space="preserve">Income of </w:t>
            </w:r>
            <w:r w:rsidRPr="00237232">
              <w:rPr>
                <w:rFonts w:cstheme="minorHAnsi"/>
                <w:bCs/>
                <w:i/>
                <w:iCs/>
                <w:color w:val="auto"/>
                <w:sz w:val="18"/>
                <w:szCs w:val="18"/>
              </w:rPr>
              <w:br/>
              <w:t>Not-for-Profit entities</w:t>
            </w:r>
          </w:p>
        </w:tc>
        <w:tc>
          <w:tcPr>
            <w:tcW w:w="2485" w:type="pct"/>
          </w:tcPr>
          <w:p w14:paraId="472BBFB9" w14:textId="413A4C62" w:rsidR="00237232" w:rsidRPr="00E07ACD"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 xml:space="preserve">Disclosures of initial impact of applying AASB 15, practical expedients used, performance obligations and revenue recognition policies. </w:t>
            </w:r>
          </w:p>
        </w:tc>
        <w:tc>
          <w:tcPr>
            <w:tcW w:w="512" w:type="pct"/>
          </w:tcPr>
          <w:p w14:paraId="7467070D" w14:textId="0C0EE546" w:rsidR="00237232" w:rsidRPr="00237232" w:rsidRDefault="00237232" w:rsidP="00237232">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97</w:t>
            </w:r>
            <w:r w:rsidR="00A42D89">
              <w:rPr>
                <w:rFonts w:cstheme="minorHAnsi"/>
                <w:color w:val="auto"/>
                <w:sz w:val="18"/>
                <w:szCs w:val="18"/>
              </w:rPr>
              <w:t xml:space="preserve"> </w:t>
            </w:r>
            <w:r w:rsidRPr="00237232">
              <w:rPr>
                <w:rFonts w:cstheme="minorHAnsi"/>
                <w:color w:val="auto"/>
                <w:sz w:val="18"/>
                <w:szCs w:val="18"/>
              </w:rPr>
              <w:t>-</w:t>
            </w:r>
            <w:r w:rsidR="00A42D89">
              <w:rPr>
                <w:rFonts w:cstheme="minorHAnsi"/>
                <w:color w:val="auto"/>
                <w:sz w:val="18"/>
                <w:szCs w:val="18"/>
              </w:rPr>
              <w:t xml:space="preserve"> </w:t>
            </w:r>
            <w:r w:rsidRPr="00237232">
              <w:rPr>
                <w:rFonts w:cstheme="minorHAnsi"/>
                <w:color w:val="auto"/>
                <w:sz w:val="18"/>
                <w:szCs w:val="18"/>
              </w:rPr>
              <w:t>98</w:t>
            </w:r>
          </w:p>
        </w:tc>
      </w:tr>
      <w:tr w:rsidR="00237232" w:rsidRPr="0018391B" w14:paraId="400E09D9" w14:textId="77777777" w:rsidTr="000C2434">
        <w:tc>
          <w:tcPr>
            <w:cnfStyle w:val="001000000000" w:firstRow="0" w:lastRow="0" w:firstColumn="1" w:lastColumn="0" w:oddVBand="0" w:evenVBand="0" w:oddHBand="0" w:evenHBand="0" w:firstRowFirstColumn="0" w:firstRowLastColumn="0" w:lastRowFirstColumn="0" w:lastRowLastColumn="0"/>
            <w:tcW w:w="979" w:type="pct"/>
            <w:tcBorders>
              <w:bottom w:val="nil"/>
            </w:tcBorders>
          </w:tcPr>
          <w:p w14:paraId="0279439D"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[New &amp; Revised]</w:t>
            </w:r>
          </w:p>
          <w:p w14:paraId="55B67D8D" w14:textId="01238BBF"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2.4.3 Grants</w:t>
            </w:r>
          </w:p>
        </w:tc>
        <w:tc>
          <w:tcPr>
            <w:tcW w:w="1025" w:type="pct"/>
            <w:tcBorders>
              <w:bottom w:val="nil"/>
            </w:tcBorders>
          </w:tcPr>
          <w:p w14:paraId="54FB67BB" w14:textId="722647B4" w:rsidR="00237232" w:rsidRPr="008D1C83" w:rsidRDefault="000C2434"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bCs/>
                <w:i/>
                <w:iCs/>
                <w:color w:val="auto"/>
                <w:sz w:val="18"/>
                <w:szCs w:val="18"/>
              </w:rPr>
              <w:t xml:space="preserve">Contracts with Customers / </w:t>
            </w:r>
            <w:r w:rsidRPr="00237232">
              <w:rPr>
                <w:rFonts w:cstheme="minorHAnsi"/>
                <w:bCs/>
                <w:color w:val="auto"/>
                <w:sz w:val="18"/>
                <w:szCs w:val="18"/>
              </w:rPr>
              <w:t xml:space="preserve">AASB 1058 </w:t>
            </w:r>
            <w:r w:rsidRPr="00237232">
              <w:rPr>
                <w:rFonts w:cstheme="minorHAnsi"/>
                <w:bCs/>
                <w:i/>
                <w:iCs/>
                <w:color w:val="auto"/>
                <w:sz w:val="18"/>
                <w:szCs w:val="18"/>
              </w:rPr>
              <w:t xml:space="preserve">Income of </w:t>
            </w:r>
            <w:r w:rsidRPr="00237232">
              <w:rPr>
                <w:rFonts w:cstheme="minorHAnsi"/>
                <w:bCs/>
                <w:i/>
                <w:iCs/>
                <w:color w:val="auto"/>
                <w:sz w:val="18"/>
                <w:szCs w:val="18"/>
              </w:rPr>
              <w:br/>
              <w:t>Not-for-Profit entities</w:t>
            </w:r>
          </w:p>
        </w:tc>
        <w:tc>
          <w:tcPr>
            <w:tcW w:w="2485" w:type="pct"/>
            <w:tcBorders>
              <w:bottom w:val="nil"/>
            </w:tcBorders>
          </w:tcPr>
          <w:p w14:paraId="4BC76526" w14:textId="423919C1" w:rsidR="00237232" w:rsidRPr="00E07ACD" w:rsidRDefault="00237232" w:rsidP="00237232">
            <w:pPr>
              <w:pStyle w:val="Tableheader"/>
              <w:spacing w:after="120" w:line="240" w:lineRule="atLeast"/>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Disclosures of initial impact of applying AASB 1058 and 15, practical expedients used and income recognition for specific grants.</w:t>
            </w:r>
          </w:p>
        </w:tc>
        <w:tc>
          <w:tcPr>
            <w:tcW w:w="512" w:type="pct"/>
            <w:tcBorders>
              <w:bottom w:val="nil"/>
            </w:tcBorders>
          </w:tcPr>
          <w:p w14:paraId="3B803214" w14:textId="0E7A3E81" w:rsidR="00237232" w:rsidRPr="00237232" w:rsidRDefault="00237232" w:rsidP="00237232">
            <w:pPr>
              <w:pStyle w:val="Tableheader"/>
              <w:spacing w:after="120" w:line="24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9</w:t>
            </w:r>
            <w:r w:rsidR="001E6EEB">
              <w:rPr>
                <w:rFonts w:cstheme="minorHAnsi"/>
                <w:color w:val="auto"/>
                <w:sz w:val="18"/>
                <w:szCs w:val="18"/>
              </w:rPr>
              <w:t>8</w:t>
            </w:r>
            <w:r w:rsidR="00A42D89">
              <w:rPr>
                <w:rFonts w:cstheme="minorHAnsi"/>
                <w:color w:val="auto"/>
                <w:sz w:val="18"/>
                <w:szCs w:val="18"/>
              </w:rPr>
              <w:t xml:space="preserve"> - 99</w:t>
            </w:r>
          </w:p>
        </w:tc>
      </w:tr>
      <w:tr w:rsidR="00237232" w:rsidRPr="0018391B" w14:paraId="4E309878" w14:textId="77777777" w:rsidTr="000C2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auto"/>
            </w:tcBorders>
          </w:tcPr>
          <w:p w14:paraId="78EE751A" w14:textId="77777777" w:rsidR="00237232" w:rsidRPr="008D1C83" w:rsidRDefault="00237232" w:rsidP="00237232">
            <w:pPr>
              <w:pStyle w:val="Tableheader"/>
              <w:spacing w:after="120" w:line="240" w:lineRule="atLeast"/>
              <w:rPr>
                <w:rFonts w:cstheme="minorHAnsi"/>
                <w:color w:val="FF0000"/>
                <w:sz w:val="18"/>
                <w:szCs w:val="18"/>
              </w:rPr>
            </w:pPr>
            <w:r w:rsidRPr="008D1C83">
              <w:rPr>
                <w:rFonts w:cstheme="minorHAnsi"/>
                <w:color w:val="FF0000"/>
                <w:sz w:val="18"/>
                <w:szCs w:val="18"/>
              </w:rPr>
              <w:t>[Revised]</w:t>
            </w:r>
          </w:p>
          <w:p w14:paraId="759CA8D7" w14:textId="6F0F5F01" w:rsidR="00237232" w:rsidRPr="008D1C83" w:rsidRDefault="00237232" w:rsidP="00237232">
            <w:pPr>
              <w:pStyle w:val="Tableheader"/>
              <w:spacing w:after="120" w:line="240" w:lineRule="atLeast"/>
              <w:rPr>
                <w:rFonts w:cstheme="minorHAnsi"/>
                <w:color w:val="FF0000"/>
                <w:sz w:val="18"/>
                <w:szCs w:val="18"/>
              </w:rPr>
            </w:pPr>
            <w:r w:rsidRPr="00237232">
              <w:rPr>
                <w:rFonts w:cstheme="minorHAnsi"/>
                <w:color w:val="auto"/>
                <w:sz w:val="18"/>
                <w:szCs w:val="18"/>
              </w:rPr>
              <w:t>2.4.5 Other income</w:t>
            </w:r>
          </w:p>
        </w:tc>
        <w:tc>
          <w:tcPr>
            <w:tcW w:w="1025" w:type="pct"/>
            <w:tcBorders>
              <w:bottom w:val="single" w:sz="4" w:space="0" w:color="auto"/>
            </w:tcBorders>
          </w:tcPr>
          <w:p w14:paraId="1606263C" w14:textId="55EADC53" w:rsidR="00237232" w:rsidRPr="008D1C83" w:rsidRDefault="000C2434"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bCs/>
                <w:i/>
                <w:iCs/>
                <w:color w:val="auto"/>
                <w:sz w:val="18"/>
                <w:szCs w:val="18"/>
              </w:rPr>
              <w:t xml:space="preserve">Contracts with Customers / </w:t>
            </w:r>
            <w:r w:rsidRPr="00237232">
              <w:rPr>
                <w:rFonts w:cstheme="minorHAnsi"/>
                <w:bCs/>
                <w:color w:val="auto"/>
                <w:sz w:val="18"/>
                <w:szCs w:val="18"/>
              </w:rPr>
              <w:t xml:space="preserve">AASB 1058 </w:t>
            </w:r>
            <w:r w:rsidRPr="00237232">
              <w:rPr>
                <w:rFonts w:cstheme="minorHAnsi"/>
                <w:bCs/>
                <w:i/>
                <w:iCs/>
                <w:color w:val="auto"/>
                <w:sz w:val="18"/>
                <w:szCs w:val="18"/>
              </w:rPr>
              <w:t xml:space="preserve">Income of </w:t>
            </w:r>
            <w:r w:rsidRPr="00237232">
              <w:rPr>
                <w:rFonts w:cstheme="minorHAnsi"/>
                <w:bCs/>
                <w:i/>
                <w:iCs/>
                <w:color w:val="auto"/>
                <w:sz w:val="18"/>
                <w:szCs w:val="18"/>
              </w:rPr>
              <w:br/>
              <w:t>Not-for-Profit entities</w:t>
            </w:r>
          </w:p>
        </w:tc>
        <w:tc>
          <w:tcPr>
            <w:tcW w:w="2485" w:type="pct"/>
            <w:tcBorders>
              <w:bottom w:val="single" w:sz="4" w:space="0" w:color="auto"/>
            </w:tcBorders>
          </w:tcPr>
          <w:p w14:paraId="04F59575" w14:textId="25B89A42" w:rsidR="00237232" w:rsidRPr="00E07ACD" w:rsidRDefault="00237232" w:rsidP="00237232">
            <w:pPr>
              <w:pStyle w:val="Tableheader"/>
              <w:spacing w:after="120" w:line="240" w:lineRule="atLeast"/>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8D1C83">
              <w:rPr>
                <w:rFonts w:eastAsiaTheme="minorEastAsia" w:cstheme="minorHAnsi"/>
                <w:color w:val="auto"/>
                <w:sz w:val="18"/>
                <w:szCs w:val="18"/>
                <w:lang w:eastAsia="en-AU"/>
              </w:rPr>
              <w:t>The guidance section has been updated on the adoption of AASB 15 and AASB 1058, particularly surrounding the new recognition criteria for revenue.</w:t>
            </w:r>
          </w:p>
        </w:tc>
        <w:tc>
          <w:tcPr>
            <w:tcW w:w="512" w:type="pct"/>
            <w:tcBorders>
              <w:bottom w:val="single" w:sz="4" w:space="0" w:color="auto"/>
            </w:tcBorders>
          </w:tcPr>
          <w:p w14:paraId="5C734BD2" w14:textId="50B945C1" w:rsidR="00237232" w:rsidRPr="00237232" w:rsidRDefault="00237232" w:rsidP="00237232">
            <w:pPr>
              <w:pStyle w:val="Tableheader"/>
              <w:spacing w:after="120" w:line="240" w:lineRule="atLeast"/>
              <w:jc w:val="center"/>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18"/>
                <w:szCs w:val="18"/>
                <w:lang w:eastAsia="en-AU"/>
              </w:rPr>
            </w:pPr>
            <w:r w:rsidRPr="00237232">
              <w:rPr>
                <w:rFonts w:cstheme="minorHAnsi"/>
                <w:color w:val="auto"/>
                <w:sz w:val="18"/>
                <w:szCs w:val="18"/>
              </w:rPr>
              <w:t>10</w:t>
            </w:r>
            <w:r w:rsidR="001E6EEB">
              <w:rPr>
                <w:rFonts w:cstheme="minorHAnsi"/>
                <w:color w:val="auto"/>
                <w:sz w:val="18"/>
                <w:szCs w:val="18"/>
              </w:rPr>
              <w:t>0</w:t>
            </w:r>
          </w:p>
        </w:tc>
      </w:tr>
    </w:tbl>
    <w:p w14:paraId="73836D5A" w14:textId="77777777" w:rsidR="0068319A" w:rsidRDefault="0068319A" w:rsidP="0068319A">
      <w:pPr>
        <w:sectPr w:rsidR="0068319A" w:rsidSect="00F461B0">
          <w:pgSz w:w="11906" w:h="16838" w:code="9"/>
          <w:pgMar w:top="2160" w:right="1440" w:bottom="1350" w:left="1440" w:header="706" w:footer="461" w:gutter="0"/>
          <w:cols w:space="708"/>
          <w:docGrid w:linePitch="360"/>
        </w:sectPr>
      </w:pPr>
    </w:p>
    <w:p w14:paraId="76EA59FD" w14:textId="06432848" w:rsidR="0068319A" w:rsidRDefault="0068319A" w:rsidP="00A36C09">
      <w:pPr>
        <w:pStyle w:val="Heading2"/>
      </w:pPr>
      <w:r>
        <w:lastRenderedPageBreak/>
        <w:t>Model Appendices</w:t>
      </w:r>
    </w:p>
    <w:tbl>
      <w:tblPr>
        <w:tblStyle w:val="DTFtexttable"/>
        <w:tblW w:w="5000" w:type="pct"/>
        <w:tblLayout w:type="fixed"/>
        <w:tblLook w:val="04A0" w:firstRow="1" w:lastRow="0" w:firstColumn="1" w:lastColumn="0" w:noHBand="0" w:noVBand="1"/>
      </w:tblPr>
      <w:tblGrid>
        <w:gridCol w:w="1758"/>
        <w:gridCol w:w="1631"/>
        <w:gridCol w:w="4608"/>
        <w:gridCol w:w="1143"/>
      </w:tblGrid>
      <w:tr w:rsidR="00A36C09" w:rsidRPr="0018391B" w14:paraId="530E07C7" w14:textId="77777777" w:rsidTr="00C72AD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2" w:type="pct"/>
            <w:shd w:val="clear" w:color="auto" w:fill="749CC9" w:themeFill="accent3"/>
            <w:vAlign w:val="center"/>
          </w:tcPr>
          <w:p w14:paraId="60F49F5D" w14:textId="77777777" w:rsidR="00A36C09" w:rsidRPr="008D1C83" w:rsidRDefault="00A36C09" w:rsidP="008D1C83">
            <w:pPr>
              <w:pStyle w:val="Tableheader"/>
              <w:spacing w:after="120" w:line="240" w:lineRule="atLeast"/>
              <w:rPr>
                <w:sz w:val="18"/>
                <w:szCs w:val="18"/>
              </w:rPr>
            </w:pPr>
            <w:r w:rsidRPr="008D1C83">
              <w:rPr>
                <w:sz w:val="18"/>
                <w:szCs w:val="18"/>
              </w:rPr>
              <w:t xml:space="preserve">Subject matter </w:t>
            </w:r>
          </w:p>
        </w:tc>
        <w:tc>
          <w:tcPr>
            <w:tcW w:w="892" w:type="pct"/>
            <w:shd w:val="clear" w:color="auto" w:fill="749CC9" w:themeFill="accent3"/>
            <w:vAlign w:val="center"/>
          </w:tcPr>
          <w:p w14:paraId="2392A919" w14:textId="77777777" w:rsidR="00A36C09" w:rsidRPr="008D1C83" w:rsidRDefault="00A36C09" w:rsidP="008D1C83">
            <w:pPr>
              <w:pStyle w:val="Tableheader"/>
              <w:spacing w:after="120" w:line="240" w:lineRule="atLeast"/>
              <w:cnfStyle w:val="100000000000" w:firstRow="1" w:lastRow="0" w:firstColumn="0" w:lastColumn="0" w:oddVBand="0" w:evenVBand="0" w:oddHBand="0" w:evenHBand="0" w:firstRowFirstColumn="0" w:firstRowLastColumn="0" w:lastRowFirstColumn="0" w:lastRowLastColumn="0"/>
              <w:rPr>
                <w:sz w:val="18"/>
                <w:szCs w:val="18"/>
              </w:rPr>
            </w:pPr>
            <w:r w:rsidRPr="008D1C83">
              <w:rPr>
                <w:sz w:val="18"/>
                <w:szCs w:val="18"/>
              </w:rPr>
              <w:t>Source of change</w:t>
            </w:r>
          </w:p>
        </w:tc>
        <w:tc>
          <w:tcPr>
            <w:tcW w:w="2521" w:type="pct"/>
            <w:shd w:val="clear" w:color="auto" w:fill="749CC9" w:themeFill="accent3"/>
            <w:vAlign w:val="center"/>
          </w:tcPr>
          <w:p w14:paraId="4C6DF6A7" w14:textId="0049932C" w:rsidR="00A36C09" w:rsidRPr="008D1C83" w:rsidRDefault="00A36C09" w:rsidP="008D1C83">
            <w:pPr>
              <w:pStyle w:val="Tableheader"/>
              <w:spacing w:after="120" w:line="240" w:lineRule="atLeast"/>
              <w:cnfStyle w:val="100000000000" w:firstRow="1" w:lastRow="0" w:firstColumn="0" w:lastColumn="0" w:oddVBand="0" w:evenVBand="0" w:oddHBand="0" w:evenHBand="0" w:firstRowFirstColumn="0" w:firstRowLastColumn="0" w:lastRowFirstColumn="0" w:lastRowLastColumn="0"/>
              <w:rPr>
                <w:sz w:val="18"/>
                <w:szCs w:val="18"/>
              </w:rPr>
            </w:pPr>
            <w:r w:rsidRPr="008D1C83">
              <w:rPr>
                <w:sz w:val="18"/>
                <w:szCs w:val="18"/>
              </w:rPr>
              <w:t>Summary of changes applied to the relevant sections in the Model Appendices</w:t>
            </w:r>
          </w:p>
        </w:tc>
        <w:tc>
          <w:tcPr>
            <w:tcW w:w="626" w:type="pct"/>
            <w:shd w:val="clear" w:color="auto" w:fill="749CC9" w:themeFill="accent3"/>
            <w:vAlign w:val="center"/>
          </w:tcPr>
          <w:p w14:paraId="319C44F4" w14:textId="77777777" w:rsidR="00A36C09" w:rsidRPr="008D1C83" w:rsidRDefault="00A36C09" w:rsidP="008D1C83">
            <w:pPr>
              <w:pStyle w:val="Tableheader"/>
              <w:spacing w:after="120" w:line="240" w:lineRule="atLeast"/>
              <w:jc w:val="center"/>
              <w:cnfStyle w:val="100000000000" w:firstRow="1" w:lastRow="0" w:firstColumn="0" w:lastColumn="0" w:oddVBand="0" w:evenVBand="0" w:oddHBand="0" w:evenHBand="0" w:firstRowFirstColumn="0" w:firstRowLastColumn="0" w:lastRowFirstColumn="0" w:lastRowLastColumn="0"/>
              <w:rPr>
                <w:sz w:val="18"/>
                <w:szCs w:val="18"/>
              </w:rPr>
            </w:pPr>
            <w:r w:rsidRPr="008D1C83">
              <w:rPr>
                <w:sz w:val="18"/>
                <w:szCs w:val="18"/>
              </w:rPr>
              <w:t>Page reference</w:t>
            </w:r>
          </w:p>
        </w:tc>
      </w:tr>
      <w:tr w:rsidR="00A36C09" w:rsidRPr="0018391B" w14:paraId="61615039" w14:textId="77777777" w:rsidTr="00C72ADE">
        <w:trPr>
          <w:trHeight w:val="416"/>
        </w:trPr>
        <w:tc>
          <w:tcPr>
            <w:cnfStyle w:val="001000000000" w:firstRow="0" w:lastRow="0" w:firstColumn="1" w:lastColumn="0" w:oddVBand="0" w:evenVBand="0" w:oddHBand="0" w:evenHBand="0" w:firstRowFirstColumn="0" w:firstRowLastColumn="0" w:lastRowFirstColumn="0" w:lastRowLastColumn="0"/>
            <w:tcW w:w="962" w:type="pct"/>
          </w:tcPr>
          <w:p w14:paraId="5C4D2D8A" w14:textId="2682FD48" w:rsidR="00A36C09" w:rsidRPr="008D1C83" w:rsidRDefault="00796559" w:rsidP="008D1C83">
            <w:pPr>
              <w:pStyle w:val="Tabletext"/>
              <w:spacing w:before="120" w:after="120" w:line="240" w:lineRule="atLeast"/>
              <w:rPr>
                <w:sz w:val="18"/>
                <w:szCs w:val="18"/>
              </w:rPr>
            </w:pPr>
            <w:r w:rsidRPr="008D1C83">
              <w:rPr>
                <w:sz w:val="18"/>
                <w:szCs w:val="18"/>
              </w:rPr>
              <w:t xml:space="preserve">Appendix 3: Index of accounting guidance and associated </w:t>
            </w:r>
            <w:r w:rsidR="00A65D80" w:rsidRPr="008D1C83">
              <w:rPr>
                <w:sz w:val="18"/>
                <w:szCs w:val="18"/>
              </w:rPr>
              <w:t>checklist</w:t>
            </w:r>
          </w:p>
        </w:tc>
        <w:tc>
          <w:tcPr>
            <w:tcW w:w="892" w:type="pct"/>
          </w:tcPr>
          <w:p w14:paraId="17D8F594" w14:textId="737964F6" w:rsidR="00A36C09" w:rsidRPr="008D1C83" w:rsidRDefault="00D858BD"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Relocation to the DTF website</w:t>
            </w:r>
            <w:r w:rsidR="00367FCB" w:rsidRPr="008D1C83">
              <w:rPr>
                <w:rFonts w:ascii="Arial" w:hAnsi="Arial" w:cs="Arial"/>
                <w:sz w:val="18"/>
                <w:szCs w:val="18"/>
              </w:rPr>
              <w:t xml:space="preserve"> </w:t>
            </w:r>
          </w:p>
        </w:tc>
        <w:tc>
          <w:tcPr>
            <w:tcW w:w="2521" w:type="pct"/>
          </w:tcPr>
          <w:p w14:paraId="2491035A" w14:textId="2AF8BB60" w:rsidR="00A36C09" w:rsidRPr="008D1C83" w:rsidRDefault="0090585D" w:rsidP="008D1C83">
            <w:pPr>
              <w:pStyle w:val="Tabletext"/>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As part of the broader streamlining of the Model Appendices, the</w:t>
            </w:r>
            <w:r w:rsidR="00A65D80" w:rsidRPr="008D1C83">
              <w:rPr>
                <w:rFonts w:ascii="Arial" w:hAnsi="Arial" w:cs="Arial"/>
                <w:sz w:val="18"/>
                <w:szCs w:val="18"/>
              </w:rPr>
              <w:t xml:space="preserve"> </w:t>
            </w:r>
            <w:r w:rsidR="00B00B15" w:rsidRPr="008D1C83">
              <w:rPr>
                <w:rFonts w:ascii="Arial" w:hAnsi="Arial" w:cs="Arial"/>
                <w:sz w:val="18"/>
                <w:szCs w:val="18"/>
              </w:rPr>
              <w:t xml:space="preserve">following </w:t>
            </w:r>
            <w:r w:rsidR="00A65D80" w:rsidRPr="008D1C83">
              <w:rPr>
                <w:rFonts w:ascii="Arial" w:hAnsi="Arial" w:cs="Arial"/>
                <w:sz w:val="18"/>
                <w:szCs w:val="18"/>
              </w:rPr>
              <w:t xml:space="preserve">accounting guidance and associated checklists on the Australian Accounting Standards have been relocated from the Model Appendices to the </w:t>
            </w:r>
            <w:hyperlink r:id="rId18" w:history="1">
              <w:r w:rsidR="00A65D80" w:rsidRPr="008D1C83">
                <w:rPr>
                  <w:rStyle w:val="Hyperlink"/>
                  <w:rFonts w:ascii="Arial" w:hAnsi="Arial" w:cs="Arial"/>
                  <w:sz w:val="18"/>
                  <w:szCs w:val="18"/>
                </w:rPr>
                <w:t>DTF webpage</w:t>
              </w:r>
            </w:hyperlink>
            <w:r w:rsidR="00A65D80" w:rsidRPr="008D1C83">
              <w:rPr>
                <w:rFonts w:ascii="Arial" w:hAnsi="Arial" w:cs="Arial"/>
                <w:sz w:val="18"/>
                <w:szCs w:val="18"/>
              </w:rPr>
              <w:t xml:space="preserve">: </w:t>
            </w:r>
          </w:p>
          <w:p w14:paraId="57FDB198" w14:textId="16DCD0BA" w:rsidR="00262C8B" w:rsidRPr="008D1C83" w:rsidRDefault="00262C8B" w:rsidP="008D1C83">
            <w:pPr>
              <w:pStyle w:val="Tabletext"/>
              <w:numPr>
                <w:ilvl w:val="0"/>
                <w:numId w:val="40"/>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Hierarchy of Accounting Standards; </w:t>
            </w:r>
          </w:p>
          <w:p w14:paraId="30401D81" w14:textId="7CE1792E" w:rsidR="00262C8B" w:rsidRPr="008D1C83" w:rsidRDefault="00262C8B" w:rsidP="008D1C83">
            <w:pPr>
              <w:pStyle w:val="Tabletext"/>
              <w:numPr>
                <w:ilvl w:val="0"/>
                <w:numId w:val="40"/>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Practical classification guide between transactions and other economic flows</w:t>
            </w:r>
          </w:p>
          <w:p w14:paraId="6C847175" w14:textId="432E0835" w:rsidR="00B00B15" w:rsidRPr="008D1C83" w:rsidRDefault="00B00B15" w:rsidP="008D1C83">
            <w:pPr>
              <w:pStyle w:val="Tabletext"/>
              <w:numPr>
                <w:ilvl w:val="0"/>
                <w:numId w:val="40"/>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AASB 5</w:t>
            </w:r>
            <w:r w:rsidRPr="008D1C83">
              <w:rPr>
                <w:rFonts w:ascii="Arial" w:hAnsi="Arial" w:cs="Arial"/>
                <w:i/>
                <w:iCs/>
                <w:sz w:val="18"/>
                <w:szCs w:val="18"/>
              </w:rPr>
              <w:t xml:space="preserve"> </w:t>
            </w:r>
            <w:r w:rsidRPr="008D1C83">
              <w:rPr>
                <w:rFonts w:ascii="Arial" w:hAnsi="Arial" w:cs="Arial"/>
                <w:sz w:val="18"/>
                <w:szCs w:val="18"/>
              </w:rPr>
              <w:t>– When to account for surplus assets as ‘held for sale’;</w:t>
            </w:r>
          </w:p>
          <w:p w14:paraId="3728D0E3" w14:textId="77777777" w:rsidR="00B00B15" w:rsidRPr="008D1C83" w:rsidRDefault="00B00B15" w:rsidP="008D1C83">
            <w:pPr>
              <w:pStyle w:val="Tabletext"/>
              <w:numPr>
                <w:ilvl w:val="0"/>
                <w:numId w:val="40"/>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AASB 10 – Control analysis for Victorian Public Sector Entities checklist</w:t>
            </w:r>
          </w:p>
          <w:p w14:paraId="75149CC0" w14:textId="77777777" w:rsidR="00B00B15" w:rsidRPr="008D1C83" w:rsidRDefault="00B00B15" w:rsidP="008D1C83">
            <w:pPr>
              <w:pStyle w:val="Tabletext"/>
              <w:numPr>
                <w:ilvl w:val="0"/>
                <w:numId w:val="40"/>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AASB 12 – Interests in subsidiary and unconsolidated structure entities </w:t>
            </w:r>
          </w:p>
          <w:p w14:paraId="7951FE90" w14:textId="4AE63915" w:rsidR="00B35951" w:rsidRPr="008D1C83" w:rsidRDefault="00262C8B" w:rsidP="008D1C83">
            <w:pPr>
              <w:pStyle w:val="Tabletext"/>
              <w:numPr>
                <w:ilvl w:val="0"/>
                <w:numId w:val="40"/>
              </w:num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 xml:space="preserve">AASB 119 – Annual leave provisions </w:t>
            </w:r>
          </w:p>
        </w:tc>
        <w:tc>
          <w:tcPr>
            <w:tcW w:w="626" w:type="pct"/>
          </w:tcPr>
          <w:p w14:paraId="599FC54F" w14:textId="0632FF7F" w:rsidR="00A36C09" w:rsidRPr="008D1C83" w:rsidRDefault="00643247" w:rsidP="008D1C83">
            <w:pPr>
              <w:pStyle w:val="Tabletextcentred"/>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1C83">
              <w:rPr>
                <w:rFonts w:ascii="Arial" w:hAnsi="Arial" w:cs="Arial"/>
                <w:sz w:val="18"/>
                <w:szCs w:val="18"/>
              </w:rPr>
              <w:t>26</w:t>
            </w:r>
            <w:r w:rsidR="001E6EEB">
              <w:rPr>
                <w:rFonts w:ascii="Arial" w:hAnsi="Arial" w:cs="Arial"/>
                <w:sz w:val="18"/>
                <w:szCs w:val="18"/>
              </w:rPr>
              <w:t>2</w:t>
            </w:r>
            <w:r w:rsidR="00A42D89">
              <w:rPr>
                <w:rFonts w:ascii="Arial" w:hAnsi="Arial" w:cs="Arial"/>
                <w:sz w:val="18"/>
                <w:szCs w:val="18"/>
              </w:rPr>
              <w:t xml:space="preserve"> </w:t>
            </w:r>
            <w:r w:rsidRPr="008D1C83">
              <w:rPr>
                <w:rFonts w:ascii="Arial" w:hAnsi="Arial" w:cs="Arial"/>
                <w:sz w:val="18"/>
                <w:szCs w:val="18"/>
              </w:rPr>
              <w:t>-</w:t>
            </w:r>
            <w:r w:rsidR="00A42D89">
              <w:rPr>
                <w:rFonts w:ascii="Arial" w:hAnsi="Arial" w:cs="Arial"/>
                <w:sz w:val="18"/>
                <w:szCs w:val="18"/>
              </w:rPr>
              <w:t xml:space="preserve"> </w:t>
            </w:r>
            <w:r w:rsidRPr="008D1C83">
              <w:rPr>
                <w:rFonts w:ascii="Arial" w:hAnsi="Arial" w:cs="Arial"/>
                <w:sz w:val="18"/>
                <w:szCs w:val="18"/>
              </w:rPr>
              <w:t>26</w:t>
            </w:r>
            <w:r w:rsidR="001E6EEB">
              <w:rPr>
                <w:rFonts w:ascii="Arial" w:hAnsi="Arial" w:cs="Arial"/>
                <w:sz w:val="18"/>
                <w:szCs w:val="18"/>
              </w:rPr>
              <w:t>3</w:t>
            </w:r>
          </w:p>
        </w:tc>
      </w:tr>
    </w:tbl>
    <w:p w14:paraId="4C2432E8" w14:textId="77777777" w:rsidR="00A36C09" w:rsidRPr="00A36C09" w:rsidRDefault="00A36C09" w:rsidP="00D858BD"/>
    <w:sectPr w:rsidR="00A36C09" w:rsidRPr="00A36C09" w:rsidSect="00F461B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7DE0" w14:textId="77777777" w:rsidR="006D1EED" w:rsidRDefault="006D1EED" w:rsidP="002D711A">
      <w:pPr>
        <w:spacing w:after="0" w:line="240" w:lineRule="auto"/>
      </w:pPr>
      <w:r>
        <w:separator/>
      </w:r>
    </w:p>
  </w:endnote>
  <w:endnote w:type="continuationSeparator" w:id="0">
    <w:p w14:paraId="423B3D18" w14:textId="77777777" w:rsidR="006D1EED" w:rsidRDefault="006D1EE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E10B" w14:textId="77777777" w:rsidR="00E07ACD" w:rsidRPr="00014213" w:rsidRDefault="00E07ACD" w:rsidP="00C022F9">
    <w:pPr>
      <w:pStyle w:val="Footer"/>
    </w:pPr>
    <w:r>
      <w:drawing>
        <wp:anchor distT="0" distB="0" distL="114300" distR="114300" simplePos="0" relativeHeight="251655168" behindDoc="0" locked="0" layoutInCell="1" allowOverlap="1" wp14:anchorId="131A3204" wp14:editId="6EFD878F">
          <wp:simplePos x="0" y="0"/>
          <wp:positionH relativeFrom="column">
            <wp:posOffset>4240861</wp:posOffset>
          </wp:positionH>
          <wp:positionV relativeFrom="page">
            <wp:posOffset>9493250</wp:posOffset>
          </wp:positionV>
          <wp:extent cx="1956435" cy="582930"/>
          <wp:effectExtent l="0" t="0" r="5715" b="762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6635" w14:textId="17551E5E" w:rsidR="00E07ACD" w:rsidRPr="00C022F9" w:rsidRDefault="00E07ACD" w:rsidP="0041689E">
    <w:pPr>
      <w:pStyle w:val="Footer"/>
      <w:spacing w:before="0"/>
    </w:pPr>
    <w:r>
      <w:rPr>
        <w:b/>
        <w:color w:val="0063A6" w:themeColor="accent1"/>
      </w:rPr>
      <mc:AlternateContent>
        <mc:Choice Requires="wps">
          <w:drawing>
            <wp:anchor distT="0" distB="0" distL="114300" distR="114300" simplePos="0" relativeHeight="251661312" behindDoc="0" locked="0" layoutInCell="0" allowOverlap="1" wp14:anchorId="25472E59" wp14:editId="7F175E9A">
              <wp:simplePos x="0" y="0"/>
              <wp:positionH relativeFrom="page">
                <wp:posOffset>0</wp:posOffset>
              </wp:positionH>
              <wp:positionV relativeFrom="page">
                <wp:posOffset>10234930</wp:posOffset>
              </wp:positionV>
              <wp:extent cx="7560310" cy="266700"/>
              <wp:effectExtent l="0" t="0" r="0" b="0"/>
              <wp:wrapNone/>
              <wp:docPr id="1" name="MSIPCMfd8e430db652ad19fc14fc2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18575" w14:textId="5E17A47F" w:rsidR="00E07ACD" w:rsidRPr="00094F6F" w:rsidRDefault="00E07ACD" w:rsidP="00094F6F">
                          <w:pPr>
                            <w:spacing w:before="0" w:after="0"/>
                            <w:rPr>
                              <w:rFonts w:ascii="Calibri" w:hAnsi="Calibri" w:cs="Calibri"/>
                              <w:color w:val="000000"/>
                              <w:sz w:val="22"/>
                            </w:rPr>
                          </w:pPr>
                          <w:r w:rsidRPr="00094F6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72E59" id="_x0000_t202" coordsize="21600,21600" o:spt="202" path="m,l,21600r21600,l21600,xe">
              <v:stroke joinstyle="miter"/>
              <v:path gradientshapeok="t" o:connecttype="rect"/>
            </v:shapetype>
            <v:shape id="MSIPCMfd8e430db652ad19fc14fc2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D/ZUwwdAwAAOAYAAA4AAAAAAAAA&#10;AAAAAAAALgIAAGRycy9lMm9Eb2MueG1sUEsBAi0AFAAGAAgAAAAhAGARxibeAAAACwEAAA8AAAAA&#10;AAAAAAAAAAAAdwUAAGRycy9kb3ducmV2LnhtbFBLBQYAAAAABAAEAPMAAACCBgAAAAA=&#10;" o:allowincell="f" filled="f" stroked="f" strokeweight=".5pt">
              <v:textbox inset="20pt,0,,0">
                <w:txbxContent>
                  <w:p w14:paraId="22118575" w14:textId="5E17A47F" w:rsidR="00E07ACD" w:rsidRPr="00094F6F" w:rsidRDefault="00E07ACD" w:rsidP="00094F6F">
                    <w:pPr>
                      <w:spacing w:before="0" w:after="0"/>
                      <w:rPr>
                        <w:rFonts w:ascii="Calibri" w:hAnsi="Calibri" w:cs="Calibri"/>
                        <w:color w:val="000000"/>
                        <w:sz w:val="22"/>
                      </w:rPr>
                    </w:pPr>
                    <w:r w:rsidRPr="00094F6F">
                      <w:rPr>
                        <w:rFonts w:ascii="Calibri" w:hAnsi="Calibri" w:cs="Calibri"/>
                        <w:color w:val="000000"/>
                        <w:sz w:val="22"/>
                      </w:rPr>
                      <w:t>OFFICIAL</w:t>
                    </w:r>
                  </w:p>
                </w:txbxContent>
              </v:textbox>
              <w10:wrap anchorx="page" anchory="page"/>
            </v:shape>
          </w:pict>
        </mc:Fallback>
      </mc:AlternateContent>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A245A">
      <w:rPr>
        <w:b/>
        <w:color w:val="0063A6" w:themeColor="accent1"/>
      </w:rPr>
      <w:t>Summary of changes applied to the 2019-20 Model Report</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4</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DBE4" w14:textId="77777777" w:rsidR="004A245A" w:rsidRDefault="004A2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FE60" w14:textId="77777777" w:rsidR="006D1EED" w:rsidRDefault="006D1EED" w:rsidP="002D711A">
      <w:pPr>
        <w:spacing w:after="0" w:line="240" w:lineRule="auto"/>
      </w:pPr>
      <w:r>
        <w:separator/>
      </w:r>
    </w:p>
  </w:footnote>
  <w:footnote w:type="continuationSeparator" w:id="0">
    <w:p w14:paraId="480238DF" w14:textId="77777777" w:rsidR="006D1EED" w:rsidRDefault="006D1EE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CBF3" w14:textId="77777777" w:rsidR="004A245A" w:rsidRDefault="004A2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46EB" w14:textId="4C444DCB" w:rsidR="00E07ACD" w:rsidRPr="0041689E" w:rsidRDefault="00E07ACD">
    <w:pPr>
      <w:pStyle w:val="Header"/>
    </w:pPr>
    <w:r>
      <w:rPr>
        <w:noProof/>
      </w:rPr>
      <w:drawing>
        <wp:anchor distT="0" distB="0" distL="114300" distR="114300" simplePos="0" relativeHeight="251659264" behindDoc="0" locked="0" layoutInCell="1" allowOverlap="1" wp14:anchorId="63BF06C3" wp14:editId="327360AD">
          <wp:simplePos x="0" y="0"/>
          <wp:positionH relativeFrom="column">
            <wp:posOffset>-309880</wp:posOffset>
          </wp:positionH>
          <wp:positionV relativeFrom="page">
            <wp:posOffset>308610</wp:posOffset>
          </wp:positionV>
          <wp:extent cx="138049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F50A4AB" wp14:editId="23C9E31A">
          <wp:simplePos x="0" y="0"/>
          <wp:positionH relativeFrom="column">
            <wp:posOffset>-914400</wp:posOffset>
          </wp:positionH>
          <wp:positionV relativeFrom="page">
            <wp:posOffset>125095</wp:posOffset>
          </wp:positionV>
          <wp:extent cx="7589520" cy="740410"/>
          <wp:effectExtent l="0" t="0" r="0"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9F70" w14:textId="77777777" w:rsidR="004A245A" w:rsidRDefault="004A2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29E799C"/>
    <w:multiLevelType w:val="hybridMultilevel"/>
    <w:tmpl w:val="7A020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6C074F"/>
    <w:multiLevelType w:val="hybridMultilevel"/>
    <w:tmpl w:val="43FEF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E3A40"/>
    <w:multiLevelType w:val="hybridMultilevel"/>
    <w:tmpl w:val="ABF2CE84"/>
    <w:lvl w:ilvl="0" w:tplc="0C090001">
      <w:start w:val="1"/>
      <w:numFmt w:val="bullet"/>
      <w:lvlText w:val=""/>
      <w:lvlJc w:val="left"/>
      <w:pPr>
        <w:ind w:left="910" w:hanging="360"/>
      </w:pPr>
      <w:rPr>
        <w:rFonts w:ascii="Symbol" w:hAnsi="Symbol" w:hint="default"/>
      </w:rPr>
    </w:lvl>
    <w:lvl w:ilvl="1" w:tplc="0C090003" w:tentative="1">
      <w:start w:val="1"/>
      <w:numFmt w:val="bullet"/>
      <w:lvlText w:val="o"/>
      <w:lvlJc w:val="left"/>
      <w:pPr>
        <w:ind w:left="1630" w:hanging="360"/>
      </w:pPr>
      <w:rPr>
        <w:rFonts w:ascii="Courier New" w:hAnsi="Courier New" w:cs="Courier New" w:hint="default"/>
      </w:rPr>
    </w:lvl>
    <w:lvl w:ilvl="2" w:tplc="0C090005" w:tentative="1">
      <w:start w:val="1"/>
      <w:numFmt w:val="bullet"/>
      <w:lvlText w:val=""/>
      <w:lvlJc w:val="left"/>
      <w:pPr>
        <w:ind w:left="2350" w:hanging="360"/>
      </w:pPr>
      <w:rPr>
        <w:rFonts w:ascii="Wingdings" w:hAnsi="Wingdings" w:hint="default"/>
      </w:rPr>
    </w:lvl>
    <w:lvl w:ilvl="3" w:tplc="0C090001" w:tentative="1">
      <w:start w:val="1"/>
      <w:numFmt w:val="bullet"/>
      <w:lvlText w:val=""/>
      <w:lvlJc w:val="left"/>
      <w:pPr>
        <w:ind w:left="3070" w:hanging="360"/>
      </w:pPr>
      <w:rPr>
        <w:rFonts w:ascii="Symbol" w:hAnsi="Symbol" w:hint="default"/>
      </w:rPr>
    </w:lvl>
    <w:lvl w:ilvl="4" w:tplc="0C090003" w:tentative="1">
      <w:start w:val="1"/>
      <w:numFmt w:val="bullet"/>
      <w:lvlText w:val="o"/>
      <w:lvlJc w:val="left"/>
      <w:pPr>
        <w:ind w:left="3790" w:hanging="360"/>
      </w:pPr>
      <w:rPr>
        <w:rFonts w:ascii="Courier New" w:hAnsi="Courier New" w:cs="Courier New" w:hint="default"/>
      </w:rPr>
    </w:lvl>
    <w:lvl w:ilvl="5" w:tplc="0C090005" w:tentative="1">
      <w:start w:val="1"/>
      <w:numFmt w:val="bullet"/>
      <w:lvlText w:val=""/>
      <w:lvlJc w:val="left"/>
      <w:pPr>
        <w:ind w:left="4510" w:hanging="360"/>
      </w:pPr>
      <w:rPr>
        <w:rFonts w:ascii="Wingdings" w:hAnsi="Wingdings" w:hint="default"/>
      </w:rPr>
    </w:lvl>
    <w:lvl w:ilvl="6" w:tplc="0C090001" w:tentative="1">
      <w:start w:val="1"/>
      <w:numFmt w:val="bullet"/>
      <w:lvlText w:val=""/>
      <w:lvlJc w:val="left"/>
      <w:pPr>
        <w:ind w:left="5230" w:hanging="360"/>
      </w:pPr>
      <w:rPr>
        <w:rFonts w:ascii="Symbol" w:hAnsi="Symbol" w:hint="default"/>
      </w:rPr>
    </w:lvl>
    <w:lvl w:ilvl="7" w:tplc="0C090003" w:tentative="1">
      <w:start w:val="1"/>
      <w:numFmt w:val="bullet"/>
      <w:lvlText w:val="o"/>
      <w:lvlJc w:val="left"/>
      <w:pPr>
        <w:ind w:left="5950" w:hanging="360"/>
      </w:pPr>
      <w:rPr>
        <w:rFonts w:ascii="Courier New" w:hAnsi="Courier New" w:cs="Courier New" w:hint="default"/>
      </w:rPr>
    </w:lvl>
    <w:lvl w:ilvl="8" w:tplc="0C090005" w:tentative="1">
      <w:start w:val="1"/>
      <w:numFmt w:val="bullet"/>
      <w:lvlText w:val=""/>
      <w:lvlJc w:val="left"/>
      <w:pPr>
        <w:ind w:left="6670" w:hanging="360"/>
      </w:pPr>
      <w:rPr>
        <w:rFonts w:ascii="Wingdings" w:hAnsi="Wingdings" w:hint="default"/>
      </w:rPr>
    </w:lvl>
  </w:abstractNum>
  <w:abstractNum w:abstractNumId="4" w15:restartNumberingAfterBreak="0">
    <w:nsid w:val="1C1A5583"/>
    <w:multiLevelType w:val="hybridMultilevel"/>
    <w:tmpl w:val="9A4A8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25029"/>
    <w:multiLevelType w:val="hybridMultilevel"/>
    <w:tmpl w:val="19228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673F4"/>
    <w:multiLevelType w:val="hybridMultilevel"/>
    <w:tmpl w:val="6EEE2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0151C8"/>
    <w:multiLevelType w:val="multilevel"/>
    <w:tmpl w:val="27AA0C2E"/>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right"/>
      <w:pPr>
        <w:tabs>
          <w:tab w:val="num" w:pos="1512"/>
        </w:tabs>
        <w:ind w:left="1512" w:hanging="504"/>
      </w:pPr>
      <w:rPr>
        <w:rFonts w:hint="default"/>
      </w:rPr>
    </w:lvl>
    <w:lvl w:ilvl="3">
      <w:start w:val="1"/>
      <w:numFmt w:val="decimal"/>
      <w:lvlText w:val="%4."/>
      <w:lvlJc w:val="left"/>
      <w:pPr>
        <w:tabs>
          <w:tab w:val="num" w:pos="2582"/>
        </w:tabs>
        <w:ind w:left="2016" w:hanging="504"/>
      </w:pPr>
      <w:rPr>
        <w:rFonts w:hint="default"/>
      </w:rPr>
    </w:lvl>
    <w:lvl w:ilvl="4">
      <w:start w:val="1"/>
      <w:numFmt w:val="lowerLetter"/>
      <w:lvlText w:val="%5."/>
      <w:lvlJc w:val="left"/>
      <w:pPr>
        <w:tabs>
          <w:tab w:val="num" w:pos="3086"/>
        </w:tabs>
        <w:ind w:left="2520" w:hanging="504"/>
      </w:pPr>
      <w:rPr>
        <w:rFonts w:hint="default"/>
      </w:rPr>
    </w:lvl>
    <w:lvl w:ilvl="5">
      <w:start w:val="1"/>
      <w:numFmt w:val="lowerRoman"/>
      <w:lvlText w:val="%6."/>
      <w:lvlJc w:val="right"/>
      <w:pPr>
        <w:tabs>
          <w:tab w:val="num" w:pos="3590"/>
        </w:tabs>
        <w:ind w:left="3024" w:hanging="504"/>
      </w:pPr>
      <w:rPr>
        <w:rFonts w:hint="default"/>
      </w:rPr>
    </w:lvl>
    <w:lvl w:ilvl="6">
      <w:start w:val="1"/>
      <w:numFmt w:val="decimal"/>
      <w:lvlText w:val="%7."/>
      <w:lvlJc w:val="left"/>
      <w:pPr>
        <w:tabs>
          <w:tab w:val="num" w:pos="4094"/>
        </w:tabs>
        <w:ind w:left="3528" w:hanging="504"/>
      </w:pPr>
      <w:rPr>
        <w:rFonts w:hint="default"/>
      </w:rPr>
    </w:lvl>
    <w:lvl w:ilvl="7">
      <w:start w:val="1"/>
      <w:numFmt w:val="lowerLetter"/>
      <w:lvlText w:val="%8."/>
      <w:lvlJc w:val="left"/>
      <w:pPr>
        <w:tabs>
          <w:tab w:val="num" w:pos="4598"/>
        </w:tabs>
        <w:ind w:left="4032" w:hanging="504"/>
      </w:pPr>
      <w:rPr>
        <w:rFonts w:hint="default"/>
      </w:rPr>
    </w:lvl>
    <w:lvl w:ilvl="8">
      <w:start w:val="1"/>
      <w:numFmt w:val="lowerRoman"/>
      <w:lvlText w:val="%9."/>
      <w:lvlJc w:val="right"/>
      <w:pPr>
        <w:tabs>
          <w:tab w:val="num" w:pos="5102"/>
        </w:tabs>
        <w:ind w:left="4536" w:hanging="504"/>
      </w:pPr>
      <w:rPr>
        <w:rFonts w:hint="default"/>
      </w:rPr>
    </w:lvl>
  </w:abstractNum>
  <w:abstractNum w:abstractNumId="9" w15:restartNumberingAfterBreak="0">
    <w:nsid w:val="2C631F58"/>
    <w:multiLevelType w:val="hybridMultilevel"/>
    <w:tmpl w:val="BF06C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A33D4D"/>
    <w:multiLevelType w:val="hybridMultilevel"/>
    <w:tmpl w:val="C6BCC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488E23E2"/>
    <w:multiLevelType w:val="hybridMultilevel"/>
    <w:tmpl w:val="B48C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C82F43"/>
    <w:multiLevelType w:val="hybridMultilevel"/>
    <w:tmpl w:val="91ACF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590777"/>
    <w:multiLevelType w:val="hybridMultilevel"/>
    <w:tmpl w:val="13643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1E0B1A"/>
    <w:multiLevelType w:val="hybridMultilevel"/>
    <w:tmpl w:val="9E3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E56D44"/>
    <w:multiLevelType w:val="hybridMultilevel"/>
    <w:tmpl w:val="3C0C20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AE83201"/>
    <w:multiLevelType w:val="hybridMultilevel"/>
    <w:tmpl w:val="40C8B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6A2E53"/>
    <w:multiLevelType w:val="hybridMultilevel"/>
    <w:tmpl w:val="28B04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BE1229"/>
    <w:multiLevelType w:val="hybridMultilevel"/>
    <w:tmpl w:val="CE2C0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1A67BB"/>
    <w:multiLevelType w:val="hybridMultilevel"/>
    <w:tmpl w:val="6F465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9B418D"/>
    <w:multiLevelType w:val="hybridMultilevel"/>
    <w:tmpl w:val="98102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4672D"/>
    <w:multiLevelType w:val="hybridMultilevel"/>
    <w:tmpl w:val="E502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A44C55"/>
    <w:multiLevelType w:val="hybridMultilevel"/>
    <w:tmpl w:val="4EEC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7E12E5"/>
    <w:multiLevelType w:val="hybridMultilevel"/>
    <w:tmpl w:val="A8B82154"/>
    <w:lvl w:ilvl="0" w:tplc="DB862236">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1"/>
  </w:num>
  <w:num w:numId="2">
    <w:abstractNumId w:val="11"/>
  </w:num>
  <w:num w:numId="3">
    <w:abstractNumId w:val="11"/>
  </w:num>
  <w:num w:numId="4">
    <w:abstractNumId w:val="25"/>
  </w:num>
  <w:num w:numId="5">
    <w:abstractNumId w:val="11"/>
  </w:num>
  <w:num w:numId="6">
    <w:abstractNumId w:val="11"/>
  </w:num>
  <w:num w:numId="7">
    <w:abstractNumId w:val="11"/>
  </w:num>
  <w:num w:numId="8">
    <w:abstractNumId w:val="11"/>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6"/>
  </w:num>
  <w:num w:numId="18">
    <w:abstractNumId w:val="6"/>
  </w:num>
  <w:num w:numId="19">
    <w:abstractNumId w:val="24"/>
  </w:num>
  <w:num w:numId="20">
    <w:abstractNumId w:val="0"/>
  </w:num>
  <w:num w:numId="21">
    <w:abstractNumId w:val="16"/>
  </w:num>
  <w:num w:numId="22">
    <w:abstractNumId w:val="9"/>
  </w:num>
  <w:num w:numId="23">
    <w:abstractNumId w:val="8"/>
  </w:num>
  <w:num w:numId="24">
    <w:abstractNumId w:val="21"/>
  </w:num>
  <w:num w:numId="25">
    <w:abstractNumId w:val="14"/>
  </w:num>
  <w:num w:numId="26">
    <w:abstractNumId w:val="22"/>
  </w:num>
  <w:num w:numId="27">
    <w:abstractNumId w:val="15"/>
  </w:num>
  <w:num w:numId="28">
    <w:abstractNumId w:val="2"/>
  </w:num>
  <w:num w:numId="29">
    <w:abstractNumId w:val="4"/>
  </w:num>
  <w:num w:numId="30">
    <w:abstractNumId w:val="11"/>
  </w:num>
  <w:num w:numId="31">
    <w:abstractNumId w:val="18"/>
  </w:num>
  <w:num w:numId="32">
    <w:abstractNumId w:val="23"/>
  </w:num>
  <w:num w:numId="33">
    <w:abstractNumId w:val="10"/>
  </w:num>
  <w:num w:numId="34">
    <w:abstractNumId w:val="11"/>
  </w:num>
  <w:num w:numId="35">
    <w:abstractNumId w:val="3"/>
  </w:num>
  <w:num w:numId="36">
    <w:abstractNumId w:val="1"/>
  </w:num>
  <w:num w:numId="37">
    <w:abstractNumId w:val="7"/>
  </w:num>
  <w:num w:numId="38">
    <w:abstractNumId w:val="19"/>
  </w:num>
  <w:num w:numId="39">
    <w:abstractNumId w:val="12"/>
  </w:num>
  <w:num w:numId="40">
    <w:abstractNumId w:val="17"/>
  </w:num>
  <w:num w:numId="41">
    <w:abstractNumId w:val="20"/>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DAF"/>
    <w:rsid w:val="0000076D"/>
    <w:rsid w:val="00001FB3"/>
    <w:rsid w:val="00006937"/>
    <w:rsid w:val="000070F0"/>
    <w:rsid w:val="00007921"/>
    <w:rsid w:val="00012F6F"/>
    <w:rsid w:val="00014213"/>
    <w:rsid w:val="00014B55"/>
    <w:rsid w:val="0001515F"/>
    <w:rsid w:val="0001599F"/>
    <w:rsid w:val="00020E3E"/>
    <w:rsid w:val="00023BF3"/>
    <w:rsid w:val="0002408B"/>
    <w:rsid w:val="0002680A"/>
    <w:rsid w:val="00026811"/>
    <w:rsid w:val="00026B32"/>
    <w:rsid w:val="00035F62"/>
    <w:rsid w:val="00041315"/>
    <w:rsid w:val="00042CD6"/>
    <w:rsid w:val="00043344"/>
    <w:rsid w:val="0004356D"/>
    <w:rsid w:val="00045296"/>
    <w:rsid w:val="000515AE"/>
    <w:rsid w:val="00052293"/>
    <w:rsid w:val="00052EEA"/>
    <w:rsid w:val="00054B00"/>
    <w:rsid w:val="00056DFF"/>
    <w:rsid w:val="00057B4B"/>
    <w:rsid w:val="00063926"/>
    <w:rsid w:val="00065120"/>
    <w:rsid w:val="00066B32"/>
    <w:rsid w:val="00067294"/>
    <w:rsid w:val="00067BE9"/>
    <w:rsid w:val="00071E9F"/>
    <w:rsid w:val="00073606"/>
    <w:rsid w:val="00075A98"/>
    <w:rsid w:val="00075E6C"/>
    <w:rsid w:val="000761ED"/>
    <w:rsid w:val="00077411"/>
    <w:rsid w:val="00080154"/>
    <w:rsid w:val="00080A04"/>
    <w:rsid w:val="00082A58"/>
    <w:rsid w:val="00094F6F"/>
    <w:rsid w:val="000958CB"/>
    <w:rsid w:val="00096141"/>
    <w:rsid w:val="000A4D21"/>
    <w:rsid w:val="000A4ED9"/>
    <w:rsid w:val="000B29AD"/>
    <w:rsid w:val="000B64D6"/>
    <w:rsid w:val="000B7293"/>
    <w:rsid w:val="000C2434"/>
    <w:rsid w:val="000C302D"/>
    <w:rsid w:val="000C6372"/>
    <w:rsid w:val="000C6643"/>
    <w:rsid w:val="000C6D2F"/>
    <w:rsid w:val="000D2584"/>
    <w:rsid w:val="000D2CB5"/>
    <w:rsid w:val="000D34DF"/>
    <w:rsid w:val="000D55B5"/>
    <w:rsid w:val="000E08D3"/>
    <w:rsid w:val="000E392D"/>
    <w:rsid w:val="000E4264"/>
    <w:rsid w:val="000E7610"/>
    <w:rsid w:val="000F4288"/>
    <w:rsid w:val="000F7165"/>
    <w:rsid w:val="00101A3E"/>
    <w:rsid w:val="00102379"/>
    <w:rsid w:val="00102DEB"/>
    <w:rsid w:val="001065D6"/>
    <w:rsid w:val="00106DFE"/>
    <w:rsid w:val="00107F92"/>
    <w:rsid w:val="00111699"/>
    <w:rsid w:val="00112262"/>
    <w:rsid w:val="001133F9"/>
    <w:rsid w:val="00113626"/>
    <w:rsid w:val="00113951"/>
    <w:rsid w:val="001147D6"/>
    <w:rsid w:val="00116208"/>
    <w:rsid w:val="00121252"/>
    <w:rsid w:val="001238D5"/>
    <w:rsid w:val="001240A4"/>
    <w:rsid w:val="00124609"/>
    <w:rsid w:val="00124F21"/>
    <w:rsid w:val="001254CE"/>
    <w:rsid w:val="001306CB"/>
    <w:rsid w:val="00130EC2"/>
    <w:rsid w:val="00131CC6"/>
    <w:rsid w:val="001345CD"/>
    <w:rsid w:val="00134B3A"/>
    <w:rsid w:val="00134C45"/>
    <w:rsid w:val="00134CEA"/>
    <w:rsid w:val="0013780D"/>
    <w:rsid w:val="001416DD"/>
    <w:rsid w:val="00141A73"/>
    <w:rsid w:val="001422CC"/>
    <w:rsid w:val="00142779"/>
    <w:rsid w:val="0014371A"/>
    <w:rsid w:val="0014382D"/>
    <w:rsid w:val="001439F1"/>
    <w:rsid w:val="0014422D"/>
    <w:rsid w:val="00147227"/>
    <w:rsid w:val="00147ECB"/>
    <w:rsid w:val="001501FD"/>
    <w:rsid w:val="0015423E"/>
    <w:rsid w:val="00154AB2"/>
    <w:rsid w:val="00155FA3"/>
    <w:rsid w:val="001571BA"/>
    <w:rsid w:val="001575BE"/>
    <w:rsid w:val="00157C9F"/>
    <w:rsid w:val="001617B6"/>
    <w:rsid w:val="001632D5"/>
    <w:rsid w:val="00163D6D"/>
    <w:rsid w:val="001658F9"/>
    <w:rsid w:val="00165E66"/>
    <w:rsid w:val="00166230"/>
    <w:rsid w:val="001672BC"/>
    <w:rsid w:val="001677F2"/>
    <w:rsid w:val="00172E97"/>
    <w:rsid w:val="00173CD6"/>
    <w:rsid w:val="00173F5E"/>
    <w:rsid w:val="00174C87"/>
    <w:rsid w:val="00175BAC"/>
    <w:rsid w:val="0018391B"/>
    <w:rsid w:val="00186016"/>
    <w:rsid w:val="001916EC"/>
    <w:rsid w:val="00191B1E"/>
    <w:rsid w:val="00192EBD"/>
    <w:rsid w:val="00193281"/>
    <w:rsid w:val="001934DD"/>
    <w:rsid w:val="001A0F35"/>
    <w:rsid w:val="001A274B"/>
    <w:rsid w:val="001A32EB"/>
    <w:rsid w:val="001A51F1"/>
    <w:rsid w:val="001A6393"/>
    <w:rsid w:val="001A6CA1"/>
    <w:rsid w:val="001A728C"/>
    <w:rsid w:val="001B0EC7"/>
    <w:rsid w:val="001B1306"/>
    <w:rsid w:val="001B315F"/>
    <w:rsid w:val="001B57CD"/>
    <w:rsid w:val="001C037F"/>
    <w:rsid w:val="001C4C3D"/>
    <w:rsid w:val="001C7BAE"/>
    <w:rsid w:val="001D2E12"/>
    <w:rsid w:val="001D79C6"/>
    <w:rsid w:val="001E0604"/>
    <w:rsid w:val="001E31FA"/>
    <w:rsid w:val="001E42BB"/>
    <w:rsid w:val="001E64F6"/>
    <w:rsid w:val="001E6EEB"/>
    <w:rsid w:val="001E70D1"/>
    <w:rsid w:val="001E7480"/>
    <w:rsid w:val="001F08AE"/>
    <w:rsid w:val="001F210E"/>
    <w:rsid w:val="001F66B4"/>
    <w:rsid w:val="001F7F09"/>
    <w:rsid w:val="00200545"/>
    <w:rsid w:val="002007FC"/>
    <w:rsid w:val="002022D0"/>
    <w:rsid w:val="00207ACC"/>
    <w:rsid w:val="00210EFE"/>
    <w:rsid w:val="002127A6"/>
    <w:rsid w:val="0021450C"/>
    <w:rsid w:val="002216EA"/>
    <w:rsid w:val="00221E41"/>
    <w:rsid w:val="00222135"/>
    <w:rsid w:val="00222BEB"/>
    <w:rsid w:val="002255FF"/>
    <w:rsid w:val="00225E60"/>
    <w:rsid w:val="00226861"/>
    <w:rsid w:val="00227768"/>
    <w:rsid w:val="00227907"/>
    <w:rsid w:val="0023202C"/>
    <w:rsid w:val="002334BC"/>
    <w:rsid w:val="00233BF6"/>
    <w:rsid w:val="00235E57"/>
    <w:rsid w:val="00236203"/>
    <w:rsid w:val="0023688D"/>
    <w:rsid w:val="00236CF7"/>
    <w:rsid w:val="00236D7B"/>
    <w:rsid w:val="00237232"/>
    <w:rsid w:val="002377A6"/>
    <w:rsid w:val="002414DF"/>
    <w:rsid w:val="0024246A"/>
    <w:rsid w:val="00242C1C"/>
    <w:rsid w:val="00243A2B"/>
    <w:rsid w:val="00245043"/>
    <w:rsid w:val="00250F0E"/>
    <w:rsid w:val="00254107"/>
    <w:rsid w:val="002542B6"/>
    <w:rsid w:val="00257760"/>
    <w:rsid w:val="00257AAC"/>
    <w:rsid w:val="00261E88"/>
    <w:rsid w:val="00262C8B"/>
    <w:rsid w:val="0026454D"/>
    <w:rsid w:val="002648D1"/>
    <w:rsid w:val="00265CF4"/>
    <w:rsid w:val="00266B18"/>
    <w:rsid w:val="00266FF8"/>
    <w:rsid w:val="00267238"/>
    <w:rsid w:val="002672AA"/>
    <w:rsid w:val="00267DA4"/>
    <w:rsid w:val="00270216"/>
    <w:rsid w:val="00280666"/>
    <w:rsid w:val="00283A04"/>
    <w:rsid w:val="002854CB"/>
    <w:rsid w:val="0028554C"/>
    <w:rsid w:val="00287722"/>
    <w:rsid w:val="0029265F"/>
    <w:rsid w:val="00292D36"/>
    <w:rsid w:val="00293983"/>
    <w:rsid w:val="00294557"/>
    <w:rsid w:val="00294558"/>
    <w:rsid w:val="00295511"/>
    <w:rsid w:val="00297033"/>
    <w:rsid w:val="00297281"/>
    <w:rsid w:val="002A6156"/>
    <w:rsid w:val="002A7979"/>
    <w:rsid w:val="002B16C9"/>
    <w:rsid w:val="002B53C2"/>
    <w:rsid w:val="002B67A7"/>
    <w:rsid w:val="002C0A0F"/>
    <w:rsid w:val="002C4A68"/>
    <w:rsid w:val="002C54E0"/>
    <w:rsid w:val="002C5CFE"/>
    <w:rsid w:val="002C7098"/>
    <w:rsid w:val="002C7C2B"/>
    <w:rsid w:val="002D00DD"/>
    <w:rsid w:val="002D284F"/>
    <w:rsid w:val="002D5DB2"/>
    <w:rsid w:val="002D711A"/>
    <w:rsid w:val="002D7336"/>
    <w:rsid w:val="002E3396"/>
    <w:rsid w:val="002F1AC0"/>
    <w:rsid w:val="002F3DD4"/>
    <w:rsid w:val="002F4102"/>
    <w:rsid w:val="002F4B16"/>
    <w:rsid w:val="002F55E4"/>
    <w:rsid w:val="002F60C9"/>
    <w:rsid w:val="002F7661"/>
    <w:rsid w:val="003043E0"/>
    <w:rsid w:val="003051C1"/>
    <w:rsid w:val="0030791B"/>
    <w:rsid w:val="0031149C"/>
    <w:rsid w:val="00311811"/>
    <w:rsid w:val="0031322E"/>
    <w:rsid w:val="00313DF9"/>
    <w:rsid w:val="00314EDB"/>
    <w:rsid w:val="00320E10"/>
    <w:rsid w:val="00322129"/>
    <w:rsid w:val="00326A03"/>
    <w:rsid w:val="00330437"/>
    <w:rsid w:val="00330C40"/>
    <w:rsid w:val="003314E7"/>
    <w:rsid w:val="003363B9"/>
    <w:rsid w:val="00340A71"/>
    <w:rsid w:val="0034496E"/>
    <w:rsid w:val="003458F0"/>
    <w:rsid w:val="00350284"/>
    <w:rsid w:val="0035059E"/>
    <w:rsid w:val="003542B9"/>
    <w:rsid w:val="003550CF"/>
    <w:rsid w:val="00355864"/>
    <w:rsid w:val="00355FFB"/>
    <w:rsid w:val="00362A32"/>
    <w:rsid w:val="003655FB"/>
    <w:rsid w:val="0036743A"/>
    <w:rsid w:val="00367FCB"/>
    <w:rsid w:val="00370380"/>
    <w:rsid w:val="00371863"/>
    <w:rsid w:val="00372D89"/>
    <w:rsid w:val="00373E8B"/>
    <w:rsid w:val="003756B8"/>
    <w:rsid w:val="00375D18"/>
    <w:rsid w:val="003768B3"/>
    <w:rsid w:val="00377B38"/>
    <w:rsid w:val="00380C9E"/>
    <w:rsid w:val="00381AC2"/>
    <w:rsid w:val="0038220A"/>
    <w:rsid w:val="00383180"/>
    <w:rsid w:val="0038610D"/>
    <w:rsid w:val="00386701"/>
    <w:rsid w:val="00386BC1"/>
    <w:rsid w:val="0038771C"/>
    <w:rsid w:val="0039405B"/>
    <w:rsid w:val="00397A77"/>
    <w:rsid w:val="00397E96"/>
    <w:rsid w:val="003A075E"/>
    <w:rsid w:val="003A1C92"/>
    <w:rsid w:val="003A1C96"/>
    <w:rsid w:val="003A541A"/>
    <w:rsid w:val="003A5516"/>
    <w:rsid w:val="003A6923"/>
    <w:rsid w:val="003A6D63"/>
    <w:rsid w:val="003A6FA3"/>
    <w:rsid w:val="003A73B0"/>
    <w:rsid w:val="003A73CB"/>
    <w:rsid w:val="003B1B6A"/>
    <w:rsid w:val="003B73C7"/>
    <w:rsid w:val="003C12DC"/>
    <w:rsid w:val="003C2323"/>
    <w:rsid w:val="003C2C67"/>
    <w:rsid w:val="003C5BA4"/>
    <w:rsid w:val="003C5E30"/>
    <w:rsid w:val="003C63E3"/>
    <w:rsid w:val="003C7148"/>
    <w:rsid w:val="003D1463"/>
    <w:rsid w:val="003D1CDE"/>
    <w:rsid w:val="003D62BA"/>
    <w:rsid w:val="003E1143"/>
    <w:rsid w:val="003E125D"/>
    <w:rsid w:val="003E1F2A"/>
    <w:rsid w:val="003E3E26"/>
    <w:rsid w:val="003F0E47"/>
    <w:rsid w:val="003F1295"/>
    <w:rsid w:val="003F1C34"/>
    <w:rsid w:val="003F24B1"/>
    <w:rsid w:val="003F281B"/>
    <w:rsid w:val="003F38A0"/>
    <w:rsid w:val="003F393C"/>
    <w:rsid w:val="003F4403"/>
    <w:rsid w:val="003F59F7"/>
    <w:rsid w:val="003F67BF"/>
    <w:rsid w:val="003F6E39"/>
    <w:rsid w:val="003F76FC"/>
    <w:rsid w:val="00400089"/>
    <w:rsid w:val="004002EB"/>
    <w:rsid w:val="004013A7"/>
    <w:rsid w:val="00404C6D"/>
    <w:rsid w:val="00405185"/>
    <w:rsid w:val="004100D5"/>
    <w:rsid w:val="0041052F"/>
    <w:rsid w:val="0041201F"/>
    <w:rsid w:val="0041286E"/>
    <w:rsid w:val="004135E5"/>
    <w:rsid w:val="0041689E"/>
    <w:rsid w:val="00417AD5"/>
    <w:rsid w:val="004229CB"/>
    <w:rsid w:val="00423235"/>
    <w:rsid w:val="004236C8"/>
    <w:rsid w:val="00424AA0"/>
    <w:rsid w:val="00425ECF"/>
    <w:rsid w:val="00426AAE"/>
    <w:rsid w:val="00427681"/>
    <w:rsid w:val="00431935"/>
    <w:rsid w:val="00431EC3"/>
    <w:rsid w:val="00433DB7"/>
    <w:rsid w:val="0043634D"/>
    <w:rsid w:val="004413BB"/>
    <w:rsid w:val="00441B95"/>
    <w:rsid w:val="00446463"/>
    <w:rsid w:val="00446C71"/>
    <w:rsid w:val="00453750"/>
    <w:rsid w:val="00456941"/>
    <w:rsid w:val="004636B4"/>
    <w:rsid w:val="0046684C"/>
    <w:rsid w:val="004669E3"/>
    <w:rsid w:val="004702EA"/>
    <w:rsid w:val="0047712B"/>
    <w:rsid w:val="00480265"/>
    <w:rsid w:val="00481D97"/>
    <w:rsid w:val="00482D02"/>
    <w:rsid w:val="00483C0A"/>
    <w:rsid w:val="00484E77"/>
    <w:rsid w:val="0048799A"/>
    <w:rsid w:val="00491983"/>
    <w:rsid w:val="004976A3"/>
    <w:rsid w:val="004A245A"/>
    <w:rsid w:val="004A2D2F"/>
    <w:rsid w:val="004A7519"/>
    <w:rsid w:val="004B14FA"/>
    <w:rsid w:val="004B24DC"/>
    <w:rsid w:val="004B2852"/>
    <w:rsid w:val="004B4303"/>
    <w:rsid w:val="004B4447"/>
    <w:rsid w:val="004B46A1"/>
    <w:rsid w:val="004B51E9"/>
    <w:rsid w:val="004B51EA"/>
    <w:rsid w:val="004B56F2"/>
    <w:rsid w:val="004B7334"/>
    <w:rsid w:val="004C2793"/>
    <w:rsid w:val="004C2BD8"/>
    <w:rsid w:val="004C2F8E"/>
    <w:rsid w:val="004C3780"/>
    <w:rsid w:val="004C38D0"/>
    <w:rsid w:val="004C3B4B"/>
    <w:rsid w:val="004C56AE"/>
    <w:rsid w:val="004C634C"/>
    <w:rsid w:val="004D3518"/>
    <w:rsid w:val="004D426D"/>
    <w:rsid w:val="004D5969"/>
    <w:rsid w:val="004D5EE7"/>
    <w:rsid w:val="004D62D6"/>
    <w:rsid w:val="004E0741"/>
    <w:rsid w:val="004E2644"/>
    <w:rsid w:val="004E3C16"/>
    <w:rsid w:val="004E4717"/>
    <w:rsid w:val="004E4918"/>
    <w:rsid w:val="004E64D8"/>
    <w:rsid w:val="004F0472"/>
    <w:rsid w:val="004F2985"/>
    <w:rsid w:val="004F4ABA"/>
    <w:rsid w:val="004F55D3"/>
    <w:rsid w:val="004F613C"/>
    <w:rsid w:val="004F6FF5"/>
    <w:rsid w:val="004F708F"/>
    <w:rsid w:val="005056B1"/>
    <w:rsid w:val="00506E2C"/>
    <w:rsid w:val="0050705C"/>
    <w:rsid w:val="0051091B"/>
    <w:rsid w:val="00510DBB"/>
    <w:rsid w:val="005137DB"/>
    <w:rsid w:val="00513BCE"/>
    <w:rsid w:val="00514DA1"/>
    <w:rsid w:val="00515024"/>
    <w:rsid w:val="00525B18"/>
    <w:rsid w:val="00531158"/>
    <w:rsid w:val="005331E3"/>
    <w:rsid w:val="0053416C"/>
    <w:rsid w:val="0053539E"/>
    <w:rsid w:val="00536054"/>
    <w:rsid w:val="00537675"/>
    <w:rsid w:val="00541C2F"/>
    <w:rsid w:val="005425EE"/>
    <w:rsid w:val="00543AF1"/>
    <w:rsid w:val="005442FE"/>
    <w:rsid w:val="00545666"/>
    <w:rsid w:val="005461F2"/>
    <w:rsid w:val="0054680E"/>
    <w:rsid w:val="005506BF"/>
    <w:rsid w:val="0055127B"/>
    <w:rsid w:val="00553AE6"/>
    <w:rsid w:val="005603AC"/>
    <w:rsid w:val="00562E74"/>
    <w:rsid w:val="00562EDE"/>
    <w:rsid w:val="00563527"/>
    <w:rsid w:val="00564099"/>
    <w:rsid w:val="00566EC1"/>
    <w:rsid w:val="005670CC"/>
    <w:rsid w:val="005713BD"/>
    <w:rsid w:val="0057389E"/>
    <w:rsid w:val="00573EF0"/>
    <w:rsid w:val="005740A6"/>
    <w:rsid w:val="005749F2"/>
    <w:rsid w:val="00577054"/>
    <w:rsid w:val="00577E1C"/>
    <w:rsid w:val="0058124E"/>
    <w:rsid w:val="00584301"/>
    <w:rsid w:val="0058744B"/>
    <w:rsid w:val="005875A3"/>
    <w:rsid w:val="00587621"/>
    <w:rsid w:val="00592CF8"/>
    <w:rsid w:val="005930A0"/>
    <w:rsid w:val="00594DAC"/>
    <w:rsid w:val="00595DF0"/>
    <w:rsid w:val="00596F82"/>
    <w:rsid w:val="005A15BF"/>
    <w:rsid w:val="005A234C"/>
    <w:rsid w:val="005A2379"/>
    <w:rsid w:val="005A323F"/>
    <w:rsid w:val="005A3416"/>
    <w:rsid w:val="005A6E7F"/>
    <w:rsid w:val="005A71DE"/>
    <w:rsid w:val="005B27FE"/>
    <w:rsid w:val="005B3B9F"/>
    <w:rsid w:val="005B469A"/>
    <w:rsid w:val="005B5113"/>
    <w:rsid w:val="005B5DA7"/>
    <w:rsid w:val="005C007D"/>
    <w:rsid w:val="005C0366"/>
    <w:rsid w:val="005C1096"/>
    <w:rsid w:val="005C3E6D"/>
    <w:rsid w:val="005C4C28"/>
    <w:rsid w:val="005C5671"/>
    <w:rsid w:val="005C6219"/>
    <w:rsid w:val="005C6BBF"/>
    <w:rsid w:val="005C7591"/>
    <w:rsid w:val="005C7D3D"/>
    <w:rsid w:val="005D09A9"/>
    <w:rsid w:val="005D26E4"/>
    <w:rsid w:val="005E15E9"/>
    <w:rsid w:val="005E45C1"/>
    <w:rsid w:val="005E4A9F"/>
    <w:rsid w:val="005E62C7"/>
    <w:rsid w:val="005E696D"/>
    <w:rsid w:val="005E6AE4"/>
    <w:rsid w:val="005F0B6F"/>
    <w:rsid w:val="005F13D1"/>
    <w:rsid w:val="005F2DD4"/>
    <w:rsid w:val="005F5CA5"/>
    <w:rsid w:val="005F61DF"/>
    <w:rsid w:val="005F71A1"/>
    <w:rsid w:val="00600C61"/>
    <w:rsid w:val="006019B4"/>
    <w:rsid w:val="006023F9"/>
    <w:rsid w:val="00602FF3"/>
    <w:rsid w:val="006032E3"/>
    <w:rsid w:val="00605A24"/>
    <w:rsid w:val="00610559"/>
    <w:rsid w:val="0061493C"/>
    <w:rsid w:val="006170FF"/>
    <w:rsid w:val="00620529"/>
    <w:rsid w:val="00622A01"/>
    <w:rsid w:val="0062386E"/>
    <w:rsid w:val="006258F5"/>
    <w:rsid w:val="00632BFD"/>
    <w:rsid w:val="00633201"/>
    <w:rsid w:val="006332F6"/>
    <w:rsid w:val="00633DF0"/>
    <w:rsid w:val="00633E07"/>
    <w:rsid w:val="006348D0"/>
    <w:rsid w:val="006361E7"/>
    <w:rsid w:val="00636331"/>
    <w:rsid w:val="00637BD2"/>
    <w:rsid w:val="00637E3A"/>
    <w:rsid w:val="0064107D"/>
    <w:rsid w:val="0064151C"/>
    <w:rsid w:val="00643247"/>
    <w:rsid w:val="0064653C"/>
    <w:rsid w:val="00652625"/>
    <w:rsid w:val="0065280B"/>
    <w:rsid w:val="006534B2"/>
    <w:rsid w:val="006535B0"/>
    <w:rsid w:val="00656156"/>
    <w:rsid w:val="0065615D"/>
    <w:rsid w:val="00656D9F"/>
    <w:rsid w:val="00657011"/>
    <w:rsid w:val="00664239"/>
    <w:rsid w:val="006650B5"/>
    <w:rsid w:val="006651B1"/>
    <w:rsid w:val="00665778"/>
    <w:rsid w:val="00674577"/>
    <w:rsid w:val="0067564B"/>
    <w:rsid w:val="00676306"/>
    <w:rsid w:val="00677BD0"/>
    <w:rsid w:val="006826D1"/>
    <w:rsid w:val="0068319A"/>
    <w:rsid w:val="00683BEB"/>
    <w:rsid w:val="006848D1"/>
    <w:rsid w:val="00684CE5"/>
    <w:rsid w:val="00687FB4"/>
    <w:rsid w:val="00691C7E"/>
    <w:rsid w:val="00692A23"/>
    <w:rsid w:val="00694991"/>
    <w:rsid w:val="00696B6F"/>
    <w:rsid w:val="00697F0C"/>
    <w:rsid w:val="006A1220"/>
    <w:rsid w:val="006A492B"/>
    <w:rsid w:val="006A5B34"/>
    <w:rsid w:val="006A5F5B"/>
    <w:rsid w:val="006B1484"/>
    <w:rsid w:val="006B1A99"/>
    <w:rsid w:val="006B565E"/>
    <w:rsid w:val="006B7224"/>
    <w:rsid w:val="006C2651"/>
    <w:rsid w:val="006C2BEA"/>
    <w:rsid w:val="006C42AC"/>
    <w:rsid w:val="006C4A88"/>
    <w:rsid w:val="006C5A51"/>
    <w:rsid w:val="006C600F"/>
    <w:rsid w:val="006C6C95"/>
    <w:rsid w:val="006C77A9"/>
    <w:rsid w:val="006C7AA2"/>
    <w:rsid w:val="006D0991"/>
    <w:rsid w:val="006D1B9F"/>
    <w:rsid w:val="006D1EED"/>
    <w:rsid w:val="006D7C46"/>
    <w:rsid w:val="006E077D"/>
    <w:rsid w:val="006E6E6B"/>
    <w:rsid w:val="006F074C"/>
    <w:rsid w:val="006F1234"/>
    <w:rsid w:val="006F17B7"/>
    <w:rsid w:val="006F3CD6"/>
    <w:rsid w:val="006F46C2"/>
    <w:rsid w:val="006F46E1"/>
    <w:rsid w:val="006F50A0"/>
    <w:rsid w:val="006F6693"/>
    <w:rsid w:val="006F7A24"/>
    <w:rsid w:val="006F7B96"/>
    <w:rsid w:val="00701955"/>
    <w:rsid w:val="00707FE8"/>
    <w:rsid w:val="007124CA"/>
    <w:rsid w:val="00713DA8"/>
    <w:rsid w:val="0071531C"/>
    <w:rsid w:val="0071675B"/>
    <w:rsid w:val="0071698E"/>
    <w:rsid w:val="00716B49"/>
    <w:rsid w:val="00717D4F"/>
    <w:rsid w:val="007213E5"/>
    <w:rsid w:val="00721480"/>
    <w:rsid w:val="007243B4"/>
    <w:rsid w:val="00724962"/>
    <w:rsid w:val="00724A0F"/>
    <w:rsid w:val="0072556B"/>
    <w:rsid w:val="00727E0A"/>
    <w:rsid w:val="007320B4"/>
    <w:rsid w:val="007320E5"/>
    <w:rsid w:val="00732162"/>
    <w:rsid w:val="00734E09"/>
    <w:rsid w:val="00734F2B"/>
    <w:rsid w:val="00736732"/>
    <w:rsid w:val="0073796C"/>
    <w:rsid w:val="007407C3"/>
    <w:rsid w:val="007446DE"/>
    <w:rsid w:val="00745BDA"/>
    <w:rsid w:val="0074664F"/>
    <w:rsid w:val="0074745D"/>
    <w:rsid w:val="00750CBE"/>
    <w:rsid w:val="00751323"/>
    <w:rsid w:val="00751EDD"/>
    <w:rsid w:val="00751FF0"/>
    <w:rsid w:val="00752666"/>
    <w:rsid w:val="00752A42"/>
    <w:rsid w:val="0075384F"/>
    <w:rsid w:val="00754BA6"/>
    <w:rsid w:val="00754E8C"/>
    <w:rsid w:val="007613C7"/>
    <w:rsid w:val="0076389A"/>
    <w:rsid w:val="00763FBD"/>
    <w:rsid w:val="00764F99"/>
    <w:rsid w:val="0076546B"/>
    <w:rsid w:val="00766B5A"/>
    <w:rsid w:val="00772AD2"/>
    <w:rsid w:val="007744D7"/>
    <w:rsid w:val="007751F5"/>
    <w:rsid w:val="007800B3"/>
    <w:rsid w:val="007813C5"/>
    <w:rsid w:val="00782EF3"/>
    <w:rsid w:val="007834F2"/>
    <w:rsid w:val="007835EC"/>
    <w:rsid w:val="00783A9A"/>
    <w:rsid w:val="00784753"/>
    <w:rsid w:val="00784E8D"/>
    <w:rsid w:val="00791020"/>
    <w:rsid w:val="00792939"/>
    <w:rsid w:val="0079326A"/>
    <w:rsid w:val="0079575E"/>
    <w:rsid w:val="00796559"/>
    <w:rsid w:val="0079728A"/>
    <w:rsid w:val="007A01CB"/>
    <w:rsid w:val="007A238A"/>
    <w:rsid w:val="007A5F82"/>
    <w:rsid w:val="007A7C1E"/>
    <w:rsid w:val="007B2DE8"/>
    <w:rsid w:val="007B2E7C"/>
    <w:rsid w:val="007B6A10"/>
    <w:rsid w:val="007C0352"/>
    <w:rsid w:val="007C109B"/>
    <w:rsid w:val="007C171F"/>
    <w:rsid w:val="007C27EC"/>
    <w:rsid w:val="007C372D"/>
    <w:rsid w:val="007C4121"/>
    <w:rsid w:val="007C504F"/>
    <w:rsid w:val="007C5689"/>
    <w:rsid w:val="007D0F7B"/>
    <w:rsid w:val="007D2078"/>
    <w:rsid w:val="007D3A9F"/>
    <w:rsid w:val="007D6A71"/>
    <w:rsid w:val="007D7025"/>
    <w:rsid w:val="007E10C8"/>
    <w:rsid w:val="007E3216"/>
    <w:rsid w:val="007E4441"/>
    <w:rsid w:val="007E514F"/>
    <w:rsid w:val="007E5987"/>
    <w:rsid w:val="007E781E"/>
    <w:rsid w:val="007E797A"/>
    <w:rsid w:val="007F01E2"/>
    <w:rsid w:val="007F04DD"/>
    <w:rsid w:val="007F1A4C"/>
    <w:rsid w:val="007F2FA5"/>
    <w:rsid w:val="007F42C3"/>
    <w:rsid w:val="007F76C0"/>
    <w:rsid w:val="008022C3"/>
    <w:rsid w:val="0080289A"/>
    <w:rsid w:val="00803EA8"/>
    <w:rsid w:val="008041E6"/>
    <w:rsid w:val="00804611"/>
    <w:rsid w:val="00806529"/>
    <w:rsid w:val="008065D2"/>
    <w:rsid w:val="0080710C"/>
    <w:rsid w:val="008078C6"/>
    <w:rsid w:val="00811928"/>
    <w:rsid w:val="00812638"/>
    <w:rsid w:val="00812B90"/>
    <w:rsid w:val="00812BD4"/>
    <w:rsid w:val="0081651C"/>
    <w:rsid w:val="0081775C"/>
    <w:rsid w:val="008179E5"/>
    <w:rsid w:val="00817B8F"/>
    <w:rsid w:val="00820493"/>
    <w:rsid w:val="0082194C"/>
    <w:rsid w:val="008220C4"/>
    <w:rsid w:val="008222FF"/>
    <w:rsid w:val="008241FF"/>
    <w:rsid w:val="00824E25"/>
    <w:rsid w:val="00825D39"/>
    <w:rsid w:val="00827D29"/>
    <w:rsid w:val="00827FCC"/>
    <w:rsid w:val="00830851"/>
    <w:rsid w:val="00831E8C"/>
    <w:rsid w:val="00835C1F"/>
    <w:rsid w:val="00835E74"/>
    <w:rsid w:val="0083682F"/>
    <w:rsid w:val="0084094F"/>
    <w:rsid w:val="00840EA0"/>
    <w:rsid w:val="008411E9"/>
    <w:rsid w:val="00841317"/>
    <w:rsid w:val="008413E5"/>
    <w:rsid w:val="0084200F"/>
    <w:rsid w:val="00843B2C"/>
    <w:rsid w:val="00844502"/>
    <w:rsid w:val="00844647"/>
    <w:rsid w:val="0085123C"/>
    <w:rsid w:val="0085145C"/>
    <w:rsid w:val="00853532"/>
    <w:rsid w:val="0085477B"/>
    <w:rsid w:val="0085765C"/>
    <w:rsid w:val="008617E5"/>
    <w:rsid w:val="00864F3E"/>
    <w:rsid w:val="00871568"/>
    <w:rsid w:val="008726FD"/>
    <w:rsid w:val="00872AC3"/>
    <w:rsid w:val="00873B75"/>
    <w:rsid w:val="00873C2B"/>
    <w:rsid w:val="00874080"/>
    <w:rsid w:val="00874C8C"/>
    <w:rsid w:val="008757E7"/>
    <w:rsid w:val="00875BDC"/>
    <w:rsid w:val="00891BEC"/>
    <w:rsid w:val="008932B6"/>
    <w:rsid w:val="00895A8C"/>
    <w:rsid w:val="00895C1F"/>
    <w:rsid w:val="00895C7E"/>
    <w:rsid w:val="008A3B15"/>
    <w:rsid w:val="008A4900"/>
    <w:rsid w:val="008A6846"/>
    <w:rsid w:val="008A6C29"/>
    <w:rsid w:val="008B053E"/>
    <w:rsid w:val="008B3C19"/>
    <w:rsid w:val="008B3E8E"/>
    <w:rsid w:val="008B489B"/>
    <w:rsid w:val="008B6950"/>
    <w:rsid w:val="008B70D6"/>
    <w:rsid w:val="008C173D"/>
    <w:rsid w:val="008C194F"/>
    <w:rsid w:val="008C37C6"/>
    <w:rsid w:val="008C4D09"/>
    <w:rsid w:val="008C6698"/>
    <w:rsid w:val="008C7675"/>
    <w:rsid w:val="008C781D"/>
    <w:rsid w:val="008D0281"/>
    <w:rsid w:val="008D1C83"/>
    <w:rsid w:val="008D3290"/>
    <w:rsid w:val="008D6059"/>
    <w:rsid w:val="008E0A48"/>
    <w:rsid w:val="008E1BC5"/>
    <w:rsid w:val="008E26AA"/>
    <w:rsid w:val="008E3C4E"/>
    <w:rsid w:val="008E5C8B"/>
    <w:rsid w:val="008E6FD4"/>
    <w:rsid w:val="008E7463"/>
    <w:rsid w:val="008E7FE0"/>
    <w:rsid w:val="008F2D4B"/>
    <w:rsid w:val="008F546A"/>
    <w:rsid w:val="008F6513"/>
    <w:rsid w:val="008F69BB"/>
    <w:rsid w:val="008F6D45"/>
    <w:rsid w:val="009024BC"/>
    <w:rsid w:val="00903C75"/>
    <w:rsid w:val="0090585D"/>
    <w:rsid w:val="00905BEB"/>
    <w:rsid w:val="00906D03"/>
    <w:rsid w:val="009076BD"/>
    <w:rsid w:val="009100A9"/>
    <w:rsid w:val="00910360"/>
    <w:rsid w:val="0091094E"/>
    <w:rsid w:val="009134E3"/>
    <w:rsid w:val="00913752"/>
    <w:rsid w:val="009142E0"/>
    <w:rsid w:val="00914478"/>
    <w:rsid w:val="009163C2"/>
    <w:rsid w:val="00917652"/>
    <w:rsid w:val="00917A72"/>
    <w:rsid w:val="009203B8"/>
    <w:rsid w:val="009204BA"/>
    <w:rsid w:val="0092476E"/>
    <w:rsid w:val="009306FA"/>
    <w:rsid w:val="00930A86"/>
    <w:rsid w:val="00932990"/>
    <w:rsid w:val="00933C87"/>
    <w:rsid w:val="0093475D"/>
    <w:rsid w:val="0093501B"/>
    <w:rsid w:val="00935435"/>
    <w:rsid w:val="009401E4"/>
    <w:rsid w:val="0094081C"/>
    <w:rsid w:val="00941B26"/>
    <w:rsid w:val="00942623"/>
    <w:rsid w:val="00942D58"/>
    <w:rsid w:val="00943D12"/>
    <w:rsid w:val="009455DC"/>
    <w:rsid w:val="0095090A"/>
    <w:rsid w:val="009513CE"/>
    <w:rsid w:val="00955547"/>
    <w:rsid w:val="00955BB0"/>
    <w:rsid w:val="00956D7F"/>
    <w:rsid w:val="009622B2"/>
    <w:rsid w:val="00962F88"/>
    <w:rsid w:val="0096308E"/>
    <w:rsid w:val="00970978"/>
    <w:rsid w:val="00970AD7"/>
    <w:rsid w:val="00970DC7"/>
    <w:rsid w:val="00972CBD"/>
    <w:rsid w:val="009731E9"/>
    <w:rsid w:val="0097743E"/>
    <w:rsid w:val="009805E3"/>
    <w:rsid w:val="00982EFF"/>
    <w:rsid w:val="009834C0"/>
    <w:rsid w:val="00985C25"/>
    <w:rsid w:val="00986AAC"/>
    <w:rsid w:val="00986DAF"/>
    <w:rsid w:val="00986E93"/>
    <w:rsid w:val="00987D4B"/>
    <w:rsid w:val="009901A2"/>
    <w:rsid w:val="0099048E"/>
    <w:rsid w:val="00991B35"/>
    <w:rsid w:val="00992E18"/>
    <w:rsid w:val="009943AF"/>
    <w:rsid w:val="00994CE1"/>
    <w:rsid w:val="009964F2"/>
    <w:rsid w:val="009A1028"/>
    <w:rsid w:val="009A1DA2"/>
    <w:rsid w:val="009A3704"/>
    <w:rsid w:val="009A383F"/>
    <w:rsid w:val="009A4739"/>
    <w:rsid w:val="009A5573"/>
    <w:rsid w:val="009A6177"/>
    <w:rsid w:val="009A674F"/>
    <w:rsid w:val="009A6A3D"/>
    <w:rsid w:val="009B1238"/>
    <w:rsid w:val="009B199C"/>
    <w:rsid w:val="009B2AAA"/>
    <w:rsid w:val="009B54C8"/>
    <w:rsid w:val="009B61F1"/>
    <w:rsid w:val="009B62E0"/>
    <w:rsid w:val="009B727C"/>
    <w:rsid w:val="009C0C58"/>
    <w:rsid w:val="009C3D88"/>
    <w:rsid w:val="009C3E5C"/>
    <w:rsid w:val="009C3E90"/>
    <w:rsid w:val="009D0240"/>
    <w:rsid w:val="009D45A1"/>
    <w:rsid w:val="009D6513"/>
    <w:rsid w:val="009D652F"/>
    <w:rsid w:val="009E05A9"/>
    <w:rsid w:val="009E0800"/>
    <w:rsid w:val="009E1897"/>
    <w:rsid w:val="009E2E79"/>
    <w:rsid w:val="009E32B1"/>
    <w:rsid w:val="009E3858"/>
    <w:rsid w:val="009E4573"/>
    <w:rsid w:val="009E5B9E"/>
    <w:rsid w:val="009E6D1D"/>
    <w:rsid w:val="009E70DD"/>
    <w:rsid w:val="009F2ED9"/>
    <w:rsid w:val="009F3231"/>
    <w:rsid w:val="009F5C58"/>
    <w:rsid w:val="009F7DFF"/>
    <w:rsid w:val="00A023A0"/>
    <w:rsid w:val="00A036AA"/>
    <w:rsid w:val="00A03C9E"/>
    <w:rsid w:val="00A03DD5"/>
    <w:rsid w:val="00A0679C"/>
    <w:rsid w:val="00A075B0"/>
    <w:rsid w:val="00A10C50"/>
    <w:rsid w:val="00A128FC"/>
    <w:rsid w:val="00A130E7"/>
    <w:rsid w:val="00A14BF5"/>
    <w:rsid w:val="00A1562B"/>
    <w:rsid w:val="00A170F4"/>
    <w:rsid w:val="00A21D12"/>
    <w:rsid w:val="00A22192"/>
    <w:rsid w:val="00A22A4E"/>
    <w:rsid w:val="00A2377C"/>
    <w:rsid w:val="00A2559E"/>
    <w:rsid w:val="00A25FD9"/>
    <w:rsid w:val="00A3229D"/>
    <w:rsid w:val="00A32D57"/>
    <w:rsid w:val="00A36C09"/>
    <w:rsid w:val="00A425FB"/>
    <w:rsid w:val="00A42D89"/>
    <w:rsid w:val="00A42E21"/>
    <w:rsid w:val="00A44BF5"/>
    <w:rsid w:val="00A46492"/>
    <w:rsid w:val="00A4669B"/>
    <w:rsid w:val="00A46BA8"/>
    <w:rsid w:val="00A47634"/>
    <w:rsid w:val="00A50912"/>
    <w:rsid w:val="00A51B74"/>
    <w:rsid w:val="00A5515A"/>
    <w:rsid w:val="00A562FA"/>
    <w:rsid w:val="00A56587"/>
    <w:rsid w:val="00A566F0"/>
    <w:rsid w:val="00A60DC8"/>
    <w:rsid w:val="00A612FE"/>
    <w:rsid w:val="00A6455E"/>
    <w:rsid w:val="00A65350"/>
    <w:rsid w:val="00A65D80"/>
    <w:rsid w:val="00A66B00"/>
    <w:rsid w:val="00A67C1C"/>
    <w:rsid w:val="00A70696"/>
    <w:rsid w:val="00A7205A"/>
    <w:rsid w:val="00A746C7"/>
    <w:rsid w:val="00A82D0F"/>
    <w:rsid w:val="00A83A6F"/>
    <w:rsid w:val="00A83C4E"/>
    <w:rsid w:val="00A8445D"/>
    <w:rsid w:val="00A84D6B"/>
    <w:rsid w:val="00A91BCF"/>
    <w:rsid w:val="00A93772"/>
    <w:rsid w:val="00A93FD8"/>
    <w:rsid w:val="00A955A3"/>
    <w:rsid w:val="00A97C75"/>
    <w:rsid w:val="00AA03E9"/>
    <w:rsid w:val="00AA06A9"/>
    <w:rsid w:val="00AA0D7D"/>
    <w:rsid w:val="00AA18F9"/>
    <w:rsid w:val="00AA23F0"/>
    <w:rsid w:val="00AA26B8"/>
    <w:rsid w:val="00AA7BD9"/>
    <w:rsid w:val="00AB1C85"/>
    <w:rsid w:val="00AB3FE2"/>
    <w:rsid w:val="00AB512C"/>
    <w:rsid w:val="00AB7306"/>
    <w:rsid w:val="00AB7EA0"/>
    <w:rsid w:val="00AC1FF9"/>
    <w:rsid w:val="00AC2076"/>
    <w:rsid w:val="00AC3A1E"/>
    <w:rsid w:val="00AC432D"/>
    <w:rsid w:val="00AC7A52"/>
    <w:rsid w:val="00AD2403"/>
    <w:rsid w:val="00AD3322"/>
    <w:rsid w:val="00AD5CD5"/>
    <w:rsid w:val="00AD695A"/>
    <w:rsid w:val="00AD6EC7"/>
    <w:rsid w:val="00AD7864"/>
    <w:rsid w:val="00AD7886"/>
    <w:rsid w:val="00AD7E4E"/>
    <w:rsid w:val="00AD7E7A"/>
    <w:rsid w:val="00AE012E"/>
    <w:rsid w:val="00AE20EB"/>
    <w:rsid w:val="00AE245F"/>
    <w:rsid w:val="00AE7978"/>
    <w:rsid w:val="00AF1112"/>
    <w:rsid w:val="00AF1795"/>
    <w:rsid w:val="00AF1EF7"/>
    <w:rsid w:val="00AF4D58"/>
    <w:rsid w:val="00AF6666"/>
    <w:rsid w:val="00B00B15"/>
    <w:rsid w:val="00B017B8"/>
    <w:rsid w:val="00B04449"/>
    <w:rsid w:val="00B0483D"/>
    <w:rsid w:val="00B04F2C"/>
    <w:rsid w:val="00B10154"/>
    <w:rsid w:val="00B10A01"/>
    <w:rsid w:val="00B1234D"/>
    <w:rsid w:val="00B1324A"/>
    <w:rsid w:val="00B134E2"/>
    <w:rsid w:val="00B150E8"/>
    <w:rsid w:val="00B17265"/>
    <w:rsid w:val="00B17DEF"/>
    <w:rsid w:val="00B2296E"/>
    <w:rsid w:val="00B24017"/>
    <w:rsid w:val="00B24687"/>
    <w:rsid w:val="00B2593E"/>
    <w:rsid w:val="00B34894"/>
    <w:rsid w:val="00B35951"/>
    <w:rsid w:val="00B37860"/>
    <w:rsid w:val="00B42197"/>
    <w:rsid w:val="00B42DD7"/>
    <w:rsid w:val="00B43450"/>
    <w:rsid w:val="00B46C75"/>
    <w:rsid w:val="00B5024E"/>
    <w:rsid w:val="00B51703"/>
    <w:rsid w:val="00B51DB3"/>
    <w:rsid w:val="00B52F46"/>
    <w:rsid w:val="00B55E40"/>
    <w:rsid w:val="00B57C00"/>
    <w:rsid w:val="00B625BD"/>
    <w:rsid w:val="00B636BE"/>
    <w:rsid w:val="00B67318"/>
    <w:rsid w:val="00B700E5"/>
    <w:rsid w:val="00B72672"/>
    <w:rsid w:val="00B72A71"/>
    <w:rsid w:val="00B7634B"/>
    <w:rsid w:val="00B76FA4"/>
    <w:rsid w:val="00B8128F"/>
    <w:rsid w:val="00B814A5"/>
    <w:rsid w:val="00B81B44"/>
    <w:rsid w:val="00B825BF"/>
    <w:rsid w:val="00B831AC"/>
    <w:rsid w:val="00B9053B"/>
    <w:rsid w:val="00B91EEF"/>
    <w:rsid w:val="00B91F35"/>
    <w:rsid w:val="00B93493"/>
    <w:rsid w:val="00B9556D"/>
    <w:rsid w:val="00B96C9B"/>
    <w:rsid w:val="00BA1E4E"/>
    <w:rsid w:val="00BA28A4"/>
    <w:rsid w:val="00BA3E45"/>
    <w:rsid w:val="00BA4533"/>
    <w:rsid w:val="00BA5E4E"/>
    <w:rsid w:val="00BA71FA"/>
    <w:rsid w:val="00BB12A3"/>
    <w:rsid w:val="00BB14B2"/>
    <w:rsid w:val="00BB167A"/>
    <w:rsid w:val="00BB372E"/>
    <w:rsid w:val="00BC0D3A"/>
    <w:rsid w:val="00BC1F9F"/>
    <w:rsid w:val="00BC31C7"/>
    <w:rsid w:val="00BC3422"/>
    <w:rsid w:val="00BC4461"/>
    <w:rsid w:val="00BC7CF0"/>
    <w:rsid w:val="00BD07C5"/>
    <w:rsid w:val="00BD1BA8"/>
    <w:rsid w:val="00BD6406"/>
    <w:rsid w:val="00BE06B9"/>
    <w:rsid w:val="00BE192A"/>
    <w:rsid w:val="00BE7233"/>
    <w:rsid w:val="00BF15D9"/>
    <w:rsid w:val="00BF2C10"/>
    <w:rsid w:val="00BF40CC"/>
    <w:rsid w:val="00BF4746"/>
    <w:rsid w:val="00C015B9"/>
    <w:rsid w:val="00C0165F"/>
    <w:rsid w:val="00C01DFC"/>
    <w:rsid w:val="00C022F9"/>
    <w:rsid w:val="00C031CF"/>
    <w:rsid w:val="00C032EA"/>
    <w:rsid w:val="00C05DD9"/>
    <w:rsid w:val="00C06403"/>
    <w:rsid w:val="00C06EB5"/>
    <w:rsid w:val="00C100A9"/>
    <w:rsid w:val="00C1145F"/>
    <w:rsid w:val="00C11BA7"/>
    <w:rsid w:val="00C160C4"/>
    <w:rsid w:val="00C21B27"/>
    <w:rsid w:val="00C2515F"/>
    <w:rsid w:val="00C2690D"/>
    <w:rsid w:val="00C27D82"/>
    <w:rsid w:val="00C30808"/>
    <w:rsid w:val="00C330C5"/>
    <w:rsid w:val="00C34322"/>
    <w:rsid w:val="00C346E1"/>
    <w:rsid w:val="00C34B38"/>
    <w:rsid w:val="00C3536C"/>
    <w:rsid w:val="00C35DEF"/>
    <w:rsid w:val="00C41BA0"/>
    <w:rsid w:val="00C42C2D"/>
    <w:rsid w:val="00C437FD"/>
    <w:rsid w:val="00C472D4"/>
    <w:rsid w:val="00C527D4"/>
    <w:rsid w:val="00C530FF"/>
    <w:rsid w:val="00C55401"/>
    <w:rsid w:val="00C56A6A"/>
    <w:rsid w:val="00C60A95"/>
    <w:rsid w:val="00C637E1"/>
    <w:rsid w:val="00C648DE"/>
    <w:rsid w:val="00C65E84"/>
    <w:rsid w:val="00C70A7E"/>
    <w:rsid w:val="00C70D50"/>
    <w:rsid w:val="00C72ADE"/>
    <w:rsid w:val="00C73719"/>
    <w:rsid w:val="00C738F0"/>
    <w:rsid w:val="00C74613"/>
    <w:rsid w:val="00C74B8D"/>
    <w:rsid w:val="00C829C5"/>
    <w:rsid w:val="00C83490"/>
    <w:rsid w:val="00C84BC2"/>
    <w:rsid w:val="00C85E5D"/>
    <w:rsid w:val="00C907D7"/>
    <w:rsid w:val="00C92338"/>
    <w:rsid w:val="00C9361E"/>
    <w:rsid w:val="00C937DC"/>
    <w:rsid w:val="00C963FB"/>
    <w:rsid w:val="00CA1FC2"/>
    <w:rsid w:val="00CA3DD3"/>
    <w:rsid w:val="00CA45C2"/>
    <w:rsid w:val="00CA7C3A"/>
    <w:rsid w:val="00CB135A"/>
    <w:rsid w:val="00CB20D9"/>
    <w:rsid w:val="00CB2E2B"/>
    <w:rsid w:val="00CB4665"/>
    <w:rsid w:val="00CC2DB2"/>
    <w:rsid w:val="00CC385D"/>
    <w:rsid w:val="00CC3B91"/>
    <w:rsid w:val="00CC5F87"/>
    <w:rsid w:val="00CC7A20"/>
    <w:rsid w:val="00CD0307"/>
    <w:rsid w:val="00CD030B"/>
    <w:rsid w:val="00CD06C7"/>
    <w:rsid w:val="00CD12E6"/>
    <w:rsid w:val="00CD18EE"/>
    <w:rsid w:val="00CD3942"/>
    <w:rsid w:val="00CD3D18"/>
    <w:rsid w:val="00CD3D1B"/>
    <w:rsid w:val="00CE158C"/>
    <w:rsid w:val="00CE225E"/>
    <w:rsid w:val="00CE238F"/>
    <w:rsid w:val="00CE27F9"/>
    <w:rsid w:val="00CE3ADC"/>
    <w:rsid w:val="00CE3F2B"/>
    <w:rsid w:val="00CE48D6"/>
    <w:rsid w:val="00CF1ACA"/>
    <w:rsid w:val="00CF37B5"/>
    <w:rsid w:val="00CF670C"/>
    <w:rsid w:val="00CF7043"/>
    <w:rsid w:val="00CF7DCA"/>
    <w:rsid w:val="00D007E6"/>
    <w:rsid w:val="00D01985"/>
    <w:rsid w:val="00D021B1"/>
    <w:rsid w:val="00D03FAF"/>
    <w:rsid w:val="00D04355"/>
    <w:rsid w:val="00D06716"/>
    <w:rsid w:val="00D0673A"/>
    <w:rsid w:val="00D11CA3"/>
    <w:rsid w:val="00D13C51"/>
    <w:rsid w:val="00D14D98"/>
    <w:rsid w:val="00D16C2E"/>
    <w:rsid w:val="00D211E9"/>
    <w:rsid w:val="00D2312F"/>
    <w:rsid w:val="00D258FF"/>
    <w:rsid w:val="00D264DE"/>
    <w:rsid w:val="00D269C1"/>
    <w:rsid w:val="00D26A55"/>
    <w:rsid w:val="00D27870"/>
    <w:rsid w:val="00D27D2D"/>
    <w:rsid w:val="00D326C2"/>
    <w:rsid w:val="00D36633"/>
    <w:rsid w:val="00D379D2"/>
    <w:rsid w:val="00D37A7A"/>
    <w:rsid w:val="00D40611"/>
    <w:rsid w:val="00D44953"/>
    <w:rsid w:val="00D519A1"/>
    <w:rsid w:val="00D51FD6"/>
    <w:rsid w:val="00D53503"/>
    <w:rsid w:val="00D53B88"/>
    <w:rsid w:val="00D542F3"/>
    <w:rsid w:val="00D558CA"/>
    <w:rsid w:val="00D5644B"/>
    <w:rsid w:val="00D56826"/>
    <w:rsid w:val="00D56BB9"/>
    <w:rsid w:val="00D56E25"/>
    <w:rsid w:val="00D57D39"/>
    <w:rsid w:val="00D60BC3"/>
    <w:rsid w:val="00D61700"/>
    <w:rsid w:val="00D61BF7"/>
    <w:rsid w:val="00D63D76"/>
    <w:rsid w:val="00D64F32"/>
    <w:rsid w:val="00D67136"/>
    <w:rsid w:val="00D71077"/>
    <w:rsid w:val="00D710E2"/>
    <w:rsid w:val="00D718D7"/>
    <w:rsid w:val="00D73E66"/>
    <w:rsid w:val="00D80220"/>
    <w:rsid w:val="00D814B7"/>
    <w:rsid w:val="00D84E34"/>
    <w:rsid w:val="00D85586"/>
    <w:rsid w:val="00D855A5"/>
    <w:rsid w:val="00D858BD"/>
    <w:rsid w:val="00D86153"/>
    <w:rsid w:val="00D90688"/>
    <w:rsid w:val="00D934F7"/>
    <w:rsid w:val="00D94648"/>
    <w:rsid w:val="00DA1E76"/>
    <w:rsid w:val="00DA3AAD"/>
    <w:rsid w:val="00DA4121"/>
    <w:rsid w:val="00DA5408"/>
    <w:rsid w:val="00DA6F2A"/>
    <w:rsid w:val="00DB0D59"/>
    <w:rsid w:val="00DB0E25"/>
    <w:rsid w:val="00DB312B"/>
    <w:rsid w:val="00DB3E3B"/>
    <w:rsid w:val="00DB3FF4"/>
    <w:rsid w:val="00DB46C7"/>
    <w:rsid w:val="00DB4852"/>
    <w:rsid w:val="00DB51E1"/>
    <w:rsid w:val="00DB7E36"/>
    <w:rsid w:val="00DC2596"/>
    <w:rsid w:val="00DC35B2"/>
    <w:rsid w:val="00DC5654"/>
    <w:rsid w:val="00DC658F"/>
    <w:rsid w:val="00DC72F8"/>
    <w:rsid w:val="00DD341E"/>
    <w:rsid w:val="00DD41D6"/>
    <w:rsid w:val="00DD5029"/>
    <w:rsid w:val="00DD54C9"/>
    <w:rsid w:val="00DD7746"/>
    <w:rsid w:val="00DD77B6"/>
    <w:rsid w:val="00DE0452"/>
    <w:rsid w:val="00DE1077"/>
    <w:rsid w:val="00DE2904"/>
    <w:rsid w:val="00DE4FE3"/>
    <w:rsid w:val="00DE55ED"/>
    <w:rsid w:val="00DE60CC"/>
    <w:rsid w:val="00DE785D"/>
    <w:rsid w:val="00DF195E"/>
    <w:rsid w:val="00DF3DD0"/>
    <w:rsid w:val="00DF41AE"/>
    <w:rsid w:val="00DF4468"/>
    <w:rsid w:val="00DF5908"/>
    <w:rsid w:val="00E07ACD"/>
    <w:rsid w:val="00E11B6B"/>
    <w:rsid w:val="00E16564"/>
    <w:rsid w:val="00E23C6D"/>
    <w:rsid w:val="00E26B32"/>
    <w:rsid w:val="00E31762"/>
    <w:rsid w:val="00E318E3"/>
    <w:rsid w:val="00E32FB8"/>
    <w:rsid w:val="00E346A2"/>
    <w:rsid w:val="00E35527"/>
    <w:rsid w:val="00E35C70"/>
    <w:rsid w:val="00E37783"/>
    <w:rsid w:val="00E407B6"/>
    <w:rsid w:val="00E41EA2"/>
    <w:rsid w:val="00E41EF1"/>
    <w:rsid w:val="00E42942"/>
    <w:rsid w:val="00E42BCF"/>
    <w:rsid w:val="00E440BD"/>
    <w:rsid w:val="00E4622B"/>
    <w:rsid w:val="00E46242"/>
    <w:rsid w:val="00E462F1"/>
    <w:rsid w:val="00E468A6"/>
    <w:rsid w:val="00E46BA7"/>
    <w:rsid w:val="00E53FAE"/>
    <w:rsid w:val="00E54B62"/>
    <w:rsid w:val="00E54ED3"/>
    <w:rsid w:val="00E576A4"/>
    <w:rsid w:val="00E61FF8"/>
    <w:rsid w:val="00E62541"/>
    <w:rsid w:val="00E62960"/>
    <w:rsid w:val="00E6335D"/>
    <w:rsid w:val="00E65D8C"/>
    <w:rsid w:val="00E66760"/>
    <w:rsid w:val="00E677B9"/>
    <w:rsid w:val="00E70B9C"/>
    <w:rsid w:val="00E71BDF"/>
    <w:rsid w:val="00E73B31"/>
    <w:rsid w:val="00E75094"/>
    <w:rsid w:val="00E77CC1"/>
    <w:rsid w:val="00E77D8A"/>
    <w:rsid w:val="00E8007D"/>
    <w:rsid w:val="00E83CA7"/>
    <w:rsid w:val="00E87075"/>
    <w:rsid w:val="00E90046"/>
    <w:rsid w:val="00E96B4D"/>
    <w:rsid w:val="00EA12C9"/>
    <w:rsid w:val="00EA39DB"/>
    <w:rsid w:val="00EA4A1E"/>
    <w:rsid w:val="00EA7EF3"/>
    <w:rsid w:val="00EB07E6"/>
    <w:rsid w:val="00EB13BB"/>
    <w:rsid w:val="00EB494C"/>
    <w:rsid w:val="00EC171D"/>
    <w:rsid w:val="00EC3098"/>
    <w:rsid w:val="00EC6022"/>
    <w:rsid w:val="00EC60B8"/>
    <w:rsid w:val="00EC7A72"/>
    <w:rsid w:val="00ED039C"/>
    <w:rsid w:val="00ED287C"/>
    <w:rsid w:val="00ED420C"/>
    <w:rsid w:val="00ED487E"/>
    <w:rsid w:val="00ED584B"/>
    <w:rsid w:val="00ED6460"/>
    <w:rsid w:val="00ED7D11"/>
    <w:rsid w:val="00EE0FC7"/>
    <w:rsid w:val="00EE57DA"/>
    <w:rsid w:val="00EE5D6C"/>
    <w:rsid w:val="00EE5EAB"/>
    <w:rsid w:val="00EE62A7"/>
    <w:rsid w:val="00EE6810"/>
    <w:rsid w:val="00EE7A0D"/>
    <w:rsid w:val="00EE7B94"/>
    <w:rsid w:val="00EE7C97"/>
    <w:rsid w:val="00EF5F67"/>
    <w:rsid w:val="00F012BC"/>
    <w:rsid w:val="00F023EE"/>
    <w:rsid w:val="00F02429"/>
    <w:rsid w:val="00F02A63"/>
    <w:rsid w:val="00F0370A"/>
    <w:rsid w:val="00F0374D"/>
    <w:rsid w:val="00F04E7E"/>
    <w:rsid w:val="00F06A70"/>
    <w:rsid w:val="00F076EA"/>
    <w:rsid w:val="00F12061"/>
    <w:rsid w:val="00F12A5F"/>
    <w:rsid w:val="00F14217"/>
    <w:rsid w:val="00F143AC"/>
    <w:rsid w:val="00F15CF4"/>
    <w:rsid w:val="00F17CE1"/>
    <w:rsid w:val="00F2089A"/>
    <w:rsid w:val="00F2115C"/>
    <w:rsid w:val="00F22ABA"/>
    <w:rsid w:val="00F24D2C"/>
    <w:rsid w:val="00F30F01"/>
    <w:rsid w:val="00F3422A"/>
    <w:rsid w:val="00F35A41"/>
    <w:rsid w:val="00F36B12"/>
    <w:rsid w:val="00F36B66"/>
    <w:rsid w:val="00F36E09"/>
    <w:rsid w:val="00F37760"/>
    <w:rsid w:val="00F41E7D"/>
    <w:rsid w:val="00F4239A"/>
    <w:rsid w:val="00F43B13"/>
    <w:rsid w:val="00F44803"/>
    <w:rsid w:val="00F44A92"/>
    <w:rsid w:val="00F44CB2"/>
    <w:rsid w:val="00F44DE3"/>
    <w:rsid w:val="00F44EA0"/>
    <w:rsid w:val="00F4572C"/>
    <w:rsid w:val="00F461B0"/>
    <w:rsid w:val="00F46391"/>
    <w:rsid w:val="00F519F0"/>
    <w:rsid w:val="00F60F9F"/>
    <w:rsid w:val="00F6471E"/>
    <w:rsid w:val="00F64F08"/>
    <w:rsid w:val="00F656A3"/>
    <w:rsid w:val="00F659C5"/>
    <w:rsid w:val="00F659DA"/>
    <w:rsid w:val="00F66478"/>
    <w:rsid w:val="00F664DC"/>
    <w:rsid w:val="00F734F5"/>
    <w:rsid w:val="00F81377"/>
    <w:rsid w:val="00F8168D"/>
    <w:rsid w:val="00F81A5F"/>
    <w:rsid w:val="00F86634"/>
    <w:rsid w:val="00F8711E"/>
    <w:rsid w:val="00F874A6"/>
    <w:rsid w:val="00F92738"/>
    <w:rsid w:val="00F93076"/>
    <w:rsid w:val="00F93E9F"/>
    <w:rsid w:val="00F966B1"/>
    <w:rsid w:val="00F97048"/>
    <w:rsid w:val="00F97D48"/>
    <w:rsid w:val="00FA0311"/>
    <w:rsid w:val="00FA154A"/>
    <w:rsid w:val="00FA1FB5"/>
    <w:rsid w:val="00FA24AF"/>
    <w:rsid w:val="00FA24ED"/>
    <w:rsid w:val="00FA2921"/>
    <w:rsid w:val="00FB087D"/>
    <w:rsid w:val="00FB0B11"/>
    <w:rsid w:val="00FB2E90"/>
    <w:rsid w:val="00FB3DD6"/>
    <w:rsid w:val="00FB7393"/>
    <w:rsid w:val="00FB7DB9"/>
    <w:rsid w:val="00FC13C7"/>
    <w:rsid w:val="00FC38C0"/>
    <w:rsid w:val="00FC42E5"/>
    <w:rsid w:val="00FC47AB"/>
    <w:rsid w:val="00FC47B6"/>
    <w:rsid w:val="00FC4DF7"/>
    <w:rsid w:val="00FC6778"/>
    <w:rsid w:val="00FC6FE1"/>
    <w:rsid w:val="00FC7AF6"/>
    <w:rsid w:val="00FD4CB2"/>
    <w:rsid w:val="00FD4FC5"/>
    <w:rsid w:val="00FD640F"/>
    <w:rsid w:val="00FD6B4C"/>
    <w:rsid w:val="00FE0171"/>
    <w:rsid w:val="00FE0E4E"/>
    <w:rsid w:val="00FE1029"/>
    <w:rsid w:val="00FE4423"/>
    <w:rsid w:val="00FE5152"/>
    <w:rsid w:val="00FE570A"/>
    <w:rsid w:val="00FE6E38"/>
    <w:rsid w:val="00FF4E3A"/>
    <w:rsid w:val="00FF4E99"/>
    <w:rsid w:val="00FF7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67778"/>
  <w15:docId w15:val="{6B98D29C-5275-4BFB-9A03-369BB8E6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7864"/>
    <w:pPr>
      <w:spacing w:before="160" w:after="100"/>
    </w:pPr>
    <w:rPr>
      <w:spacing w:val="2"/>
      <w:sz w:val="24"/>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50705C"/>
    <w:pPr>
      <w:numPr>
        <w:numId w:val="1"/>
      </w:numPr>
      <w:spacing w:before="100" w:after="100" w:line="240" w:lineRule="auto"/>
    </w:pPr>
    <w:rPr>
      <w:rFonts w:eastAsia="Times New Roman" w:cs="Calibri"/>
      <w:spacing w:val="2"/>
      <w:sz w:val="24"/>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qFormat/>
    <w:rsid w:val="00EC171D"/>
    <w:pPr>
      <w:numPr>
        <w:numId w:val="4"/>
      </w:numPr>
    </w:pPr>
  </w:style>
  <w:style w:type="paragraph" w:customStyle="1" w:styleId="Listnum2">
    <w:name w:val="List num 2"/>
    <w:basedOn w:val="Normal"/>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Numpara">
    <w:name w:val="Num para"/>
    <w:basedOn w:val="ListParagraph"/>
    <w:uiPriority w:val="3"/>
    <w:qFormat/>
    <w:rsid w:val="006361E7"/>
    <w:pPr>
      <w:numPr>
        <w:numId w:val="19"/>
      </w:numPr>
      <w:tabs>
        <w:tab w:val="num" w:pos="504"/>
        <w:tab w:val="left" w:pos="540"/>
      </w:tabs>
      <w:ind w:left="504" w:hanging="504"/>
    </w:pPr>
  </w:style>
  <w:style w:type="paragraph" w:styleId="ListParagraph">
    <w:name w:val="List Paragraph"/>
    <w:basedOn w:val="Normal"/>
    <w:uiPriority w:val="34"/>
    <w:qFormat/>
    <w:rsid w:val="006361E7"/>
    <w:pPr>
      <w:ind w:left="720"/>
      <w:contextualSpacing/>
    </w:pPr>
  </w:style>
  <w:style w:type="table" w:customStyle="1" w:styleId="Summarytable">
    <w:name w:val="Summary table"/>
    <w:basedOn w:val="TableNormal"/>
    <w:uiPriority w:val="99"/>
    <w:rsid w:val="005E6A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1">
    <w:name w:val="Summary table1"/>
    <w:basedOn w:val="TableNormal"/>
    <w:uiPriority w:val="99"/>
    <w:rsid w:val="009555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2">
    <w:name w:val="Summary table2"/>
    <w:basedOn w:val="TableNormal"/>
    <w:uiPriority w:val="99"/>
    <w:rsid w:val="007800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3">
    <w:name w:val="Summary table3"/>
    <w:basedOn w:val="TableNormal"/>
    <w:uiPriority w:val="99"/>
    <w:rsid w:val="00F04E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table" w:customStyle="1" w:styleId="Summarytable4">
    <w:name w:val="Summary table4"/>
    <w:basedOn w:val="TableNormal"/>
    <w:uiPriority w:val="99"/>
    <w:rsid w:val="005B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BFBF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paragraph" w:customStyle="1" w:styleId="Listnum3">
    <w:name w:val="List num 3"/>
    <w:basedOn w:val="Normal"/>
    <w:rsid w:val="000761ED"/>
    <w:pPr>
      <w:tabs>
        <w:tab w:val="num" w:pos="1512"/>
      </w:tabs>
      <w:spacing w:before="0" w:after="0" w:line="240" w:lineRule="auto"/>
      <w:ind w:left="1512" w:hanging="504"/>
    </w:pPr>
    <w:rPr>
      <w:rFonts w:eastAsia="Times New Roman" w:cs="Times New Roman"/>
      <w:color w:val="000000" w:themeColor="text1"/>
      <w:sz w:val="20"/>
      <w:lang w:eastAsia="en-US"/>
    </w:rPr>
  </w:style>
  <w:style w:type="paragraph" w:customStyle="1" w:styleId="Reference">
    <w:name w:val="Reference"/>
    <w:basedOn w:val="Normal"/>
    <w:link w:val="ReferenceChar"/>
    <w:qFormat/>
    <w:rsid w:val="00A83C4E"/>
    <w:pPr>
      <w:spacing w:before="20" w:after="20" w:line="240" w:lineRule="auto"/>
    </w:pPr>
    <w:rPr>
      <w:rFonts w:eastAsia="Tahoma" w:cs="Arial"/>
      <w:iCs/>
      <w:noProof/>
      <w:color w:val="0072CE" w:themeColor="accent4"/>
      <w:sz w:val="14"/>
      <w:szCs w:val="14"/>
    </w:rPr>
  </w:style>
  <w:style w:type="character" w:customStyle="1" w:styleId="ReferenceChar">
    <w:name w:val="Reference Char"/>
    <w:link w:val="Reference"/>
    <w:rsid w:val="00A83C4E"/>
    <w:rPr>
      <w:rFonts w:eastAsia="Tahoma" w:cs="Arial"/>
      <w:iCs/>
      <w:noProof/>
      <w:color w:val="0072CE" w:themeColor="accent4"/>
      <w:spacing w:val="2"/>
      <w:sz w:val="14"/>
      <w:szCs w:val="14"/>
    </w:rPr>
  </w:style>
  <w:style w:type="paragraph" w:customStyle="1" w:styleId="Referencered">
    <w:name w:val="Reference red"/>
    <w:basedOn w:val="Reference"/>
    <w:qFormat/>
    <w:rsid w:val="00A83C4E"/>
    <w:pPr>
      <w:keepNext/>
      <w:spacing w:before="0" w:after="0"/>
    </w:pPr>
    <w:rPr>
      <w:rFonts w:ascii="Arial" w:hAnsi="Arial" w:cs="Arial Narrow"/>
      <w:iCs w:val="0"/>
      <w:noProof w:val="0"/>
      <w:color w:val="AF272F"/>
      <w:spacing w:val="0"/>
      <w:szCs w:val="16"/>
    </w:rPr>
  </w:style>
  <w:style w:type="character" w:styleId="FollowedHyperlink">
    <w:name w:val="FollowedHyperlink"/>
    <w:basedOn w:val="DefaultParagraphFont"/>
    <w:uiPriority w:val="99"/>
    <w:semiHidden/>
    <w:rsid w:val="00C55401"/>
    <w:rPr>
      <w:color w:val="8A2A2B" w:themeColor="followedHyperlink"/>
      <w:u w:val="single"/>
    </w:rPr>
  </w:style>
  <w:style w:type="character" w:styleId="CommentReference">
    <w:name w:val="annotation reference"/>
    <w:basedOn w:val="DefaultParagraphFont"/>
    <w:uiPriority w:val="99"/>
    <w:semiHidden/>
    <w:rsid w:val="00E6335D"/>
    <w:rPr>
      <w:sz w:val="16"/>
      <w:szCs w:val="16"/>
    </w:rPr>
  </w:style>
  <w:style w:type="paragraph" w:styleId="CommentText">
    <w:name w:val="annotation text"/>
    <w:basedOn w:val="Normal"/>
    <w:link w:val="CommentTextChar"/>
    <w:uiPriority w:val="99"/>
    <w:semiHidden/>
    <w:rsid w:val="00E6335D"/>
    <w:pPr>
      <w:spacing w:line="240" w:lineRule="auto"/>
    </w:pPr>
    <w:rPr>
      <w:sz w:val="20"/>
    </w:rPr>
  </w:style>
  <w:style w:type="character" w:customStyle="1" w:styleId="CommentTextChar">
    <w:name w:val="Comment Text Char"/>
    <w:basedOn w:val="DefaultParagraphFont"/>
    <w:link w:val="CommentText"/>
    <w:uiPriority w:val="99"/>
    <w:semiHidden/>
    <w:rsid w:val="00E6335D"/>
    <w:rPr>
      <w:spacing w:val="2"/>
    </w:rPr>
  </w:style>
  <w:style w:type="paragraph" w:styleId="CommentSubject">
    <w:name w:val="annotation subject"/>
    <w:basedOn w:val="CommentText"/>
    <w:next w:val="CommentText"/>
    <w:link w:val="CommentSubjectChar"/>
    <w:uiPriority w:val="99"/>
    <w:semiHidden/>
    <w:rsid w:val="00E6335D"/>
    <w:rPr>
      <w:b/>
      <w:bCs/>
    </w:rPr>
  </w:style>
  <w:style w:type="character" w:customStyle="1" w:styleId="CommentSubjectChar">
    <w:name w:val="Comment Subject Char"/>
    <w:basedOn w:val="CommentTextChar"/>
    <w:link w:val="CommentSubject"/>
    <w:uiPriority w:val="99"/>
    <w:semiHidden/>
    <w:rsid w:val="00E6335D"/>
    <w:rPr>
      <w:b/>
      <w:bCs/>
      <w:spacing w:val="2"/>
    </w:rPr>
  </w:style>
  <w:style w:type="paragraph" w:styleId="Revision">
    <w:name w:val="Revision"/>
    <w:hidden/>
    <w:uiPriority w:val="99"/>
    <w:semiHidden/>
    <w:rsid w:val="00636331"/>
    <w:pPr>
      <w:spacing w:after="0" w:line="240" w:lineRule="auto"/>
    </w:pPr>
    <w:rPr>
      <w:spacing w:val="2"/>
      <w:sz w:val="24"/>
    </w:rPr>
  </w:style>
  <w:style w:type="character" w:styleId="UnresolvedMention">
    <w:name w:val="Unresolved Mention"/>
    <w:basedOn w:val="DefaultParagraphFont"/>
    <w:uiPriority w:val="99"/>
    <w:semiHidden/>
    <w:unhideWhenUsed/>
    <w:rsid w:val="00F3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dtf.vic.gov.au/financial-reporting-policy/accounting-standards-checkli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622A36A83A7439E16E842C7933804" ma:contentTypeVersion="4" ma:contentTypeDescription="Create a new document." ma:contentTypeScope="" ma:versionID="ad5b4fa94c2676025a1955c5391e9fc1">
  <xsd:schema xmlns:xsd="http://www.w3.org/2001/XMLSchema" xmlns:xs="http://www.w3.org/2001/XMLSchema" xmlns:p="http://schemas.microsoft.com/office/2006/metadata/properties" xmlns:ns3="c93116ac-fc53-426d-9414-a1cb3b1334eb" targetNamespace="http://schemas.microsoft.com/office/2006/metadata/properties" ma:root="true" ma:fieldsID="2c8c58fccc3571c28f700afe16088586" ns3:_="">
    <xsd:import namespace="c93116ac-fc53-426d-9414-a1cb3b1334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116ac-fc53-426d-9414-a1cb3b133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FF4C-9FF1-4DA9-A8EA-F35009936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116ac-fc53-426d-9414-a1cb3b133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CC1F6-2972-420A-92A5-39177730D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8AE2D-52AB-46CC-B499-8AC6A41D880D}">
  <ds:schemaRefs>
    <ds:schemaRef ds:uri="http://schemas.microsoft.com/sharepoint/v3/contenttype/forms"/>
  </ds:schemaRefs>
</ds:datastoreItem>
</file>

<file path=customXml/itemProps4.xml><?xml version="1.0" encoding="utf-8"?>
<ds:datastoreItem xmlns:ds="http://schemas.openxmlformats.org/officeDocument/2006/customXml" ds:itemID="{9F7D77E7-1C00-44A2-93A1-B2F01C6714EB}">
  <ds:schemaRefs>
    <ds:schemaRef ds:uri="http://www.w3.org/2001/XMLSchema"/>
  </ds:schemaRefs>
</ds:datastoreItem>
</file>

<file path=customXml/itemProps5.xml><?xml version="1.0" encoding="utf-8"?>
<ds:datastoreItem xmlns:ds="http://schemas.openxmlformats.org/officeDocument/2006/customXml" ds:itemID="{8F8DF00A-32D0-45EF-A16E-C103F27F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1</TotalTime>
  <Pages>9</Pages>
  <Words>2240</Words>
  <Characters>12770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Marsal</dc:creator>
  <cp:keywords/>
  <dc:description/>
  <cp:lastModifiedBy>Thomas McGowan (DTF)</cp:lastModifiedBy>
  <cp:revision>2</cp:revision>
  <cp:lastPrinted>2019-05-16T22:56:00Z</cp:lastPrinted>
  <dcterms:created xsi:type="dcterms:W3CDTF">2020-06-25T04:30:00Z</dcterms:created>
  <dcterms:modified xsi:type="dcterms:W3CDTF">2020-06-25T04:30:00Z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f4e1f2c0-aaca-49af-a098-9b1bfc145e90</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faiza.ali@dtf.vic.gov.au</vt:lpwstr>
  </property>
  <property fmtid="{D5CDD505-2E9C-101B-9397-08002B2CF9AE}" pid="8" name="MSIP_Label_7158ebbd-6c5e-441f-bfc9-4eb8c11e3978_SetDate">
    <vt:lpwstr>2020-01-31T04:19:45.7115999Z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y fmtid="{D5CDD505-2E9C-101B-9397-08002B2CF9AE}" pid="13" name="ContentTypeId">
    <vt:lpwstr>0x010100393622A36A83A7439E16E842C7933804</vt:lpwstr>
  </property>
</Properties>
</file>