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7579F" w14:textId="4FCF3709" w:rsidR="00045296" w:rsidRPr="00DF5908" w:rsidRDefault="00063926" w:rsidP="00063926">
      <w:pPr>
        <w:pStyle w:val="Title"/>
        <w:spacing w:before="3840"/>
      </w:pPr>
      <w:bookmarkStart w:id="0" w:name="_Toc442780672"/>
      <w:r w:rsidRPr="00DF5908">
        <w:t xml:space="preserve">Summary of changes applied to the </w:t>
      </w:r>
      <w:r w:rsidR="00DA4121" w:rsidRPr="00DF5908">
        <w:t>201</w:t>
      </w:r>
      <w:r w:rsidR="005A71DE">
        <w:t>8</w:t>
      </w:r>
      <w:r w:rsidR="00B42DD7" w:rsidRPr="00DF5908">
        <w:noBreakHyphen/>
      </w:r>
      <w:r w:rsidR="00DA4121" w:rsidRPr="00DF5908">
        <w:t>1</w:t>
      </w:r>
      <w:r w:rsidR="005A71DE">
        <w:t>9</w:t>
      </w:r>
      <w:r w:rsidR="00DA4121" w:rsidRPr="00DF5908">
        <w:t> </w:t>
      </w:r>
      <w:r w:rsidRPr="00DF5908">
        <w:t>Model Report</w:t>
      </w:r>
    </w:p>
    <w:p w14:paraId="1B595AF6" w14:textId="77777777" w:rsidR="00063926" w:rsidRPr="00DF5908" w:rsidRDefault="00063926" w:rsidP="00063926">
      <w:pPr>
        <w:pStyle w:val="TertiaryTitle"/>
        <w:tabs>
          <w:tab w:val="left" w:pos="2790"/>
          <w:tab w:val="left" w:pos="5040"/>
        </w:tabs>
      </w:pPr>
    </w:p>
    <w:p w14:paraId="4E034DEF" w14:textId="77777777" w:rsidR="002B16C9" w:rsidRPr="002B16C9" w:rsidRDefault="002B16C9" w:rsidP="002B16C9">
      <w:pPr>
        <w:rPr>
          <w:lang w:eastAsia="en-US"/>
        </w:rPr>
      </w:pPr>
    </w:p>
    <w:p w14:paraId="6FD196FF" w14:textId="77777777" w:rsidR="00063926" w:rsidRDefault="00063926" w:rsidP="00BA4533">
      <w:pPr>
        <w:pStyle w:val="Heading4"/>
      </w:pPr>
      <w:r w:rsidRPr="00DF5908">
        <w:t xml:space="preserve">Contact details: </w:t>
      </w:r>
      <w:r w:rsidRPr="00DF5908">
        <w:tab/>
      </w:r>
    </w:p>
    <w:p w14:paraId="569AB849" w14:textId="77777777" w:rsidR="00EE6810" w:rsidRPr="00EE6810" w:rsidRDefault="00EE6810" w:rsidP="00EE6810">
      <w:pPr>
        <w:pStyle w:val="Heading2"/>
        <w:spacing w:before="120" w:after="0"/>
        <w:rPr>
          <w:b w:val="0"/>
        </w:rPr>
      </w:pPr>
      <w:r w:rsidRPr="00EE6810">
        <w:rPr>
          <w:b w:val="0"/>
        </w:rPr>
        <w:t>Accounting</w:t>
      </w:r>
      <w:r>
        <w:rPr>
          <w:b w:val="0"/>
        </w:rPr>
        <w:t xml:space="preserve"> Policy</w:t>
      </w:r>
      <w:r>
        <w:rPr>
          <w:b w:val="0"/>
        </w:rPr>
        <w:tab/>
      </w:r>
      <w:r w:rsidRPr="00EE6810">
        <w:rPr>
          <w:b w:val="0"/>
        </w:rPr>
        <w:t>acc</w:t>
      </w:r>
      <w:r>
        <w:rPr>
          <w:b w:val="0"/>
        </w:rPr>
        <w:t>pol@dtf.vic.gov.au</w:t>
      </w:r>
    </w:p>
    <w:bookmarkEnd w:id="0"/>
    <w:p w14:paraId="2E65D1BF" w14:textId="77777777" w:rsidR="006F17B7" w:rsidRDefault="006F17B7" w:rsidP="006F17B7">
      <w:pPr>
        <w:pStyle w:val="Heading2"/>
        <w:spacing w:before="0" w:after="0"/>
        <w:rPr>
          <w:b w:val="0"/>
        </w:rPr>
      </w:pPr>
      <w:r>
        <w:rPr>
          <w:b w:val="0"/>
        </w:rPr>
        <w:t>Karen Foo</w:t>
      </w:r>
      <w:r>
        <w:rPr>
          <w:b w:val="0"/>
        </w:rPr>
        <w:tab/>
      </w:r>
      <w:r>
        <w:rPr>
          <w:b w:val="0"/>
        </w:rPr>
        <w:tab/>
      </w:r>
      <w:r>
        <w:rPr>
          <w:b w:val="0"/>
        </w:rPr>
        <w:tab/>
        <w:t>Manager</w:t>
      </w:r>
      <w:r>
        <w:rPr>
          <w:b w:val="0"/>
        </w:rPr>
        <w:tab/>
      </w:r>
      <w:r>
        <w:rPr>
          <w:b w:val="0"/>
        </w:rPr>
        <w:tab/>
        <w:t>9651 0827</w:t>
      </w:r>
    </w:p>
    <w:p w14:paraId="132C6840" w14:textId="77777777" w:rsidR="006F17B7" w:rsidRDefault="006F17B7" w:rsidP="006F17B7">
      <w:pPr>
        <w:pStyle w:val="Heading2"/>
        <w:spacing w:before="0" w:after="0"/>
        <w:rPr>
          <w:b w:val="0"/>
        </w:rPr>
      </w:pPr>
      <w:r>
        <w:rPr>
          <w:b w:val="0"/>
        </w:rPr>
        <w:t>Lee-Anne Harris</w:t>
      </w:r>
      <w:r>
        <w:rPr>
          <w:b w:val="0"/>
        </w:rPr>
        <w:tab/>
      </w:r>
      <w:r>
        <w:rPr>
          <w:b w:val="0"/>
        </w:rPr>
        <w:tab/>
        <w:t>Manager</w:t>
      </w:r>
      <w:r>
        <w:rPr>
          <w:b w:val="0"/>
        </w:rPr>
        <w:tab/>
      </w:r>
      <w:r>
        <w:rPr>
          <w:b w:val="0"/>
        </w:rPr>
        <w:tab/>
        <w:t>9651 5523</w:t>
      </w:r>
    </w:p>
    <w:p w14:paraId="29A82D41" w14:textId="77777777" w:rsidR="006F17B7" w:rsidRPr="00B37860" w:rsidRDefault="006F17B7" w:rsidP="006F17B7">
      <w:pPr>
        <w:pStyle w:val="Heading2"/>
        <w:spacing w:before="0" w:after="0"/>
        <w:rPr>
          <w:b w:val="0"/>
        </w:rPr>
      </w:pPr>
      <w:r w:rsidRPr="00B37860">
        <w:rPr>
          <w:b w:val="0"/>
        </w:rPr>
        <w:t>Etien</w:t>
      </w:r>
      <w:r>
        <w:rPr>
          <w:b w:val="0"/>
        </w:rPr>
        <w:t>ne Gouws</w:t>
      </w:r>
      <w:r>
        <w:rPr>
          <w:b w:val="0"/>
        </w:rPr>
        <w:tab/>
      </w:r>
      <w:r>
        <w:rPr>
          <w:b w:val="0"/>
        </w:rPr>
        <w:tab/>
        <w:t>Director</w:t>
      </w:r>
      <w:r>
        <w:rPr>
          <w:b w:val="0"/>
        </w:rPr>
        <w:tab/>
      </w:r>
      <w:r>
        <w:rPr>
          <w:b w:val="0"/>
        </w:rPr>
        <w:tab/>
        <w:t>9651 6222</w:t>
      </w:r>
    </w:p>
    <w:p w14:paraId="089CA7E8" w14:textId="77777777" w:rsidR="00F4239A" w:rsidRPr="00DF5908" w:rsidRDefault="00F4239A">
      <w:pPr>
        <w:spacing w:before="0" w:after="200"/>
      </w:pPr>
      <w:r w:rsidRPr="00DF5908">
        <w:br w:type="page"/>
      </w:r>
    </w:p>
    <w:p w14:paraId="7CE22B85" w14:textId="77777777" w:rsidR="00222135" w:rsidRPr="00DF5908" w:rsidRDefault="00222135" w:rsidP="00222135">
      <w:pPr>
        <w:pStyle w:val="Heading1"/>
      </w:pPr>
      <w:r w:rsidRPr="00DF5908">
        <w:lastRenderedPageBreak/>
        <w:t>Purpose and overview</w:t>
      </w:r>
    </w:p>
    <w:p w14:paraId="0BAC8F05" w14:textId="6F01CD47" w:rsidR="000761ED" w:rsidRDefault="000761ED" w:rsidP="0050705C">
      <w:r>
        <w:t>The purpose of this document is to provide a summary of the key changes in the 201</w:t>
      </w:r>
      <w:r w:rsidR="00AE7978">
        <w:t>8</w:t>
      </w:r>
      <w:r>
        <w:t>-1</w:t>
      </w:r>
      <w:r w:rsidR="00AE7978">
        <w:t>9</w:t>
      </w:r>
      <w:r>
        <w:t xml:space="preserve"> Model Report (the Model) since the publication of the 201</w:t>
      </w:r>
      <w:r w:rsidR="00AE7978">
        <w:t>7</w:t>
      </w:r>
      <w:r>
        <w:t>-1</w:t>
      </w:r>
      <w:r w:rsidR="00AE7978">
        <w:t>8</w:t>
      </w:r>
      <w:r>
        <w:t xml:space="preserve"> Model. </w:t>
      </w:r>
    </w:p>
    <w:p w14:paraId="75F77679" w14:textId="007DFCD1" w:rsidR="000761ED" w:rsidRDefault="000761ED" w:rsidP="0050705C">
      <w:r>
        <w:t>The changes in the Model incorporate a combination of revisions</w:t>
      </w:r>
      <w:r w:rsidR="00F8711E">
        <w:t xml:space="preserve"> </w:t>
      </w:r>
      <w:r w:rsidR="006F46C2">
        <w:t>and enhancements</w:t>
      </w:r>
      <w:r w:rsidR="00F8711E">
        <w:t>.</w:t>
      </w:r>
      <w:r>
        <w:t xml:space="preserve"> </w:t>
      </w:r>
    </w:p>
    <w:p w14:paraId="3F3A3E19" w14:textId="77777777" w:rsidR="000E4264" w:rsidRDefault="000E4264" w:rsidP="000E4264">
      <w:pPr>
        <w:rPr>
          <w:rFonts w:ascii="Arial" w:hAnsi="Arial" w:cs="Arial"/>
          <w:szCs w:val="24"/>
        </w:rPr>
      </w:pPr>
      <w:r w:rsidRPr="00577054">
        <w:rPr>
          <w:rFonts w:ascii="Arial" w:hAnsi="Arial" w:cs="Arial"/>
          <w:szCs w:val="24"/>
        </w:rPr>
        <w:t>The main changes include:</w:t>
      </w:r>
    </w:p>
    <w:p w14:paraId="386D1CF9" w14:textId="77777777" w:rsidR="000E4264" w:rsidRPr="0065280B" w:rsidRDefault="000E4264" w:rsidP="000E4264">
      <w:pPr>
        <w:pStyle w:val="Bullet1"/>
        <w:tabs>
          <w:tab w:val="clear" w:pos="360"/>
          <w:tab w:val="num" w:pos="504"/>
        </w:tabs>
        <w:spacing w:line="276" w:lineRule="auto"/>
        <w:ind w:left="504" w:hanging="504"/>
        <w:contextualSpacing/>
      </w:pPr>
      <w:r>
        <w:t>Amendments to the disclosures in the Report of Operations</w:t>
      </w:r>
      <w:r w:rsidRPr="0065280B">
        <w:t xml:space="preserve"> to reflect changes in</w:t>
      </w:r>
      <w:r>
        <w:t xml:space="preserve"> the</w:t>
      </w:r>
      <w:r w:rsidRPr="0065280B">
        <w:t xml:space="preserve"> </w:t>
      </w:r>
      <w:r w:rsidRPr="00AA7BD9">
        <w:rPr>
          <w:i/>
        </w:rPr>
        <w:t>Local Jobs First Act 2003</w:t>
      </w:r>
      <w:r w:rsidRPr="0065280B">
        <w:t xml:space="preserve"> introduced in August 2018, which brings together the Victorian participation policy (VIPP) and the </w:t>
      </w:r>
      <w:r w:rsidRPr="00701955">
        <w:t>Major</w:t>
      </w:r>
      <w:r w:rsidRPr="0065280B">
        <w:t xml:space="preserve"> Project Skills Guarantee (MPSG) policies, </w:t>
      </w:r>
      <w:r>
        <w:t>as these</w:t>
      </w:r>
      <w:r w:rsidRPr="0065280B">
        <w:t xml:space="preserve"> were previously administered separately</w:t>
      </w:r>
      <w:r>
        <w:t xml:space="preserve">; </w:t>
      </w:r>
    </w:p>
    <w:p w14:paraId="4CFD58C5" w14:textId="77777777" w:rsidR="000E4264" w:rsidRPr="007D3A9F" w:rsidRDefault="000E4264" w:rsidP="000E4264">
      <w:pPr>
        <w:pStyle w:val="Bullet1"/>
        <w:tabs>
          <w:tab w:val="clear" w:pos="360"/>
          <w:tab w:val="num" w:pos="504"/>
        </w:tabs>
        <w:spacing w:line="276" w:lineRule="auto"/>
        <w:ind w:left="504" w:hanging="504"/>
        <w:contextualSpacing/>
      </w:pPr>
      <w:r w:rsidRPr="007D3A9F">
        <w:t xml:space="preserve">Incorporation of the first-time adoption of AASB 9 </w:t>
      </w:r>
      <w:r w:rsidRPr="007D3A9F">
        <w:rPr>
          <w:i/>
        </w:rPr>
        <w:t>Financial Instruments</w:t>
      </w:r>
      <w:r w:rsidRPr="007D3A9F">
        <w:t>,</w:t>
      </w:r>
      <w:r w:rsidRPr="007D3A9F">
        <w:rPr>
          <w:b/>
          <w:i/>
        </w:rPr>
        <w:t xml:space="preserve"> </w:t>
      </w:r>
      <w:r w:rsidRPr="007D3A9F">
        <w:t xml:space="preserve">including </w:t>
      </w:r>
      <w:r>
        <w:t xml:space="preserve">revising the </w:t>
      </w:r>
      <w:r w:rsidRPr="007D3A9F">
        <w:t>financial statements and a</w:t>
      </w:r>
      <w:r>
        <w:t>ccompanying</w:t>
      </w:r>
      <w:r w:rsidRPr="007D3A9F">
        <w:t xml:space="preserve"> notes</w:t>
      </w:r>
      <w:r w:rsidRPr="007D3A9F">
        <w:rPr>
          <w:i/>
        </w:rPr>
        <w:t>;</w:t>
      </w:r>
    </w:p>
    <w:p w14:paraId="2E434F04" w14:textId="070F0358" w:rsidR="000E4264" w:rsidRPr="007D3A9F" w:rsidRDefault="000E4264" w:rsidP="000E4264">
      <w:pPr>
        <w:pStyle w:val="Bullet1"/>
        <w:tabs>
          <w:tab w:val="clear" w:pos="360"/>
          <w:tab w:val="num" w:pos="504"/>
        </w:tabs>
        <w:spacing w:line="276" w:lineRule="auto"/>
        <w:ind w:left="504" w:hanging="504"/>
        <w:contextualSpacing/>
      </w:pPr>
      <w:r w:rsidRPr="007D3A9F">
        <w:t>Inclusion of ‘committed capital contribution</w:t>
      </w:r>
      <w:r w:rsidR="001A6393">
        <w:t>’</w:t>
      </w:r>
      <w:r w:rsidR="001F7F09">
        <w:t xml:space="preserve"> column</w:t>
      </w:r>
      <w:r w:rsidRPr="007D3A9F">
        <w:t xml:space="preserve"> for commissioned Public Private Partnership (PPP) arrangements to </w:t>
      </w:r>
      <w:r w:rsidR="00D855A5">
        <w:t>disclose the committed</w:t>
      </w:r>
      <w:r w:rsidRPr="007D3A9F">
        <w:t xml:space="preserve"> State capital contributions</w:t>
      </w:r>
      <w:r w:rsidR="00D855A5">
        <w:t xml:space="preserve"> separately</w:t>
      </w:r>
      <w:r w:rsidRPr="007D3A9F">
        <w:t>;</w:t>
      </w:r>
    </w:p>
    <w:p w14:paraId="18BF54BA" w14:textId="4EE83DA2" w:rsidR="000E4264" w:rsidRPr="00F37760" w:rsidRDefault="000E4264" w:rsidP="000E4264">
      <w:pPr>
        <w:pStyle w:val="Bullet1"/>
        <w:tabs>
          <w:tab w:val="clear" w:pos="360"/>
          <w:tab w:val="num" w:pos="504"/>
        </w:tabs>
        <w:spacing w:line="276" w:lineRule="auto"/>
        <w:ind w:left="504" w:hanging="504"/>
        <w:contextualSpacing/>
        <w:rPr>
          <w:rFonts w:ascii="Arial" w:hAnsi="Arial" w:cs="Arial"/>
        </w:rPr>
      </w:pPr>
      <w:r>
        <w:t>Relocating all</w:t>
      </w:r>
      <w:r w:rsidRPr="007D3A9F">
        <w:t xml:space="preserve"> the appendices relating to </w:t>
      </w:r>
      <w:r>
        <w:t xml:space="preserve">the </w:t>
      </w:r>
      <w:r w:rsidR="001F7F09">
        <w:t>new Australian Accounting Standards</w:t>
      </w:r>
      <w:r w:rsidR="00AA7BD9">
        <w:t xml:space="preserve"> (previously incorporated into the 2017-18 Model Report)</w:t>
      </w:r>
      <w:r w:rsidRPr="007D3A9F">
        <w:t xml:space="preserve"> </w:t>
      </w:r>
      <w:r w:rsidR="00873B75">
        <w:t>to</w:t>
      </w:r>
      <w:r w:rsidRPr="007D3A9F">
        <w:t xml:space="preserve"> the DTF website</w:t>
      </w:r>
      <w:r>
        <w:t>; and</w:t>
      </w:r>
    </w:p>
    <w:p w14:paraId="673B10EF" w14:textId="0BE1C9B6" w:rsidR="000E4264" w:rsidRPr="00AA3CA4" w:rsidRDefault="000E4264" w:rsidP="000E4264">
      <w:pPr>
        <w:pStyle w:val="Bullet1"/>
        <w:tabs>
          <w:tab w:val="clear" w:pos="360"/>
          <w:tab w:val="num" w:pos="504"/>
        </w:tabs>
        <w:spacing w:line="276" w:lineRule="auto"/>
        <w:ind w:left="504" w:hanging="504"/>
        <w:contextualSpacing/>
        <w:rPr>
          <w:rFonts w:ascii="Arial" w:hAnsi="Arial" w:cs="Arial"/>
        </w:rPr>
      </w:pPr>
      <w:r w:rsidRPr="00AA3CA4">
        <w:t xml:space="preserve">Incorporation of example disclosures associated with the new </w:t>
      </w:r>
      <w:r w:rsidR="008A6C29">
        <w:t>Australian A</w:t>
      </w:r>
      <w:r w:rsidRPr="00AA3CA4">
        <w:t xml:space="preserve">ccounting </w:t>
      </w:r>
      <w:r w:rsidR="008A6C29">
        <w:t>S</w:t>
      </w:r>
      <w:r w:rsidRPr="00AA3CA4">
        <w:t>tandards (issued but not effective for 30 June 2019) to assist preparers to disclose the potential impact</w:t>
      </w:r>
      <w:r w:rsidR="00193281">
        <w:t>s</w:t>
      </w:r>
      <w:r w:rsidRPr="00AA3CA4">
        <w:t xml:space="preserve"> of these standards on the Department</w:t>
      </w:r>
      <w:r w:rsidR="002542B6">
        <w:t>’</w:t>
      </w:r>
      <w:r w:rsidRPr="00AA3CA4">
        <w:t>s financial statements in their Annual Report</w:t>
      </w:r>
      <w:r w:rsidR="00193281">
        <w:t>s</w:t>
      </w:r>
      <w:r w:rsidRPr="00AA3CA4">
        <w:t xml:space="preserve">. </w:t>
      </w:r>
    </w:p>
    <w:p w14:paraId="53C79F89" w14:textId="09A99024" w:rsidR="000761ED" w:rsidRDefault="000761ED" w:rsidP="001D2E12">
      <w:pPr>
        <w:pStyle w:val="Bullet2"/>
        <w:numPr>
          <w:ilvl w:val="0"/>
          <w:numId w:val="0"/>
        </w:numPr>
        <w:contextualSpacing/>
      </w:pPr>
      <w:r w:rsidRPr="001D2E12">
        <w:rPr>
          <w:rFonts w:ascii="Arial" w:hAnsi="Arial" w:cs="Arial"/>
        </w:rPr>
        <w:t xml:space="preserve">For details of the </w:t>
      </w:r>
      <w:r w:rsidRPr="001D2E12">
        <w:rPr>
          <w:rFonts w:ascii="Arial" w:hAnsi="Arial" w:cs="Arial"/>
          <w:b/>
          <w:color w:val="0063A6" w:themeColor="accent1"/>
        </w:rPr>
        <w:t>New</w:t>
      </w:r>
      <w:r w:rsidRPr="001D2E12">
        <w:rPr>
          <w:rFonts w:ascii="Arial" w:hAnsi="Arial" w:cs="Arial"/>
        </w:rPr>
        <w:t xml:space="preserve"> and </w:t>
      </w:r>
      <w:r w:rsidRPr="001D2E12">
        <w:rPr>
          <w:rFonts w:ascii="Arial" w:hAnsi="Arial" w:cs="Arial"/>
          <w:b/>
          <w:color w:val="D50032"/>
        </w:rPr>
        <w:t>Revised</w:t>
      </w:r>
      <w:r w:rsidRPr="001D2E12">
        <w:rPr>
          <w:rFonts w:ascii="Arial" w:hAnsi="Arial" w:cs="Arial"/>
        </w:rPr>
        <w:t xml:space="preserve"> reporting requirements in the Model, please refer to the summary of changes tables in this document.</w:t>
      </w:r>
    </w:p>
    <w:p w14:paraId="2C402609" w14:textId="77777777" w:rsidR="005E6AE4" w:rsidRPr="00DF5908" w:rsidRDefault="005E6AE4">
      <w:pPr>
        <w:spacing w:before="0" w:after="200"/>
      </w:pPr>
      <w:r w:rsidRPr="00DF5908">
        <w:br w:type="page"/>
      </w:r>
    </w:p>
    <w:tbl>
      <w:tblPr>
        <w:tblStyle w:val="DTFtexttable"/>
        <w:tblW w:w="5000" w:type="pct"/>
        <w:tblLayout w:type="fixed"/>
        <w:tblLook w:val="04A0" w:firstRow="1" w:lastRow="0" w:firstColumn="1" w:lastColumn="0" w:noHBand="0" w:noVBand="1"/>
      </w:tblPr>
      <w:tblGrid>
        <w:gridCol w:w="1586"/>
        <w:gridCol w:w="1801"/>
        <w:gridCol w:w="4590"/>
        <w:gridCol w:w="1163"/>
      </w:tblGrid>
      <w:tr w:rsidR="003C2323" w:rsidRPr="00DF5908" w14:paraId="0A3317DB" w14:textId="77777777" w:rsidTr="00C34B38">
        <w:trPr>
          <w:cnfStyle w:val="100000000000" w:firstRow="1" w:lastRow="0" w:firstColumn="0" w:lastColumn="0" w:oddVBand="0" w:evenVBand="0" w:oddHBand="0" w:evenHBand="0" w:firstRowFirstColumn="0" w:firstRowLastColumn="0" w:lastRowFirstColumn="0" w:lastRowLastColumn="0"/>
          <w:trHeight w:val="70"/>
          <w:tblHeader/>
        </w:trPr>
        <w:tc>
          <w:tcPr>
            <w:cnfStyle w:val="001000000100" w:firstRow="0" w:lastRow="0" w:firstColumn="1" w:lastColumn="0" w:oddVBand="0" w:evenVBand="0" w:oddHBand="0" w:evenHBand="0" w:firstRowFirstColumn="1" w:firstRowLastColumn="0" w:lastRowFirstColumn="0" w:lastRowLastColumn="0"/>
            <w:tcW w:w="5000" w:type="pct"/>
            <w:gridSpan w:val="4"/>
          </w:tcPr>
          <w:p w14:paraId="5E374A87" w14:textId="77777777" w:rsidR="003C2323" w:rsidRPr="00DF5908" w:rsidRDefault="003C2323" w:rsidP="00C34B38">
            <w:pPr>
              <w:pStyle w:val="Tableheader"/>
            </w:pPr>
            <w:r w:rsidRPr="00DF5908">
              <w:lastRenderedPageBreak/>
              <w:t xml:space="preserve">General changes throughout the </w:t>
            </w:r>
            <w:r w:rsidRPr="003F1C34">
              <w:rPr>
                <w:i/>
              </w:rPr>
              <w:t>20</w:t>
            </w:r>
            <w:r>
              <w:rPr>
                <w:i/>
              </w:rPr>
              <w:t>18</w:t>
            </w:r>
            <w:r w:rsidRPr="003F1C34">
              <w:rPr>
                <w:i/>
              </w:rPr>
              <w:noBreakHyphen/>
              <w:t>1</w:t>
            </w:r>
            <w:r>
              <w:rPr>
                <w:i/>
              </w:rPr>
              <w:t>9</w:t>
            </w:r>
            <w:r w:rsidRPr="003F1C34">
              <w:rPr>
                <w:i/>
              </w:rPr>
              <w:t> Model Report</w:t>
            </w:r>
            <w:r w:rsidRPr="00DF5908">
              <w:t xml:space="preserve"> </w:t>
            </w:r>
          </w:p>
        </w:tc>
      </w:tr>
      <w:tr w:rsidR="003C2323" w:rsidRPr="00DF5908" w14:paraId="5B377B10" w14:textId="77777777" w:rsidTr="00C34B3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68" w:type="pct"/>
            <w:shd w:val="clear" w:color="auto" w:fill="749CC9" w:themeFill="accent3"/>
          </w:tcPr>
          <w:p w14:paraId="6526D4DE" w14:textId="77777777" w:rsidR="003C2323" w:rsidRPr="00DF5908" w:rsidRDefault="003C2323" w:rsidP="00C34B38">
            <w:pPr>
              <w:pStyle w:val="Tableheader"/>
              <w:rPr>
                <w:sz w:val="18"/>
                <w:szCs w:val="18"/>
              </w:rPr>
            </w:pPr>
            <w:r w:rsidRPr="00DF5908">
              <w:rPr>
                <w:sz w:val="18"/>
                <w:szCs w:val="18"/>
              </w:rPr>
              <w:t xml:space="preserve">Subject matter </w:t>
            </w:r>
          </w:p>
        </w:tc>
        <w:tc>
          <w:tcPr>
            <w:tcW w:w="985" w:type="pct"/>
            <w:shd w:val="clear" w:color="auto" w:fill="749CC9" w:themeFill="accent3"/>
          </w:tcPr>
          <w:p w14:paraId="1DC13E37" w14:textId="77777777" w:rsidR="003C2323" w:rsidRPr="00D94648" w:rsidRDefault="003C2323" w:rsidP="00C34B38">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D94648">
              <w:rPr>
                <w:sz w:val="18"/>
                <w:szCs w:val="18"/>
              </w:rPr>
              <w:t>Source of change</w:t>
            </w:r>
          </w:p>
        </w:tc>
        <w:tc>
          <w:tcPr>
            <w:tcW w:w="2511" w:type="pct"/>
            <w:shd w:val="clear" w:color="auto" w:fill="749CC9" w:themeFill="accent3"/>
          </w:tcPr>
          <w:p w14:paraId="197C773C" w14:textId="77777777" w:rsidR="003C2323" w:rsidRPr="00DF5908" w:rsidRDefault="003C2323" w:rsidP="00C34B38">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DF5908">
              <w:rPr>
                <w:sz w:val="18"/>
                <w:szCs w:val="18"/>
              </w:rPr>
              <w:t xml:space="preserve">Summary of changes throughout the </w:t>
            </w:r>
            <w:r w:rsidRPr="003F1C34">
              <w:rPr>
                <w:i/>
                <w:sz w:val="18"/>
                <w:szCs w:val="18"/>
              </w:rPr>
              <w:t>201</w:t>
            </w:r>
            <w:r>
              <w:rPr>
                <w:i/>
                <w:sz w:val="18"/>
                <w:szCs w:val="18"/>
              </w:rPr>
              <w:t>8</w:t>
            </w:r>
            <w:r w:rsidRPr="003F1C34">
              <w:rPr>
                <w:i/>
                <w:sz w:val="18"/>
                <w:szCs w:val="18"/>
              </w:rPr>
              <w:noBreakHyphen/>
              <w:t>1</w:t>
            </w:r>
            <w:r>
              <w:rPr>
                <w:i/>
                <w:sz w:val="18"/>
                <w:szCs w:val="18"/>
              </w:rPr>
              <w:t>9</w:t>
            </w:r>
            <w:r w:rsidRPr="003F1C34">
              <w:rPr>
                <w:i/>
                <w:sz w:val="18"/>
                <w:szCs w:val="18"/>
              </w:rPr>
              <w:t> Model Report</w:t>
            </w:r>
          </w:p>
        </w:tc>
        <w:tc>
          <w:tcPr>
            <w:tcW w:w="636" w:type="pct"/>
            <w:shd w:val="clear" w:color="auto" w:fill="749CC9" w:themeFill="accent3"/>
          </w:tcPr>
          <w:p w14:paraId="56F6F590" w14:textId="77777777" w:rsidR="003C2323" w:rsidRPr="00DF5908" w:rsidRDefault="003C2323" w:rsidP="00C34B38">
            <w:pPr>
              <w:pStyle w:val="Tableheader"/>
              <w:jc w:val="center"/>
              <w:cnfStyle w:val="100000000000" w:firstRow="1" w:lastRow="0" w:firstColumn="0" w:lastColumn="0" w:oddVBand="0" w:evenVBand="0" w:oddHBand="0" w:evenHBand="0" w:firstRowFirstColumn="0" w:firstRowLastColumn="0" w:lastRowFirstColumn="0" w:lastRowLastColumn="0"/>
              <w:rPr>
                <w:sz w:val="18"/>
                <w:szCs w:val="18"/>
              </w:rPr>
            </w:pPr>
            <w:r w:rsidRPr="00DF5908">
              <w:rPr>
                <w:sz w:val="18"/>
                <w:szCs w:val="18"/>
              </w:rPr>
              <w:t>Page reference</w:t>
            </w:r>
          </w:p>
        </w:tc>
      </w:tr>
      <w:tr w:rsidR="003C2323" w:rsidRPr="00DF5908" w14:paraId="70540E3B" w14:textId="77777777" w:rsidTr="00C34B38">
        <w:trPr>
          <w:trHeight w:val="416"/>
        </w:trPr>
        <w:tc>
          <w:tcPr>
            <w:cnfStyle w:val="001000000000" w:firstRow="0" w:lastRow="0" w:firstColumn="1" w:lastColumn="0" w:oddVBand="0" w:evenVBand="0" w:oddHBand="0" w:evenHBand="0" w:firstRowFirstColumn="0" w:firstRowLastColumn="0" w:lastRowFirstColumn="0" w:lastRowLastColumn="0"/>
            <w:tcW w:w="868" w:type="pct"/>
            <w:vMerge w:val="restart"/>
          </w:tcPr>
          <w:p w14:paraId="7A790846" w14:textId="77777777" w:rsidR="003C2323" w:rsidRPr="00DF5908" w:rsidRDefault="003C2323" w:rsidP="00C34B38">
            <w:pPr>
              <w:pStyle w:val="Tabletext"/>
            </w:pPr>
            <w:r w:rsidRPr="00DF5908">
              <w:t>General improvements to the Model</w:t>
            </w:r>
          </w:p>
        </w:tc>
        <w:tc>
          <w:tcPr>
            <w:tcW w:w="985" w:type="pct"/>
          </w:tcPr>
          <w:p w14:paraId="103F621D" w14:textId="77777777" w:rsidR="003C2323" w:rsidRPr="00CF6E46" w:rsidRDefault="003C2323" w:rsidP="00C34B3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CF6E46">
              <w:rPr>
                <w:rFonts w:ascii="Arial" w:hAnsi="Arial" w:cs="Arial"/>
              </w:rPr>
              <w:t>Roll-forward dates</w:t>
            </w:r>
          </w:p>
        </w:tc>
        <w:tc>
          <w:tcPr>
            <w:tcW w:w="2511" w:type="pct"/>
          </w:tcPr>
          <w:p w14:paraId="6AA3AF99" w14:textId="77777777" w:rsidR="003C2323" w:rsidRPr="00CF6E46" w:rsidRDefault="003C2323" w:rsidP="00C34B3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All </w:t>
            </w:r>
            <w:r w:rsidRPr="00CF6E46">
              <w:rPr>
                <w:rFonts w:ascii="Arial" w:hAnsi="Arial" w:cs="Arial"/>
              </w:rPr>
              <w:t>relevan</w:t>
            </w:r>
            <w:r>
              <w:rPr>
                <w:rFonts w:ascii="Arial" w:hAnsi="Arial" w:cs="Arial"/>
              </w:rPr>
              <w:t>t dates have been rolled-over</w:t>
            </w:r>
            <w:r w:rsidRPr="00CF6E46">
              <w:rPr>
                <w:rFonts w:ascii="Arial" w:hAnsi="Arial" w:cs="Arial"/>
              </w:rPr>
              <w:t xml:space="preserve"> in the </w:t>
            </w:r>
            <w:r>
              <w:rPr>
                <w:rFonts w:ascii="Arial" w:hAnsi="Arial" w:cs="Arial"/>
              </w:rPr>
              <w:t xml:space="preserve">2018-19 </w:t>
            </w:r>
            <w:r w:rsidRPr="00CF6E46">
              <w:rPr>
                <w:rFonts w:ascii="Arial" w:hAnsi="Arial" w:cs="Arial"/>
              </w:rPr>
              <w:t>Model Report</w:t>
            </w:r>
            <w:r>
              <w:rPr>
                <w:rFonts w:ascii="Arial" w:hAnsi="Arial" w:cs="Arial"/>
              </w:rPr>
              <w:t xml:space="preserve"> as part of the roll-over process from the 2017-18 Model Report. </w:t>
            </w:r>
          </w:p>
        </w:tc>
        <w:tc>
          <w:tcPr>
            <w:tcW w:w="636" w:type="pct"/>
          </w:tcPr>
          <w:p w14:paraId="24948236" w14:textId="77777777" w:rsidR="003C2323" w:rsidRPr="00CF6E46" w:rsidRDefault="003C2323" w:rsidP="00C34B38">
            <w:pPr>
              <w:pStyle w:val="Tabletextcentred"/>
              <w:cnfStyle w:val="000000000000" w:firstRow="0" w:lastRow="0" w:firstColumn="0" w:lastColumn="0" w:oddVBand="0" w:evenVBand="0" w:oddHBand="0" w:evenHBand="0" w:firstRowFirstColumn="0" w:firstRowLastColumn="0" w:lastRowFirstColumn="0" w:lastRowLastColumn="0"/>
              <w:rPr>
                <w:rFonts w:ascii="Arial" w:hAnsi="Arial" w:cs="Arial"/>
              </w:rPr>
            </w:pPr>
            <w:r w:rsidRPr="00CF6E46">
              <w:rPr>
                <w:rFonts w:ascii="Arial" w:hAnsi="Arial" w:cs="Arial"/>
              </w:rPr>
              <w:t>Whole Model</w:t>
            </w:r>
          </w:p>
        </w:tc>
      </w:tr>
      <w:tr w:rsidR="003C2323" w:rsidRPr="00DF5908" w14:paraId="1DEE2ED0" w14:textId="77777777" w:rsidTr="00C34B38">
        <w:trPr>
          <w:cnfStyle w:val="000000010000" w:firstRow="0" w:lastRow="0" w:firstColumn="0" w:lastColumn="0" w:oddVBand="0" w:evenVBand="0" w:oddHBand="0" w:evenHBand="1"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868" w:type="pct"/>
            <w:vMerge/>
          </w:tcPr>
          <w:p w14:paraId="63B2EB9C" w14:textId="77777777" w:rsidR="003C2323" w:rsidRPr="00DF5908" w:rsidRDefault="003C2323" w:rsidP="00C34B38">
            <w:pPr>
              <w:pStyle w:val="Tabletext"/>
            </w:pPr>
          </w:p>
        </w:tc>
        <w:tc>
          <w:tcPr>
            <w:tcW w:w="985" w:type="pct"/>
          </w:tcPr>
          <w:p w14:paraId="6205BB60" w14:textId="77777777" w:rsidR="003C2323" w:rsidRPr="00CF6E46" w:rsidRDefault="003C2323" w:rsidP="00C34B38">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Enhanced guidance</w:t>
            </w:r>
          </w:p>
        </w:tc>
        <w:tc>
          <w:tcPr>
            <w:tcW w:w="2511" w:type="pct"/>
          </w:tcPr>
          <w:p w14:paraId="10F24DCF" w14:textId="77777777" w:rsidR="003C2323" w:rsidRPr="00CF6E46" w:rsidRDefault="003C2323" w:rsidP="00C34B38">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rPr>
            </w:pPr>
            <w:r w:rsidRPr="00CF6E46">
              <w:rPr>
                <w:rFonts w:ascii="Arial" w:hAnsi="Arial" w:cs="Arial"/>
              </w:rPr>
              <w:t>Editorial changes</w:t>
            </w:r>
            <w:r>
              <w:rPr>
                <w:rFonts w:ascii="Arial" w:hAnsi="Arial" w:cs="Arial"/>
              </w:rPr>
              <w:t xml:space="preserve"> and updates</w:t>
            </w:r>
            <w:r w:rsidRPr="00CF6E46">
              <w:rPr>
                <w:rFonts w:ascii="Arial" w:hAnsi="Arial" w:cs="Arial"/>
              </w:rPr>
              <w:t xml:space="preserve"> to the</w:t>
            </w:r>
            <w:r>
              <w:rPr>
                <w:rFonts w:ascii="Arial" w:hAnsi="Arial" w:cs="Arial"/>
              </w:rPr>
              <w:t xml:space="preserve"> phrasing and structure of sentences/paragraphs have been made</w:t>
            </w:r>
            <w:r w:rsidRPr="00CF6E46">
              <w:rPr>
                <w:rFonts w:ascii="Arial" w:hAnsi="Arial" w:cs="Arial"/>
              </w:rPr>
              <w:t xml:space="preserve"> </w:t>
            </w:r>
            <w:r>
              <w:rPr>
                <w:rFonts w:ascii="Arial" w:hAnsi="Arial" w:cs="Arial"/>
              </w:rPr>
              <w:t xml:space="preserve">to improve the guidance material throughout the Model. </w:t>
            </w:r>
          </w:p>
        </w:tc>
        <w:tc>
          <w:tcPr>
            <w:tcW w:w="636" w:type="pct"/>
          </w:tcPr>
          <w:p w14:paraId="3A9FC24F" w14:textId="77777777" w:rsidR="003C2323" w:rsidRPr="00CF6E46" w:rsidRDefault="003C2323" w:rsidP="00C34B38">
            <w:pPr>
              <w:pStyle w:val="Tabletextcentred"/>
              <w:cnfStyle w:val="000000010000" w:firstRow="0" w:lastRow="0" w:firstColumn="0" w:lastColumn="0" w:oddVBand="0" w:evenVBand="0" w:oddHBand="0" w:evenHBand="1" w:firstRowFirstColumn="0" w:firstRowLastColumn="0" w:lastRowFirstColumn="0" w:lastRowLastColumn="0"/>
              <w:rPr>
                <w:rFonts w:ascii="Arial" w:hAnsi="Arial" w:cs="Arial"/>
              </w:rPr>
            </w:pPr>
            <w:r w:rsidRPr="00CF6E46">
              <w:rPr>
                <w:rFonts w:ascii="Arial" w:hAnsi="Arial" w:cs="Arial"/>
              </w:rPr>
              <w:t>Whole Model</w:t>
            </w:r>
          </w:p>
        </w:tc>
      </w:tr>
      <w:tr w:rsidR="003C2323" w:rsidRPr="00DF5908" w14:paraId="13F61887" w14:textId="77777777" w:rsidTr="00C34B38">
        <w:trPr>
          <w:trHeight w:val="910"/>
        </w:trPr>
        <w:tc>
          <w:tcPr>
            <w:cnfStyle w:val="001000000000" w:firstRow="0" w:lastRow="0" w:firstColumn="1" w:lastColumn="0" w:oddVBand="0" w:evenVBand="0" w:oddHBand="0" w:evenHBand="0" w:firstRowFirstColumn="0" w:firstRowLastColumn="0" w:lastRowFirstColumn="0" w:lastRowLastColumn="0"/>
            <w:tcW w:w="868" w:type="pct"/>
          </w:tcPr>
          <w:p w14:paraId="55869A6F" w14:textId="77777777" w:rsidR="003C2323" w:rsidRPr="00DF5908" w:rsidRDefault="003C2323" w:rsidP="00C34B38">
            <w:pPr>
              <w:pStyle w:val="Tabletext"/>
            </w:pPr>
          </w:p>
        </w:tc>
        <w:tc>
          <w:tcPr>
            <w:tcW w:w="985" w:type="pct"/>
          </w:tcPr>
          <w:p w14:paraId="27DF68FF" w14:textId="77777777" w:rsidR="003C2323" w:rsidRPr="00CF6E46" w:rsidRDefault="003C2323" w:rsidP="00C34B3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To update the source references </w:t>
            </w:r>
          </w:p>
        </w:tc>
        <w:tc>
          <w:tcPr>
            <w:tcW w:w="2511" w:type="pct"/>
          </w:tcPr>
          <w:p w14:paraId="40CBBBDA" w14:textId="77777777" w:rsidR="003C2323" w:rsidRDefault="003C2323" w:rsidP="00C34B3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following changes have been made to the source references:</w:t>
            </w:r>
          </w:p>
          <w:p w14:paraId="62F28365" w14:textId="77777777" w:rsidR="003C2323" w:rsidRPr="007C05B7" w:rsidRDefault="003C2323" w:rsidP="00C34B38">
            <w:pPr>
              <w:pStyle w:val="Tabletext"/>
              <w:numPr>
                <w:ilvl w:val="0"/>
                <w:numId w:val="24"/>
              </w:numPr>
              <w:ind w:left="340" w:hanging="22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Changes to the AASB/FRD source references </w:t>
            </w:r>
            <w:proofErr w:type="gramStart"/>
            <w:r>
              <w:rPr>
                <w:rFonts w:ascii="Arial" w:hAnsi="Arial" w:cs="Arial"/>
              </w:rPr>
              <w:t>as a result of</w:t>
            </w:r>
            <w:proofErr w:type="gramEnd"/>
            <w:r>
              <w:rPr>
                <w:rFonts w:ascii="Arial" w:hAnsi="Arial" w:cs="Arial"/>
              </w:rPr>
              <w:t xml:space="preserve"> the update to the relevant AASB/FRD since 1 July 2018. </w:t>
            </w:r>
          </w:p>
        </w:tc>
        <w:tc>
          <w:tcPr>
            <w:tcW w:w="636" w:type="pct"/>
          </w:tcPr>
          <w:p w14:paraId="0CA7946F" w14:textId="77777777" w:rsidR="003C2323" w:rsidRPr="00CF6E46" w:rsidRDefault="003C2323" w:rsidP="00C34B38">
            <w:pPr>
              <w:pStyle w:val="Tabletextcentred"/>
              <w:cnfStyle w:val="000000000000" w:firstRow="0" w:lastRow="0" w:firstColumn="0" w:lastColumn="0" w:oddVBand="0" w:evenVBand="0" w:oddHBand="0" w:evenHBand="0" w:firstRowFirstColumn="0" w:firstRowLastColumn="0" w:lastRowFirstColumn="0" w:lastRowLastColumn="0"/>
              <w:rPr>
                <w:rFonts w:ascii="Arial" w:hAnsi="Arial" w:cs="Arial"/>
              </w:rPr>
            </w:pPr>
            <w:r w:rsidRPr="00CF6E46">
              <w:rPr>
                <w:rFonts w:ascii="Arial" w:hAnsi="Arial" w:cs="Arial"/>
              </w:rPr>
              <w:t>Whole Model</w:t>
            </w:r>
          </w:p>
        </w:tc>
      </w:tr>
      <w:tr w:rsidR="003C2323" w:rsidRPr="00DF5908" w14:paraId="5AAFF261" w14:textId="77777777" w:rsidTr="00C34B38">
        <w:trPr>
          <w:cnfStyle w:val="000000010000" w:firstRow="0" w:lastRow="0" w:firstColumn="0" w:lastColumn="0" w:oddVBand="0" w:evenVBand="0" w:oddHBand="0" w:evenHBand="1"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868" w:type="pct"/>
          </w:tcPr>
          <w:p w14:paraId="6317C157" w14:textId="77777777" w:rsidR="003C2323" w:rsidRPr="00DF5908" w:rsidRDefault="003C2323" w:rsidP="00C34B38">
            <w:pPr>
              <w:pStyle w:val="Tabletext"/>
            </w:pPr>
          </w:p>
        </w:tc>
        <w:tc>
          <w:tcPr>
            <w:tcW w:w="985" w:type="pct"/>
          </w:tcPr>
          <w:p w14:paraId="21611FB1" w14:textId="77777777" w:rsidR="003C2323" w:rsidRDefault="003C2323" w:rsidP="00C34B38">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Revised Standing Directions </w:t>
            </w:r>
          </w:p>
        </w:tc>
        <w:tc>
          <w:tcPr>
            <w:tcW w:w="2511" w:type="pct"/>
          </w:tcPr>
          <w:p w14:paraId="26099129" w14:textId="77777777" w:rsidR="003C2323" w:rsidRDefault="003C2323" w:rsidP="00C34B38">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All references to the ‘Standing Directions for the Minister for Finance’ has been replaced with the “Standing Directions 2018 under the Financial Management Act 1994”, to reflect the General Order issued 29 November 2018. </w:t>
            </w:r>
          </w:p>
        </w:tc>
        <w:tc>
          <w:tcPr>
            <w:tcW w:w="636" w:type="pct"/>
          </w:tcPr>
          <w:p w14:paraId="58128CC9" w14:textId="77777777" w:rsidR="003C2323" w:rsidRPr="00CF6E46" w:rsidRDefault="003C2323" w:rsidP="00C34B38">
            <w:pPr>
              <w:pStyle w:val="Tabletextcentred"/>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Whole Model </w:t>
            </w:r>
          </w:p>
        </w:tc>
      </w:tr>
      <w:tr w:rsidR="003C2323" w:rsidRPr="00DF5908" w14:paraId="69608DD0" w14:textId="77777777" w:rsidTr="00C34B38">
        <w:trPr>
          <w:trHeight w:val="910"/>
        </w:trPr>
        <w:tc>
          <w:tcPr>
            <w:cnfStyle w:val="001000000000" w:firstRow="0" w:lastRow="0" w:firstColumn="1" w:lastColumn="0" w:oddVBand="0" w:evenVBand="0" w:oddHBand="0" w:evenHBand="0" w:firstRowFirstColumn="0" w:firstRowLastColumn="0" w:lastRowFirstColumn="0" w:lastRowLastColumn="0"/>
            <w:tcW w:w="868" w:type="pct"/>
          </w:tcPr>
          <w:p w14:paraId="2AF25AA4" w14:textId="77777777" w:rsidR="003C2323" w:rsidRPr="00DF5908" w:rsidRDefault="003C2323" w:rsidP="00C34B38">
            <w:pPr>
              <w:pStyle w:val="Tabletext"/>
            </w:pPr>
          </w:p>
        </w:tc>
        <w:tc>
          <w:tcPr>
            <w:tcW w:w="985" w:type="pct"/>
          </w:tcPr>
          <w:p w14:paraId="2E8C1288" w14:textId="77777777" w:rsidR="003C2323" w:rsidRDefault="003C2323" w:rsidP="00C34B3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To update references to the Assistant Treasurer </w:t>
            </w:r>
          </w:p>
        </w:tc>
        <w:tc>
          <w:tcPr>
            <w:tcW w:w="2511" w:type="pct"/>
          </w:tcPr>
          <w:p w14:paraId="4EAFB3C9" w14:textId="77777777" w:rsidR="003C2323" w:rsidRDefault="003C2323" w:rsidP="00C34B38">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All references to the Minister for Finance has been replaced with Assistant Treasurer, to reflect the General Order issued 29 November 2018. </w:t>
            </w:r>
          </w:p>
        </w:tc>
        <w:tc>
          <w:tcPr>
            <w:tcW w:w="636" w:type="pct"/>
          </w:tcPr>
          <w:p w14:paraId="459111B1" w14:textId="77777777" w:rsidR="003C2323" w:rsidRDefault="003C2323" w:rsidP="00C34B38">
            <w:pPr>
              <w:pStyle w:val="Tabletextcentred"/>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Whole Model</w:t>
            </w:r>
          </w:p>
        </w:tc>
      </w:tr>
    </w:tbl>
    <w:p w14:paraId="1E164C77" w14:textId="7B768524" w:rsidR="005B3B9F" w:rsidRDefault="005B3B9F" w:rsidP="005E6AE4">
      <w:pPr>
        <w:pStyle w:val="Tabletext"/>
      </w:pPr>
    </w:p>
    <w:tbl>
      <w:tblPr>
        <w:tblStyle w:val="DTFtexttable"/>
        <w:tblW w:w="5000" w:type="pct"/>
        <w:tblLayout w:type="fixed"/>
        <w:tblLook w:val="01A0" w:firstRow="1" w:lastRow="0" w:firstColumn="1" w:lastColumn="1" w:noHBand="0" w:noVBand="0"/>
      </w:tblPr>
      <w:tblGrid>
        <w:gridCol w:w="1586"/>
        <w:gridCol w:w="1801"/>
        <w:gridCol w:w="4590"/>
        <w:gridCol w:w="1163"/>
      </w:tblGrid>
      <w:tr w:rsidR="003C2323" w:rsidRPr="003C2323" w14:paraId="79A29316" w14:textId="77777777" w:rsidTr="00C34B3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gridSpan w:val="4"/>
          </w:tcPr>
          <w:p w14:paraId="292E8B4B" w14:textId="77777777" w:rsidR="003C2323" w:rsidRPr="003C2323" w:rsidRDefault="003C2323" w:rsidP="003C2323">
            <w:pPr>
              <w:pStyle w:val="Tableheader"/>
              <w:rPr>
                <w:rFonts w:eastAsiaTheme="minorEastAsia"/>
                <w:color w:val="auto"/>
                <w:sz w:val="17"/>
                <w:szCs w:val="20"/>
                <w:lang w:eastAsia="en-AU"/>
              </w:rPr>
            </w:pPr>
            <w:r w:rsidRPr="003C2323">
              <w:t xml:space="preserve">Summary of changes – Introduction </w:t>
            </w:r>
          </w:p>
        </w:tc>
      </w:tr>
      <w:tr w:rsidR="003C2323" w:rsidRPr="003C2323" w14:paraId="1CF1A590" w14:textId="77777777" w:rsidTr="00C34B3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68" w:type="pct"/>
            <w:shd w:val="clear" w:color="auto" w:fill="749CC9" w:themeFill="accent3"/>
          </w:tcPr>
          <w:p w14:paraId="6CF1A0D6" w14:textId="77777777" w:rsidR="003C2323" w:rsidRPr="003C2323" w:rsidRDefault="003C2323" w:rsidP="003C2323">
            <w:pPr>
              <w:pStyle w:val="Tableheader"/>
              <w:rPr>
                <w:sz w:val="18"/>
                <w:szCs w:val="18"/>
              </w:rPr>
            </w:pPr>
            <w:r w:rsidRPr="003C2323">
              <w:rPr>
                <w:sz w:val="18"/>
                <w:szCs w:val="18"/>
              </w:rPr>
              <w:t xml:space="preserve">Subject matter </w:t>
            </w:r>
          </w:p>
        </w:tc>
        <w:tc>
          <w:tcPr>
            <w:cnfStyle w:val="000010000000" w:firstRow="0" w:lastRow="0" w:firstColumn="0" w:lastColumn="0" w:oddVBand="1" w:evenVBand="0" w:oddHBand="0" w:evenHBand="0" w:firstRowFirstColumn="0" w:firstRowLastColumn="0" w:lastRowFirstColumn="0" w:lastRowLastColumn="0"/>
            <w:tcW w:w="985" w:type="pct"/>
            <w:shd w:val="clear" w:color="auto" w:fill="749CC9" w:themeFill="accent3"/>
          </w:tcPr>
          <w:p w14:paraId="0CB416AD" w14:textId="77777777" w:rsidR="003C2323" w:rsidRPr="003C2323" w:rsidRDefault="003C2323" w:rsidP="003C2323">
            <w:pPr>
              <w:pStyle w:val="Tableheader"/>
              <w:rPr>
                <w:sz w:val="18"/>
                <w:szCs w:val="18"/>
              </w:rPr>
            </w:pPr>
            <w:r w:rsidRPr="003C2323">
              <w:rPr>
                <w:sz w:val="18"/>
                <w:szCs w:val="18"/>
              </w:rPr>
              <w:t>Source of change</w:t>
            </w:r>
          </w:p>
        </w:tc>
        <w:tc>
          <w:tcPr>
            <w:cnfStyle w:val="000001000000" w:firstRow="0" w:lastRow="0" w:firstColumn="0" w:lastColumn="0" w:oddVBand="0" w:evenVBand="1" w:oddHBand="0" w:evenHBand="0" w:firstRowFirstColumn="0" w:firstRowLastColumn="0" w:lastRowFirstColumn="0" w:lastRowLastColumn="0"/>
            <w:tcW w:w="2511" w:type="pct"/>
            <w:shd w:val="clear" w:color="auto" w:fill="749CC9" w:themeFill="accent3"/>
          </w:tcPr>
          <w:p w14:paraId="73D691BC" w14:textId="77777777" w:rsidR="003C2323" w:rsidRPr="003C2323" w:rsidRDefault="003C2323" w:rsidP="003C2323">
            <w:pPr>
              <w:pStyle w:val="Tableheader"/>
              <w:rPr>
                <w:sz w:val="18"/>
                <w:szCs w:val="18"/>
              </w:rPr>
            </w:pPr>
            <w:r w:rsidRPr="003C2323">
              <w:rPr>
                <w:sz w:val="18"/>
                <w:szCs w:val="18"/>
              </w:rPr>
              <w:t>Summary of changes applied to the relevant sections in the Introduction</w:t>
            </w:r>
          </w:p>
        </w:tc>
        <w:tc>
          <w:tcPr>
            <w:cnfStyle w:val="000100001000" w:firstRow="0" w:lastRow="0" w:firstColumn="0" w:lastColumn="1" w:oddVBand="0" w:evenVBand="0" w:oddHBand="0" w:evenHBand="0" w:firstRowFirstColumn="0" w:firstRowLastColumn="1" w:lastRowFirstColumn="0" w:lastRowLastColumn="0"/>
            <w:tcW w:w="636" w:type="pct"/>
            <w:shd w:val="clear" w:color="auto" w:fill="749CC9" w:themeFill="accent3"/>
          </w:tcPr>
          <w:p w14:paraId="09A1BD8E" w14:textId="77777777" w:rsidR="003C2323" w:rsidRPr="003C2323" w:rsidRDefault="003C2323" w:rsidP="003C2323">
            <w:pPr>
              <w:pStyle w:val="Tableheader"/>
              <w:rPr>
                <w:sz w:val="18"/>
                <w:szCs w:val="18"/>
              </w:rPr>
            </w:pPr>
            <w:r w:rsidRPr="003C2323">
              <w:rPr>
                <w:sz w:val="18"/>
                <w:szCs w:val="18"/>
              </w:rPr>
              <w:t>Page reference</w:t>
            </w:r>
          </w:p>
        </w:tc>
      </w:tr>
      <w:tr w:rsidR="003C2323" w:rsidRPr="003C2323" w14:paraId="46B03BD6" w14:textId="77777777" w:rsidTr="00C34B38">
        <w:tc>
          <w:tcPr>
            <w:cnfStyle w:val="001000000000" w:firstRow="0" w:lastRow="0" w:firstColumn="1" w:lastColumn="0" w:oddVBand="0" w:evenVBand="0" w:oddHBand="0" w:evenHBand="0" w:firstRowFirstColumn="0" w:firstRowLastColumn="0" w:lastRowFirstColumn="0" w:lastRowLastColumn="0"/>
            <w:tcW w:w="868" w:type="pct"/>
          </w:tcPr>
          <w:p w14:paraId="7D6948E5" w14:textId="77777777" w:rsidR="003C2323" w:rsidRPr="003C2323" w:rsidRDefault="003C2323" w:rsidP="003C2323">
            <w:pPr>
              <w:pStyle w:val="Tabletext"/>
              <w:rPr>
                <w:rFonts w:eastAsiaTheme="minorEastAsia"/>
                <w:szCs w:val="20"/>
                <w:lang w:eastAsia="en-AU"/>
              </w:rPr>
            </w:pPr>
            <w:r w:rsidRPr="003C2323">
              <w:rPr>
                <w:rFonts w:eastAsiaTheme="minorEastAsia"/>
                <w:szCs w:val="20"/>
                <w:lang w:eastAsia="en-AU"/>
              </w:rPr>
              <w:t>Key financial publications for the State of Victoria</w:t>
            </w:r>
          </w:p>
        </w:tc>
        <w:tc>
          <w:tcPr>
            <w:cnfStyle w:val="000010000000" w:firstRow="0" w:lastRow="0" w:firstColumn="0" w:lastColumn="0" w:oddVBand="1" w:evenVBand="0" w:oddHBand="0" w:evenHBand="0" w:firstRowFirstColumn="0" w:firstRowLastColumn="0" w:lastRowFirstColumn="0" w:lastRowLastColumn="0"/>
            <w:tcW w:w="985" w:type="pct"/>
          </w:tcPr>
          <w:p w14:paraId="4B1E7340" w14:textId="5F2C04FA" w:rsidR="003C2323" w:rsidRPr="003C2323" w:rsidRDefault="0081651C" w:rsidP="003C2323">
            <w:pPr>
              <w:pStyle w:val="Tabletext"/>
              <w:rPr>
                <w:rFonts w:eastAsiaTheme="minorEastAsia"/>
                <w:szCs w:val="20"/>
                <w:lang w:eastAsia="en-AU"/>
              </w:rPr>
            </w:pPr>
            <w:r>
              <w:rPr>
                <w:rFonts w:eastAsiaTheme="minorEastAsia"/>
                <w:szCs w:val="20"/>
                <w:lang w:eastAsia="en-AU"/>
              </w:rPr>
              <w:t>To update the footnotes</w:t>
            </w:r>
          </w:p>
        </w:tc>
        <w:tc>
          <w:tcPr>
            <w:cnfStyle w:val="000001000000" w:firstRow="0" w:lastRow="0" w:firstColumn="0" w:lastColumn="0" w:oddVBand="0" w:evenVBand="1" w:oddHBand="0" w:evenHBand="0" w:firstRowFirstColumn="0" w:firstRowLastColumn="0" w:lastRowFirstColumn="0" w:lastRowLastColumn="0"/>
            <w:tcW w:w="2511" w:type="pct"/>
          </w:tcPr>
          <w:p w14:paraId="6A38340A" w14:textId="008E423A" w:rsidR="003C2323" w:rsidRPr="003C2323" w:rsidRDefault="0081651C" w:rsidP="003C2323">
            <w:pPr>
              <w:pStyle w:val="Tabletext"/>
              <w:rPr>
                <w:rFonts w:eastAsiaTheme="minorEastAsia"/>
                <w:szCs w:val="20"/>
                <w:lang w:eastAsia="en-AU"/>
              </w:rPr>
            </w:pPr>
            <w:r>
              <w:rPr>
                <w:rFonts w:eastAsiaTheme="minorEastAsia"/>
                <w:szCs w:val="20"/>
                <w:lang w:eastAsia="en-AU"/>
              </w:rPr>
              <w:t xml:space="preserve">Minor </w:t>
            </w:r>
            <w:r w:rsidR="00FD4CB2">
              <w:rPr>
                <w:rFonts w:eastAsiaTheme="minorEastAsia"/>
                <w:szCs w:val="20"/>
                <w:lang w:eastAsia="en-AU"/>
              </w:rPr>
              <w:t xml:space="preserve">editorial changes have been applied to the footnote as part of the general roll-over process from the previous Model Report. </w:t>
            </w:r>
          </w:p>
        </w:tc>
        <w:tc>
          <w:tcPr>
            <w:cnfStyle w:val="000100000000" w:firstRow="0" w:lastRow="0" w:firstColumn="0" w:lastColumn="1" w:oddVBand="0" w:evenVBand="0" w:oddHBand="0" w:evenHBand="0" w:firstRowFirstColumn="0" w:firstRowLastColumn="0" w:lastRowFirstColumn="0" w:lastRowLastColumn="0"/>
            <w:tcW w:w="636" w:type="pct"/>
          </w:tcPr>
          <w:p w14:paraId="09316304" w14:textId="77777777" w:rsidR="003C2323" w:rsidRPr="003C2323" w:rsidRDefault="003C2323" w:rsidP="00F37760">
            <w:pPr>
              <w:pStyle w:val="Tabletext"/>
              <w:jc w:val="center"/>
              <w:rPr>
                <w:rFonts w:eastAsiaTheme="minorEastAsia"/>
                <w:szCs w:val="20"/>
                <w:lang w:eastAsia="en-AU"/>
              </w:rPr>
            </w:pPr>
            <w:r w:rsidRPr="003C2323">
              <w:rPr>
                <w:rFonts w:eastAsiaTheme="minorEastAsia"/>
                <w:szCs w:val="20"/>
                <w:lang w:eastAsia="en-AU"/>
              </w:rPr>
              <w:t>1</w:t>
            </w:r>
          </w:p>
        </w:tc>
      </w:tr>
      <w:tr w:rsidR="003C2323" w:rsidRPr="003C2323" w14:paraId="3D53D056" w14:textId="77777777" w:rsidTr="00C34B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14:paraId="71F46119" w14:textId="77777777" w:rsidR="003C2323" w:rsidRPr="003C2323" w:rsidRDefault="003C2323" w:rsidP="003C2323">
            <w:pPr>
              <w:pStyle w:val="Tabletext"/>
              <w:rPr>
                <w:rFonts w:eastAsiaTheme="minorEastAsia"/>
                <w:szCs w:val="20"/>
                <w:lang w:eastAsia="en-AU"/>
              </w:rPr>
            </w:pPr>
            <w:r w:rsidRPr="003C2323">
              <w:rPr>
                <w:rFonts w:eastAsiaTheme="minorEastAsia"/>
                <w:szCs w:val="20"/>
                <w:lang w:eastAsia="en-AU"/>
              </w:rPr>
              <w:t>Resource materials</w:t>
            </w:r>
          </w:p>
        </w:tc>
        <w:tc>
          <w:tcPr>
            <w:cnfStyle w:val="000010000000" w:firstRow="0" w:lastRow="0" w:firstColumn="0" w:lastColumn="0" w:oddVBand="1" w:evenVBand="0" w:oddHBand="0" w:evenHBand="0" w:firstRowFirstColumn="0" w:firstRowLastColumn="0" w:lastRowFirstColumn="0" w:lastRowLastColumn="0"/>
            <w:tcW w:w="985" w:type="pct"/>
          </w:tcPr>
          <w:p w14:paraId="473DEC8D" w14:textId="77777777" w:rsidR="003C2323" w:rsidRPr="003C2323" w:rsidRDefault="003C2323" w:rsidP="003C2323">
            <w:pPr>
              <w:pStyle w:val="Tabletext"/>
              <w:rPr>
                <w:rFonts w:eastAsiaTheme="minorEastAsia"/>
                <w:szCs w:val="20"/>
                <w:lang w:eastAsia="en-AU"/>
              </w:rPr>
            </w:pPr>
            <w:r w:rsidRPr="003C2323">
              <w:rPr>
                <w:rFonts w:eastAsiaTheme="minorEastAsia"/>
                <w:szCs w:val="20"/>
                <w:lang w:eastAsia="en-AU"/>
              </w:rPr>
              <w:t xml:space="preserve">Resource Management Framework </w:t>
            </w:r>
          </w:p>
        </w:tc>
        <w:tc>
          <w:tcPr>
            <w:cnfStyle w:val="000001000000" w:firstRow="0" w:lastRow="0" w:firstColumn="0" w:lastColumn="0" w:oddVBand="0" w:evenVBand="1" w:oddHBand="0" w:evenHBand="0" w:firstRowFirstColumn="0" w:firstRowLastColumn="0" w:lastRowFirstColumn="0" w:lastRowLastColumn="0"/>
            <w:tcW w:w="2511" w:type="pct"/>
          </w:tcPr>
          <w:p w14:paraId="2DA8A96D" w14:textId="77777777" w:rsidR="003C2323" w:rsidRPr="003C2323" w:rsidRDefault="003C2323" w:rsidP="003C2323">
            <w:pPr>
              <w:pStyle w:val="Tabletext"/>
              <w:rPr>
                <w:rFonts w:eastAsiaTheme="minorEastAsia"/>
                <w:szCs w:val="20"/>
                <w:lang w:eastAsia="en-AU"/>
              </w:rPr>
            </w:pPr>
            <w:r w:rsidRPr="003C2323">
              <w:rPr>
                <w:rFonts w:eastAsiaTheme="minorEastAsia"/>
                <w:szCs w:val="20"/>
                <w:lang w:eastAsia="en-AU"/>
              </w:rPr>
              <w:t xml:space="preserve">A paragraph has been inserted to update preparers that the Resource Management Framework will combine and replace the Budget Operations Framework and the Performance Management Framework, effective 1 July 2019. </w:t>
            </w:r>
          </w:p>
        </w:tc>
        <w:tc>
          <w:tcPr>
            <w:cnfStyle w:val="000100000000" w:firstRow="0" w:lastRow="0" w:firstColumn="0" w:lastColumn="1" w:oddVBand="0" w:evenVBand="0" w:oddHBand="0" w:evenHBand="0" w:firstRowFirstColumn="0" w:firstRowLastColumn="0" w:lastRowFirstColumn="0" w:lastRowLastColumn="0"/>
            <w:tcW w:w="636" w:type="pct"/>
          </w:tcPr>
          <w:p w14:paraId="3A788A06" w14:textId="77777777" w:rsidR="003C2323" w:rsidRPr="003C2323" w:rsidRDefault="003C2323" w:rsidP="00F37760">
            <w:pPr>
              <w:pStyle w:val="Tabletext"/>
              <w:jc w:val="center"/>
              <w:rPr>
                <w:rFonts w:eastAsiaTheme="minorEastAsia"/>
                <w:szCs w:val="20"/>
                <w:lang w:eastAsia="en-AU"/>
              </w:rPr>
            </w:pPr>
            <w:r w:rsidRPr="003C2323">
              <w:rPr>
                <w:rFonts w:eastAsiaTheme="minorEastAsia"/>
                <w:szCs w:val="20"/>
                <w:lang w:eastAsia="en-AU"/>
              </w:rPr>
              <w:t>2</w:t>
            </w:r>
          </w:p>
        </w:tc>
      </w:tr>
      <w:tr w:rsidR="003C2323" w:rsidRPr="003C2323" w14:paraId="642031B6" w14:textId="77777777" w:rsidTr="00C34B38">
        <w:tc>
          <w:tcPr>
            <w:cnfStyle w:val="001000000000" w:firstRow="0" w:lastRow="0" w:firstColumn="1" w:lastColumn="0" w:oddVBand="0" w:evenVBand="0" w:oddHBand="0" w:evenHBand="0" w:firstRowFirstColumn="0" w:firstRowLastColumn="0" w:lastRowFirstColumn="0" w:lastRowLastColumn="0"/>
            <w:tcW w:w="868" w:type="pct"/>
            <w:vMerge w:val="restart"/>
          </w:tcPr>
          <w:p w14:paraId="536C4A02" w14:textId="77777777" w:rsidR="003C2323" w:rsidRPr="003C2323" w:rsidRDefault="003C2323" w:rsidP="003C2323">
            <w:pPr>
              <w:pStyle w:val="Tabletext"/>
              <w:rPr>
                <w:rFonts w:eastAsiaTheme="minorEastAsia"/>
                <w:szCs w:val="20"/>
                <w:lang w:eastAsia="en-AU"/>
              </w:rPr>
            </w:pPr>
            <w:r w:rsidRPr="003C2323">
              <w:rPr>
                <w:rFonts w:eastAsiaTheme="minorEastAsia"/>
                <w:szCs w:val="20"/>
                <w:lang w:eastAsia="en-AU"/>
              </w:rPr>
              <w:t>Diagram 3: Publication coverage and project indicative timelines</w:t>
            </w:r>
          </w:p>
        </w:tc>
        <w:tc>
          <w:tcPr>
            <w:cnfStyle w:val="000010000000" w:firstRow="0" w:lastRow="0" w:firstColumn="0" w:lastColumn="0" w:oddVBand="1" w:evenVBand="0" w:oddHBand="0" w:evenHBand="0" w:firstRowFirstColumn="0" w:firstRowLastColumn="0" w:lastRowFirstColumn="0" w:lastRowLastColumn="0"/>
            <w:tcW w:w="985" w:type="pct"/>
          </w:tcPr>
          <w:p w14:paraId="7C60159A" w14:textId="77777777" w:rsidR="003C2323" w:rsidRPr="003C2323" w:rsidRDefault="003C2323" w:rsidP="003C2323">
            <w:pPr>
              <w:pStyle w:val="Tabletext"/>
              <w:rPr>
                <w:rFonts w:eastAsiaTheme="minorEastAsia"/>
                <w:szCs w:val="20"/>
                <w:lang w:eastAsia="en-AU"/>
              </w:rPr>
            </w:pPr>
            <w:r w:rsidRPr="003C2323">
              <w:rPr>
                <w:rFonts w:eastAsiaTheme="minorEastAsia"/>
                <w:szCs w:val="20"/>
                <w:lang w:eastAsia="en-AU"/>
              </w:rPr>
              <w:t>Annual update</w:t>
            </w:r>
          </w:p>
        </w:tc>
        <w:tc>
          <w:tcPr>
            <w:cnfStyle w:val="000001000000" w:firstRow="0" w:lastRow="0" w:firstColumn="0" w:lastColumn="0" w:oddVBand="0" w:evenVBand="1" w:oddHBand="0" w:evenHBand="0" w:firstRowFirstColumn="0" w:firstRowLastColumn="0" w:lastRowFirstColumn="0" w:lastRowLastColumn="0"/>
            <w:tcW w:w="2511" w:type="pct"/>
          </w:tcPr>
          <w:p w14:paraId="0D299DD9" w14:textId="77777777" w:rsidR="003C2323" w:rsidRPr="003C2323" w:rsidRDefault="003C2323" w:rsidP="003C2323">
            <w:pPr>
              <w:pStyle w:val="Tabletext"/>
              <w:rPr>
                <w:rFonts w:eastAsiaTheme="minorEastAsia"/>
                <w:szCs w:val="20"/>
                <w:lang w:eastAsia="en-AU"/>
              </w:rPr>
            </w:pPr>
            <w:r w:rsidRPr="003C2323">
              <w:rPr>
                <w:rFonts w:eastAsiaTheme="minorEastAsia"/>
                <w:szCs w:val="20"/>
                <w:lang w:eastAsia="en-AU"/>
              </w:rPr>
              <w:t xml:space="preserve">All relevant dates on the indicative publication timelines have been updated as part of the roll-over process from the previous Model Report </w:t>
            </w:r>
          </w:p>
        </w:tc>
        <w:tc>
          <w:tcPr>
            <w:cnfStyle w:val="000100000000" w:firstRow="0" w:lastRow="0" w:firstColumn="0" w:lastColumn="1" w:oddVBand="0" w:evenVBand="0" w:oddHBand="0" w:evenHBand="0" w:firstRowFirstColumn="0" w:firstRowLastColumn="0" w:lastRowFirstColumn="0" w:lastRowLastColumn="0"/>
            <w:tcW w:w="636" w:type="pct"/>
          </w:tcPr>
          <w:p w14:paraId="10994CB3" w14:textId="77777777" w:rsidR="003C2323" w:rsidRPr="003C2323" w:rsidRDefault="003C2323" w:rsidP="00F37760">
            <w:pPr>
              <w:pStyle w:val="Tabletext"/>
              <w:jc w:val="center"/>
              <w:rPr>
                <w:rFonts w:eastAsiaTheme="minorEastAsia"/>
                <w:szCs w:val="20"/>
                <w:lang w:eastAsia="en-AU"/>
              </w:rPr>
            </w:pPr>
            <w:r w:rsidRPr="003C2323">
              <w:rPr>
                <w:rFonts w:eastAsiaTheme="minorEastAsia"/>
                <w:szCs w:val="20"/>
                <w:lang w:eastAsia="en-AU"/>
              </w:rPr>
              <w:t>4</w:t>
            </w:r>
          </w:p>
        </w:tc>
      </w:tr>
      <w:tr w:rsidR="003C2323" w:rsidRPr="003C2323" w14:paraId="4637B096" w14:textId="77777777" w:rsidTr="00C34B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vMerge/>
          </w:tcPr>
          <w:p w14:paraId="42200648" w14:textId="77777777" w:rsidR="003C2323" w:rsidRPr="003C2323" w:rsidRDefault="003C2323" w:rsidP="003C2323">
            <w:pPr>
              <w:pStyle w:val="Tabletext"/>
              <w:rPr>
                <w:rFonts w:eastAsiaTheme="minorEastAsia"/>
                <w:szCs w:val="20"/>
                <w:lang w:eastAsia="en-AU"/>
              </w:rPr>
            </w:pPr>
          </w:p>
        </w:tc>
        <w:tc>
          <w:tcPr>
            <w:cnfStyle w:val="000010000000" w:firstRow="0" w:lastRow="0" w:firstColumn="0" w:lastColumn="0" w:oddVBand="1" w:evenVBand="0" w:oddHBand="0" w:evenHBand="0" w:firstRowFirstColumn="0" w:firstRowLastColumn="0" w:lastRowFirstColumn="0" w:lastRowLastColumn="0"/>
            <w:tcW w:w="985" w:type="pct"/>
          </w:tcPr>
          <w:p w14:paraId="619DD8F6" w14:textId="77777777" w:rsidR="003C2323" w:rsidRPr="003C2323" w:rsidRDefault="003C2323" w:rsidP="003C2323">
            <w:pPr>
              <w:pStyle w:val="Tabletext"/>
              <w:rPr>
                <w:rFonts w:eastAsiaTheme="minorEastAsia"/>
                <w:szCs w:val="20"/>
                <w:lang w:eastAsia="en-AU"/>
              </w:rPr>
            </w:pPr>
            <w:r w:rsidRPr="003C2323">
              <w:rPr>
                <w:rFonts w:eastAsiaTheme="minorEastAsia"/>
                <w:szCs w:val="20"/>
                <w:lang w:eastAsia="en-AU"/>
              </w:rPr>
              <w:t>To update reference to the Expenditure Review Committee</w:t>
            </w:r>
          </w:p>
        </w:tc>
        <w:tc>
          <w:tcPr>
            <w:cnfStyle w:val="000001000000" w:firstRow="0" w:lastRow="0" w:firstColumn="0" w:lastColumn="0" w:oddVBand="0" w:evenVBand="1" w:oddHBand="0" w:evenHBand="0" w:firstRowFirstColumn="0" w:firstRowLastColumn="0" w:lastRowFirstColumn="0" w:lastRowLastColumn="0"/>
            <w:tcW w:w="2511" w:type="pct"/>
          </w:tcPr>
          <w:p w14:paraId="7F994947" w14:textId="77777777" w:rsidR="003C2323" w:rsidRPr="003C2323" w:rsidRDefault="003C2323" w:rsidP="003C2323">
            <w:pPr>
              <w:pStyle w:val="Tabletext"/>
              <w:rPr>
                <w:rFonts w:eastAsiaTheme="minorEastAsia"/>
                <w:szCs w:val="20"/>
                <w:lang w:eastAsia="en-AU"/>
              </w:rPr>
            </w:pPr>
            <w:r w:rsidRPr="003C2323">
              <w:rPr>
                <w:rFonts w:eastAsiaTheme="minorEastAsia"/>
                <w:szCs w:val="20"/>
                <w:lang w:eastAsia="en-AU"/>
              </w:rPr>
              <w:t xml:space="preserve">The title of the Expenditure Review Committee has been updated to replace the Expenditure Review Sub-Committee. </w:t>
            </w:r>
          </w:p>
        </w:tc>
        <w:tc>
          <w:tcPr>
            <w:cnfStyle w:val="000100000000" w:firstRow="0" w:lastRow="0" w:firstColumn="0" w:lastColumn="1" w:oddVBand="0" w:evenVBand="0" w:oddHBand="0" w:evenHBand="0" w:firstRowFirstColumn="0" w:firstRowLastColumn="0" w:lastRowFirstColumn="0" w:lastRowLastColumn="0"/>
            <w:tcW w:w="636" w:type="pct"/>
          </w:tcPr>
          <w:p w14:paraId="369D28EC" w14:textId="77777777" w:rsidR="003C2323" w:rsidRPr="003C2323" w:rsidRDefault="003C2323" w:rsidP="00F37760">
            <w:pPr>
              <w:pStyle w:val="Tabletext"/>
              <w:jc w:val="center"/>
              <w:rPr>
                <w:rFonts w:eastAsiaTheme="minorEastAsia"/>
                <w:szCs w:val="20"/>
                <w:lang w:eastAsia="en-AU"/>
              </w:rPr>
            </w:pPr>
            <w:r w:rsidRPr="003C2323">
              <w:rPr>
                <w:rFonts w:eastAsiaTheme="minorEastAsia"/>
                <w:szCs w:val="20"/>
                <w:lang w:eastAsia="en-AU"/>
              </w:rPr>
              <w:t>4</w:t>
            </w:r>
          </w:p>
        </w:tc>
      </w:tr>
      <w:tr w:rsidR="003C2323" w:rsidRPr="003C2323" w14:paraId="48ADFEE2" w14:textId="77777777" w:rsidTr="00C34B38">
        <w:tc>
          <w:tcPr>
            <w:cnfStyle w:val="001000000000" w:firstRow="0" w:lastRow="0" w:firstColumn="1" w:lastColumn="0" w:oddVBand="0" w:evenVBand="0" w:oddHBand="0" w:evenHBand="0" w:firstRowFirstColumn="0" w:firstRowLastColumn="0" w:lastRowFirstColumn="0" w:lastRowLastColumn="0"/>
            <w:tcW w:w="868" w:type="pct"/>
          </w:tcPr>
          <w:p w14:paraId="617E55F0" w14:textId="77777777" w:rsidR="003C2323" w:rsidRPr="003C2323" w:rsidRDefault="003C2323" w:rsidP="003C2323">
            <w:pPr>
              <w:pStyle w:val="Tabletext"/>
              <w:rPr>
                <w:rFonts w:eastAsiaTheme="minorEastAsia"/>
                <w:szCs w:val="20"/>
                <w:lang w:eastAsia="en-AU"/>
              </w:rPr>
            </w:pPr>
            <w:r w:rsidRPr="003C2323">
              <w:rPr>
                <w:rFonts w:eastAsiaTheme="minorEastAsia"/>
                <w:szCs w:val="20"/>
                <w:lang w:eastAsia="en-AU"/>
              </w:rPr>
              <w:t>The Model Report: Purpose and Scope</w:t>
            </w:r>
          </w:p>
        </w:tc>
        <w:tc>
          <w:tcPr>
            <w:cnfStyle w:val="000010000000" w:firstRow="0" w:lastRow="0" w:firstColumn="0" w:lastColumn="0" w:oddVBand="1" w:evenVBand="0" w:oddHBand="0" w:evenHBand="0" w:firstRowFirstColumn="0" w:firstRowLastColumn="0" w:lastRowFirstColumn="0" w:lastRowLastColumn="0"/>
            <w:tcW w:w="985" w:type="pct"/>
          </w:tcPr>
          <w:p w14:paraId="46B3C429" w14:textId="77777777" w:rsidR="003C2323" w:rsidRPr="003C2323" w:rsidRDefault="003C2323" w:rsidP="003C2323">
            <w:pPr>
              <w:pStyle w:val="Tabletext"/>
              <w:rPr>
                <w:rFonts w:eastAsiaTheme="minorEastAsia"/>
                <w:szCs w:val="20"/>
                <w:lang w:eastAsia="en-AU"/>
              </w:rPr>
            </w:pPr>
            <w:r w:rsidRPr="003C2323">
              <w:rPr>
                <w:rFonts w:eastAsiaTheme="minorEastAsia"/>
                <w:szCs w:val="20"/>
                <w:lang w:eastAsia="en-AU"/>
              </w:rPr>
              <w:t>To update references to Departments</w:t>
            </w:r>
          </w:p>
        </w:tc>
        <w:tc>
          <w:tcPr>
            <w:cnfStyle w:val="000001000000" w:firstRow="0" w:lastRow="0" w:firstColumn="0" w:lastColumn="0" w:oddVBand="0" w:evenVBand="1" w:oddHBand="0" w:evenHBand="0" w:firstRowFirstColumn="0" w:firstRowLastColumn="0" w:lastRowFirstColumn="0" w:lastRowLastColumn="0"/>
            <w:tcW w:w="2511" w:type="pct"/>
          </w:tcPr>
          <w:p w14:paraId="797928EA" w14:textId="37B34B4F" w:rsidR="003C2323" w:rsidRPr="003C2323" w:rsidRDefault="003C2323" w:rsidP="003C2323">
            <w:pPr>
              <w:pStyle w:val="Tabletext"/>
              <w:rPr>
                <w:rFonts w:eastAsiaTheme="minorEastAsia"/>
                <w:szCs w:val="20"/>
                <w:lang w:eastAsia="en-AU"/>
              </w:rPr>
            </w:pPr>
            <w:r w:rsidRPr="003C2323">
              <w:rPr>
                <w:rFonts w:eastAsiaTheme="minorEastAsia"/>
                <w:szCs w:val="20"/>
                <w:lang w:eastAsia="en-AU"/>
              </w:rPr>
              <w:t>The names of Departments have been updated to reflect the machinery of government changes</w:t>
            </w:r>
            <w:r w:rsidR="009D652F">
              <w:rPr>
                <w:rFonts w:eastAsiaTheme="minorEastAsia"/>
                <w:szCs w:val="20"/>
                <w:lang w:eastAsia="en-AU"/>
              </w:rPr>
              <w:t>.</w:t>
            </w:r>
            <w:r w:rsidRPr="003C2323">
              <w:rPr>
                <w:rFonts w:eastAsiaTheme="minorEastAsia"/>
                <w:szCs w:val="20"/>
                <w:lang w:eastAsia="en-AU"/>
              </w:rPr>
              <w:t xml:space="preserve"> </w:t>
            </w:r>
          </w:p>
        </w:tc>
        <w:tc>
          <w:tcPr>
            <w:cnfStyle w:val="000100000000" w:firstRow="0" w:lastRow="0" w:firstColumn="0" w:lastColumn="1" w:oddVBand="0" w:evenVBand="0" w:oddHBand="0" w:evenHBand="0" w:firstRowFirstColumn="0" w:firstRowLastColumn="0" w:lastRowFirstColumn="0" w:lastRowLastColumn="0"/>
            <w:tcW w:w="636" w:type="pct"/>
          </w:tcPr>
          <w:p w14:paraId="382398E9" w14:textId="77777777" w:rsidR="003C2323" w:rsidRPr="003C2323" w:rsidRDefault="003C2323" w:rsidP="00F37760">
            <w:pPr>
              <w:pStyle w:val="Tabletext"/>
              <w:jc w:val="center"/>
              <w:rPr>
                <w:rFonts w:eastAsiaTheme="minorEastAsia"/>
                <w:szCs w:val="20"/>
                <w:lang w:eastAsia="en-AU"/>
              </w:rPr>
            </w:pPr>
            <w:r w:rsidRPr="003C2323">
              <w:rPr>
                <w:rFonts w:eastAsiaTheme="minorEastAsia"/>
                <w:szCs w:val="20"/>
                <w:lang w:eastAsia="en-AU"/>
              </w:rPr>
              <w:t>5</w:t>
            </w:r>
          </w:p>
        </w:tc>
      </w:tr>
      <w:tr w:rsidR="003C2323" w:rsidRPr="003C2323" w14:paraId="10EA20D0" w14:textId="77777777" w:rsidTr="00C34B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14:paraId="5617EE94" w14:textId="77777777" w:rsidR="003C2323" w:rsidRPr="003C2323" w:rsidRDefault="003C2323" w:rsidP="003C2323">
            <w:pPr>
              <w:pStyle w:val="Tabletext"/>
              <w:rPr>
                <w:rFonts w:eastAsiaTheme="minorEastAsia"/>
                <w:szCs w:val="20"/>
                <w:lang w:eastAsia="en-AU"/>
              </w:rPr>
            </w:pPr>
            <w:r w:rsidRPr="003C2323">
              <w:rPr>
                <w:rFonts w:eastAsiaTheme="minorEastAsia"/>
                <w:szCs w:val="20"/>
                <w:lang w:eastAsia="en-AU"/>
              </w:rPr>
              <w:t>Setting the Scene</w:t>
            </w:r>
          </w:p>
        </w:tc>
        <w:tc>
          <w:tcPr>
            <w:cnfStyle w:val="000010000000" w:firstRow="0" w:lastRow="0" w:firstColumn="0" w:lastColumn="0" w:oddVBand="1" w:evenVBand="0" w:oddHBand="0" w:evenHBand="0" w:firstRowFirstColumn="0" w:firstRowLastColumn="0" w:lastRowFirstColumn="0" w:lastRowLastColumn="0"/>
            <w:tcW w:w="985" w:type="pct"/>
          </w:tcPr>
          <w:p w14:paraId="6F2892BB" w14:textId="77777777" w:rsidR="003C2323" w:rsidRPr="003C2323" w:rsidRDefault="003C2323" w:rsidP="003C2323">
            <w:pPr>
              <w:pStyle w:val="Tabletext"/>
              <w:rPr>
                <w:rFonts w:eastAsiaTheme="minorEastAsia"/>
                <w:szCs w:val="20"/>
                <w:lang w:eastAsia="en-AU"/>
              </w:rPr>
            </w:pPr>
            <w:r w:rsidRPr="003C2323">
              <w:rPr>
                <w:rFonts w:eastAsiaTheme="minorEastAsia"/>
                <w:szCs w:val="20"/>
                <w:lang w:eastAsia="en-AU"/>
              </w:rPr>
              <w:t xml:space="preserve">To remove duplicate information </w:t>
            </w:r>
          </w:p>
        </w:tc>
        <w:tc>
          <w:tcPr>
            <w:cnfStyle w:val="000001000000" w:firstRow="0" w:lastRow="0" w:firstColumn="0" w:lastColumn="0" w:oddVBand="0" w:evenVBand="1" w:oddHBand="0" w:evenHBand="0" w:firstRowFirstColumn="0" w:firstRowLastColumn="0" w:lastRowFirstColumn="0" w:lastRowLastColumn="0"/>
            <w:tcW w:w="2511" w:type="pct"/>
          </w:tcPr>
          <w:p w14:paraId="02921084" w14:textId="77777777" w:rsidR="003C2323" w:rsidRPr="003C2323" w:rsidRDefault="003C2323" w:rsidP="003C2323">
            <w:pPr>
              <w:pStyle w:val="Tabletext"/>
              <w:rPr>
                <w:rFonts w:eastAsiaTheme="minorEastAsia"/>
                <w:i/>
                <w:szCs w:val="20"/>
                <w:lang w:eastAsia="en-AU"/>
              </w:rPr>
            </w:pPr>
            <w:r w:rsidRPr="003C2323">
              <w:rPr>
                <w:rFonts w:eastAsiaTheme="minorEastAsia"/>
                <w:szCs w:val="20"/>
                <w:lang w:eastAsia="en-AU"/>
              </w:rPr>
              <w:t xml:space="preserve">Duplicate information on the streamlining of the Model Report has been removed from the section, which is outlined in the Guidance Section 1 </w:t>
            </w:r>
            <w:r w:rsidRPr="003C2323">
              <w:rPr>
                <w:rFonts w:eastAsiaTheme="minorEastAsia"/>
                <w:i/>
                <w:szCs w:val="20"/>
                <w:lang w:eastAsia="en-AU"/>
              </w:rPr>
              <w:t xml:space="preserve">How to Streamline a set of Financial Statements. </w:t>
            </w:r>
          </w:p>
        </w:tc>
        <w:tc>
          <w:tcPr>
            <w:cnfStyle w:val="000100000000" w:firstRow="0" w:lastRow="0" w:firstColumn="0" w:lastColumn="1" w:oddVBand="0" w:evenVBand="0" w:oddHBand="0" w:evenHBand="0" w:firstRowFirstColumn="0" w:firstRowLastColumn="0" w:lastRowFirstColumn="0" w:lastRowLastColumn="0"/>
            <w:tcW w:w="636" w:type="pct"/>
          </w:tcPr>
          <w:p w14:paraId="38903FBE" w14:textId="17D5DE48" w:rsidR="003C2323" w:rsidRPr="003C2323" w:rsidRDefault="003C2323" w:rsidP="00F37760">
            <w:pPr>
              <w:pStyle w:val="Tabletext"/>
              <w:jc w:val="center"/>
              <w:rPr>
                <w:rFonts w:eastAsiaTheme="minorEastAsia"/>
                <w:szCs w:val="20"/>
                <w:lang w:eastAsia="en-AU"/>
              </w:rPr>
            </w:pPr>
            <w:r w:rsidRPr="003C2323">
              <w:rPr>
                <w:rFonts w:eastAsiaTheme="minorEastAsia"/>
                <w:szCs w:val="20"/>
                <w:lang w:eastAsia="en-AU"/>
              </w:rPr>
              <w:t>6</w:t>
            </w:r>
          </w:p>
        </w:tc>
      </w:tr>
    </w:tbl>
    <w:p w14:paraId="0CDEA580" w14:textId="05114F64" w:rsidR="0081651C" w:rsidRDefault="0081651C" w:rsidP="005E6AE4">
      <w:pPr>
        <w:pStyle w:val="Tabletext"/>
      </w:pPr>
      <w:r>
        <w:br w:type="page"/>
      </w:r>
    </w:p>
    <w:tbl>
      <w:tblPr>
        <w:tblStyle w:val="DTFtexttable"/>
        <w:tblW w:w="5000" w:type="pct"/>
        <w:tblLayout w:type="fixed"/>
        <w:tblLook w:val="01A0" w:firstRow="1" w:lastRow="0" w:firstColumn="1" w:lastColumn="1" w:noHBand="0" w:noVBand="0"/>
      </w:tblPr>
      <w:tblGrid>
        <w:gridCol w:w="1586"/>
        <w:gridCol w:w="1801"/>
        <w:gridCol w:w="4590"/>
        <w:gridCol w:w="1163"/>
      </w:tblGrid>
      <w:tr w:rsidR="0081651C" w:rsidRPr="003C2323" w14:paraId="6B69A75E" w14:textId="77777777" w:rsidTr="00C34B3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gridSpan w:val="4"/>
          </w:tcPr>
          <w:p w14:paraId="5AD2FE11" w14:textId="6FF1AC82" w:rsidR="0081651C" w:rsidRPr="0081651C" w:rsidRDefault="0081651C" w:rsidP="00C34B38">
            <w:pPr>
              <w:pStyle w:val="Tableheader"/>
              <w:rPr>
                <w:rFonts w:eastAsiaTheme="minorEastAsia"/>
                <w:i/>
                <w:color w:val="auto"/>
                <w:sz w:val="17"/>
                <w:szCs w:val="20"/>
                <w:lang w:eastAsia="en-AU"/>
              </w:rPr>
            </w:pPr>
            <w:r w:rsidRPr="003C2323">
              <w:lastRenderedPageBreak/>
              <w:t>Summary of changes – Introduction</w:t>
            </w:r>
            <w:r>
              <w:t xml:space="preserve"> </w:t>
            </w:r>
          </w:p>
        </w:tc>
      </w:tr>
      <w:tr w:rsidR="0081651C" w:rsidRPr="003C2323" w14:paraId="4E76F082" w14:textId="77777777" w:rsidTr="00C34B3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68" w:type="pct"/>
            <w:shd w:val="clear" w:color="auto" w:fill="749CC9" w:themeFill="accent3"/>
          </w:tcPr>
          <w:p w14:paraId="4F46AF24" w14:textId="77777777" w:rsidR="0081651C" w:rsidRPr="003C2323" w:rsidRDefault="0081651C" w:rsidP="00C34B38">
            <w:pPr>
              <w:pStyle w:val="Tableheader"/>
              <w:rPr>
                <w:sz w:val="18"/>
                <w:szCs w:val="18"/>
              </w:rPr>
            </w:pPr>
            <w:r w:rsidRPr="003C2323">
              <w:rPr>
                <w:sz w:val="18"/>
                <w:szCs w:val="18"/>
              </w:rPr>
              <w:t xml:space="preserve">Subject matter </w:t>
            </w:r>
          </w:p>
        </w:tc>
        <w:tc>
          <w:tcPr>
            <w:cnfStyle w:val="000010000000" w:firstRow="0" w:lastRow="0" w:firstColumn="0" w:lastColumn="0" w:oddVBand="1" w:evenVBand="0" w:oddHBand="0" w:evenHBand="0" w:firstRowFirstColumn="0" w:firstRowLastColumn="0" w:lastRowFirstColumn="0" w:lastRowLastColumn="0"/>
            <w:tcW w:w="985" w:type="pct"/>
            <w:shd w:val="clear" w:color="auto" w:fill="749CC9" w:themeFill="accent3"/>
          </w:tcPr>
          <w:p w14:paraId="65B9EACB" w14:textId="77777777" w:rsidR="0081651C" w:rsidRPr="003C2323" w:rsidRDefault="0081651C" w:rsidP="00C34B38">
            <w:pPr>
              <w:pStyle w:val="Tableheader"/>
              <w:rPr>
                <w:sz w:val="18"/>
                <w:szCs w:val="18"/>
              </w:rPr>
            </w:pPr>
            <w:r w:rsidRPr="003C2323">
              <w:rPr>
                <w:sz w:val="18"/>
                <w:szCs w:val="18"/>
              </w:rPr>
              <w:t>Source of change</w:t>
            </w:r>
          </w:p>
        </w:tc>
        <w:tc>
          <w:tcPr>
            <w:cnfStyle w:val="000001000000" w:firstRow="0" w:lastRow="0" w:firstColumn="0" w:lastColumn="0" w:oddVBand="0" w:evenVBand="1" w:oddHBand="0" w:evenHBand="0" w:firstRowFirstColumn="0" w:firstRowLastColumn="0" w:lastRowFirstColumn="0" w:lastRowLastColumn="0"/>
            <w:tcW w:w="2511" w:type="pct"/>
            <w:shd w:val="clear" w:color="auto" w:fill="749CC9" w:themeFill="accent3"/>
          </w:tcPr>
          <w:p w14:paraId="28714B1C" w14:textId="77777777" w:rsidR="0081651C" w:rsidRPr="003C2323" w:rsidRDefault="0081651C" w:rsidP="00C34B38">
            <w:pPr>
              <w:pStyle w:val="Tableheader"/>
              <w:rPr>
                <w:sz w:val="18"/>
                <w:szCs w:val="18"/>
              </w:rPr>
            </w:pPr>
            <w:r w:rsidRPr="003C2323">
              <w:rPr>
                <w:sz w:val="18"/>
                <w:szCs w:val="18"/>
              </w:rPr>
              <w:t>Summary of changes applied to the relevant sections in the Introduction</w:t>
            </w:r>
          </w:p>
        </w:tc>
        <w:tc>
          <w:tcPr>
            <w:cnfStyle w:val="000100001000" w:firstRow="0" w:lastRow="0" w:firstColumn="0" w:lastColumn="1" w:oddVBand="0" w:evenVBand="0" w:oddHBand="0" w:evenHBand="0" w:firstRowFirstColumn="0" w:firstRowLastColumn="1" w:lastRowFirstColumn="0" w:lastRowLastColumn="0"/>
            <w:tcW w:w="636" w:type="pct"/>
            <w:shd w:val="clear" w:color="auto" w:fill="749CC9" w:themeFill="accent3"/>
          </w:tcPr>
          <w:p w14:paraId="1D5B3117" w14:textId="77777777" w:rsidR="0081651C" w:rsidRPr="003C2323" w:rsidRDefault="0081651C" w:rsidP="00C34B38">
            <w:pPr>
              <w:pStyle w:val="Tableheader"/>
              <w:rPr>
                <w:sz w:val="18"/>
                <w:szCs w:val="18"/>
              </w:rPr>
            </w:pPr>
            <w:r w:rsidRPr="003C2323">
              <w:rPr>
                <w:sz w:val="18"/>
                <w:szCs w:val="18"/>
              </w:rPr>
              <w:t>Page reference</w:t>
            </w:r>
          </w:p>
        </w:tc>
      </w:tr>
      <w:tr w:rsidR="0081651C" w:rsidRPr="003C2323" w14:paraId="39331619" w14:textId="77777777" w:rsidTr="00C34B38">
        <w:tc>
          <w:tcPr>
            <w:cnfStyle w:val="001000000000" w:firstRow="0" w:lastRow="0" w:firstColumn="1" w:lastColumn="0" w:oddVBand="0" w:evenVBand="0" w:oddHBand="0" w:evenHBand="0" w:firstRowFirstColumn="0" w:firstRowLastColumn="0" w:lastRowFirstColumn="0" w:lastRowLastColumn="0"/>
            <w:tcW w:w="868" w:type="pct"/>
          </w:tcPr>
          <w:p w14:paraId="43F58B0F" w14:textId="07A188AB" w:rsidR="0081651C" w:rsidRPr="003C2323" w:rsidRDefault="0081651C" w:rsidP="0081651C">
            <w:pPr>
              <w:pStyle w:val="Tabletext"/>
              <w:rPr>
                <w:rFonts w:eastAsiaTheme="minorEastAsia"/>
                <w:szCs w:val="20"/>
                <w:lang w:eastAsia="en-AU"/>
              </w:rPr>
            </w:pPr>
            <w:r>
              <w:rPr>
                <w:rFonts w:ascii="Arial" w:hAnsi="Arial" w:cs="Arial"/>
              </w:rPr>
              <w:t>Structure of the Model Report and disclosure requirements</w:t>
            </w:r>
          </w:p>
        </w:tc>
        <w:tc>
          <w:tcPr>
            <w:cnfStyle w:val="000010000000" w:firstRow="0" w:lastRow="0" w:firstColumn="0" w:lastColumn="0" w:oddVBand="1" w:evenVBand="0" w:oddHBand="0" w:evenHBand="0" w:firstRowFirstColumn="0" w:firstRowLastColumn="0" w:lastRowFirstColumn="0" w:lastRowLastColumn="0"/>
            <w:tcW w:w="985" w:type="pct"/>
          </w:tcPr>
          <w:p w14:paraId="3DE4A481" w14:textId="5B04C1BD" w:rsidR="0081651C" w:rsidRPr="003C2323" w:rsidRDefault="0081651C" w:rsidP="0081651C">
            <w:pPr>
              <w:pStyle w:val="Tabletext"/>
              <w:rPr>
                <w:rFonts w:eastAsiaTheme="minorEastAsia"/>
                <w:szCs w:val="20"/>
                <w:lang w:eastAsia="en-AU"/>
              </w:rPr>
            </w:pPr>
            <w:r>
              <w:rPr>
                <w:rFonts w:ascii="Arial" w:hAnsi="Arial" w:cs="Arial"/>
              </w:rPr>
              <w:t>General update</w:t>
            </w:r>
          </w:p>
        </w:tc>
        <w:tc>
          <w:tcPr>
            <w:cnfStyle w:val="000001000000" w:firstRow="0" w:lastRow="0" w:firstColumn="0" w:lastColumn="0" w:oddVBand="0" w:evenVBand="1" w:oddHBand="0" w:evenHBand="0" w:firstRowFirstColumn="0" w:firstRowLastColumn="0" w:lastRowFirstColumn="0" w:lastRowLastColumn="0"/>
            <w:tcW w:w="2511" w:type="pct"/>
          </w:tcPr>
          <w:p w14:paraId="608963A6" w14:textId="77777777" w:rsidR="0081651C" w:rsidRDefault="0081651C" w:rsidP="0081651C">
            <w:pPr>
              <w:pStyle w:val="Tabletext"/>
              <w:rPr>
                <w:rFonts w:ascii="Arial" w:hAnsi="Arial" w:cs="Arial"/>
              </w:rPr>
            </w:pPr>
            <w:r>
              <w:rPr>
                <w:rFonts w:ascii="Arial" w:hAnsi="Arial" w:cs="Arial"/>
              </w:rPr>
              <w:t xml:space="preserve">The list of Appendices has been updated to reflect the relocation of the Accounting Standards Checklists in the Appendices (previously Appendix 11-13) in the Model Report to the DTF website. </w:t>
            </w:r>
          </w:p>
          <w:p w14:paraId="0787AB7A" w14:textId="263C3C0F" w:rsidR="0081651C" w:rsidRPr="003C2323" w:rsidRDefault="0081651C" w:rsidP="0081651C">
            <w:pPr>
              <w:pStyle w:val="Tabletext"/>
              <w:rPr>
                <w:rFonts w:eastAsiaTheme="minorEastAsia"/>
                <w:szCs w:val="20"/>
                <w:lang w:eastAsia="en-AU"/>
              </w:rPr>
            </w:pPr>
            <w:r>
              <w:rPr>
                <w:rFonts w:ascii="Arial" w:hAnsi="Arial" w:cs="Arial"/>
              </w:rPr>
              <w:t xml:space="preserve">Please refer to the Appendices section in the </w:t>
            </w:r>
            <w:r w:rsidR="00355FFB">
              <w:rPr>
                <w:rFonts w:ascii="Arial" w:hAnsi="Arial" w:cs="Arial"/>
              </w:rPr>
              <w:t>“</w:t>
            </w:r>
            <w:r>
              <w:rPr>
                <w:rFonts w:ascii="Arial" w:hAnsi="Arial" w:cs="Arial"/>
              </w:rPr>
              <w:t>Summary of Change</w:t>
            </w:r>
            <w:r w:rsidR="00A67C1C">
              <w:rPr>
                <w:rFonts w:ascii="Arial" w:hAnsi="Arial" w:cs="Arial"/>
              </w:rPr>
              <w:t xml:space="preserve">s applied </w:t>
            </w:r>
            <w:r w:rsidR="00DE4FE3">
              <w:rPr>
                <w:rFonts w:ascii="Arial" w:hAnsi="Arial" w:cs="Arial"/>
              </w:rPr>
              <w:t>to</w:t>
            </w:r>
            <w:r w:rsidR="00A67C1C">
              <w:rPr>
                <w:rFonts w:ascii="Arial" w:hAnsi="Arial" w:cs="Arial"/>
              </w:rPr>
              <w:t xml:space="preserve"> the 2018-19 Model Report</w:t>
            </w:r>
            <w:r w:rsidR="00355FFB">
              <w:rPr>
                <w:rFonts w:ascii="Arial" w:hAnsi="Arial" w:cs="Arial"/>
              </w:rPr>
              <w:t>”</w:t>
            </w:r>
            <w:r>
              <w:rPr>
                <w:rFonts w:ascii="Arial" w:hAnsi="Arial" w:cs="Arial"/>
              </w:rPr>
              <w:t xml:space="preserve"> for further detail. </w:t>
            </w:r>
          </w:p>
        </w:tc>
        <w:tc>
          <w:tcPr>
            <w:cnfStyle w:val="000100000000" w:firstRow="0" w:lastRow="0" w:firstColumn="0" w:lastColumn="1" w:oddVBand="0" w:evenVBand="0" w:oddHBand="0" w:evenHBand="0" w:firstRowFirstColumn="0" w:firstRowLastColumn="0" w:lastRowFirstColumn="0" w:lastRowLastColumn="0"/>
            <w:tcW w:w="636" w:type="pct"/>
          </w:tcPr>
          <w:p w14:paraId="7ACA2D26" w14:textId="29611E38" w:rsidR="0081651C" w:rsidRPr="003C2323" w:rsidRDefault="0081651C" w:rsidP="00F37760">
            <w:pPr>
              <w:pStyle w:val="Tabletext"/>
              <w:jc w:val="center"/>
              <w:rPr>
                <w:rFonts w:eastAsiaTheme="minorEastAsia"/>
                <w:szCs w:val="20"/>
                <w:lang w:eastAsia="en-AU"/>
              </w:rPr>
            </w:pPr>
            <w:r>
              <w:rPr>
                <w:rFonts w:ascii="Arial" w:hAnsi="Arial" w:cs="Arial"/>
              </w:rPr>
              <w:t>8</w:t>
            </w:r>
          </w:p>
        </w:tc>
      </w:tr>
    </w:tbl>
    <w:p w14:paraId="041F594B" w14:textId="4C593822" w:rsidR="00633201" w:rsidRDefault="00633201" w:rsidP="005E6AE4">
      <w:pPr>
        <w:pStyle w:val="Tabletext"/>
      </w:pPr>
      <w:r>
        <w:br w:type="page"/>
      </w:r>
    </w:p>
    <w:tbl>
      <w:tblPr>
        <w:tblStyle w:val="DTFtexttable"/>
        <w:tblW w:w="5073" w:type="pct"/>
        <w:tblLayout w:type="fixed"/>
        <w:tblLook w:val="01A0" w:firstRow="1" w:lastRow="0" w:firstColumn="1" w:lastColumn="1" w:noHBand="0" w:noVBand="0"/>
      </w:tblPr>
      <w:tblGrid>
        <w:gridCol w:w="1586"/>
        <w:gridCol w:w="1730"/>
        <w:gridCol w:w="4794"/>
        <w:gridCol w:w="1157"/>
        <w:gridCol w:w="6"/>
      </w:tblGrid>
      <w:tr w:rsidR="0081651C" w:rsidRPr="003C2323" w14:paraId="55280DC9" w14:textId="77777777" w:rsidTr="0000076D">
        <w:trPr>
          <w:gridAfter w:val="1"/>
          <w:cnfStyle w:val="100000000000" w:firstRow="1" w:lastRow="0" w:firstColumn="0" w:lastColumn="0" w:oddVBand="0" w:evenVBand="0" w:oddHBand="0" w:evenHBand="0" w:firstRowFirstColumn="0" w:firstRowLastColumn="0" w:lastRowFirstColumn="0" w:lastRowLastColumn="0"/>
          <w:wAfter w:w="3" w:type="pct"/>
          <w:tblHeader/>
        </w:trPr>
        <w:tc>
          <w:tcPr>
            <w:cnfStyle w:val="001000000100" w:firstRow="0" w:lastRow="0" w:firstColumn="1" w:lastColumn="0" w:oddVBand="0" w:evenVBand="0" w:oddHBand="0" w:evenHBand="0" w:firstRowFirstColumn="1" w:firstRowLastColumn="0" w:lastRowFirstColumn="0" w:lastRowLastColumn="0"/>
            <w:tcW w:w="4997" w:type="pct"/>
            <w:gridSpan w:val="4"/>
          </w:tcPr>
          <w:p w14:paraId="7A2E16A7" w14:textId="5842A171" w:rsidR="0081651C" w:rsidRPr="003C2323" w:rsidRDefault="0081651C" w:rsidP="00C34B38">
            <w:pPr>
              <w:pStyle w:val="Tableheader"/>
              <w:rPr>
                <w:rFonts w:eastAsiaTheme="minorEastAsia"/>
                <w:color w:val="auto"/>
                <w:sz w:val="17"/>
                <w:szCs w:val="20"/>
                <w:lang w:eastAsia="en-AU"/>
              </w:rPr>
            </w:pPr>
            <w:r w:rsidRPr="003C2323">
              <w:lastRenderedPageBreak/>
              <w:t xml:space="preserve">Summary of changes – </w:t>
            </w:r>
            <w:r>
              <w:t xml:space="preserve">Model Report of Operations </w:t>
            </w:r>
          </w:p>
        </w:tc>
      </w:tr>
      <w:tr w:rsidR="0081651C" w:rsidRPr="003C2323" w14:paraId="16E8B7B7" w14:textId="77777777" w:rsidTr="0000076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55" w:type="pct"/>
            <w:shd w:val="clear" w:color="auto" w:fill="749CC9" w:themeFill="accent3"/>
          </w:tcPr>
          <w:p w14:paraId="7CA5C171" w14:textId="77777777" w:rsidR="0081651C" w:rsidRPr="003C2323" w:rsidRDefault="0081651C" w:rsidP="00C34B38">
            <w:pPr>
              <w:pStyle w:val="Tableheader"/>
              <w:rPr>
                <w:sz w:val="18"/>
                <w:szCs w:val="18"/>
              </w:rPr>
            </w:pPr>
            <w:r w:rsidRPr="003C2323">
              <w:rPr>
                <w:sz w:val="18"/>
                <w:szCs w:val="18"/>
              </w:rPr>
              <w:t xml:space="preserve">Subject matter </w:t>
            </w:r>
          </w:p>
        </w:tc>
        <w:tc>
          <w:tcPr>
            <w:cnfStyle w:val="000010000000" w:firstRow="0" w:lastRow="0" w:firstColumn="0" w:lastColumn="0" w:oddVBand="1" w:evenVBand="0" w:oddHBand="0" w:evenHBand="0" w:firstRowFirstColumn="0" w:firstRowLastColumn="0" w:lastRowFirstColumn="0" w:lastRowLastColumn="0"/>
            <w:tcW w:w="933" w:type="pct"/>
            <w:shd w:val="clear" w:color="auto" w:fill="749CC9" w:themeFill="accent3"/>
          </w:tcPr>
          <w:p w14:paraId="7DFAFBB1" w14:textId="77777777" w:rsidR="0081651C" w:rsidRPr="003C2323" w:rsidRDefault="0081651C" w:rsidP="00C34B38">
            <w:pPr>
              <w:pStyle w:val="Tableheader"/>
              <w:rPr>
                <w:sz w:val="18"/>
                <w:szCs w:val="18"/>
              </w:rPr>
            </w:pPr>
            <w:r w:rsidRPr="003C2323">
              <w:rPr>
                <w:sz w:val="18"/>
                <w:szCs w:val="18"/>
              </w:rPr>
              <w:t>Source of change</w:t>
            </w:r>
          </w:p>
        </w:tc>
        <w:tc>
          <w:tcPr>
            <w:cnfStyle w:val="000001000000" w:firstRow="0" w:lastRow="0" w:firstColumn="0" w:lastColumn="0" w:oddVBand="0" w:evenVBand="1" w:oddHBand="0" w:evenHBand="0" w:firstRowFirstColumn="0" w:firstRowLastColumn="0" w:lastRowFirstColumn="0" w:lastRowLastColumn="0"/>
            <w:tcW w:w="2585" w:type="pct"/>
            <w:shd w:val="clear" w:color="auto" w:fill="749CC9" w:themeFill="accent3"/>
          </w:tcPr>
          <w:p w14:paraId="2096A805" w14:textId="77777777" w:rsidR="0081651C" w:rsidRPr="003C2323" w:rsidRDefault="0081651C" w:rsidP="00C34B38">
            <w:pPr>
              <w:pStyle w:val="Tableheader"/>
              <w:rPr>
                <w:sz w:val="18"/>
                <w:szCs w:val="18"/>
              </w:rPr>
            </w:pPr>
            <w:r w:rsidRPr="003C2323">
              <w:rPr>
                <w:sz w:val="18"/>
                <w:szCs w:val="18"/>
              </w:rPr>
              <w:t>Summary of changes applied to the relevant sections in the Introduction</w:t>
            </w:r>
          </w:p>
        </w:tc>
        <w:tc>
          <w:tcPr>
            <w:cnfStyle w:val="000100001000" w:firstRow="0" w:lastRow="0" w:firstColumn="0" w:lastColumn="1" w:oddVBand="0" w:evenVBand="0" w:oddHBand="0" w:evenHBand="0" w:firstRowFirstColumn="0" w:firstRowLastColumn="1" w:lastRowFirstColumn="0" w:lastRowLastColumn="0"/>
            <w:tcW w:w="627" w:type="pct"/>
            <w:gridSpan w:val="2"/>
            <w:shd w:val="clear" w:color="auto" w:fill="749CC9" w:themeFill="accent3"/>
          </w:tcPr>
          <w:p w14:paraId="4EB87EE3" w14:textId="77777777" w:rsidR="0081651C" w:rsidRPr="003C2323" w:rsidRDefault="0081651C" w:rsidP="00C34B38">
            <w:pPr>
              <w:pStyle w:val="Tableheader"/>
              <w:rPr>
                <w:sz w:val="18"/>
                <w:szCs w:val="18"/>
              </w:rPr>
            </w:pPr>
            <w:r w:rsidRPr="003C2323">
              <w:rPr>
                <w:sz w:val="18"/>
                <w:szCs w:val="18"/>
              </w:rPr>
              <w:t>Page reference</w:t>
            </w:r>
          </w:p>
        </w:tc>
      </w:tr>
      <w:tr w:rsidR="0081651C" w:rsidRPr="003C2323" w14:paraId="25DF0A23" w14:textId="77777777" w:rsidTr="0000076D">
        <w:tc>
          <w:tcPr>
            <w:cnfStyle w:val="001000000000" w:firstRow="0" w:lastRow="0" w:firstColumn="1" w:lastColumn="0" w:oddVBand="0" w:evenVBand="0" w:oddHBand="0" w:evenHBand="0" w:firstRowFirstColumn="0" w:firstRowLastColumn="0" w:lastRowFirstColumn="0" w:lastRowLastColumn="0"/>
            <w:tcW w:w="855" w:type="pct"/>
          </w:tcPr>
          <w:p w14:paraId="5B9C320B" w14:textId="77777777" w:rsidR="0081651C" w:rsidRPr="00970978" w:rsidRDefault="0081651C" w:rsidP="0081651C">
            <w:pPr>
              <w:pStyle w:val="Reference"/>
              <w:spacing w:line="276" w:lineRule="auto"/>
              <w:rPr>
                <w:rFonts w:ascii="Arial" w:hAnsi="Arial"/>
                <w:color w:val="FF0000"/>
                <w:sz w:val="17"/>
                <w:szCs w:val="17"/>
              </w:rPr>
            </w:pPr>
            <w:r w:rsidRPr="00970978">
              <w:rPr>
                <w:rFonts w:ascii="Arial" w:hAnsi="Arial"/>
                <w:color w:val="FF0000"/>
                <w:sz w:val="17"/>
                <w:szCs w:val="17"/>
              </w:rPr>
              <w:t>[Revised]</w:t>
            </w:r>
          </w:p>
          <w:p w14:paraId="78DC9482" w14:textId="1238A664" w:rsidR="0081651C" w:rsidRPr="003C2323" w:rsidRDefault="0081651C" w:rsidP="0081651C">
            <w:pPr>
              <w:pStyle w:val="Tabletext"/>
              <w:rPr>
                <w:rFonts w:eastAsiaTheme="minorEastAsia"/>
                <w:szCs w:val="20"/>
                <w:lang w:eastAsia="en-AU"/>
              </w:rPr>
            </w:pPr>
            <w:r>
              <w:rPr>
                <w:rFonts w:ascii="Arial" w:hAnsi="Arial"/>
                <w:szCs w:val="17"/>
              </w:rPr>
              <w:t>Capital projects/asset investments program</w:t>
            </w:r>
          </w:p>
        </w:tc>
        <w:tc>
          <w:tcPr>
            <w:cnfStyle w:val="000010000000" w:firstRow="0" w:lastRow="0" w:firstColumn="0" w:lastColumn="0" w:oddVBand="1" w:evenVBand="0" w:oddHBand="0" w:evenHBand="0" w:firstRowFirstColumn="0" w:firstRowLastColumn="0" w:lastRowFirstColumn="0" w:lastRowLastColumn="0"/>
            <w:tcW w:w="933" w:type="pct"/>
          </w:tcPr>
          <w:p w14:paraId="413A45CC" w14:textId="22540E5D" w:rsidR="0081651C" w:rsidRPr="003C2323" w:rsidRDefault="0081651C" w:rsidP="0081651C">
            <w:pPr>
              <w:pStyle w:val="Tabletext"/>
              <w:rPr>
                <w:rFonts w:eastAsiaTheme="minorEastAsia"/>
                <w:szCs w:val="20"/>
                <w:lang w:eastAsia="en-AU"/>
              </w:rPr>
            </w:pPr>
            <w:r w:rsidRPr="007D3A9F">
              <w:rPr>
                <w:szCs w:val="17"/>
              </w:rPr>
              <w:t>General Improvement</w:t>
            </w:r>
          </w:p>
        </w:tc>
        <w:tc>
          <w:tcPr>
            <w:cnfStyle w:val="000001000000" w:firstRow="0" w:lastRow="0" w:firstColumn="0" w:lastColumn="0" w:oddVBand="0" w:evenVBand="1" w:oddHBand="0" w:evenHBand="0" w:firstRowFirstColumn="0" w:firstRowLastColumn="0" w:lastRowFirstColumn="0" w:lastRowLastColumn="0"/>
            <w:tcW w:w="2585" w:type="pct"/>
          </w:tcPr>
          <w:p w14:paraId="739485A3" w14:textId="489FA6F7" w:rsidR="0081651C" w:rsidRPr="003C2323" w:rsidRDefault="0081651C" w:rsidP="0081651C">
            <w:pPr>
              <w:pStyle w:val="Tabletext"/>
              <w:rPr>
                <w:rFonts w:eastAsiaTheme="minorEastAsia"/>
                <w:szCs w:val="20"/>
                <w:lang w:eastAsia="en-AU"/>
              </w:rPr>
            </w:pPr>
            <w:r>
              <w:rPr>
                <w:rFonts w:ascii="Arial" w:hAnsi="Arial" w:cs="Arial"/>
                <w:szCs w:val="17"/>
              </w:rPr>
              <w:t>For improved clarity, the illustration in Table 2 has been amended to differentiate between Capital projects reaching practical completion (in Table 1) and financial completion (in Table 2)</w:t>
            </w:r>
            <w:r w:rsidR="00B2296E">
              <w:rPr>
                <w:rFonts w:ascii="Arial" w:hAnsi="Arial" w:cs="Arial"/>
                <w:szCs w:val="17"/>
              </w:rPr>
              <w:t>.</w:t>
            </w:r>
            <w:r>
              <w:rPr>
                <w:rFonts w:ascii="Arial" w:hAnsi="Arial" w:cs="Arial"/>
                <w:szCs w:val="17"/>
              </w:rPr>
              <w:t xml:space="preserve">  </w:t>
            </w:r>
          </w:p>
        </w:tc>
        <w:tc>
          <w:tcPr>
            <w:cnfStyle w:val="000100000000" w:firstRow="0" w:lastRow="0" w:firstColumn="0" w:lastColumn="1" w:oddVBand="0" w:evenVBand="0" w:oddHBand="0" w:evenHBand="0" w:firstRowFirstColumn="0" w:firstRowLastColumn="0" w:lastRowFirstColumn="0" w:lastRowLastColumn="0"/>
            <w:tcW w:w="627" w:type="pct"/>
            <w:gridSpan w:val="2"/>
          </w:tcPr>
          <w:p w14:paraId="23D7B8F3" w14:textId="6B500927" w:rsidR="0081651C" w:rsidRPr="003C2323" w:rsidRDefault="0081651C" w:rsidP="00326A03">
            <w:pPr>
              <w:pStyle w:val="Tabletext"/>
              <w:jc w:val="center"/>
              <w:rPr>
                <w:rFonts w:eastAsiaTheme="minorEastAsia"/>
                <w:szCs w:val="20"/>
                <w:lang w:eastAsia="en-AU"/>
              </w:rPr>
            </w:pPr>
            <w:r>
              <w:rPr>
                <w:rFonts w:ascii="Arial" w:hAnsi="Arial" w:cs="Arial"/>
                <w:szCs w:val="17"/>
              </w:rPr>
              <w:t>29</w:t>
            </w:r>
          </w:p>
        </w:tc>
      </w:tr>
      <w:tr w:rsidR="0081651C" w:rsidRPr="003C2323" w14:paraId="0E5D94FF" w14:textId="77777777" w:rsidTr="000007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14:paraId="51C55D6F" w14:textId="77777777" w:rsidR="0081651C" w:rsidRPr="0079326A" w:rsidRDefault="0081651C" w:rsidP="0081651C">
            <w:pPr>
              <w:pStyle w:val="Reference"/>
              <w:spacing w:line="276" w:lineRule="auto"/>
              <w:rPr>
                <w:rFonts w:ascii="Arial" w:hAnsi="Arial"/>
                <w:color w:val="FF0000"/>
                <w:sz w:val="17"/>
                <w:szCs w:val="17"/>
              </w:rPr>
            </w:pPr>
            <w:r w:rsidRPr="0079326A">
              <w:rPr>
                <w:rFonts w:ascii="Arial" w:hAnsi="Arial"/>
                <w:color w:val="FF0000"/>
                <w:sz w:val="17"/>
                <w:szCs w:val="17"/>
              </w:rPr>
              <w:t>[</w:t>
            </w:r>
            <w:r>
              <w:rPr>
                <w:rFonts w:ascii="Arial" w:hAnsi="Arial"/>
                <w:color w:val="FF0000"/>
                <w:sz w:val="17"/>
                <w:szCs w:val="17"/>
              </w:rPr>
              <w:t>Revised</w:t>
            </w:r>
            <w:r w:rsidRPr="0079326A">
              <w:rPr>
                <w:rFonts w:ascii="Arial" w:hAnsi="Arial"/>
                <w:color w:val="FF0000"/>
                <w:sz w:val="17"/>
                <w:szCs w:val="17"/>
              </w:rPr>
              <w:t>]</w:t>
            </w:r>
          </w:p>
          <w:p w14:paraId="78949B9B" w14:textId="1B9E526E" w:rsidR="0081651C" w:rsidRPr="003C2323" w:rsidRDefault="0081651C" w:rsidP="0081651C">
            <w:pPr>
              <w:pStyle w:val="Tabletext"/>
              <w:rPr>
                <w:rFonts w:eastAsiaTheme="minorEastAsia"/>
                <w:szCs w:val="20"/>
                <w:lang w:eastAsia="en-AU"/>
              </w:rPr>
            </w:pPr>
            <w:r w:rsidRPr="007D3A9F">
              <w:rPr>
                <w:rFonts w:ascii="Arial" w:hAnsi="Arial"/>
                <w:szCs w:val="17"/>
              </w:rPr>
              <w:t>Report</w:t>
            </w:r>
            <w:r>
              <w:rPr>
                <w:rFonts w:ascii="Arial" w:hAnsi="Arial"/>
                <w:szCs w:val="17"/>
              </w:rPr>
              <w:t>i</w:t>
            </w:r>
            <w:r w:rsidRPr="007D3A9F">
              <w:rPr>
                <w:rFonts w:ascii="Arial" w:hAnsi="Arial"/>
                <w:szCs w:val="17"/>
              </w:rPr>
              <w:t>ng towards the Department’s performance against OH&amp;S management measures</w:t>
            </w:r>
          </w:p>
        </w:tc>
        <w:tc>
          <w:tcPr>
            <w:cnfStyle w:val="000010000000" w:firstRow="0" w:lastRow="0" w:firstColumn="0" w:lastColumn="0" w:oddVBand="1" w:evenVBand="0" w:oddHBand="0" w:evenHBand="0" w:firstRowFirstColumn="0" w:firstRowLastColumn="0" w:lastRowFirstColumn="0" w:lastRowLastColumn="0"/>
            <w:tcW w:w="933" w:type="pct"/>
          </w:tcPr>
          <w:p w14:paraId="782280AB" w14:textId="23CCF70B" w:rsidR="0081651C" w:rsidRPr="003C2323" w:rsidRDefault="0081651C" w:rsidP="0081651C">
            <w:pPr>
              <w:pStyle w:val="Tabletext"/>
              <w:rPr>
                <w:rFonts w:eastAsiaTheme="minorEastAsia"/>
                <w:szCs w:val="20"/>
                <w:lang w:eastAsia="en-AU"/>
              </w:rPr>
            </w:pPr>
            <w:r>
              <w:rPr>
                <w:rFonts w:ascii="Arial" w:hAnsi="Arial"/>
                <w:szCs w:val="17"/>
              </w:rPr>
              <w:t xml:space="preserve">General Improvement </w:t>
            </w:r>
          </w:p>
        </w:tc>
        <w:tc>
          <w:tcPr>
            <w:cnfStyle w:val="000001000000" w:firstRow="0" w:lastRow="0" w:firstColumn="0" w:lastColumn="0" w:oddVBand="0" w:evenVBand="1" w:oddHBand="0" w:evenHBand="0" w:firstRowFirstColumn="0" w:firstRowLastColumn="0" w:lastRowFirstColumn="0" w:lastRowLastColumn="0"/>
            <w:tcW w:w="2585" w:type="pct"/>
          </w:tcPr>
          <w:p w14:paraId="092E1380" w14:textId="77777777" w:rsidR="0081651C" w:rsidRDefault="0081651C" w:rsidP="0081651C">
            <w:pPr>
              <w:pStyle w:val="Tabletext"/>
              <w:spacing w:line="276" w:lineRule="auto"/>
              <w:rPr>
                <w:rFonts w:ascii="Arial" w:hAnsi="Arial" w:cs="Arial"/>
              </w:rPr>
            </w:pPr>
            <w:r>
              <w:rPr>
                <w:rFonts w:ascii="Arial" w:hAnsi="Arial" w:cs="Arial"/>
              </w:rPr>
              <w:t xml:space="preserve">Additional examples of OH&amp;S performance indicators have been included to assist preparers with their disclosures against OH&amp;S reporting requirements as required by FRD 22H </w:t>
            </w:r>
            <w:r w:rsidRPr="007D3A9F">
              <w:rPr>
                <w:rFonts w:ascii="Arial" w:hAnsi="Arial" w:cs="Arial"/>
                <w:i/>
              </w:rPr>
              <w:t>Standard Disclosures</w:t>
            </w:r>
            <w:r>
              <w:rPr>
                <w:rFonts w:ascii="Arial" w:hAnsi="Arial" w:cs="Arial"/>
              </w:rPr>
              <w:t xml:space="preserve"> in the </w:t>
            </w:r>
            <w:r w:rsidRPr="007D3A9F">
              <w:rPr>
                <w:rFonts w:ascii="Arial" w:hAnsi="Arial" w:cs="Arial"/>
                <w:i/>
              </w:rPr>
              <w:t>Report of Operations</w:t>
            </w:r>
            <w:r>
              <w:rPr>
                <w:rFonts w:ascii="Arial" w:hAnsi="Arial" w:cs="Arial"/>
              </w:rPr>
              <w:t>. Examples include:</w:t>
            </w:r>
          </w:p>
          <w:p w14:paraId="47AED94F" w14:textId="77777777" w:rsidR="0081651C" w:rsidRDefault="0081651C" w:rsidP="006B7224">
            <w:pPr>
              <w:pStyle w:val="Tabletext"/>
              <w:numPr>
                <w:ilvl w:val="0"/>
                <w:numId w:val="38"/>
              </w:numPr>
              <w:spacing w:line="276" w:lineRule="auto"/>
              <w:rPr>
                <w:rFonts w:ascii="Arial" w:hAnsi="Arial" w:cs="Arial"/>
              </w:rPr>
            </w:pPr>
            <w:r>
              <w:rPr>
                <w:rFonts w:ascii="Arial" w:hAnsi="Arial" w:cs="Arial"/>
              </w:rPr>
              <w:t xml:space="preserve">the number of quarterly OH&amp;S committee meetings held in a year; and </w:t>
            </w:r>
          </w:p>
          <w:p w14:paraId="5EAF0798" w14:textId="19D3944D" w:rsidR="0081651C" w:rsidRPr="003C2323" w:rsidRDefault="0081651C" w:rsidP="006B7224">
            <w:pPr>
              <w:pStyle w:val="Tabletext"/>
              <w:numPr>
                <w:ilvl w:val="0"/>
                <w:numId w:val="38"/>
              </w:numPr>
              <w:rPr>
                <w:rFonts w:eastAsiaTheme="minorEastAsia"/>
                <w:szCs w:val="20"/>
                <w:lang w:eastAsia="en-AU"/>
              </w:rPr>
            </w:pPr>
            <w:r>
              <w:rPr>
                <w:rFonts w:ascii="Arial" w:hAnsi="Arial" w:cs="Arial"/>
              </w:rPr>
              <w:t xml:space="preserve">the percentage of reported incidents investigated. </w:t>
            </w:r>
          </w:p>
        </w:tc>
        <w:tc>
          <w:tcPr>
            <w:cnfStyle w:val="000100000000" w:firstRow="0" w:lastRow="0" w:firstColumn="0" w:lastColumn="1" w:oddVBand="0" w:evenVBand="0" w:oddHBand="0" w:evenHBand="0" w:firstRowFirstColumn="0" w:firstRowLastColumn="0" w:lastRowFirstColumn="0" w:lastRowLastColumn="0"/>
            <w:tcW w:w="627" w:type="pct"/>
            <w:gridSpan w:val="2"/>
          </w:tcPr>
          <w:p w14:paraId="7BC34C93" w14:textId="64ED1753" w:rsidR="0081651C" w:rsidRPr="003C2323" w:rsidRDefault="0081651C" w:rsidP="00326A03">
            <w:pPr>
              <w:pStyle w:val="Tabletext"/>
              <w:jc w:val="center"/>
              <w:rPr>
                <w:rFonts w:eastAsiaTheme="minorEastAsia"/>
                <w:szCs w:val="20"/>
                <w:lang w:eastAsia="en-AU"/>
              </w:rPr>
            </w:pPr>
            <w:r>
              <w:rPr>
                <w:rFonts w:ascii="Arial" w:hAnsi="Arial" w:cs="Arial"/>
              </w:rPr>
              <w:t>38</w:t>
            </w:r>
          </w:p>
        </w:tc>
      </w:tr>
      <w:tr w:rsidR="0081651C" w:rsidRPr="003C2323" w14:paraId="56A748BE" w14:textId="77777777" w:rsidTr="0000076D">
        <w:tc>
          <w:tcPr>
            <w:cnfStyle w:val="001000000000" w:firstRow="0" w:lastRow="0" w:firstColumn="1" w:lastColumn="0" w:oddVBand="0" w:evenVBand="0" w:oddHBand="0" w:evenHBand="0" w:firstRowFirstColumn="0" w:firstRowLastColumn="0" w:lastRowFirstColumn="0" w:lastRowLastColumn="0"/>
            <w:tcW w:w="855" w:type="pct"/>
          </w:tcPr>
          <w:p w14:paraId="5CC09C50" w14:textId="77777777" w:rsidR="0081651C" w:rsidRPr="0081651C" w:rsidRDefault="0081651C" w:rsidP="0081651C">
            <w:pPr>
              <w:pStyle w:val="Tabletext"/>
              <w:rPr>
                <w:rFonts w:ascii="Arial" w:eastAsia="Tahoma" w:hAnsi="Arial" w:cs="Arial"/>
                <w:iCs/>
                <w:noProof/>
                <w:color w:val="FF0000"/>
                <w:szCs w:val="17"/>
              </w:rPr>
            </w:pPr>
            <w:r w:rsidRPr="00326A03">
              <w:rPr>
                <w:rFonts w:eastAsiaTheme="minorEastAsia"/>
                <w:color w:val="FF0000"/>
                <w:szCs w:val="20"/>
                <w:lang w:eastAsia="en-AU"/>
              </w:rPr>
              <w:t>[</w:t>
            </w:r>
            <w:r w:rsidRPr="0081651C">
              <w:rPr>
                <w:rFonts w:ascii="Arial" w:eastAsia="Tahoma" w:hAnsi="Arial" w:cs="Arial"/>
                <w:iCs/>
                <w:noProof/>
                <w:color w:val="FF0000"/>
                <w:szCs w:val="17"/>
              </w:rPr>
              <w:t>New &amp; Revised]</w:t>
            </w:r>
          </w:p>
          <w:p w14:paraId="3729BC33" w14:textId="019DEB00" w:rsidR="0081651C" w:rsidRPr="003C2323" w:rsidRDefault="0081651C" w:rsidP="0081651C">
            <w:pPr>
              <w:pStyle w:val="Tabletext"/>
              <w:rPr>
                <w:rFonts w:eastAsiaTheme="minorEastAsia"/>
                <w:szCs w:val="20"/>
                <w:lang w:eastAsia="en-AU"/>
              </w:rPr>
            </w:pPr>
            <w:r>
              <w:rPr>
                <w:rFonts w:eastAsiaTheme="minorEastAsia"/>
                <w:szCs w:val="20"/>
                <w:lang w:eastAsia="en-AU"/>
              </w:rPr>
              <w:t>Local Jobs First</w:t>
            </w:r>
          </w:p>
        </w:tc>
        <w:tc>
          <w:tcPr>
            <w:cnfStyle w:val="000010000000" w:firstRow="0" w:lastRow="0" w:firstColumn="0" w:lastColumn="0" w:oddVBand="1" w:evenVBand="0" w:oddHBand="0" w:evenHBand="0" w:firstRowFirstColumn="0" w:firstRowLastColumn="0" w:lastRowFirstColumn="0" w:lastRowLastColumn="0"/>
            <w:tcW w:w="933" w:type="pct"/>
          </w:tcPr>
          <w:p w14:paraId="5725C7E5" w14:textId="5E4FA6D3" w:rsidR="0081651C" w:rsidRPr="003C2323" w:rsidRDefault="0081651C" w:rsidP="0081651C">
            <w:pPr>
              <w:pStyle w:val="Tabletext"/>
              <w:rPr>
                <w:rFonts w:eastAsiaTheme="minorEastAsia"/>
                <w:szCs w:val="20"/>
                <w:lang w:eastAsia="en-AU"/>
              </w:rPr>
            </w:pPr>
            <w:r>
              <w:rPr>
                <w:rFonts w:ascii="Arial" w:hAnsi="Arial"/>
                <w:szCs w:val="17"/>
              </w:rPr>
              <w:t xml:space="preserve">FRD 25D </w:t>
            </w:r>
            <w:r w:rsidR="0029265F">
              <w:rPr>
                <w:rFonts w:ascii="Arial" w:hAnsi="Arial"/>
                <w:szCs w:val="17"/>
              </w:rPr>
              <w:br/>
            </w:r>
            <w:r w:rsidRPr="007D3A9F">
              <w:rPr>
                <w:rFonts w:ascii="Arial" w:hAnsi="Arial"/>
                <w:i/>
                <w:szCs w:val="17"/>
              </w:rPr>
              <w:t>Local Jobs First</w:t>
            </w:r>
            <w:r>
              <w:rPr>
                <w:rFonts w:ascii="Arial" w:hAnsi="Arial"/>
                <w:szCs w:val="17"/>
              </w:rPr>
              <w:t xml:space="preserve"> </w:t>
            </w:r>
          </w:p>
        </w:tc>
        <w:tc>
          <w:tcPr>
            <w:cnfStyle w:val="000001000000" w:firstRow="0" w:lastRow="0" w:firstColumn="0" w:lastColumn="0" w:oddVBand="0" w:evenVBand="1" w:oddHBand="0" w:evenHBand="0" w:firstRowFirstColumn="0" w:firstRowLastColumn="0" w:lastRowFirstColumn="0" w:lastRowLastColumn="0"/>
            <w:tcW w:w="2585" w:type="pct"/>
          </w:tcPr>
          <w:p w14:paraId="356A4470" w14:textId="77777777" w:rsidR="0081651C" w:rsidRDefault="0081651C" w:rsidP="0081651C">
            <w:pPr>
              <w:pStyle w:val="Tabletext"/>
              <w:rPr>
                <w:rFonts w:ascii="Arial" w:hAnsi="Arial" w:cs="Arial"/>
              </w:rPr>
            </w:pPr>
            <w:r>
              <w:rPr>
                <w:rFonts w:ascii="Arial" w:hAnsi="Arial" w:cs="Arial"/>
              </w:rPr>
              <w:t xml:space="preserve">Disclosures have been updated to reflect the changes in the </w:t>
            </w:r>
            <w:r w:rsidRPr="00B814A5">
              <w:rPr>
                <w:rFonts w:ascii="Arial" w:hAnsi="Arial" w:cs="Arial"/>
                <w:i/>
              </w:rPr>
              <w:t>Local Jobs First Act</w:t>
            </w:r>
            <w:r>
              <w:rPr>
                <w:rFonts w:ascii="Arial" w:hAnsi="Arial" w:cs="Arial"/>
              </w:rPr>
              <w:t xml:space="preserve"> introduced in August 2018, which brings together Victorian participation policy (VIPP) and Major Skills Guarantee (MPSG). The new disclosure requirements include:</w:t>
            </w:r>
          </w:p>
          <w:p w14:paraId="48D03C4D" w14:textId="3C72E9CC" w:rsidR="0081651C" w:rsidRDefault="0081651C" w:rsidP="006B7224">
            <w:pPr>
              <w:pStyle w:val="Tabletext"/>
              <w:numPr>
                <w:ilvl w:val="0"/>
                <w:numId w:val="37"/>
              </w:numPr>
              <w:rPr>
                <w:rFonts w:ascii="Arial" w:hAnsi="Arial" w:cs="Arial"/>
              </w:rPr>
            </w:pPr>
            <w:r>
              <w:rPr>
                <w:rFonts w:ascii="Arial" w:hAnsi="Arial" w:cs="Arial"/>
              </w:rPr>
              <w:t>reporting on the number of projects MPSG applied on from 16 August 2018</w:t>
            </w:r>
            <w:r w:rsidR="0000076D">
              <w:rPr>
                <w:rFonts w:ascii="Arial" w:hAnsi="Arial" w:cs="Arial"/>
              </w:rPr>
              <w:t>;</w:t>
            </w:r>
          </w:p>
          <w:p w14:paraId="77A637FA" w14:textId="668BA768" w:rsidR="0081651C" w:rsidRDefault="0081651C" w:rsidP="006B7224">
            <w:pPr>
              <w:pStyle w:val="Tabletext"/>
              <w:numPr>
                <w:ilvl w:val="0"/>
                <w:numId w:val="37"/>
              </w:numPr>
              <w:rPr>
                <w:rFonts w:ascii="Arial" w:hAnsi="Arial" w:cs="Arial"/>
              </w:rPr>
            </w:pPr>
            <w:r>
              <w:rPr>
                <w:rFonts w:ascii="Arial" w:hAnsi="Arial" w:cs="Arial"/>
              </w:rPr>
              <w:t xml:space="preserve">total number </w:t>
            </w:r>
            <w:r w:rsidRPr="0094081C">
              <w:rPr>
                <w:rFonts w:ascii="Arial" w:hAnsi="Arial" w:cs="Arial"/>
              </w:rPr>
              <w:t>of hours completed or to be completed by apprentices, trainees or cadets on these projects, and the total number of opportunities created for apprentices, trainees and cadets on these projects</w:t>
            </w:r>
            <w:r w:rsidR="0000076D">
              <w:rPr>
                <w:rFonts w:ascii="Arial" w:hAnsi="Arial" w:cs="Arial"/>
              </w:rPr>
              <w:t>; and</w:t>
            </w:r>
          </w:p>
          <w:p w14:paraId="5F726E16" w14:textId="77F8DC2D" w:rsidR="0081651C" w:rsidRPr="00B2296E" w:rsidRDefault="0081651C" w:rsidP="006B7224">
            <w:pPr>
              <w:pStyle w:val="Tabletext"/>
              <w:numPr>
                <w:ilvl w:val="0"/>
                <w:numId w:val="37"/>
              </w:numPr>
              <w:rPr>
                <w:rFonts w:ascii="Arial" w:hAnsi="Arial" w:cs="Arial"/>
              </w:rPr>
            </w:pPr>
            <w:r>
              <w:rPr>
                <w:rFonts w:ascii="Arial" w:hAnsi="Arial" w:cs="Arial"/>
              </w:rPr>
              <w:t xml:space="preserve">total </w:t>
            </w:r>
            <w:r w:rsidRPr="0094081C">
              <w:rPr>
                <w:rFonts w:ascii="Arial" w:hAnsi="Arial" w:cs="Arial"/>
              </w:rPr>
              <w:t>number, across all projects commenced or completed by the department, of small and medium sized businesses engaged as either the principle contractor or as part of the supply chain.</w:t>
            </w:r>
          </w:p>
        </w:tc>
        <w:tc>
          <w:tcPr>
            <w:cnfStyle w:val="000100000000" w:firstRow="0" w:lastRow="0" w:firstColumn="0" w:lastColumn="1" w:oddVBand="0" w:evenVBand="0" w:oddHBand="0" w:evenHBand="0" w:firstRowFirstColumn="0" w:firstRowLastColumn="0" w:lastRowFirstColumn="0" w:lastRowLastColumn="0"/>
            <w:tcW w:w="627" w:type="pct"/>
            <w:gridSpan w:val="2"/>
          </w:tcPr>
          <w:p w14:paraId="43F63049" w14:textId="28C7BD58" w:rsidR="0081651C" w:rsidRPr="003C2323" w:rsidRDefault="0081651C" w:rsidP="00326A03">
            <w:pPr>
              <w:pStyle w:val="Tabletext"/>
              <w:jc w:val="center"/>
              <w:rPr>
                <w:rFonts w:eastAsiaTheme="minorEastAsia"/>
                <w:szCs w:val="20"/>
                <w:lang w:eastAsia="en-AU"/>
              </w:rPr>
            </w:pPr>
            <w:r>
              <w:rPr>
                <w:rFonts w:ascii="Arial" w:hAnsi="Arial" w:cs="Arial"/>
              </w:rPr>
              <w:t>46-47</w:t>
            </w:r>
          </w:p>
        </w:tc>
      </w:tr>
      <w:tr w:rsidR="000E4264" w:rsidRPr="003C2323" w14:paraId="3842BA37" w14:textId="77777777" w:rsidTr="000007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14:paraId="2DE1B46C" w14:textId="77777777" w:rsidR="000E4264" w:rsidRPr="00970978" w:rsidRDefault="000E4264" w:rsidP="000E4264">
            <w:pPr>
              <w:pStyle w:val="Reference"/>
              <w:spacing w:line="276" w:lineRule="auto"/>
              <w:rPr>
                <w:rFonts w:ascii="Arial" w:hAnsi="Arial"/>
                <w:color w:val="FF0000"/>
                <w:sz w:val="17"/>
                <w:szCs w:val="17"/>
              </w:rPr>
            </w:pPr>
            <w:r w:rsidRPr="00970978">
              <w:rPr>
                <w:rFonts w:ascii="Arial" w:hAnsi="Arial"/>
                <w:color w:val="FF0000"/>
                <w:sz w:val="17"/>
                <w:szCs w:val="17"/>
              </w:rPr>
              <w:t>[Revised]</w:t>
            </w:r>
          </w:p>
          <w:p w14:paraId="6A9E9443" w14:textId="46D3614F" w:rsidR="000E4264" w:rsidRPr="003C2323" w:rsidRDefault="000E4264" w:rsidP="000E4264">
            <w:pPr>
              <w:pStyle w:val="Tabletext"/>
              <w:rPr>
                <w:rFonts w:eastAsiaTheme="minorEastAsia"/>
                <w:szCs w:val="20"/>
                <w:lang w:eastAsia="en-AU"/>
              </w:rPr>
            </w:pPr>
            <w:r>
              <w:rPr>
                <w:rFonts w:ascii="Arial" w:hAnsi="Arial"/>
                <w:szCs w:val="17"/>
              </w:rPr>
              <w:t>Information and communication technology expenditure</w:t>
            </w:r>
          </w:p>
        </w:tc>
        <w:tc>
          <w:tcPr>
            <w:cnfStyle w:val="000010000000" w:firstRow="0" w:lastRow="0" w:firstColumn="0" w:lastColumn="0" w:oddVBand="1" w:evenVBand="0" w:oddHBand="0" w:evenHBand="0" w:firstRowFirstColumn="0" w:firstRowLastColumn="0" w:lastRowFirstColumn="0" w:lastRowLastColumn="0"/>
            <w:tcW w:w="933" w:type="pct"/>
          </w:tcPr>
          <w:p w14:paraId="60AAB61D" w14:textId="3648F7E1" w:rsidR="000E4264" w:rsidRPr="003C2323" w:rsidRDefault="000E4264" w:rsidP="000E4264">
            <w:pPr>
              <w:pStyle w:val="Tabletext"/>
              <w:rPr>
                <w:rFonts w:eastAsiaTheme="minorEastAsia"/>
                <w:szCs w:val="20"/>
                <w:lang w:eastAsia="en-AU"/>
              </w:rPr>
            </w:pPr>
            <w:r>
              <w:rPr>
                <w:rFonts w:ascii="Arial" w:hAnsi="Arial"/>
                <w:szCs w:val="17"/>
              </w:rPr>
              <w:t xml:space="preserve">General improvement </w:t>
            </w:r>
          </w:p>
        </w:tc>
        <w:tc>
          <w:tcPr>
            <w:cnfStyle w:val="000001000000" w:firstRow="0" w:lastRow="0" w:firstColumn="0" w:lastColumn="0" w:oddVBand="0" w:evenVBand="1" w:oddHBand="0" w:evenHBand="0" w:firstRowFirstColumn="0" w:firstRowLastColumn="0" w:lastRowFirstColumn="0" w:lastRowLastColumn="0"/>
            <w:tcW w:w="2585" w:type="pct"/>
          </w:tcPr>
          <w:p w14:paraId="10196655" w14:textId="285A46F6" w:rsidR="000E4264" w:rsidRPr="003C2323" w:rsidRDefault="000E4264" w:rsidP="000E4264">
            <w:pPr>
              <w:pStyle w:val="Tabletext"/>
              <w:rPr>
                <w:rFonts w:eastAsiaTheme="minorEastAsia"/>
                <w:szCs w:val="20"/>
                <w:lang w:eastAsia="en-AU"/>
              </w:rPr>
            </w:pPr>
            <w:r>
              <w:rPr>
                <w:rFonts w:ascii="Arial" w:hAnsi="Arial" w:cs="Arial"/>
              </w:rPr>
              <w:t xml:space="preserve">Minor amendments have been made to the section to replace the fictitious ICT expenditure (for illustration purposes) with directions for preparers to insert their own total ICT expenditure.  </w:t>
            </w:r>
          </w:p>
        </w:tc>
        <w:tc>
          <w:tcPr>
            <w:cnfStyle w:val="000100000000" w:firstRow="0" w:lastRow="0" w:firstColumn="0" w:lastColumn="1" w:oddVBand="0" w:evenVBand="0" w:oddHBand="0" w:evenHBand="0" w:firstRowFirstColumn="0" w:firstRowLastColumn="0" w:lastRowFirstColumn="0" w:lastRowLastColumn="0"/>
            <w:tcW w:w="627" w:type="pct"/>
            <w:gridSpan w:val="2"/>
          </w:tcPr>
          <w:p w14:paraId="39777EA8" w14:textId="2A610523" w:rsidR="000E4264" w:rsidRPr="003C2323" w:rsidRDefault="000E4264" w:rsidP="00326A03">
            <w:pPr>
              <w:pStyle w:val="Tabletext"/>
              <w:jc w:val="center"/>
              <w:rPr>
                <w:rFonts w:eastAsiaTheme="minorEastAsia"/>
                <w:szCs w:val="20"/>
                <w:lang w:eastAsia="en-AU"/>
              </w:rPr>
            </w:pPr>
            <w:r>
              <w:rPr>
                <w:rFonts w:ascii="Arial" w:hAnsi="Arial" w:cs="Arial"/>
              </w:rPr>
              <w:t>50</w:t>
            </w:r>
          </w:p>
        </w:tc>
      </w:tr>
      <w:tr w:rsidR="00B2296E" w:rsidRPr="003C2323" w14:paraId="327AF123" w14:textId="77777777" w:rsidTr="0000076D">
        <w:tc>
          <w:tcPr>
            <w:cnfStyle w:val="001000000000" w:firstRow="0" w:lastRow="0" w:firstColumn="1" w:lastColumn="0" w:oddVBand="0" w:evenVBand="0" w:oddHBand="0" w:evenHBand="0" w:firstRowFirstColumn="0" w:firstRowLastColumn="0" w:lastRowFirstColumn="0" w:lastRowLastColumn="0"/>
            <w:tcW w:w="855" w:type="pct"/>
          </w:tcPr>
          <w:p w14:paraId="4D2654B8" w14:textId="77777777" w:rsidR="00B2296E" w:rsidRPr="00970978" w:rsidRDefault="00B2296E" w:rsidP="00B2296E">
            <w:pPr>
              <w:pStyle w:val="Reference"/>
              <w:spacing w:line="276" w:lineRule="auto"/>
              <w:rPr>
                <w:rFonts w:ascii="Arial" w:hAnsi="Arial"/>
                <w:color w:val="FF0000"/>
                <w:sz w:val="17"/>
                <w:szCs w:val="17"/>
              </w:rPr>
            </w:pPr>
            <w:r w:rsidRPr="00970978">
              <w:rPr>
                <w:rFonts w:ascii="Arial" w:hAnsi="Arial"/>
                <w:color w:val="FF0000"/>
                <w:sz w:val="17"/>
                <w:szCs w:val="17"/>
              </w:rPr>
              <w:t>[Revised]</w:t>
            </w:r>
          </w:p>
          <w:p w14:paraId="4D48FC68" w14:textId="528D03CA" w:rsidR="00B2296E" w:rsidRPr="00970978" w:rsidRDefault="00B2296E" w:rsidP="00B2296E">
            <w:pPr>
              <w:pStyle w:val="Reference"/>
              <w:spacing w:line="276" w:lineRule="auto"/>
              <w:rPr>
                <w:rFonts w:ascii="Arial" w:hAnsi="Arial"/>
                <w:color w:val="FF0000"/>
                <w:sz w:val="17"/>
                <w:szCs w:val="17"/>
              </w:rPr>
            </w:pPr>
            <w:r>
              <w:rPr>
                <w:rFonts w:ascii="Arial" w:hAnsi="Arial"/>
                <w:color w:val="auto"/>
                <w:sz w:val="17"/>
                <w:szCs w:val="17"/>
              </w:rPr>
              <w:t>Freedom of Information</w:t>
            </w:r>
          </w:p>
        </w:tc>
        <w:tc>
          <w:tcPr>
            <w:cnfStyle w:val="000010000000" w:firstRow="0" w:lastRow="0" w:firstColumn="0" w:lastColumn="0" w:oddVBand="1" w:evenVBand="0" w:oddHBand="0" w:evenHBand="0" w:firstRowFirstColumn="0" w:firstRowLastColumn="0" w:lastRowFirstColumn="0" w:lastRowLastColumn="0"/>
            <w:tcW w:w="933" w:type="pct"/>
          </w:tcPr>
          <w:p w14:paraId="0407F6FB" w14:textId="654C1DD4" w:rsidR="00B2296E" w:rsidRDefault="00B2296E" w:rsidP="00B2296E">
            <w:pPr>
              <w:pStyle w:val="Tabletext"/>
              <w:rPr>
                <w:rFonts w:ascii="Arial" w:hAnsi="Arial"/>
                <w:szCs w:val="17"/>
              </w:rPr>
            </w:pPr>
            <w:r>
              <w:rPr>
                <w:rFonts w:ascii="Arial" w:hAnsi="Arial"/>
                <w:szCs w:val="17"/>
              </w:rPr>
              <w:t>General improvement</w:t>
            </w:r>
          </w:p>
        </w:tc>
        <w:tc>
          <w:tcPr>
            <w:cnfStyle w:val="000001000000" w:firstRow="0" w:lastRow="0" w:firstColumn="0" w:lastColumn="0" w:oddVBand="0" w:evenVBand="1" w:oddHBand="0" w:evenHBand="0" w:firstRowFirstColumn="0" w:firstRowLastColumn="0" w:lastRowFirstColumn="0" w:lastRowLastColumn="0"/>
            <w:tcW w:w="2585" w:type="pct"/>
          </w:tcPr>
          <w:p w14:paraId="409A9C74" w14:textId="09E33366" w:rsidR="00B2296E" w:rsidRDefault="00B2296E" w:rsidP="00B2296E">
            <w:pPr>
              <w:pStyle w:val="Tabletext"/>
              <w:rPr>
                <w:rFonts w:ascii="Arial" w:hAnsi="Arial" w:cs="Arial"/>
              </w:rPr>
            </w:pPr>
            <w:r>
              <w:rPr>
                <w:rFonts w:ascii="Arial" w:hAnsi="Arial" w:cs="Arial"/>
              </w:rPr>
              <w:t xml:space="preserve">Minor amendment has been made to provide clarity on the processing time for Freedom of Information requests when there is external consultation. </w:t>
            </w:r>
          </w:p>
        </w:tc>
        <w:tc>
          <w:tcPr>
            <w:cnfStyle w:val="000100000000" w:firstRow="0" w:lastRow="0" w:firstColumn="0" w:lastColumn="1" w:oddVBand="0" w:evenVBand="0" w:oddHBand="0" w:evenHBand="0" w:firstRowFirstColumn="0" w:firstRowLastColumn="0" w:lastRowFirstColumn="0" w:lastRowLastColumn="0"/>
            <w:tcW w:w="627" w:type="pct"/>
            <w:gridSpan w:val="2"/>
          </w:tcPr>
          <w:p w14:paraId="0670DA7F" w14:textId="6C378AB9" w:rsidR="00B2296E" w:rsidRDefault="00B2296E" w:rsidP="00B2296E">
            <w:pPr>
              <w:pStyle w:val="Tabletext"/>
              <w:jc w:val="center"/>
              <w:rPr>
                <w:rFonts w:ascii="Arial" w:hAnsi="Arial" w:cs="Arial"/>
              </w:rPr>
            </w:pPr>
            <w:r>
              <w:rPr>
                <w:rFonts w:ascii="Arial" w:hAnsi="Arial" w:cs="Arial"/>
              </w:rPr>
              <w:t>51-52</w:t>
            </w:r>
          </w:p>
        </w:tc>
      </w:tr>
      <w:tr w:rsidR="00B2296E" w:rsidRPr="003C2323" w14:paraId="17C94546" w14:textId="77777777" w:rsidTr="000007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14:paraId="1F735251" w14:textId="77777777" w:rsidR="00B2296E" w:rsidRPr="00BC50A0" w:rsidRDefault="00B2296E" w:rsidP="00B2296E">
            <w:pPr>
              <w:pStyle w:val="Reference"/>
              <w:spacing w:line="276" w:lineRule="auto"/>
              <w:rPr>
                <w:rFonts w:ascii="Arial" w:hAnsi="Arial"/>
                <w:color w:val="FF0000"/>
                <w:sz w:val="17"/>
                <w:szCs w:val="17"/>
              </w:rPr>
            </w:pPr>
            <w:r w:rsidRPr="00BC50A0">
              <w:rPr>
                <w:rFonts w:ascii="Arial" w:hAnsi="Arial"/>
                <w:color w:val="FF0000"/>
                <w:sz w:val="17"/>
                <w:szCs w:val="17"/>
              </w:rPr>
              <w:t>[Revised]</w:t>
            </w:r>
          </w:p>
          <w:p w14:paraId="6CC01113" w14:textId="2629B6A2" w:rsidR="00B2296E" w:rsidRPr="00970978" w:rsidRDefault="00B2296E" w:rsidP="00B2296E">
            <w:pPr>
              <w:pStyle w:val="Reference"/>
              <w:spacing w:line="276" w:lineRule="auto"/>
              <w:rPr>
                <w:rFonts w:ascii="Arial" w:hAnsi="Arial"/>
                <w:color w:val="FF0000"/>
                <w:sz w:val="17"/>
                <w:szCs w:val="17"/>
              </w:rPr>
            </w:pPr>
            <w:r w:rsidRPr="00BC50A0">
              <w:rPr>
                <w:rFonts w:ascii="Arial" w:hAnsi="Arial"/>
                <w:color w:val="auto"/>
                <w:sz w:val="17"/>
                <w:szCs w:val="17"/>
              </w:rPr>
              <w:t>Compliance with the Building Act 1993</w:t>
            </w:r>
          </w:p>
        </w:tc>
        <w:tc>
          <w:tcPr>
            <w:cnfStyle w:val="000010000000" w:firstRow="0" w:lastRow="0" w:firstColumn="0" w:lastColumn="0" w:oddVBand="1" w:evenVBand="0" w:oddHBand="0" w:evenHBand="0" w:firstRowFirstColumn="0" w:firstRowLastColumn="0" w:lastRowFirstColumn="0" w:lastRowLastColumn="0"/>
            <w:tcW w:w="933" w:type="pct"/>
          </w:tcPr>
          <w:p w14:paraId="1F5BF1E0" w14:textId="29502A16" w:rsidR="00B2296E" w:rsidRDefault="00B2296E" w:rsidP="00B2296E">
            <w:pPr>
              <w:pStyle w:val="Tabletext"/>
              <w:rPr>
                <w:rFonts w:ascii="Arial" w:hAnsi="Arial"/>
                <w:szCs w:val="17"/>
              </w:rPr>
            </w:pPr>
            <w:r w:rsidRPr="00BC50A0">
              <w:rPr>
                <w:rFonts w:ascii="Arial" w:hAnsi="Arial"/>
                <w:szCs w:val="17"/>
              </w:rPr>
              <w:t>General improvement</w:t>
            </w:r>
          </w:p>
        </w:tc>
        <w:tc>
          <w:tcPr>
            <w:cnfStyle w:val="000001000000" w:firstRow="0" w:lastRow="0" w:firstColumn="0" w:lastColumn="0" w:oddVBand="0" w:evenVBand="1" w:oddHBand="0" w:evenHBand="0" w:firstRowFirstColumn="0" w:firstRowLastColumn="0" w:lastRowFirstColumn="0" w:lastRowLastColumn="0"/>
            <w:tcW w:w="2585" w:type="pct"/>
          </w:tcPr>
          <w:p w14:paraId="255AEE7A" w14:textId="036B618B" w:rsidR="00B2296E" w:rsidRDefault="00B2296E" w:rsidP="00B2296E">
            <w:pPr>
              <w:pStyle w:val="Tabletext"/>
              <w:rPr>
                <w:rFonts w:ascii="Arial" w:hAnsi="Arial" w:cs="Arial"/>
              </w:rPr>
            </w:pPr>
            <w:r>
              <w:rPr>
                <w:rFonts w:ascii="Arial" w:hAnsi="Arial" w:cs="Arial"/>
                <w:szCs w:val="17"/>
              </w:rPr>
              <w:t>Minor revisions have been made to the guidance section to remind</w:t>
            </w:r>
            <w:r w:rsidRPr="00BC50A0">
              <w:rPr>
                <w:rFonts w:ascii="Arial" w:hAnsi="Arial" w:cs="Arial"/>
                <w:szCs w:val="17"/>
              </w:rPr>
              <w:t xml:space="preserve"> preparers that any non-compliance resulting from audit outcomes should be included in the disclosure statement.</w:t>
            </w:r>
          </w:p>
        </w:tc>
        <w:tc>
          <w:tcPr>
            <w:cnfStyle w:val="000100000000" w:firstRow="0" w:lastRow="0" w:firstColumn="0" w:lastColumn="1" w:oddVBand="0" w:evenVBand="0" w:oddHBand="0" w:evenHBand="0" w:firstRowFirstColumn="0" w:firstRowLastColumn="0" w:lastRowFirstColumn="0" w:lastRowLastColumn="0"/>
            <w:tcW w:w="627" w:type="pct"/>
            <w:gridSpan w:val="2"/>
          </w:tcPr>
          <w:p w14:paraId="2C7B7877" w14:textId="4989B2EA" w:rsidR="00B2296E" w:rsidRDefault="00B2296E" w:rsidP="00B2296E">
            <w:pPr>
              <w:pStyle w:val="Tabletext"/>
              <w:jc w:val="center"/>
              <w:rPr>
                <w:rFonts w:ascii="Arial" w:hAnsi="Arial" w:cs="Arial"/>
              </w:rPr>
            </w:pPr>
            <w:r w:rsidRPr="00BC50A0">
              <w:rPr>
                <w:rFonts w:ascii="Arial" w:hAnsi="Arial" w:cs="Arial"/>
                <w:szCs w:val="17"/>
              </w:rPr>
              <w:t>53</w:t>
            </w:r>
          </w:p>
        </w:tc>
      </w:tr>
      <w:tr w:rsidR="00B2296E" w:rsidRPr="003C2323" w14:paraId="291A12E6" w14:textId="77777777" w:rsidTr="0000076D">
        <w:tc>
          <w:tcPr>
            <w:cnfStyle w:val="001000000000" w:firstRow="0" w:lastRow="0" w:firstColumn="1" w:lastColumn="0" w:oddVBand="0" w:evenVBand="0" w:oddHBand="0" w:evenHBand="0" w:firstRowFirstColumn="0" w:firstRowLastColumn="0" w:lastRowFirstColumn="0" w:lastRowLastColumn="0"/>
            <w:tcW w:w="855" w:type="pct"/>
          </w:tcPr>
          <w:p w14:paraId="74471799" w14:textId="77777777" w:rsidR="00B2296E" w:rsidRPr="0055127B" w:rsidRDefault="00B2296E" w:rsidP="00B2296E">
            <w:pPr>
              <w:pStyle w:val="Reference"/>
              <w:spacing w:line="276" w:lineRule="auto"/>
              <w:rPr>
                <w:rFonts w:ascii="Arial" w:hAnsi="Arial"/>
                <w:color w:val="FF0000"/>
                <w:sz w:val="17"/>
                <w:szCs w:val="17"/>
              </w:rPr>
            </w:pPr>
            <w:r w:rsidRPr="0055127B">
              <w:rPr>
                <w:rFonts w:ascii="Arial" w:hAnsi="Arial"/>
                <w:color w:val="FF0000"/>
                <w:sz w:val="17"/>
                <w:szCs w:val="17"/>
              </w:rPr>
              <w:t>[Revised]</w:t>
            </w:r>
          </w:p>
          <w:p w14:paraId="060935BE" w14:textId="666141D0" w:rsidR="00B2296E" w:rsidRPr="00BC50A0" w:rsidRDefault="00B2296E" w:rsidP="00B2296E">
            <w:pPr>
              <w:pStyle w:val="Reference"/>
              <w:spacing w:line="276" w:lineRule="auto"/>
              <w:rPr>
                <w:rFonts w:ascii="Arial" w:hAnsi="Arial"/>
                <w:color w:val="FF0000"/>
                <w:sz w:val="17"/>
                <w:szCs w:val="17"/>
              </w:rPr>
            </w:pPr>
            <w:r w:rsidRPr="007D3A9F">
              <w:rPr>
                <w:rFonts w:ascii="Arial" w:hAnsi="Arial"/>
                <w:color w:val="auto"/>
                <w:sz w:val="17"/>
                <w:szCs w:val="17"/>
              </w:rPr>
              <w:t xml:space="preserve">Competitive Neutrality Policy </w:t>
            </w:r>
          </w:p>
        </w:tc>
        <w:tc>
          <w:tcPr>
            <w:cnfStyle w:val="000010000000" w:firstRow="0" w:lastRow="0" w:firstColumn="0" w:lastColumn="0" w:oddVBand="1" w:evenVBand="0" w:oddHBand="0" w:evenHBand="0" w:firstRowFirstColumn="0" w:firstRowLastColumn="0" w:lastRowFirstColumn="0" w:lastRowLastColumn="0"/>
            <w:tcW w:w="933" w:type="pct"/>
          </w:tcPr>
          <w:p w14:paraId="2A5F5D2B" w14:textId="3C26C4DE" w:rsidR="00B2296E" w:rsidRPr="00BC50A0" w:rsidRDefault="00B2296E" w:rsidP="00B2296E">
            <w:pPr>
              <w:pStyle w:val="Tabletext"/>
              <w:rPr>
                <w:rFonts w:ascii="Arial" w:hAnsi="Arial"/>
                <w:szCs w:val="17"/>
              </w:rPr>
            </w:pPr>
            <w:r>
              <w:rPr>
                <w:rFonts w:ascii="Arial" w:hAnsi="Arial"/>
                <w:szCs w:val="17"/>
              </w:rPr>
              <w:t>General improvement</w:t>
            </w:r>
          </w:p>
        </w:tc>
        <w:tc>
          <w:tcPr>
            <w:cnfStyle w:val="000001000000" w:firstRow="0" w:lastRow="0" w:firstColumn="0" w:lastColumn="0" w:oddVBand="0" w:evenVBand="1" w:oddHBand="0" w:evenHBand="0" w:firstRowFirstColumn="0" w:firstRowLastColumn="0" w:lastRowFirstColumn="0" w:lastRowLastColumn="0"/>
            <w:tcW w:w="2585" w:type="pct"/>
          </w:tcPr>
          <w:p w14:paraId="2785F55E" w14:textId="365B5F9A" w:rsidR="00B2296E" w:rsidRDefault="00B2296E" w:rsidP="00B2296E">
            <w:pPr>
              <w:pStyle w:val="Tabletext"/>
              <w:rPr>
                <w:rFonts w:ascii="Arial" w:hAnsi="Arial" w:cs="Arial"/>
                <w:szCs w:val="17"/>
              </w:rPr>
            </w:pPr>
            <w:r>
              <w:rPr>
                <w:rFonts w:ascii="Arial" w:hAnsi="Arial" w:cs="Arial"/>
                <w:szCs w:val="17"/>
              </w:rPr>
              <w:t xml:space="preserve">Minor amendment has been made to draw reference to the Competition and Infrastructure Reform Agreement for competitive neutrality reporting against the enhanced principles. </w:t>
            </w:r>
          </w:p>
        </w:tc>
        <w:tc>
          <w:tcPr>
            <w:cnfStyle w:val="000100000000" w:firstRow="0" w:lastRow="0" w:firstColumn="0" w:lastColumn="1" w:oddVBand="0" w:evenVBand="0" w:oddHBand="0" w:evenHBand="0" w:firstRowFirstColumn="0" w:firstRowLastColumn="0" w:lastRowFirstColumn="0" w:lastRowLastColumn="0"/>
            <w:tcW w:w="627" w:type="pct"/>
            <w:gridSpan w:val="2"/>
          </w:tcPr>
          <w:p w14:paraId="5922DA35" w14:textId="6A6F6073" w:rsidR="00B2296E" w:rsidRPr="00BC50A0" w:rsidRDefault="00B2296E" w:rsidP="00B2296E">
            <w:pPr>
              <w:pStyle w:val="Tabletext"/>
              <w:jc w:val="center"/>
              <w:rPr>
                <w:rFonts w:ascii="Arial" w:hAnsi="Arial" w:cs="Arial"/>
                <w:szCs w:val="17"/>
              </w:rPr>
            </w:pPr>
            <w:r>
              <w:rPr>
                <w:rFonts w:ascii="Arial" w:hAnsi="Arial" w:cs="Arial"/>
                <w:szCs w:val="17"/>
              </w:rPr>
              <w:t>53-54</w:t>
            </w:r>
          </w:p>
        </w:tc>
      </w:tr>
      <w:tr w:rsidR="00B2296E" w:rsidRPr="003C2323" w14:paraId="6E08086F" w14:textId="77777777" w:rsidTr="000007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14:paraId="32F15305" w14:textId="77777777" w:rsidR="00B2296E" w:rsidRDefault="00B2296E" w:rsidP="00B2296E">
            <w:pPr>
              <w:pStyle w:val="Reference"/>
              <w:spacing w:line="276" w:lineRule="auto"/>
              <w:rPr>
                <w:rFonts w:ascii="Arial" w:hAnsi="Arial"/>
                <w:color w:val="FF0000"/>
                <w:sz w:val="17"/>
                <w:szCs w:val="17"/>
              </w:rPr>
            </w:pPr>
            <w:r>
              <w:rPr>
                <w:rFonts w:ascii="Arial" w:hAnsi="Arial"/>
                <w:color w:val="FF0000"/>
                <w:sz w:val="17"/>
                <w:szCs w:val="17"/>
              </w:rPr>
              <w:t>[Revised]</w:t>
            </w:r>
          </w:p>
          <w:p w14:paraId="525248B8" w14:textId="6F0AB976" w:rsidR="00B2296E" w:rsidRPr="0055127B" w:rsidRDefault="00B2296E" w:rsidP="00B2296E">
            <w:pPr>
              <w:pStyle w:val="Reference"/>
              <w:spacing w:line="276" w:lineRule="auto"/>
              <w:rPr>
                <w:rFonts w:ascii="Arial" w:hAnsi="Arial"/>
                <w:color w:val="FF0000"/>
                <w:sz w:val="17"/>
                <w:szCs w:val="17"/>
              </w:rPr>
            </w:pPr>
            <w:r w:rsidRPr="007D3A9F">
              <w:rPr>
                <w:rFonts w:ascii="Arial" w:hAnsi="Arial"/>
                <w:color w:val="auto"/>
                <w:sz w:val="17"/>
                <w:szCs w:val="17"/>
              </w:rPr>
              <w:t xml:space="preserve">Compliance with the </w:t>
            </w:r>
            <w:r w:rsidRPr="007D3A9F">
              <w:rPr>
                <w:rFonts w:ascii="Arial" w:hAnsi="Arial"/>
                <w:i/>
                <w:color w:val="auto"/>
                <w:sz w:val="17"/>
                <w:szCs w:val="17"/>
              </w:rPr>
              <w:t>Disability Act 2006</w:t>
            </w:r>
          </w:p>
        </w:tc>
        <w:tc>
          <w:tcPr>
            <w:cnfStyle w:val="000010000000" w:firstRow="0" w:lastRow="0" w:firstColumn="0" w:lastColumn="0" w:oddVBand="1" w:evenVBand="0" w:oddHBand="0" w:evenHBand="0" w:firstRowFirstColumn="0" w:firstRowLastColumn="0" w:lastRowFirstColumn="0" w:lastRowLastColumn="0"/>
            <w:tcW w:w="933" w:type="pct"/>
          </w:tcPr>
          <w:p w14:paraId="39BCA578" w14:textId="0F92D5FF" w:rsidR="006B7224" w:rsidRDefault="00B2296E" w:rsidP="00B2296E">
            <w:pPr>
              <w:pStyle w:val="Tabletext"/>
              <w:rPr>
                <w:rFonts w:ascii="Arial" w:hAnsi="Arial"/>
                <w:szCs w:val="17"/>
              </w:rPr>
            </w:pPr>
            <w:r>
              <w:rPr>
                <w:rFonts w:ascii="Arial" w:hAnsi="Arial"/>
                <w:szCs w:val="17"/>
              </w:rPr>
              <w:t>General improvement</w:t>
            </w:r>
          </w:p>
          <w:p w14:paraId="0F284D37" w14:textId="3DE520D8" w:rsidR="00B2296E" w:rsidRPr="006B7224" w:rsidRDefault="006B7224" w:rsidP="006B7224">
            <w:pPr>
              <w:tabs>
                <w:tab w:val="left" w:pos="1507"/>
              </w:tabs>
            </w:pPr>
            <w:r>
              <w:tab/>
            </w:r>
          </w:p>
        </w:tc>
        <w:tc>
          <w:tcPr>
            <w:cnfStyle w:val="000001000000" w:firstRow="0" w:lastRow="0" w:firstColumn="0" w:lastColumn="0" w:oddVBand="0" w:evenVBand="1" w:oddHBand="0" w:evenHBand="0" w:firstRowFirstColumn="0" w:firstRowLastColumn="0" w:lastRowFirstColumn="0" w:lastRowLastColumn="0"/>
            <w:tcW w:w="2585" w:type="pct"/>
          </w:tcPr>
          <w:p w14:paraId="1524B248" w14:textId="2072236E" w:rsidR="00B2296E" w:rsidRDefault="00B2296E" w:rsidP="00B2296E">
            <w:pPr>
              <w:pStyle w:val="Tabletext"/>
              <w:rPr>
                <w:rFonts w:ascii="Arial" w:hAnsi="Arial" w:cs="Arial"/>
                <w:szCs w:val="17"/>
              </w:rPr>
            </w:pPr>
            <w:r>
              <w:rPr>
                <w:rFonts w:ascii="Arial" w:hAnsi="Arial" w:cs="Arial"/>
              </w:rPr>
              <w:t xml:space="preserve">The section has been amended to include additional examples of the four outcomes under the Disability action plan to assist preparers with their disclosure of reporting requirements as required by the </w:t>
            </w:r>
            <w:r w:rsidRPr="00293983">
              <w:rPr>
                <w:rFonts w:ascii="Arial" w:hAnsi="Arial" w:cs="Arial"/>
                <w:i/>
              </w:rPr>
              <w:t>Disability Act 2006</w:t>
            </w:r>
            <w:r>
              <w:rPr>
                <w:rFonts w:ascii="Arial" w:hAnsi="Arial" w:cs="Arial"/>
                <w:i/>
              </w:rPr>
              <w:t>.</w:t>
            </w:r>
          </w:p>
        </w:tc>
        <w:tc>
          <w:tcPr>
            <w:cnfStyle w:val="000100000000" w:firstRow="0" w:lastRow="0" w:firstColumn="0" w:lastColumn="1" w:oddVBand="0" w:evenVBand="0" w:oddHBand="0" w:evenHBand="0" w:firstRowFirstColumn="0" w:firstRowLastColumn="0" w:lastRowFirstColumn="0" w:lastRowLastColumn="0"/>
            <w:tcW w:w="627" w:type="pct"/>
            <w:gridSpan w:val="2"/>
          </w:tcPr>
          <w:p w14:paraId="3BD824C9" w14:textId="55C5EB28" w:rsidR="00B2296E" w:rsidRDefault="00B2296E" w:rsidP="00B2296E">
            <w:pPr>
              <w:pStyle w:val="Tabletext"/>
              <w:jc w:val="center"/>
              <w:rPr>
                <w:rFonts w:ascii="Arial" w:hAnsi="Arial" w:cs="Arial"/>
                <w:szCs w:val="17"/>
              </w:rPr>
            </w:pPr>
            <w:r w:rsidRPr="007D3A9F">
              <w:rPr>
                <w:rFonts w:ascii="Arial" w:hAnsi="Arial" w:cs="Arial"/>
                <w:szCs w:val="17"/>
              </w:rPr>
              <w:t>55-56</w:t>
            </w:r>
          </w:p>
        </w:tc>
      </w:tr>
    </w:tbl>
    <w:p w14:paraId="7B743978" w14:textId="7AF111EB" w:rsidR="00872AC3" w:rsidRDefault="00872AC3" w:rsidP="005E6AE4">
      <w:pPr>
        <w:pStyle w:val="Tabletext"/>
      </w:pPr>
      <w:r>
        <w:br w:type="page"/>
      </w:r>
    </w:p>
    <w:tbl>
      <w:tblPr>
        <w:tblStyle w:val="DTFtexttable"/>
        <w:tblW w:w="5000" w:type="pct"/>
        <w:tblLayout w:type="fixed"/>
        <w:tblLook w:val="01A0" w:firstRow="1" w:lastRow="0" w:firstColumn="1" w:lastColumn="1" w:noHBand="0" w:noVBand="0"/>
      </w:tblPr>
      <w:tblGrid>
        <w:gridCol w:w="1591"/>
        <w:gridCol w:w="31"/>
        <w:gridCol w:w="1557"/>
        <w:gridCol w:w="212"/>
        <w:gridCol w:w="4468"/>
        <w:gridCol w:w="122"/>
        <w:gridCol w:w="1102"/>
        <w:gridCol w:w="57"/>
      </w:tblGrid>
      <w:tr w:rsidR="000E4264" w:rsidRPr="00DF5908" w14:paraId="0A8CFD01" w14:textId="77777777" w:rsidTr="000E426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gridSpan w:val="8"/>
          </w:tcPr>
          <w:p w14:paraId="4819382D" w14:textId="311C87A7" w:rsidR="000E4264" w:rsidRPr="00DF5908" w:rsidRDefault="000E4264" w:rsidP="00C34B38">
            <w:pPr>
              <w:pStyle w:val="Tableheader"/>
            </w:pPr>
            <w:bookmarkStart w:id="1" w:name="_Hlk6907019"/>
            <w:r w:rsidRPr="00DF5908">
              <w:lastRenderedPageBreak/>
              <w:t xml:space="preserve">Summary of changes – </w:t>
            </w:r>
            <w:r>
              <w:t xml:space="preserve">Model Report of </w:t>
            </w:r>
            <w:r w:rsidRPr="00F37760">
              <w:rPr>
                <w:i/>
              </w:rPr>
              <w:t>Operations</w:t>
            </w:r>
            <w:r>
              <w:rPr>
                <w:i/>
              </w:rPr>
              <w:t xml:space="preserve"> </w:t>
            </w:r>
          </w:p>
        </w:tc>
      </w:tr>
      <w:tr w:rsidR="000E4264" w:rsidRPr="00DF5908" w14:paraId="6F2B2250" w14:textId="77777777" w:rsidTr="006B722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70" w:type="pct"/>
            <w:shd w:val="clear" w:color="auto" w:fill="749CC9" w:themeFill="accent3"/>
          </w:tcPr>
          <w:p w14:paraId="5DD2BCFE" w14:textId="77777777" w:rsidR="000E4264" w:rsidRPr="00DF5908" w:rsidRDefault="000E4264" w:rsidP="00C34B38">
            <w:pPr>
              <w:pStyle w:val="Tableheader"/>
              <w:rPr>
                <w:sz w:val="18"/>
                <w:szCs w:val="18"/>
              </w:rPr>
            </w:pPr>
            <w:r w:rsidRPr="00DF5908">
              <w:rPr>
                <w:sz w:val="18"/>
                <w:szCs w:val="18"/>
              </w:rPr>
              <w:t xml:space="preserve">Subject matter </w:t>
            </w:r>
          </w:p>
        </w:tc>
        <w:tc>
          <w:tcPr>
            <w:cnfStyle w:val="000010000000" w:firstRow="0" w:lastRow="0" w:firstColumn="0" w:lastColumn="0" w:oddVBand="1" w:evenVBand="0" w:oddHBand="0" w:evenHBand="0" w:firstRowFirstColumn="0" w:firstRowLastColumn="0" w:lastRowFirstColumn="0" w:lastRowLastColumn="0"/>
            <w:tcW w:w="985" w:type="pct"/>
            <w:gridSpan w:val="3"/>
            <w:shd w:val="clear" w:color="auto" w:fill="749CC9" w:themeFill="accent3"/>
          </w:tcPr>
          <w:p w14:paraId="78A94DDD" w14:textId="77777777" w:rsidR="000E4264" w:rsidRPr="00D94648" w:rsidRDefault="000E4264" w:rsidP="00C34B38">
            <w:pPr>
              <w:pStyle w:val="Tableheader"/>
              <w:rPr>
                <w:sz w:val="18"/>
                <w:szCs w:val="18"/>
              </w:rPr>
            </w:pPr>
            <w:r w:rsidRPr="00D94648">
              <w:rPr>
                <w:sz w:val="18"/>
                <w:szCs w:val="18"/>
              </w:rPr>
              <w:t>Source of change</w:t>
            </w:r>
          </w:p>
        </w:tc>
        <w:tc>
          <w:tcPr>
            <w:cnfStyle w:val="000001000000" w:firstRow="0" w:lastRow="0" w:firstColumn="0" w:lastColumn="0" w:oddVBand="0" w:evenVBand="1" w:oddHBand="0" w:evenHBand="0" w:firstRowFirstColumn="0" w:firstRowLastColumn="0" w:lastRowFirstColumn="0" w:lastRowLastColumn="0"/>
            <w:tcW w:w="2511" w:type="pct"/>
            <w:gridSpan w:val="2"/>
            <w:shd w:val="clear" w:color="auto" w:fill="749CC9" w:themeFill="accent3"/>
          </w:tcPr>
          <w:p w14:paraId="121CFF37" w14:textId="77777777" w:rsidR="000E4264" w:rsidRPr="00DF5908" w:rsidRDefault="000E4264" w:rsidP="00C34B38">
            <w:pPr>
              <w:pStyle w:val="Tableheader"/>
              <w:rPr>
                <w:sz w:val="18"/>
                <w:szCs w:val="18"/>
              </w:rPr>
            </w:pPr>
            <w:r w:rsidRPr="00DF5908">
              <w:rPr>
                <w:sz w:val="18"/>
                <w:szCs w:val="18"/>
              </w:rPr>
              <w:t>Summary of changes applied to the relevant sections in the Introduction</w:t>
            </w:r>
          </w:p>
        </w:tc>
        <w:tc>
          <w:tcPr>
            <w:cnfStyle w:val="000100001000" w:firstRow="0" w:lastRow="0" w:firstColumn="0" w:lastColumn="1" w:oddVBand="0" w:evenVBand="0" w:oddHBand="0" w:evenHBand="0" w:firstRowFirstColumn="0" w:firstRowLastColumn="1" w:lastRowFirstColumn="0" w:lastRowLastColumn="0"/>
            <w:tcW w:w="634" w:type="pct"/>
            <w:gridSpan w:val="2"/>
            <w:shd w:val="clear" w:color="auto" w:fill="749CC9" w:themeFill="accent3"/>
          </w:tcPr>
          <w:p w14:paraId="7D77920E" w14:textId="77777777" w:rsidR="000E4264" w:rsidRPr="00DF5908" w:rsidRDefault="000E4264" w:rsidP="00C34B38">
            <w:pPr>
              <w:pStyle w:val="Tableheader"/>
              <w:jc w:val="center"/>
              <w:rPr>
                <w:sz w:val="18"/>
                <w:szCs w:val="18"/>
              </w:rPr>
            </w:pPr>
            <w:r w:rsidRPr="00DF5908">
              <w:rPr>
                <w:sz w:val="18"/>
                <w:szCs w:val="18"/>
              </w:rPr>
              <w:t>Page reference</w:t>
            </w:r>
          </w:p>
        </w:tc>
      </w:tr>
      <w:tr w:rsidR="00E32FB8" w:rsidRPr="00AC76C3" w14:paraId="35364B4E" w14:textId="77777777" w:rsidTr="00E32FB8">
        <w:trPr>
          <w:gridAfter w:val="1"/>
          <w:wAfter w:w="31" w:type="pct"/>
        </w:trPr>
        <w:tc>
          <w:tcPr>
            <w:cnfStyle w:val="001000000000" w:firstRow="0" w:lastRow="0" w:firstColumn="1" w:lastColumn="0" w:oddVBand="0" w:evenVBand="0" w:oddHBand="0" w:evenHBand="0" w:firstRowFirstColumn="0" w:firstRowLastColumn="0" w:lastRowFirstColumn="0" w:lastRowLastColumn="0"/>
            <w:tcW w:w="887" w:type="pct"/>
            <w:gridSpan w:val="2"/>
          </w:tcPr>
          <w:p w14:paraId="1054BA39" w14:textId="77777777" w:rsidR="00E32FB8" w:rsidRPr="00F37760" w:rsidRDefault="00E32FB8" w:rsidP="00E32FB8">
            <w:pPr>
              <w:pStyle w:val="Tabletext"/>
              <w:rPr>
                <w:rFonts w:ascii="Arial" w:hAnsi="Arial" w:cs="Arial"/>
                <w:color w:val="FF0000"/>
                <w:sz w:val="18"/>
              </w:rPr>
            </w:pPr>
            <w:r w:rsidRPr="00F37760">
              <w:rPr>
                <w:rFonts w:ascii="Arial" w:hAnsi="Arial" w:cs="Arial"/>
                <w:color w:val="FF0000"/>
                <w:sz w:val="18"/>
              </w:rPr>
              <w:t>[Revised]</w:t>
            </w:r>
          </w:p>
          <w:p w14:paraId="5E14AA53" w14:textId="1D78E265" w:rsidR="00E32FB8" w:rsidRPr="00F37760" w:rsidRDefault="00E32FB8" w:rsidP="00E32FB8">
            <w:pPr>
              <w:pStyle w:val="Reference"/>
              <w:spacing w:line="276" w:lineRule="auto"/>
              <w:rPr>
                <w:rFonts w:ascii="Arial" w:hAnsi="Arial"/>
                <w:color w:val="FF0000"/>
                <w:sz w:val="18"/>
                <w:szCs w:val="17"/>
              </w:rPr>
            </w:pPr>
            <w:r w:rsidRPr="00F37760">
              <w:rPr>
                <w:rFonts w:ascii="Arial" w:hAnsi="Arial"/>
                <w:color w:val="auto"/>
                <w:sz w:val="18"/>
                <w:szCs w:val="17"/>
              </w:rPr>
              <w:t>Disclosure Index</w:t>
            </w:r>
          </w:p>
        </w:tc>
        <w:tc>
          <w:tcPr>
            <w:cnfStyle w:val="000010000000" w:firstRow="0" w:lastRow="0" w:firstColumn="0" w:lastColumn="0" w:oddVBand="1" w:evenVBand="0" w:oddHBand="0" w:evenHBand="0" w:firstRowFirstColumn="0" w:firstRowLastColumn="0" w:lastRowFirstColumn="0" w:lastRowLastColumn="0"/>
            <w:tcW w:w="852" w:type="pct"/>
          </w:tcPr>
          <w:p w14:paraId="59D72AEF" w14:textId="4191ED52" w:rsidR="00E32FB8" w:rsidRPr="00F37760" w:rsidRDefault="00E32FB8" w:rsidP="00E32FB8">
            <w:pPr>
              <w:pStyle w:val="Reference"/>
              <w:spacing w:line="276" w:lineRule="auto"/>
              <w:rPr>
                <w:rFonts w:ascii="Arial" w:hAnsi="Arial"/>
                <w:color w:val="auto"/>
                <w:sz w:val="18"/>
                <w:szCs w:val="17"/>
              </w:rPr>
            </w:pPr>
            <w:r w:rsidRPr="00F37760">
              <w:rPr>
                <w:rFonts w:eastAsiaTheme="minorEastAsia"/>
                <w:color w:val="auto"/>
                <w:sz w:val="18"/>
                <w:szCs w:val="20"/>
                <w:lang w:eastAsia="en-AU"/>
              </w:rPr>
              <w:t>Annual update</w:t>
            </w:r>
          </w:p>
        </w:tc>
        <w:tc>
          <w:tcPr>
            <w:cnfStyle w:val="000001000000" w:firstRow="0" w:lastRow="0" w:firstColumn="0" w:lastColumn="0" w:oddVBand="0" w:evenVBand="1" w:oddHBand="0" w:evenHBand="0" w:firstRowFirstColumn="0" w:firstRowLastColumn="0" w:lastRowFirstColumn="0" w:lastRowLastColumn="0"/>
            <w:tcW w:w="2560" w:type="pct"/>
            <w:gridSpan w:val="2"/>
          </w:tcPr>
          <w:p w14:paraId="2E970B89" w14:textId="164A3836" w:rsidR="00E32FB8" w:rsidRPr="00F37760" w:rsidRDefault="00E32FB8" w:rsidP="00E32FB8">
            <w:pPr>
              <w:pStyle w:val="Tabletext"/>
              <w:spacing w:line="276" w:lineRule="auto"/>
              <w:rPr>
                <w:rFonts w:ascii="Arial" w:hAnsi="Arial" w:cs="Arial"/>
                <w:sz w:val="18"/>
              </w:rPr>
            </w:pPr>
            <w:r w:rsidRPr="00F37760">
              <w:rPr>
                <w:rFonts w:eastAsiaTheme="minorEastAsia"/>
                <w:sz w:val="18"/>
                <w:szCs w:val="20"/>
                <w:lang w:eastAsia="en-AU"/>
              </w:rPr>
              <w:t>All relevant sections and page numbers have been updated as part of the roll-over process from the previous Model Report.</w:t>
            </w:r>
          </w:p>
        </w:tc>
        <w:tc>
          <w:tcPr>
            <w:cnfStyle w:val="000100000000" w:firstRow="0" w:lastRow="0" w:firstColumn="0" w:lastColumn="1" w:oddVBand="0" w:evenVBand="0" w:oddHBand="0" w:evenHBand="0" w:firstRowFirstColumn="0" w:firstRowLastColumn="0" w:lastRowFirstColumn="0" w:lastRowLastColumn="0"/>
            <w:tcW w:w="670" w:type="pct"/>
            <w:gridSpan w:val="2"/>
          </w:tcPr>
          <w:p w14:paraId="73A25225" w14:textId="14B63D2F" w:rsidR="00E32FB8" w:rsidRPr="00F37760" w:rsidRDefault="00E32FB8" w:rsidP="00E32FB8">
            <w:pPr>
              <w:pStyle w:val="Tabletextcentred"/>
              <w:spacing w:line="276" w:lineRule="auto"/>
              <w:rPr>
                <w:rFonts w:ascii="Arial" w:hAnsi="Arial" w:cs="Arial"/>
                <w:sz w:val="18"/>
                <w:szCs w:val="17"/>
              </w:rPr>
            </w:pPr>
            <w:r w:rsidRPr="00F37760">
              <w:rPr>
                <w:rFonts w:eastAsiaTheme="minorEastAsia"/>
                <w:sz w:val="18"/>
                <w:szCs w:val="20"/>
                <w:lang w:eastAsia="en-AU"/>
              </w:rPr>
              <w:t>71-7</w:t>
            </w:r>
            <w:r w:rsidR="000B64D6">
              <w:rPr>
                <w:rFonts w:eastAsiaTheme="minorEastAsia"/>
                <w:sz w:val="18"/>
                <w:szCs w:val="20"/>
                <w:lang w:eastAsia="en-AU"/>
              </w:rPr>
              <w:t>2</w:t>
            </w:r>
          </w:p>
        </w:tc>
      </w:tr>
      <w:bookmarkEnd w:id="1"/>
    </w:tbl>
    <w:p w14:paraId="54D87338" w14:textId="62D19467" w:rsidR="00B42197" w:rsidRDefault="00B42197" w:rsidP="005E6AE4">
      <w:pPr>
        <w:pStyle w:val="Tabletext"/>
      </w:pPr>
      <w:r>
        <w:br w:type="page"/>
      </w:r>
    </w:p>
    <w:tbl>
      <w:tblPr>
        <w:tblStyle w:val="DTFtexttable"/>
        <w:tblW w:w="5000" w:type="pct"/>
        <w:tblLayout w:type="fixed"/>
        <w:tblLook w:val="01A0" w:firstRow="1" w:lastRow="0" w:firstColumn="1" w:lastColumn="1" w:noHBand="0" w:noVBand="0"/>
      </w:tblPr>
      <w:tblGrid>
        <w:gridCol w:w="1618"/>
        <w:gridCol w:w="1983"/>
        <w:gridCol w:w="4376"/>
        <w:gridCol w:w="1163"/>
      </w:tblGrid>
      <w:tr w:rsidR="00DE2904" w:rsidRPr="005778D7" w14:paraId="4B4048C2" w14:textId="77777777" w:rsidTr="00C34B3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gridSpan w:val="4"/>
          </w:tcPr>
          <w:p w14:paraId="3C4C03F3" w14:textId="4FB16215" w:rsidR="00DE2904" w:rsidRPr="005778D7" w:rsidRDefault="00DE2904" w:rsidP="00C34B38">
            <w:pPr>
              <w:pStyle w:val="Tableheader"/>
              <w:spacing w:line="276" w:lineRule="auto"/>
              <w:rPr>
                <w:rFonts w:eastAsiaTheme="minorEastAsia"/>
                <w:b w:val="0"/>
                <w:color w:val="auto"/>
                <w:sz w:val="17"/>
                <w:szCs w:val="20"/>
                <w:lang w:eastAsia="en-AU"/>
              </w:rPr>
            </w:pPr>
            <w:r w:rsidRPr="005778D7">
              <w:lastRenderedPageBreak/>
              <w:t>Summary of changes –</w:t>
            </w:r>
            <w:r>
              <w:t xml:space="preserve"> Model Financial Statements</w:t>
            </w:r>
          </w:p>
        </w:tc>
      </w:tr>
      <w:tr w:rsidR="00DE2904" w:rsidRPr="005778D7" w14:paraId="0D632FA6" w14:textId="77777777" w:rsidTr="00F377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85" w:type="pct"/>
            <w:shd w:val="clear" w:color="auto" w:fill="749CC9" w:themeFill="accent3"/>
          </w:tcPr>
          <w:p w14:paraId="7C341F40" w14:textId="77777777" w:rsidR="00DE2904" w:rsidRPr="005778D7" w:rsidRDefault="00DE2904" w:rsidP="00C34B38">
            <w:pPr>
              <w:pStyle w:val="Tableheader"/>
              <w:rPr>
                <w:sz w:val="18"/>
                <w:szCs w:val="18"/>
              </w:rPr>
            </w:pPr>
            <w:r w:rsidRPr="005778D7">
              <w:rPr>
                <w:sz w:val="18"/>
                <w:szCs w:val="18"/>
              </w:rPr>
              <w:t xml:space="preserve">Subject matter </w:t>
            </w:r>
          </w:p>
        </w:tc>
        <w:tc>
          <w:tcPr>
            <w:cnfStyle w:val="000010000000" w:firstRow="0" w:lastRow="0" w:firstColumn="0" w:lastColumn="0" w:oddVBand="1" w:evenVBand="0" w:oddHBand="0" w:evenHBand="0" w:firstRowFirstColumn="0" w:firstRowLastColumn="0" w:lastRowFirstColumn="0" w:lastRowLastColumn="0"/>
            <w:tcW w:w="1085" w:type="pct"/>
            <w:shd w:val="clear" w:color="auto" w:fill="749CC9" w:themeFill="accent3"/>
          </w:tcPr>
          <w:p w14:paraId="769FE637" w14:textId="77777777" w:rsidR="00DE2904" w:rsidRPr="005778D7" w:rsidRDefault="00DE2904" w:rsidP="00C34B38">
            <w:pPr>
              <w:pStyle w:val="Tableheader"/>
              <w:rPr>
                <w:sz w:val="18"/>
                <w:szCs w:val="18"/>
              </w:rPr>
            </w:pPr>
            <w:r w:rsidRPr="005778D7">
              <w:rPr>
                <w:sz w:val="18"/>
                <w:szCs w:val="18"/>
              </w:rPr>
              <w:t>Source of change</w:t>
            </w:r>
          </w:p>
        </w:tc>
        <w:tc>
          <w:tcPr>
            <w:cnfStyle w:val="000001000000" w:firstRow="0" w:lastRow="0" w:firstColumn="0" w:lastColumn="0" w:oddVBand="0" w:evenVBand="1" w:oddHBand="0" w:evenHBand="0" w:firstRowFirstColumn="0" w:firstRowLastColumn="0" w:lastRowFirstColumn="0" w:lastRowLastColumn="0"/>
            <w:tcW w:w="2394" w:type="pct"/>
            <w:shd w:val="clear" w:color="auto" w:fill="749CC9" w:themeFill="accent3"/>
          </w:tcPr>
          <w:p w14:paraId="6F4FB181" w14:textId="77777777" w:rsidR="00DE2904" w:rsidRPr="005778D7" w:rsidRDefault="00DE2904" w:rsidP="00C34B38">
            <w:pPr>
              <w:pStyle w:val="Tableheader"/>
              <w:rPr>
                <w:sz w:val="18"/>
                <w:szCs w:val="18"/>
              </w:rPr>
            </w:pPr>
            <w:r w:rsidRPr="005778D7">
              <w:rPr>
                <w:sz w:val="18"/>
                <w:szCs w:val="18"/>
              </w:rPr>
              <w:t>Summary of changes applied to the relevant sections in the Introduction</w:t>
            </w:r>
          </w:p>
        </w:tc>
        <w:tc>
          <w:tcPr>
            <w:cnfStyle w:val="000100001000" w:firstRow="0" w:lastRow="0" w:firstColumn="0" w:lastColumn="1" w:oddVBand="0" w:evenVBand="0" w:oddHBand="0" w:evenHBand="0" w:firstRowFirstColumn="0" w:firstRowLastColumn="1" w:lastRowFirstColumn="0" w:lastRowLastColumn="0"/>
            <w:tcW w:w="636" w:type="pct"/>
            <w:shd w:val="clear" w:color="auto" w:fill="749CC9" w:themeFill="accent3"/>
          </w:tcPr>
          <w:p w14:paraId="5F59A6DC" w14:textId="77777777" w:rsidR="00DE2904" w:rsidRPr="005778D7" w:rsidRDefault="00DE2904" w:rsidP="00C34B38">
            <w:pPr>
              <w:pStyle w:val="Tableheader"/>
              <w:rPr>
                <w:sz w:val="18"/>
                <w:szCs w:val="18"/>
              </w:rPr>
            </w:pPr>
            <w:r w:rsidRPr="005778D7">
              <w:rPr>
                <w:sz w:val="18"/>
                <w:szCs w:val="18"/>
              </w:rPr>
              <w:t>Page reference</w:t>
            </w:r>
          </w:p>
        </w:tc>
      </w:tr>
      <w:tr w:rsidR="00DE2904" w:rsidRPr="00F37760" w14:paraId="55CDB308" w14:textId="77777777" w:rsidTr="00F37760">
        <w:tc>
          <w:tcPr>
            <w:cnfStyle w:val="001000000000" w:firstRow="0" w:lastRow="0" w:firstColumn="1" w:lastColumn="0" w:oddVBand="0" w:evenVBand="0" w:oddHBand="0" w:evenHBand="0" w:firstRowFirstColumn="0" w:firstRowLastColumn="0" w:lastRowFirstColumn="0" w:lastRowLastColumn="0"/>
            <w:tcW w:w="885" w:type="pct"/>
          </w:tcPr>
          <w:p w14:paraId="26F00859" w14:textId="77777777" w:rsidR="00DE2904" w:rsidRPr="00F37760" w:rsidRDefault="00DE2904" w:rsidP="00DE2904">
            <w:pPr>
              <w:pStyle w:val="Tabletext"/>
              <w:rPr>
                <w:rFonts w:ascii="Arial" w:hAnsi="Arial" w:cs="Arial"/>
                <w:color w:val="FF0000"/>
                <w:sz w:val="18"/>
                <w:szCs w:val="18"/>
              </w:rPr>
            </w:pPr>
            <w:r w:rsidRPr="00F37760">
              <w:rPr>
                <w:rFonts w:ascii="Arial" w:hAnsi="Arial" w:cs="Arial"/>
                <w:color w:val="FF0000"/>
                <w:sz w:val="18"/>
                <w:szCs w:val="18"/>
              </w:rPr>
              <w:t>[Revised]</w:t>
            </w:r>
          </w:p>
          <w:p w14:paraId="5AE824CC" w14:textId="617D0F07" w:rsidR="00DE2904" w:rsidRPr="00F37760" w:rsidRDefault="00DE2904" w:rsidP="00DE2904">
            <w:pPr>
              <w:pStyle w:val="Tabletext"/>
              <w:rPr>
                <w:rFonts w:eastAsiaTheme="minorEastAsia"/>
                <w:sz w:val="18"/>
                <w:szCs w:val="18"/>
                <w:lang w:eastAsia="en-AU"/>
              </w:rPr>
            </w:pPr>
            <w:r w:rsidRPr="00F37760">
              <w:rPr>
                <w:rFonts w:ascii="Arial" w:hAnsi="Arial" w:cs="Arial"/>
                <w:sz w:val="18"/>
                <w:szCs w:val="18"/>
              </w:rPr>
              <w:t>Independent Auditor’s Report</w:t>
            </w:r>
          </w:p>
        </w:tc>
        <w:tc>
          <w:tcPr>
            <w:cnfStyle w:val="000010000000" w:firstRow="0" w:lastRow="0" w:firstColumn="0" w:lastColumn="0" w:oddVBand="1" w:evenVBand="0" w:oddHBand="0" w:evenHBand="0" w:firstRowFirstColumn="0" w:firstRowLastColumn="0" w:lastRowFirstColumn="0" w:lastRowLastColumn="0"/>
            <w:tcW w:w="1085" w:type="pct"/>
          </w:tcPr>
          <w:p w14:paraId="16D89D66" w14:textId="15B67170" w:rsidR="00DE2904" w:rsidRPr="00F37760" w:rsidRDefault="00DE2904" w:rsidP="00DE2904">
            <w:pPr>
              <w:spacing w:before="0" w:after="200" w:line="276" w:lineRule="auto"/>
              <w:rPr>
                <w:rFonts w:eastAsiaTheme="minorEastAsia"/>
                <w:sz w:val="18"/>
                <w:szCs w:val="18"/>
                <w:lang w:eastAsia="en-AU"/>
              </w:rPr>
            </w:pPr>
            <w:r w:rsidRPr="00F37760">
              <w:rPr>
                <w:rFonts w:ascii="Arial" w:hAnsi="Arial" w:cs="Arial"/>
                <w:sz w:val="18"/>
                <w:szCs w:val="18"/>
              </w:rPr>
              <w:t xml:space="preserve">ASA 700 </w:t>
            </w:r>
            <w:r w:rsidRPr="00F37760">
              <w:rPr>
                <w:rFonts w:ascii="Arial" w:hAnsi="Arial" w:cs="Arial"/>
                <w:i/>
                <w:sz w:val="18"/>
                <w:szCs w:val="18"/>
              </w:rPr>
              <w:t>Forming an Opinion and Reporting on a Financial Report</w:t>
            </w:r>
          </w:p>
        </w:tc>
        <w:tc>
          <w:tcPr>
            <w:cnfStyle w:val="000001000000" w:firstRow="0" w:lastRow="0" w:firstColumn="0" w:lastColumn="0" w:oddVBand="0" w:evenVBand="1" w:oddHBand="0" w:evenHBand="0" w:firstRowFirstColumn="0" w:firstRowLastColumn="0" w:lastRowFirstColumn="0" w:lastRowLastColumn="0"/>
            <w:tcW w:w="2394" w:type="pct"/>
          </w:tcPr>
          <w:p w14:paraId="0F1B0C21" w14:textId="132A8CC3" w:rsidR="00DE2904" w:rsidRPr="00F37760" w:rsidRDefault="00DE2904" w:rsidP="00DE2904">
            <w:pPr>
              <w:spacing w:before="0" w:after="200" w:line="276" w:lineRule="auto"/>
              <w:rPr>
                <w:rFonts w:eastAsiaTheme="minorEastAsia"/>
                <w:sz w:val="18"/>
                <w:szCs w:val="18"/>
                <w:lang w:eastAsia="en-AU"/>
              </w:rPr>
            </w:pPr>
            <w:r w:rsidRPr="00F37760">
              <w:rPr>
                <w:rFonts w:ascii="Arial" w:hAnsi="Arial" w:cs="Arial"/>
                <w:sz w:val="18"/>
                <w:szCs w:val="18"/>
              </w:rPr>
              <w:t>The auditor’s report has been amended to reflect the Key Audit Matters for the current reporting period.</w:t>
            </w:r>
          </w:p>
        </w:tc>
        <w:tc>
          <w:tcPr>
            <w:cnfStyle w:val="000100000000" w:firstRow="0" w:lastRow="0" w:firstColumn="0" w:lastColumn="1" w:oddVBand="0" w:evenVBand="0" w:oddHBand="0" w:evenHBand="0" w:firstRowFirstColumn="0" w:firstRowLastColumn="0" w:lastRowFirstColumn="0" w:lastRowLastColumn="0"/>
            <w:tcW w:w="636" w:type="pct"/>
          </w:tcPr>
          <w:p w14:paraId="1BACF8B3" w14:textId="07C9E5F9" w:rsidR="00DE2904" w:rsidRPr="00F37760" w:rsidRDefault="00DE2904" w:rsidP="00DE2904">
            <w:pPr>
              <w:spacing w:before="0" w:after="200" w:line="276" w:lineRule="auto"/>
              <w:jc w:val="center"/>
              <w:rPr>
                <w:rFonts w:eastAsiaTheme="minorEastAsia"/>
                <w:sz w:val="18"/>
                <w:szCs w:val="18"/>
                <w:lang w:eastAsia="en-AU"/>
              </w:rPr>
            </w:pPr>
            <w:r w:rsidRPr="00F37760">
              <w:rPr>
                <w:rFonts w:ascii="Arial" w:hAnsi="Arial" w:cs="Arial"/>
                <w:sz w:val="18"/>
                <w:szCs w:val="18"/>
              </w:rPr>
              <w:t>78</w:t>
            </w:r>
            <w:r w:rsidR="00F44EA0">
              <w:rPr>
                <w:rFonts w:ascii="Arial" w:hAnsi="Arial" w:cs="Arial"/>
                <w:sz w:val="18"/>
                <w:szCs w:val="18"/>
              </w:rPr>
              <w:t>-81</w:t>
            </w:r>
          </w:p>
        </w:tc>
      </w:tr>
      <w:tr w:rsidR="00DE2904" w:rsidRPr="00F37760" w14:paraId="69DBFB3A" w14:textId="77777777" w:rsidTr="00F377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pct"/>
          </w:tcPr>
          <w:p w14:paraId="3741CD8B" w14:textId="77777777" w:rsidR="00DE2904" w:rsidRPr="00F37760" w:rsidRDefault="00DE2904" w:rsidP="00DE2904">
            <w:pPr>
              <w:pStyle w:val="Tabletext"/>
              <w:rPr>
                <w:rFonts w:ascii="Arial" w:hAnsi="Arial" w:cs="Arial"/>
                <w:color w:val="FF0000"/>
                <w:sz w:val="18"/>
                <w:szCs w:val="18"/>
              </w:rPr>
            </w:pPr>
            <w:r w:rsidRPr="00F37760">
              <w:rPr>
                <w:rFonts w:ascii="Arial" w:hAnsi="Arial" w:cs="Arial"/>
                <w:color w:val="FF0000"/>
                <w:sz w:val="18"/>
                <w:szCs w:val="18"/>
              </w:rPr>
              <w:t>[Revised]</w:t>
            </w:r>
          </w:p>
          <w:p w14:paraId="72770F6E" w14:textId="41FB9D07" w:rsidR="00DE2904" w:rsidRPr="00F37760" w:rsidRDefault="00DE2904" w:rsidP="00DE2904">
            <w:pPr>
              <w:pStyle w:val="Tabletext"/>
              <w:rPr>
                <w:rFonts w:ascii="Arial" w:hAnsi="Arial" w:cs="Arial"/>
                <w:sz w:val="18"/>
                <w:szCs w:val="18"/>
              </w:rPr>
            </w:pPr>
            <w:r w:rsidRPr="00F37760">
              <w:rPr>
                <w:rFonts w:ascii="Arial" w:hAnsi="Arial" w:cs="Arial"/>
                <w:sz w:val="18"/>
                <w:szCs w:val="18"/>
              </w:rPr>
              <w:t xml:space="preserve">Comprehensive </w:t>
            </w:r>
            <w:r w:rsidR="003314E7">
              <w:rPr>
                <w:rFonts w:ascii="Arial" w:hAnsi="Arial" w:cs="Arial"/>
                <w:sz w:val="18"/>
                <w:szCs w:val="18"/>
              </w:rPr>
              <w:t>O</w:t>
            </w:r>
            <w:r w:rsidR="001B1306">
              <w:rPr>
                <w:rFonts w:ascii="Arial" w:hAnsi="Arial" w:cs="Arial"/>
                <w:sz w:val="18"/>
                <w:szCs w:val="18"/>
              </w:rPr>
              <w:t xml:space="preserve">perating </w:t>
            </w:r>
            <w:r w:rsidR="003314E7">
              <w:rPr>
                <w:rFonts w:ascii="Arial" w:hAnsi="Arial" w:cs="Arial"/>
                <w:sz w:val="18"/>
                <w:szCs w:val="18"/>
              </w:rPr>
              <w:t>S</w:t>
            </w:r>
            <w:r w:rsidR="001B1306">
              <w:rPr>
                <w:rFonts w:ascii="Arial" w:hAnsi="Arial" w:cs="Arial"/>
                <w:sz w:val="18"/>
                <w:szCs w:val="18"/>
              </w:rPr>
              <w:t>tatement</w:t>
            </w:r>
          </w:p>
          <w:p w14:paraId="5C97E92B" w14:textId="77777777" w:rsidR="00DE2904" w:rsidRPr="00F37760" w:rsidRDefault="00DE2904" w:rsidP="00DE2904">
            <w:pPr>
              <w:pStyle w:val="Tabletext"/>
              <w:rPr>
                <w:rFonts w:ascii="Arial" w:hAnsi="Arial" w:cs="Arial"/>
                <w:sz w:val="18"/>
                <w:szCs w:val="18"/>
              </w:rPr>
            </w:pPr>
            <w:r w:rsidRPr="00F37760">
              <w:rPr>
                <w:rFonts w:ascii="Arial" w:hAnsi="Arial" w:cs="Arial"/>
                <w:sz w:val="18"/>
                <w:szCs w:val="18"/>
              </w:rPr>
              <w:t>Balance Sheet</w:t>
            </w:r>
          </w:p>
          <w:p w14:paraId="4AD8FA5A" w14:textId="77777777" w:rsidR="00DE2904" w:rsidRPr="00F37760" w:rsidRDefault="00DE2904" w:rsidP="00DE2904">
            <w:pPr>
              <w:pStyle w:val="Tabletext"/>
              <w:rPr>
                <w:rFonts w:ascii="Arial" w:hAnsi="Arial" w:cs="Arial"/>
                <w:sz w:val="18"/>
                <w:szCs w:val="18"/>
              </w:rPr>
            </w:pPr>
            <w:r w:rsidRPr="00F37760">
              <w:rPr>
                <w:rFonts w:ascii="Arial" w:hAnsi="Arial" w:cs="Arial"/>
                <w:sz w:val="18"/>
                <w:szCs w:val="18"/>
              </w:rPr>
              <w:t>Statement of Changes in Equity</w:t>
            </w:r>
          </w:p>
          <w:p w14:paraId="01091F79" w14:textId="77777777" w:rsidR="00DE2904" w:rsidRPr="00F37760" w:rsidRDefault="00DE2904" w:rsidP="00DE2904">
            <w:pPr>
              <w:pStyle w:val="Tabletext"/>
              <w:rPr>
                <w:rFonts w:ascii="Arial" w:hAnsi="Arial" w:cs="Arial"/>
                <w:sz w:val="18"/>
                <w:szCs w:val="18"/>
              </w:rPr>
            </w:pPr>
            <w:r w:rsidRPr="00F37760">
              <w:rPr>
                <w:rFonts w:ascii="Arial" w:hAnsi="Arial" w:cs="Arial"/>
                <w:sz w:val="18"/>
                <w:szCs w:val="18"/>
              </w:rPr>
              <w:t>Note 4.1 Departmental outputs – controlled income and expense</w:t>
            </w:r>
          </w:p>
          <w:p w14:paraId="56091117" w14:textId="77777777" w:rsidR="00DE2904" w:rsidRPr="00F37760" w:rsidRDefault="00DE2904" w:rsidP="00DE2904">
            <w:pPr>
              <w:pStyle w:val="Tabletext"/>
              <w:rPr>
                <w:rFonts w:ascii="Arial" w:hAnsi="Arial" w:cs="Arial"/>
                <w:sz w:val="18"/>
                <w:szCs w:val="18"/>
              </w:rPr>
            </w:pPr>
            <w:r w:rsidRPr="00F37760">
              <w:rPr>
                <w:rFonts w:ascii="Arial" w:hAnsi="Arial" w:cs="Arial"/>
                <w:sz w:val="18"/>
                <w:szCs w:val="18"/>
              </w:rPr>
              <w:t>Note 5.6 Investments and other financial assets</w:t>
            </w:r>
          </w:p>
          <w:p w14:paraId="62999C3F" w14:textId="77777777" w:rsidR="00B42197" w:rsidRDefault="003F24B1" w:rsidP="00DE2904">
            <w:pPr>
              <w:pStyle w:val="Tabletext"/>
              <w:rPr>
                <w:rFonts w:ascii="Arial" w:hAnsi="Arial" w:cs="Arial"/>
                <w:sz w:val="18"/>
                <w:szCs w:val="18"/>
              </w:rPr>
            </w:pPr>
            <w:r>
              <w:rPr>
                <w:rFonts w:ascii="Arial" w:hAnsi="Arial" w:cs="Arial"/>
                <w:sz w:val="18"/>
                <w:szCs w:val="18"/>
              </w:rPr>
              <w:t xml:space="preserve">Note 6.1 Receivables </w:t>
            </w:r>
          </w:p>
          <w:p w14:paraId="692294C2" w14:textId="541C0B1A" w:rsidR="00B42197" w:rsidRPr="00B42197" w:rsidRDefault="00B42197" w:rsidP="00DE2904">
            <w:pPr>
              <w:pStyle w:val="Tabletext"/>
              <w:rPr>
                <w:rFonts w:ascii="Arial" w:hAnsi="Arial" w:cs="Arial"/>
                <w:sz w:val="18"/>
                <w:szCs w:val="18"/>
              </w:rPr>
            </w:pPr>
            <w:r>
              <w:rPr>
                <w:rFonts w:ascii="Arial" w:hAnsi="Arial" w:cs="Arial"/>
                <w:sz w:val="18"/>
                <w:szCs w:val="18"/>
              </w:rPr>
              <w:t>Note 8.1.3 Financial instruments: credit risk</w:t>
            </w:r>
          </w:p>
        </w:tc>
        <w:tc>
          <w:tcPr>
            <w:cnfStyle w:val="000010000000" w:firstRow="0" w:lastRow="0" w:firstColumn="0" w:lastColumn="0" w:oddVBand="1" w:evenVBand="0" w:oddHBand="0" w:evenHBand="0" w:firstRowFirstColumn="0" w:firstRowLastColumn="0" w:lastRowFirstColumn="0" w:lastRowLastColumn="0"/>
            <w:tcW w:w="1085" w:type="pct"/>
          </w:tcPr>
          <w:p w14:paraId="6EB1D028" w14:textId="48DF3134" w:rsidR="00DE2904" w:rsidRPr="00F37760" w:rsidRDefault="00DE2904" w:rsidP="00DE2904">
            <w:pPr>
              <w:spacing w:before="0" w:after="200"/>
              <w:rPr>
                <w:rFonts w:ascii="Arial" w:hAnsi="Arial" w:cs="Arial"/>
                <w:sz w:val="18"/>
                <w:szCs w:val="18"/>
              </w:rPr>
            </w:pPr>
            <w:r w:rsidRPr="00F37760">
              <w:rPr>
                <w:rFonts w:ascii="Arial" w:hAnsi="Arial" w:cs="Arial"/>
                <w:sz w:val="18"/>
                <w:szCs w:val="18"/>
              </w:rPr>
              <w:t xml:space="preserve">AASB 9 </w:t>
            </w:r>
            <w:r w:rsidRPr="00F37760">
              <w:rPr>
                <w:rFonts w:ascii="Arial" w:hAnsi="Arial" w:cs="Arial"/>
                <w:i/>
                <w:sz w:val="18"/>
                <w:szCs w:val="18"/>
              </w:rPr>
              <w:t>Financial Instruments</w:t>
            </w:r>
          </w:p>
        </w:tc>
        <w:tc>
          <w:tcPr>
            <w:cnfStyle w:val="000001000000" w:firstRow="0" w:lastRow="0" w:firstColumn="0" w:lastColumn="0" w:oddVBand="0" w:evenVBand="1" w:oddHBand="0" w:evenHBand="0" w:firstRowFirstColumn="0" w:firstRowLastColumn="0" w:lastRowFirstColumn="0" w:lastRowLastColumn="0"/>
            <w:tcW w:w="2394" w:type="pct"/>
          </w:tcPr>
          <w:p w14:paraId="356F861C" w14:textId="38F8261C" w:rsidR="00DE2904" w:rsidRPr="00F37760" w:rsidRDefault="00DE2904" w:rsidP="00DE2904">
            <w:pPr>
              <w:pStyle w:val="Tabletext"/>
              <w:rPr>
                <w:rFonts w:ascii="Arial" w:hAnsi="Arial" w:cs="Arial"/>
                <w:sz w:val="18"/>
                <w:szCs w:val="18"/>
              </w:rPr>
            </w:pPr>
            <w:r w:rsidRPr="00F37760">
              <w:rPr>
                <w:rFonts w:ascii="Arial" w:hAnsi="Arial" w:cs="Arial"/>
                <w:sz w:val="18"/>
                <w:szCs w:val="18"/>
              </w:rPr>
              <w:t>Revisions have been made to the financial statements</w:t>
            </w:r>
            <w:r w:rsidR="003F24B1">
              <w:rPr>
                <w:rFonts w:ascii="Arial" w:hAnsi="Arial" w:cs="Arial"/>
                <w:sz w:val="18"/>
                <w:szCs w:val="18"/>
              </w:rPr>
              <w:t xml:space="preserve"> and </w:t>
            </w:r>
            <w:r w:rsidRPr="00F37760">
              <w:rPr>
                <w:rFonts w:ascii="Arial" w:hAnsi="Arial" w:cs="Arial"/>
                <w:sz w:val="18"/>
                <w:szCs w:val="18"/>
              </w:rPr>
              <w:t>accompanying notes</w:t>
            </w:r>
            <w:r w:rsidR="00AD6EC7">
              <w:rPr>
                <w:rFonts w:ascii="Arial" w:hAnsi="Arial" w:cs="Arial"/>
                <w:sz w:val="18"/>
                <w:szCs w:val="18"/>
              </w:rPr>
              <w:t xml:space="preserve"> </w:t>
            </w:r>
            <w:proofErr w:type="gramStart"/>
            <w:r w:rsidRPr="00F37760">
              <w:rPr>
                <w:rFonts w:ascii="Arial" w:hAnsi="Arial" w:cs="Arial"/>
                <w:sz w:val="18"/>
                <w:szCs w:val="18"/>
              </w:rPr>
              <w:t>as a result of</w:t>
            </w:r>
            <w:proofErr w:type="gramEnd"/>
            <w:r w:rsidRPr="00F37760">
              <w:rPr>
                <w:rFonts w:ascii="Arial" w:hAnsi="Arial" w:cs="Arial"/>
                <w:sz w:val="18"/>
                <w:szCs w:val="18"/>
              </w:rPr>
              <w:t xml:space="preserve"> the following changes under AASB 9 </w:t>
            </w:r>
            <w:r w:rsidRPr="00F37760">
              <w:rPr>
                <w:rFonts w:ascii="Arial" w:hAnsi="Arial" w:cs="Arial"/>
                <w:i/>
                <w:sz w:val="18"/>
                <w:szCs w:val="18"/>
              </w:rPr>
              <w:t>Financial Instruments</w:t>
            </w:r>
            <w:r w:rsidRPr="00F37760">
              <w:rPr>
                <w:rFonts w:ascii="Arial" w:hAnsi="Arial" w:cs="Arial"/>
                <w:sz w:val="18"/>
                <w:szCs w:val="18"/>
              </w:rPr>
              <w:t>:</w:t>
            </w:r>
          </w:p>
          <w:p w14:paraId="1278C16F" w14:textId="77777777" w:rsidR="00DE2904" w:rsidRPr="00F37760" w:rsidRDefault="00DE2904" w:rsidP="00DE2904">
            <w:pPr>
              <w:pStyle w:val="Tabletext"/>
              <w:numPr>
                <w:ilvl w:val="0"/>
                <w:numId w:val="31"/>
              </w:numPr>
              <w:rPr>
                <w:rFonts w:ascii="Arial" w:hAnsi="Arial" w:cs="Arial"/>
                <w:sz w:val="18"/>
                <w:szCs w:val="18"/>
              </w:rPr>
            </w:pPr>
            <w:r w:rsidRPr="00F37760">
              <w:rPr>
                <w:rFonts w:ascii="Arial" w:hAnsi="Arial" w:cs="Arial"/>
                <w:sz w:val="18"/>
                <w:szCs w:val="18"/>
              </w:rPr>
              <w:t xml:space="preserve">the classification and measurement of the financial instruments; and </w:t>
            </w:r>
          </w:p>
          <w:p w14:paraId="405313BC" w14:textId="1495E010" w:rsidR="00383180" w:rsidRPr="00026B32" w:rsidRDefault="00DE2904" w:rsidP="007F42C3">
            <w:pPr>
              <w:pStyle w:val="ListParagraph"/>
              <w:numPr>
                <w:ilvl w:val="0"/>
                <w:numId w:val="31"/>
              </w:numPr>
              <w:spacing w:before="0" w:after="200"/>
              <w:rPr>
                <w:rFonts w:ascii="Arial" w:hAnsi="Arial" w:cs="Arial"/>
                <w:sz w:val="18"/>
                <w:szCs w:val="18"/>
              </w:rPr>
            </w:pPr>
            <w:r w:rsidRPr="0041201F">
              <w:rPr>
                <w:rFonts w:ascii="Arial" w:hAnsi="Arial" w:cs="Arial"/>
                <w:sz w:val="18"/>
                <w:szCs w:val="18"/>
              </w:rPr>
              <w:t xml:space="preserve">changes to the impairment model from the “incurred losses” approach to the “expected credit loss” model. </w:t>
            </w:r>
          </w:p>
          <w:p w14:paraId="3387E50A" w14:textId="77777777" w:rsidR="00026B32" w:rsidRDefault="007F42C3" w:rsidP="007F42C3">
            <w:pPr>
              <w:spacing w:before="0" w:after="200"/>
              <w:rPr>
                <w:rFonts w:ascii="Arial" w:hAnsi="Arial" w:cs="Arial"/>
                <w:sz w:val="18"/>
                <w:szCs w:val="18"/>
              </w:rPr>
            </w:pPr>
            <w:r>
              <w:rPr>
                <w:rFonts w:ascii="Arial" w:hAnsi="Arial" w:cs="Arial"/>
                <w:sz w:val="18"/>
                <w:szCs w:val="18"/>
              </w:rPr>
              <w:t xml:space="preserve">In addition, the AASB references have been updated throughout the Model Financial Statements to reflect the above changes. </w:t>
            </w:r>
          </w:p>
          <w:p w14:paraId="368B8E23" w14:textId="70C6C11B" w:rsidR="007F42C3" w:rsidRPr="007F42C3" w:rsidRDefault="00026B32" w:rsidP="007F42C3">
            <w:pPr>
              <w:spacing w:before="0" w:after="200"/>
              <w:rPr>
                <w:rFonts w:ascii="Arial" w:hAnsi="Arial" w:cs="Arial"/>
                <w:sz w:val="18"/>
                <w:szCs w:val="18"/>
              </w:rPr>
            </w:pPr>
            <w:r w:rsidRPr="00F37760">
              <w:rPr>
                <w:rFonts w:ascii="Arial" w:hAnsi="Arial" w:cs="Arial"/>
                <w:sz w:val="18"/>
                <w:szCs w:val="18"/>
              </w:rPr>
              <w:t>Additional guidance has also been added to assist the users to understand the impact of the new requirements including additional disclosure requirements</w:t>
            </w:r>
            <w:r w:rsidR="00F44A92">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636" w:type="pct"/>
          </w:tcPr>
          <w:p w14:paraId="0166478E" w14:textId="7AB87D2B" w:rsidR="00812BD4" w:rsidRDefault="00DE2904" w:rsidP="007A7C1E">
            <w:pPr>
              <w:pStyle w:val="Tabletextcentred"/>
            </w:pPr>
            <w:r w:rsidRPr="00F37760">
              <w:rPr>
                <w:rFonts w:ascii="Arial" w:hAnsi="Arial" w:cs="Arial"/>
                <w:sz w:val="18"/>
                <w:szCs w:val="18"/>
              </w:rPr>
              <w:t>82</w:t>
            </w:r>
            <w:r w:rsidR="00A60DC8">
              <w:rPr>
                <w:rFonts w:ascii="Arial" w:hAnsi="Arial" w:cs="Arial"/>
                <w:sz w:val="18"/>
                <w:szCs w:val="18"/>
              </w:rPr>
              <w:t>-83</w:t>
            </w:r>
            <w:r w:rsidRPr="00F37760">
              <w:rPr>
                <w:rFonts w:ascii="Arial" w:hAnsi="Arial" w:cs="Arial"/>
                <w:sz w:val="18"/>
                <w:szCs w:val="18"/>
              </w:rPr>
              <w:t xml:space="preserve">, </w:t>
            </w:r>
            <w:r w:rsidR="003F59F7">
              <w:rPr>
                <w:rFonts w:ascii="Arial" w:hAnsi="Arial" w:cs="Arial"/>
                <w:sz w:val="18"/>
                <w:szCs w:val="18"/>
              </w:rPr>
              <w:br/>
            </w:r>
            <w:r w:rsidRPr="00F37760">
              <w:rPr>
                <w:rFonts w:ascii="Arial" w:hAnsi="Arial" w:cs="Arial"/>
                <w:sz w:val="18"/>
                <w:szCs w:val="18"/>
              </w:rPr>
              <w:t>85</w:t>
            </w:r>
            <w:r w:rsidR="00FD4CB2">
              <w:rPr>
                <w:rFonts w:ascii="Arial" w:hAnsi="Arial" w:cs="Arial"/>
                <w:sz w:val="18"/>
                <w:szCs w:val="18"/>
              </w:rPr>
              <w:t>-86</w:t>
            </w:r>
            <w:r w:rsidRPr="00F37760">
              <w:rPr>
                <w:rFonts w:ascii="Arial" w:hAnsi="Arial" w:cs="Arial"/>
                <w:sz w:val="18"/>
                <w:szCs w:val="18"/>
              </w:rPr>
              <w:t xml:space="preserve">, 90, </w:t>
            </w:r>
            <w:r w:rsidR="001E70D1">
              <w:rPr>
                <w:rFonts w:ascii="Arial" w:hAnsi="Arial" w:cs="Arial"/>
                <w:sz w:val="18"/>
                <w:szCs w:val="18"/>
              </w:rPr>
              <w:br/>
            </w:r>
            <w:r w:rsidRPr="00F37760">
              <w:rPr>
                <w:rFonts w:ascii="Arial" w:hAnsi="Arial" w:cs="Arial"/>
                <w:sz w:val="18"/>
                <w:szCs w:val="18"/>
              </w:rPr>
              <w:t>109, 136</w:t>
            </w:r>
            <w:r w:rsidR="007F42C3">
              <w:rPr>
                <w:rFonts w:ascii="Arial" w:hAnsi="Arial" w:cs="Arial"/>
                <w:sz w:val="18"/>
                <w:szCs w:val="18"/>
              </w:rPr>
              <w:t xml:space="preserve">, </w:t>
            </w:r>
            <w:r w:rsidR="001E70D1">
              <w:rPr>
                <w:rFonts w:ascii="Arial" w:hAnsi="Arial" w:cs="Arial"/>
                <w:sz w:val="18"/>
                <w:szCs w:val="18"/>
              </w:rPr>
              <w:br/>
              <w:t>139-14</w:t>
            </w:r>
            <w:r w:rsidR="00EF5F67">
              <w:rPr>
                <w:rFonts w:ascii="Arial" w:hAnsi="Arial" w:cs="Arial"/>
                <w:sz w:val="18"/>
                <w:szCs w:val="18"/>
              </w:rPr>
              <w:t>2</w:t>
            </w:r>
            <w:bookmarkStart w:id="2" w:name="_GoBack"/>
            <w:bookmarkEnd w:id="2"/>
            <w:r w:rsidR="001E70D1">
              <w:rPr>
                <w:rFonts w:ascii="Arial" w:hAnsi="Arial" w:cs="Arial"/>
                <w:sz w:val="18"/>
                <w:szCs w:val="18"/>
              </w:rPr>
              <w:t xml:space="preserve"> </w:t>
            </w:r>
            <w:r w:rsidR="001E70D1">
              <w:rPr>
                <w:rFonts w:ascii="Arial" w:hAnsi="Arial" w:cs="Arial"/>
                <w:sz w:val="18"/>
                <w:szCs w:val="18"/>
              </w:rPr>
              <w:br/>
              <w:t xml:space="preserve">and </w:t>
            </w:r>
            <w:r w:rsidR="001E70D1">
              <w:rPr>
                <w:rFonts w:ascii="Arial" w:hAnsi="Arial" w:cs="Arial"/>
                <w:sz w:val="18"/>
                <w:szCs w:val="18"/>
              </w:rPr>
              <w:br/>
            </w:r>
            <w:r w:rsidR="007F42C3">
              <w:rPr>
                <w:rFonts w:ascii="Arial" w:hAnsi="Arial" w:cs="Arial"/>
                <w:sz w:val="18"/>
                <w:szCs w:val="18"/>
              </w:rPr>
              <w:t>1</w:t>
            </w:r>
            <w:r w:rsidR="001E70D1">
              <w:rPr>
                <w:rFonts w:ascii="Arial" w:hAnsi="Arial" w:cs="Arial"/>
                <w:sz w:val="18"/>
                <w:szCs w:val="18"/>
              </w:rPr>
              <w:t>69-17</w:t>
            </w:r>
            <w:r w:rsidR="00295511">
              <w:rPr>
                <w:rFonts w:ascii="Arial" w:hAnsi="Arial" w:cs="Arial"/>
                <w:sz w:val="18"/>
                <w:szCs w:val="18"/>
              </w:rPr>
              <w:t>3</w:t>
            </w:r>
            <w:r w:rsidR="00295511">
              <w:rPr>
                <w:rFonts w:ascii="Arial" w:hAnsi="Arial" w:cs="Arial"/>
              </w:rPr>
              <w:t>.</w:t>
            </w:r>
            <w:r w:rsidR="007F42C3">
              <w:t xml:space="preserve"> </w:t>
            </w:r>
          </w:p>
          <w:p w14:paraId="5CB84598" w14:textId="77777777" w:rsidR="00AA06A9" w:rsidRDefault="00AA06A9" w:rsidP="007A7C1E">
            <w:pPr>
              <w:pStyle w:val="Tabletextcentred"/>
            </w:pPr>
          </w:p>
          <w:p w14:paraId="5C7653CE" w14:textId="49CB25B8" w:rsidR="00AA06A9" w:rsidRDefault="00AA06A9" w:rsidP="00026B32">
            <w:pPr>
              <w:pStyle w:val="Tabletextcentred"/>
              <w:jc w:val="left"/>
            </w:pPr>
          </w:p>
          <w:p w14:paraId="1172EB53" w14:textId="77777777" w:rsidR="00026B32" w:rsidRPr="00026B32" w:rsidRDefault="00026B32" w:rsidP="00026B32">
            <w:pPr>
              <w:pStyle w:val="Tabletextcentred"/>
              <w:jc w:val="left"/>
              <w:rPr>
                <w:sz w:val="14"/>
              </w:rPr>
            </w:pPr>
          </w:p>
          <w:p w14:paraId="3EBC3E2F" w14:textId="77777777" w:rsidR="00812BD4" w:rsidRPr="00812BD4" w:rsidRDefault="00812BD4" w:rsidP="00812BD4">
            <w:pPr>
              <w:pStyle w:val="Tabletextcentred"/>
              <w:spacing w:before="0"/>
              <w:jc w:val="left"/>
              <w:rPr>
                <w:sz w:val="10"/>
              </w:rPr>
            </w:pPr>
          </w:p>
          <w:p w14:paraId="00EF3C3F" w14:textId="7AE7168E" w:rsidR="00236D7B" w:rsidRPr="00236D7B" w:rsidRDefault="00236D7B" w:rsidP="00C73719">
            <w:pPr>
              <w:pStyle w:val="Tabletextcentred"/>
            </w:pPr>
            <w:r w:rsidRPr="00236D7B">
              <w:t>142-143,</w:t>
            </w:r>
            <w:r>
              <w:t xml:space="preserve"> 147, </w:t>
            </w:r>
            <w:r>
              <w:br/>
              <w:t>171-173, 174, 184,</w:t>
            </w:r>
            <w:r w:rsidR="00B52F46">
              <w:br/>
              <w:t>199</w:t>
            </w:r>
            <w:r w:rsidR="003F59F7">
              <w:t xml:space="preserve"> and</w:t>
            </w:r>
            <w:r w:rsidR="00B52F46">
              <w:t xml:space="preserve"> </w:t>
            </w:r>
            <w:r w:rsidR="00B52F46">
              <w:br/>
              <w:t xml:space="preserve">204-205 </w:t>
            </w:r>
          </w:p>
          <w:p w14:paraId="456FE1B6" w14:textId="77777777" w:rsidR="00236D7B" w:rsidRDefault="00236D7B" w:rsidP="00C73719">
            <w:pPr>
              <w:pStyle w:val="Tabletextcentred"/>
              <w:rPr>
                <w:highlight w:val="yellow"/>
              </w:rPr>
            </w:pPr>
          </w:p>
          <w:p w14:paraId="22D89515" w14:textId="3735BDF8" w:rsidR="007F42C3" w:rsidRPr="00F37760" w:rsidRDefault="007F42C3" w:rsidP="00C73719">
            <w:pPr>
              <w:pStyle w:val="Tabletextcentred"/>
            </w:pPr>
          </w:p>
        </w:tc>
      </w:tr>
      <w:tr w:rsidR="00ED7D11" w:rsidRPr="00F37760" w14:paraId="6EDAEE37" w14:textId="77777777" w:rsidTr="00F37760">
        <w:tc>
          <w:tcPr>
            <w:cnfStyle w:val="001000000000" w:firstRow="0" w:lastRow="0" w:firstColumn="1" w:lastColumn="0" w:oddVBand="0" w:evenVBand="0" w:oddHBand="0" w:evenHBand="0" w:firstRowFirstColumn="0" w:firstRowLastColumn="0" w:lastRowFirstColumn="0" w:lastRowLastColumn="0"/>
            <w:tcW w:w="885" w:type="pct"/>
          </w:tcPr>
          <w:p w14:paraId="0A0FACAC" w14:textId="77777777" w:rsidR="00ED7D11" w:rsidRPr="00F37760" w:rsidRDefault="00ED7D11" w:rsidP="00ED7D11">
            <w:pPr>
              <w:pStyle w:val="Tabletext"/>
              <w:rPr>
                <w:rFonts w:ascii="Arial" w:hAnsi="Arial" w:cs="Arial"/>
                <w:color w:val="FF0000"/>
                <w:sz w:val="18"/>
                <w:szCs w:val="18"/>
              </w:rPr>
            </w:pPr>
            <w:r w:rsidRPr="00F37760">
              <w:rPr>
                <w:rFonts w:ascii="Arial" w:hAnsi="Arial" w:cs="Arial"/>
                <w:color w:val="FF0000"/>
                <w:sz w:val="18"/>
                <w:szCs w:val="18"/>
              </w:rPr>
              <w:t>[Revised]</w:t>
            </w:r>
          </w:p>
          <w:p w14:paraId="165FFE5B" w14:textId="77777777" w:rsidR="00ED7D11" w:rsidRPr="00F37760" w:rsidRDefault="00ED7D11" w:rsidP="00ED7D11">
            <w:pPr>
              <w:pStyle w:val="Tabletext"/>
              <w:rPr>
                <w:rFonts w:ascii="Arial" w:hAnsi="Arial" w:cs="Arial"/>
                <w:sz w:val="18"/>
                <w:szCs w:val="18"/>
              </w:rPr>
            </w:pPr>
            <w:r w:rsidRPr="00F37760">
              <w:rPr>
                <w:rFonts w:ascii="Arial" w:hAnsi="Arial" w:cs="Arial"/>
                <w:sz w:val="18"/>
                <w:szCs w:val="18"/>
              </w:rPr>
              <w:t>Note 7.1 Borrowings</w:t>
            </w:r>
          </w:p>
          <w:p w14:paraId="7BADA18D" w14:textId="77777777" w:rsidR="00ED7D11" w:rsidRPr="00F37760" w:rsidRDefault="00ED7D11" w:rsidP="00ED7D11">
            <w:pPr>
              <w:pStyle w:val="Tabletext"/>
              <w:rPr>
                <w:rFonts w:ascii="Arial" w:hAnsi="Arial" w:cs="Arial"/>
                <w:sz w:val="18"/>
                <w:szCs w:val="18"/>
              </w:rPr>
            </w:pPr>
            <w:r w:rsidRPr="00F37760">
              <w:rPr>
                <w:rFonts w:ascii="Arial" w:hAnsi="Arial" w:cs="Arial"/>
                <w:sz w:val="18"/>
                <w:szCs w:val="18"/>
              </w:rPr>
              <w:t>Note 8.1 Financial instruments specific disclosure</w:t>
            </w:r>
          </w:p>
          <w:p w14:paraId="4F1B9CC7" w14:textId="77777777" w:rsidR="00ED7D11" w:rsidRPr="00F37760" w:rsidRDefault="00ED7D11" w:rsidP="00ED7D11">
            <w:pPr>
              <w:pStyle w:val="Tabletext"/>
              <w:rPr>
                <w:rFonts w:ascii="Arial" w:hAnsi="Arial" w:cs="Arial"/>
                <w:sz w:val="18"/>
                <w:szCs w:val="18"/>
              </w:rPr>
            </w:pPr>
            <w:r w:rsidRPr="00F37760">
              <w:rPr>
                <w:rFonts w:ascii="Arial" w:hAnsi="Arial" w:cs="Arial"/>
                <w:sz w:val="18"/>
                <w:szCs w:val="18"/>
              </w:rPr>
              <w:t>Note 9.4 Reserves</w:t>
            </w:r>
          </w:p>
          <w:p w14:paraId="524C3F6B" w14:textId="77777777" w:rsidR="00ED7D11" w:rsidRPr="00F37760" w:rsidRDefault="00ED7D11" w:rsidP="00ED7D11">
            <w:pPr>
              <w:pStyle w:val="Tabletext"/>
              <w:rPr>
                <w:rFonts w:ascii="Arial" w:hAnsi="Arial" w:cs="Arial"/>
                <w:color w:val="FF0000"/>
                <w:sz w:val="18"/>
                <w:szCs w:val="18"/>
              </w:rPr>
            </w:pPr>
          </w:p>
        </w:tc>
        <w:tc>
          <w:tcPr>
            <w:cnfStyle w:val="000010000000" w:firstRow="0" w:lastRow="0" w:firstColumn="0" w:lastColumn="0" w:oddVBand="1" w:evenVBand="0" w:oddHBand="0" w:evenHBand="0" w:firstRowFirstColumn="0" w:firstRowLastColumn="0" w:lastRowFirstColumn="0" w:lastRowLastColumn="0"/>
            <w:tcW w:w="1085" w:type="pct"/>
          </w:tcPr>
          <w:p w14:paraId="5229C20A" w14:textId="09B8B721" w:rsidR="00ED7D11" w:rsidRPr="00F37760" w:rsidRDefault="00ED7D11" w:rsidP="00ED7D11">
            <w:pPr>
              <w:spacing w:before="0" w:after="200"/>
              <w:rPr>
                <w:rFonts w:ascii="Arial" w:hAnsi="Arial" w:cs="Arial"/>
                <w:sz w:val="18"/>
                <w:szCs w:val="18"/>
              </w:rPr>
            </w:pPr>
          </w:p>
        </w:tc>
        <w:tc>
          <w:tcPr>
            <w:cnfStyle w:val="000001000000" w:firstRow="0" w:lastRow="0" w:firstColumn="0" w:lastColumn="0" w:oddVBand="0" w:evenVBand="1" w:oddHBand="0" w:evenHBand="0" w:firstRowFirstColumn="0" w:firstRowLastColumn="0" w:lastRowFirstColumn="0" w:lastRowLastColumn="0"/>
            <w:tcW w:w="2394" w:type="pct"/>
          </w:tcPr>
          <w:p w14:paraId="2705CF21" w14:textId="53D641C2" w:rsidR="00ED7D11" w:rsidRPr="00F37760" w:rsidRDefault="00ED7D11" w:rsidP="00ED7D11">
            <w:pPr>
              <w:pStyle w:val="Tabletext"/>
              <w:rPr>
                <w:rFonts w:ascii="Arial" w:hAnsi="Arial" w:cs="Arial"/>
                <w:sz w:val="18"/>
                <w:szCs w:val="18"/>
              </w:rPr>
            </w:pPr>
            <w:r w:rsidRPr="00F37760">
              <w:rPr>
                <w:rFonts w:ascii="Arial" w:hAnsi="Arial" w:cs="Arial"/>
                <w:sz w:val="18"/>
                <w:szCs w:val="18"/>
              </w:rPr>
              <w:t>Under AASB 9, financial liabilities designated as F</w:t>
            </w:r>
            <w:r>
              <w:rPr>
                <w:rFonts w:ascii="Arial" w:hAnsi="Arial" w:cs="Arial"/>
                <w:sz w:val="18"/>
                <w:szCs w:val="18"/>
              </w:rPr>
              <w:t xml:space="preserve">air </w:t>
            </w:r>
            <w:r w:rsidRPr="00F37760">
              <w:rPr>
                <w:rFonts w:ascii="Arial" w:hAnsi="Arial" w:cs="Arial"/>
                <w:sz w:val="18"/>
                <w:szCs w:val="18"/>
              </w:rPr>
              <w:t>V</w:t>
            </w:r>
            <w:r>
              <w:rPr>
                <w:rFonts w:ascii="Arial" w:hAnsi="Arial" w:cs="Arial"/>
                <w:sz w:val="18"/>
                <w:szCs w:val="18"/>
              </w:rPr>
              <w:t xml:space="preserve">alue </w:t>
            </w:r>
            <w:r w:rsidRPr="00F37760">
              <w:rPr>
                <w:rFonts w:ascii="Arial" w:hAnsi="Arial" w:cs="Arial"/>
                <w:sz w:val="18"/>
                <w:szCs w:val="18"/>
              </w:rPr>
              <w:t>T</w:t>
            </w:r>
            <w:r>
              <w:rPr>
                <w:rFonts w:ascii="Arial" w:hAnsi="Arial" w:cs="Arial"/>
                <w:sz w:val="18"/>
                <w:szCs w:val="18"/>
              </w:rPr>
              <w:t xml:space="preserve">hrough </w:t>
            </w:r>
            <w:r w:rsidRPr="00F37760">
              <w:rPr>
                <w:rFonts w:ascii="Arial" w:hAnsi="Arial" w:cs="Arial"/>
                <w:sz w:val="18"/>
                <w:szCs w:val="18"/>
              </w:rPr>
              <w:t>P</w:t>
            </w:r>
            <w:r>
              <w:rPr>
                <w:rFonts w:ascii="Arial" w:hAnsi="Arial" w:cs="Arial"/>
                <w:sz w:val="18"/>
                <w:szCs w:val="18"/>
              </w:rPr>
              <w:t xml:space="preserve">rofit or </w:t>
            </w:r>
            <w:r w:rsidRPr="00F37760">
              <w:rPr>
                <w:rFonts w:ascii="Arial" w:hAnsi="Arial" w:cs="Arial"/>
                <w:sz w:val="18"/>
                <w:szCs w:val="18"/>
              </w:rPr>
              <w:t>L</w:t>
            </w:r>
            <w:r>
              <w:rPr>
                <w:rFonts w:ascii="Arial" w:hAnsi="Arial" w:cs="Arial"/>
                <w:sz w:val="18"/>
                <w:szCs w:val="18"/>
              </w:rPr>
              <w:t>oss</w:t>
            </w:r>
            <w:r w:rsidRPr="00F37760">
              <w:rPr>
                <w:rFonts w:ascii="Arial" w:hAnsi="Arial" w:cs="Arial"/>
                <w:sz w:val="18"/>
                <w:szCs w:val="18"/>
              </w:rPr>
              <w:t xml:space="preserve"> </w:t>
            </w:r>
            <w:r>
              <w:rPr>
                <w:rFonts w:ascii="Arial" w:hAnsi="Arial" w:cs="Arial"/>
                <w:sz w:val="18"/>
                <w:szCs w:val="18"/>
              </w:rPr>
              <w:t xml:space="preserve">(FVTPL) – </w:t>
            </w:r>
            <w:r w:rsidRPr="00F37760">
              <w:rPr>
                <w:rFonts w:ascii="Arial" w:hAnsi="Arial" w:cs="Arial"/>
                <w:sz w:val="18"/>
                <w:szCs w:val="18"/>
              </w:rPr>
              <w:t xml:space="preserve">other than loan commitments or financial guarantee contracts, the portion of the change attributable to changes in the entity’s own credit risk is recognised in Other Comprehensive Income (OCI), with no recycling, unless OCI presentation would create or enlarge an accounting mismatch in profit and loss. Previously, this was recognised in the </w:t>
            </w:r>
            <w:r w:rsidR="00F44A92">
              <w:rPr>
                <w:rFonts w:ascii="Arial" w:hAnsi="Arial" w:cs="Arial"/>
                <w:sz w:val="18"/>
                <w:szCs w:val="18"/>
              </w:rPr>
              <w:t>‘</w:t>
            </w:r>
            <w:r w:rsidRPr="00F37760">
              <w:rPr>
                <w:rFonts w:ascii="Arial" w:hAnsi="Arial" w:cs="Arial"/>
                <w:sz w:val="18"/>
                <w:szCs w:val="18"/>
              </w:rPr>
              <w:t>Other economic flow</w:t>
            </w:r>
            <w:r w:rsidR="00F44A92">
              <w:rPr>
                <w:rFonts w:ascii="Arial" w:hAnsi="Arial" w:cs="Arial"/>
                <w:sz w:val="18"/>
                <w:szCs w:val="18"/>
              </w:rPr>
              <w:t>s</w:t>
            </w:r>
            <w:r w:rsidRPr="00F37760">
              <w:rPr>
                <w:rFonts w:ascii="Arial" w:hAnsi="Arial" w:cs="Arial"/>
                <w:sz w:val="18"/>
                <w:szCs w:val="18"/>
              </w:rPr>
              <w:t xml:space="preserve"> included in the net result</w:t>
            </w:r>
            <w:r w:rsidR="00F44A92">
              <w:rPr>
                <w:rFonts w:ascii="Arial" w:hAnsi="Arial" w:cs="Arial"/>
                <w:sz w:val="18"/>
                <w:szCs w:val="18"/>
              </w:rPr>
              <w:t>’</w:t>
            </w:r>
            <w:r w:rsidRPr="00F37760">
              <w:rPr>
                <w:rFonts w:ascii="Arial" w:hAnsi="Arial" w:cs="Arial"/>
                <w:sz w:val="18"/>
                <w:szCs w:val="18"/>
              </w:rPr>
              <w:t xml:space="preserve"> under AASB 139 </w:t>
            </w:r>
            <w:r w:rsidRPr="00F37760">
              <w:rPr>
                <w:rFonts w:ascii="Arial" w:hAnsi="Arial" w:cs="Arial"/>
                <w:i/>
                <w:sz w:val="18"/>
                <w:szCs w:val="18"/>
              </w:rPr>
              <w:t xml:space="preserve">Financial Instruments: Recognition and Measurement. </w:t>
            </w:r>
          </w:p>
        </w:tc>
        <w:tc>
          <w:tcPr>
            <w:cnfStyle w:val="000100000000" w:firstRow="0" w:lastRow="0" w:firstColumn="0" w:lastColumn="1" w:oddVBand="0" w:evenVBand="0" w:oddHBand="0" w:evenHBand="0" w:firstRowFirstColumn="0" w:firstRowLastColumn="0" w:lastRowFirstColumn="0" w:lastRowLastColumn="0"/>
            <w:tcW w:w="636" w:type="pct"/>
          </w:tcPr>
          <w:p w14:paraId="4B0B0129" w14:textId="77777777" w:rsidR="00ED7D11" w:rsidRPr="00F37760" w:rsidRDefault="00ED7D11" w:rsidP="00ED7D11">
            <w:pPr>
              <w:pStyle w:val="Tabletextcentred"/>
              <w:rPr>
                <w:rFonts w:ascii="Arial" w:hAnsi="Arial" w:cs="Arial"/>
                <w:sz w:val="18"/>
                <w:szCs w:val="18"/>
              </w:rPr>
            </w:pPr>
            <w:r w:rsidRPr="00F37760">
              <w:rPr>
                <w:rFonts w:ascii="Arial" w:hAnsi="Arial" w:cs="Arial"/>
                <w:sz w:val="18"/>
                <w:szCs w:val="18"/>
              </w:rPr>
              <w:t>147</w:t>
            </w:r>
            <w:r>
              <w:rPr>
                <w:rFonts w:ascii="Arial" w:hAnsi="Arial" w:cs="Arial"/>
                <w:sz w:val="18"/>
                <w:szCs w:val="18"/>
              </w:rPr>
              <w:t>-148</w:t>
            </w:r>
            <w:r w:rsidRPr="00F37760">
              <w:rPr>
                <w:rFonts w:ascii="Arial" w:hAnsi="Arial" w:cs="Arial"/>
                <w:sz w:val="18"/>
                <w:szCs w:val="18"/>
              </w:rPr>
              <w:t xml:space="preserve">, </w:t>
            </w:r>
            <w:r w:rsidRPr="00F37760">
              <w:rPr>
                <w:rFonts w:ascii="Arial" w:hAnsi="Arial" w:cs="Arial"/>
                <w:sz w:val="18"/>
                <w:szCs w:val="18"/>
              </w:rPr>
              <w:br/>
            </w:r>
            <w:r w:rsidRPr="00C648DE">
              <w:rPr>
                <w:rFonts w:ascii="Arial" w:hAnsi="Arial" w:cs="Arial"/>
                <w:sz w:val="18"/>
                <w:szCs w:val="18"/>
              </w:rPr>
              <w:t>160-162</w:t>
            </w:r>
            <w:r w:rsidRPr="00F37760">
              <w:rPr>
                <w:rFonts w:ascii="Arial" w:hAnsi="Arial" w:cs="Arial"/>
                <w:sz w:val="18"/>
                <w:szCs w:val="18"/>
              </w:rPr>
              <w:t xml:space="preserve"> and</w:t>
            </w:r>
            <w:r w:rsidRPr="00F37760">
              <w:rPr>
                <w:rFonts w:ascii="Arial" w:hAnsi="Arial" w:cs="Arial"/>
                <w:sz w:val="18"/>
                <w:szCs w:val="18"/>
              </w:rPr>
              <w:br/>
              <w:t>204-205</w:t>
            </w:r>
            <w:r w:rsidRPr="00F37760">
              <w:rPr>
                <w:rFonts w:ascii="Arial" w:hAnsi="Arial" w:cs="Arial"/>
                <w:sz w:val="18"/>
                <w:szCs w:val="18"/>
              </w:rPr>
              <w:br/>
            </w:r>
          </w:p>
          <w:p w14:paraId="24E7E222" w14:textId="77777777" w:rsidR="00ED7D11" w:rsidRPr="00F37760" w:rsidRDefault="00ED7D11" w:rsidP="00ED7D11">
            <w:pPr>
              <w:pStyle w:val="Tabletextcentred"/>
              <w:rPr>
                <w:rFonts w:ascii="Arial" w:hAnsi="Arial" w:cs="Arial"/>
                <w:sz w:val="18"/>
                <w:szCs w:val="18"/>
              </w:rPr>
            </w:pPr>
          </w:p>
        </w:tc>
      </w:tr>
      <w:tr w:rsidR="0080710C" w:rsidRPr="00F37760" w14:paraId="49B4576E" w14:textId="77777777" w:rsidTr="00F377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pct"/>
          </w:tcPr>
          <w:p w14:paraId="043C73E6" w14:textId="77777777" w:rsidR="0080710C" w:rsidRPr="00F37760" w:rsidRDefault="0080710C" w:rsidP="0080710C">
            <w:pPr>
              <w:pStyle w:val="Tabletext"/>
              <w:rPr>
                <w:rFonts w:ascii="Arial" w:hAnsi="Arial" w:cs="Arial"/>
                <w:color w:val="FF0000"/>
                <w:sz w:val="18"/>
                <w:szCs w:val="18"/>
              </w:rPr>
            </w:pPr>
            <w:r w:rsidRPr="00F37760">
              <w:rPr>
                <w:rFonts w:ascii="Arial" w:hAnsi="Arial" w:cs="Arial"/>
                <w:color w:val="FF0000"/>
                <w:sz w:val="18"/>
                <w:szCs w:val="18"/>
              </w:rPr>
              <w:t>[Revised]</w:t>
            </w:r>
          </w:p>
          <w:p w14:paraId="1E36E419" w14:textId="77777777" w:rsidR="0080710C" w:rsidRPr="00F37760" w:rsidRDefault="0080710C" w:rsidP="0080710C">
            <w:pPr>
              <w:pStyle w:val="Tabletext"/>
              <w:rPr>
                <w:rFonts w:ascii="Arial" w:hAnsi="Arial" w:cs="Arial"/>
                <w:sz w:val="18"/>
                <w:szCs w:val="18"/>
              </w:rPr>
            </w:pPr>
            <w:r w:rsidRPr="00F37760">
              <w:rPr>
                <w:rFonts w:ascii="Arial" w:hAnsi="Arial" w:cs="Arial"/>
                <w:sz w:val="18"/>
                <w:szCs w:val="18"/>
              </w:rPr>
              <w:t>Note 8.1 Financial instruments specific disclosure</w:t>
            </w:r>
          </w:p>
          <w:p w14:paraId="3AD946A2" w14:textId="77777777" w:rsidR="0080710C" w:rsidRPr="00F37760" w:rsidRDefault="0080710C" w:rsidP="0080710C">
            <w:pPr>
              <w:pStyle w:val="Tabletext"/>
              <w:rPr>
                <w:rFonts w:ascii="Arial" w:hAnsi="Arial" w:cs="Arial"/>
                <w:sz w:val="18"/>
                <w:szCs w:val="18"/>
              </w:rPr>
            </w:pPr>
            <w:r w:rsidRPr="00F37760">
              <w:rPr>
                <w:rFonts w:ascii="Arial" w:hAnsi="Arial" w:cs="Arial"/>
                <w:sz w:val="18"/>
                <w:szCs w:val="18"/>
              </w:rPr>
              <w:t>Note 9.2 Other economic flows included in net result</w:t>
            </w:r>
          </w:p>
          <w:p w14:paraId="282F7C5D" w14:textId="3C778D7E" w:rsidR="0080710C" w:rsidRPr="00F37760" w:rsidRDefault="0080710C" w:rsidP="0080710C">
            <w:pPr>
              <w:pStyle w:val="Tabletext"/>
              <w:rPr>
                <w:rFonts w:ascii="Arial" w:hAnsi="Arial" w:cs="Arial"/>
                <w:color w:val="FF0000"/>
                <w:sz w:val="18"/>
                <w:szCs w:val="18"/>
              </w:rPr>
            </w:pPr>
            <w:r w:rsidRPr="00F37760">
              <w:rPr>
                <w:rFonts w:ascii="Arial" w:hAnsi="Arial" w:cs="Arial"/>
                <w:sz w:val="18"/>
                <w:szCs w:val="18"/>
              </w:rPr>
              <w:t>Note 9.4 Reserves</w:t>
            </w:r>
          </w:p>
        </w:tc>
        <w:tc>
          <w:tcPr>
            <w:cnfStyle w:val="000010000000" w:firstRow="0" w:lastRow="0" w:firstColumn="0" w:lastColumn="0" w:oddVBand="1" w:evenVBand="0" w:oddHBand="0" w:evenHBand="0" w:firstRowFirstColumn="0" w:firstRowLastColumn="0" w:lastRowFirstColumn="0" w:lastRowLastColumn="0"/>
            <w:tcW w:w="1085" w:type="pct"/>
          </w:tcPr>
          <w:p w14:paraId="40C2B7F4" w14:textId="42D7A062" w:rsidR="0080710C" w:rsidRPr="003D1CDE" w:rsidRDefault="0080710C" w:rsidP="0080710C">
            <w:pPr>
              <w:spacing w:before="0" w:after="200"/>
              <w:rPr>
                <w:rFonts w:ascii="Arial" w:hAnsi="Arial" w:cs="Arial"/>
                <w:i/>
                <w:sz w:val="18"/>
                <w:szCs w:val="18"/>
              </w:rPr>
            </w:pPr>
          </w:p>
        </w:tc>
        <w:tc>
          <w:tcPr>
            <w:cnfStyle w:val="000001000000" w:firstRow="0" w:lastRow="0" w:firstColumn="0" w:lastColumn="0" w:oddVBand="0" w:evenVBand="1" w:oddHBand="0" w:evenHBand="0" w:firstRowFirstColumn="0" w:firstRowLastColumn="0" w:lastRowFirstColumn="0" w:lastRowLastColumn="0"/>
            <w:tcW w:w="2394" w:type="pct"/>
          </w:tcPr>
          <w:p w14:paraId="74EB8E4B" w14:textId="77777777" w:rsidR="0080710C" w:rsidRPr="00F37760" w:rsidRDefault="0080710C" w:rsidP="0080710C">
            <w:pPr>
              <w:pStyle w:val="Tabletext"/>
              <w:rPr>
                <w:rFonts w:ascii="Arial" w:hAnsi="Arial" w:cs="Arial"/>
                <w:sz w:val="18"/>
                <w:szCs w:val="18"/>
              </w:rPr>
            </w:pPr>
            <w:r w:rsidRPr="00F37760">
              <w:rPr>
                <w:rFonts w:ascii="Arial" w:hAnsi="Arial" w:cs="Arial"/>
                <w:sz w:val="18"/>
                <w:szCs w:val="18"/>
              </w:rPr>
              <w:t xml:space="preserve">AASB 9 simplifies the classification and subsequent measurement of financial assets from four categories – FVTPL, Loans &amp; Receivables (L&amp;Rs), Held </w:t>
            </w:r>
            <w:proofErr w:type="gramStart"/>
            <w:r w:rsidRPr="00F37760">
              <w:rPr>
                <w:rFonts w:ascii="Arial" w:hAnsi="Arial" w:cs="Arial"/>
                <w:sz w:val="18"/>
                <w:szCs w:val="18"/>
              </w:rPr>
              <w:t>To</w:t>
            </w:r>
            <w:proofErr w:type="gramEnd"/>
            <w:r w:rsidRPr="00F37760">
              <w:rPr>
                <w:rFonts w:ascii="Arial" w:hAnsi="Arial" w:cs="Arial"/>
                <w:sz w:val="18"/>
                <w:szCs w:val="18"/>
              </w:rPr>
              <w:t xml:space="preserve"> Maturity (HTM) and Available For Sale</w:t>
            </w:r>
            <w:r>
              <w:rPr>
                <w:rFonts w:ascii="Arial" w:hAnsi="Arial" w:cs="Arial"/>
                <w:sz w:val="18"/>
                <w:szCs w:val="18"/>
              </w:rPr>
              <w:t xml:space="preserve"> </w:t>
            </w:r>
            <w:r w:rsidRPr="00F37760">
              <w:rPr>
                <w:rFonts w:ascii="Arial" w:hAnsi="Arial" w:cs="Arial"/>
                <w:sz w:val="18"/>
                <w:szCs w:val="18"/>
              </w:rPr>
              <w:t>(AFS) to three categories FVPTL</w:t>
            </w:r>
            <w:r>
              <w:rPr>
                <w:rFonts w:ascii="Arial" w:hAnsi="Arial" w:cs="Arial"/>
                <w:sz w:val="18"/>
                <w:szCs w:val="18"/>
              </w:rPr>
              <w:t xml:space="preserve">, </w:t>
            </w:r>
            <w:r w:rsidRPr="00F37760">
              <w:rPr>
                <w:rFonts w:ascii="Arial" w:hAnsi="Arial" w:cs="Arial"/>
                <w:sz w:val="18"/>
                <w:szCs w:val="18"/>
              </w:rPr>
              <w:t xml:space="preserve">Fair Value through Other Comprehensive Income (FVOCI) and Amortised Cost (AC). </w:t>
            </w:r>
          </w:p>
          <w:p w14:paraId="0BBEDC5E" w14:textId="77777777" w:rsidR="0080710C" w:rsidRPr="00F37760" w:rsidRDefault="0080710C" w:rsidP="0080710C">
            <w:pPr>
              <w:pStyle w:val="Tabletext"/>
              <w:rPr>
                <w:rFonts w:ascii="Arial" w:hAnsi="Arial" w:cs="Arial"/>
                <w:sz w:val="18"/>
                <w:szCs w:val="18"/>
              </w:rPr>
            </w:pPr>
          </w:p>
          <w:p w14:paraId="0917E003" w14:textId="3418C536" w:rsidR="0080710C" w:rsidRPr="00F37760" w:rsidRDefault="0080710C" w:rsidP="0080710C">
            <w:pPr>
              <w:pStyle w:val="Tabletext"/>
              <w:rPr>
                <w:rFonts w:ascii="Arial" w:hAnsi="Arial" w:cs="Arial"/>
                <w:sz w:val="18"/>
                <w:szCs w:val="18"/>
              </w:rPr>
            </w:pPr>
            <w:r w:rsidRPr="00F37760">
              <w:rPr>
                <w:rFonts w:ascii="Arial" w:hAnsi="Arial" w:cs="Arial"/>
                <w:sz w:val="18"/>
                <w:szCs w:val="18"/>
              </w:rPr>
              <w:t xml:space="preserve">Updates have been made to the relevant financial statements and accompanying notes to reflect the changes, which include Table 8.1.1 </w:t>
            </w:r>
            <w:r w:rsidRPr="00F37760">
              <w:rPr>
                <w:rFonts w:ascii="Arial" w:hAnsi="Arial" w:cs="Arial"/>
                <w:i/>
                <w:sz w:val="18"/>
                <w:szCs w:val="18"/>
              </w:rPr>
              <w:t xml:space="preserve">Financial </w:t>
            </w:r>
            <w:r w:rsidRPr="00F37760">
              <w:rPr>
                <w:rFonts w:ascii="Arial" w:hAnsi="Arial" w:cs="Arial"/>
                <w:i/>
                <w:sz w:val="18"/>
                <w:szCs w:val="18"/>
              </w:rPr>
              <w:lastRenderedPageBreak/>
              <w:t>Instruments: Categories</w:t>
            </w:r>
            <w:r w:rsidRPr="00F37760">
              <w:rPr>
                <w:rFonts w:ascii="Arial" w:hAnsi="Arial" w:cs="Arial"/>
                <w:sz w:val="18"/>
                <w:szCs w:val="18"/>
              </w:rPr>
              <w:t xml:space="preserve"> and 8.1.2 </w:t>
            </w:r>
            <w:r w:rsidRPr="00F37760">
              <w:rPr>
                <w:rFonts w:ascii="Arial" w:hAnsi="Arial" w:cs="Arial"/>
                <w:i/>
                <w:sz w:val="18"/>
                <w:szCs w:val="18"/>
              </w:rPr>
              <w:t>Financial Instruments – net holding gain/(loss) on financial instrument by category</w:t>
            </w:r>
            <w:r w:rsidRPr="00F37760">
              <w:rPr>
                <w:rFonts w:ascii="Arial" w:hAnsi="Arial" w:cs="Arial"/>
                <w:sz w:val="18"/>
                <w:szCs w:val="18"/>
              </w:rPr>
              <w:t>. Additional guidance has also been added to assist the users to understand the impact of the new requirements including additional disclosure requirements.</w:t>
            </w:r>
          </w:p>
        </w:tc>
        <w:tc>
          <w:tcPr>
            <w:cnfStyle w:val="000100000000" w:firstRow="0" w:lastRow="0" w:firstColumn="0" w:lastColumn="1" w:oddVBand="0" w:evenVBand="0" w:oddHBand="0" w:evenHBand="0" w:firstRowFirstColumn="0" w:firstRowLastColumn="0" w:lastRowFirstColumn="0" w:lastRowLastColumn="0"/>
            <w:tcW w:w="636" w:type="pct"/>
          </w:tcPr>
          <w:p w14:paraId="36E850C2" w14:textId="77777777" w:rsidR="0080710C" w:rsidRPr="00F37760" w:rsidRDefault="0080710C" w:rsidP="0080710C">
            <w:pPr>
              <w:pStyle w:val="Tabletextcentred"/>
              <w:rPr>
                <w:rFonts w:ascii="Arial" w:hAnsi="Arial" w:cs="Arial"/>
                <w:sz w:val="18"/>
                <w:szCs w:val="18"/>
              </w:rPr>
            </w:pPr>
            <w:r w:rsidRPr="00F37760">
              <w:rPr>
                <w:rFonts w:ascii="Arial" w:hAnsi="Arial" w:cs="Arial"/>
                <w:sz w:val="18"/>
                <w:szCs w:val="18"/>
              </w:rPr>
              <w:lastRenderedPageBreak/>
              <w:t>160-16</w:t>
            </w:r>
            <w:r>
              <w:rPr>
                <w:rFonts w:ascii="Arial" w:hAnsi="Arial" w:cs="Arial"/>
                <w:sz w:val="18"/>
                <w:szCs w:val="18"/>
              </w:rPr>
              <w:t>2, 165-167,</w:t>
            </w:r>
            <w:r w:rsidRPr="00F37760">
              <w:rPr>
                <w:rFonts w:ascii="Arial" w:hAnsi="Arial" w:cs="Arial"/>
                <w:sz w:val="18"/>
                <w:szCs w:val="18"/>
              </w:rPr>
              <w:t xml:space="preserve"> 199 and 2</w:t>
            </w:r>
            <w:r>
              <w:rPr>
                <w:rFonts w:ascii="Arial" w:hAnsi="Arial" w:cs="Arial"/>
                <w:sz w:val="18"/>
                <w:szCs w:val="18"/>
              </w:rPr>
              <w:t>04</w:t>
            </w:r>
          </w:p>
          <w:p w14:paraId="73F99ACB" w14:textId="355271E6" w:rsidR="0080710C" w:rsidRPr="00F37760" w:rsidRDefault="0080710C" w:rsidP="0080710C">
            <w:pPr>
              <w:pStyle w:val="Tabletextcentred"/>
              <w:rPr>
                <w:rFonts w:ascii="Arial" w:hAnsi="Arial" w:cs="Arial"/>
                <w:sz w:val="18"/>
                <w:szCs w:val="18"/>
              </w:rPr>
            </w:pPr>
          </w:p>
        </w:tc>
      </w:tr>
      <w:tr w:rsidR="0080710C" w:rsidRPr="00F37760" w14:paraId="09A2ECB4" w14:textId="77777777" w:rsidTr="00F37760">
        <w:tc>
          <w:tcPr>
            <w:cnfStyle w:val="001000000000" w:firstRow="0" w:lastRow="0" w:firstColumn="1" w:lastColumn="0" w:oddVBand="0" w:evenVBand="0" w:oddHBand="0" w:evenHBand="0" w:firstRowFirstColumn="0" w:firstRowLastColumn="0" w:lastRowFirstColumn="0" w:lastRowLastColumn="0"/>
            <w:tcW w:w="885" w:type="pct"/>
          </w:tcPr>
          <w:p w14:paraId="05FF9D39" w14:textId="77777777" w:rsidR="0080710C" w:rsidRPr="00F37760" w:rsidRDefault="0080710C" w:rsidP="0080710C">
            <w:pPr>
              <w:pStyle w:val="Tabletext"/>
              <w:rPr>
                <w:rFonts w:ascii="Arial" w:hAnsi="Arial" w:cs="Arial"/>
                <w:color w:val="FF0000"/>
                <w:sz w:val="18"/>
                <w:szCs w:val="18"/>
              </w:rPr>
            </w:pPr>
            <w:r w:rsidRPr="00F37760">
              <w:rPr>
                <w:rFonts w:ascii="Arial" w:hAnsi="Arial" w:cs="Arial"/>
                <w:color w:val="FF0000"/>
                <w:sz w:val="18"/>
                <w:szCs w:val="18"/>
              </w:rPr>
              <w:t>[Revised]</w:t>
            </w:r>
          </w:p>
          <w:p w14:paraId="65C7AA4E" w14:textId="3A3F3EDE" w:rsidR="0080710C" w:rsidRPr="00F37760" w:rsidRDefault="0080710C" w:rsidP="0080710C">
            <w:pPr>
              <w:pStyle w:val="Tabletext"/>
              <w:rPr>
                <w:rFonts w:ascii="Arial" w:hAnsi="Arial" w:cs="Arial"/>
                <w:color w:val="FF0000"/>
                <w:sz w:val="18"/>
                <w:szCs w:val="18"/>
              </w:rPr>
            </w:pPr>
            <w:r w:rsidRPr="00F37760">
              <w:rPr>
                <w:rFonts w:ascii="Arial" w:hAnsi="Arial" w:cs="Arial"/>
                <w:sz w:val="18"/>
                <w:szCs w:val="18"/>
              </w:rPr>
              <w:t>Note 9.4 Reserves</w:t>
            </w:r>
          </w:p>
        </w:tc>
        <w:tc>
          <w:tcPr>
            <w:cnfStyle w:val="000010000000" w:firstRow="0" w:lastRow="0" w:firstColumn="0" w:lastColumn="0" w:oddVBand="1" w:evenVBand="0" w:oddHBand="0" w:evenHBand="0" w:firstRowFirstColumn="0" w:firstRowLastColumn="0" w:lastRowFirstColumn="0" w:lastRowLastColumn="0"/>
            <w:tcW w:w="1085" w:type="pct"/>
          </w:tcPr>
          <w:p w14:paraId="37DD626E" w14:textId="11DE8A54" w:rsidR="0080710C" w:rsidRPr="00F37760" w:rsidRDefault="0080710C" w:rsidP="0080710C">
            <w:pPr>
              <w:spacing w:before="0" w:after="200"/>
              <w:rPr>
                <w:rFonts w:ascii="Arial" w:hAnsi="Arial" w:cs="Arial"/>
                <w:sz w:val="18"/>
                <w:szCs w:val="18"/>
              </w:rPr>
            </w:pPr>
          </w:p>
        </w:tc>
        <w:tc>
          <w:tcPr>
            <w:cnfStyle w:val="000001000000" w:firstRow="0" w:lastRow="0" w:firstColumn="0" w:lastColumn="0" w:oddVBand="0" w:evenVBand="1" w:oddHBand="0" w:evenHBand="0" w:firstRowFirstColumn="0" w:firstRowLastColumn="0" w:lastRowFirstColumn="0" w:lastRowLastColumn="0"/>
            <w:tcW w:w="2394" w:type="pct"/>
          </w:tcPr>
          <w:p w14:paraId="4315E59C" w14:textId="7F9A39E9" w:rsidR="0080710C" w:rsidRPr="00F37760" w:rsidRDefault="0080710C" w:rsidP="0080710C">
            <w:pPr>
              <w:pStyle w:val="Tabletext"/>
              <w:rPr>
                <w:rFonts w:ascii="Arial" w:hAnsi="Arial" w:cs="Arial"/>
                <w:sz w:val="18"/>
                <w:szCs w:val="18"/>
              </w:rPr>
            </w:pPr>
            <w:r w:rsidRPr="00F37760">
              <w:rPr>
                <w:rFonts w:ascii="Arial" w:hAnsi="Arial" w:cs="Arial"/>
                <w:sz w:val="18"/>
                <w:szCs w:val="18"/>
              </w:rPr>
              <w:t xml:space="preserve">Due to the first-time adoption of AASB 9, additional guidance has been included to explain the new revaluation surplus categories. In addition, guidance has also been included to assist preparers to understand the accounting and disclosure requirements of “Financial Assets transferred out of the revaluation surplus”. </w:t>
            </w:r>
          </w:p>
        </w:tc>
        <w:tc>
          <w:tcPr>
            <w:cnfStyle w:val="000100000000" w:firstRow="0" w:lastRow="0" w:firstColumn="0" w:lastColumn="1" w:oddVBand="0" w:evenVBand="0" w:oddHBand="0" w:evenHBand="0" w:firstRowFirstColumn="0" w:firstRowLastColumn="0" w:lastRowFirstColumn="0" w:lastRowLastColumn="0"/>
            <w:tcW w:w="636" w:type="pct"/>
          </w:tcPr>
          <w:p w14:paraId="3A166EBC" w14:textId="5AAC9102" w:rsidR="0080710C" w:rsidRPr="00F37760" w:rsidRDefault="0080710C" w:rsidP="0080710C">
            <w:pPr>
              <w:pStyle w:val="Tabletextcentred"/>
              <w:rPr>
                <w:rFonts w:ascii="Arial" w:hAnsi="Arial" w:cs="Arial"/>
                <w:sz w:val="18"/>
                <w:szCs w:val="18"/>
              </w:rPr>
            </w:pPr>
            <w:r w:rsidRPr="00F37760">
              <w:rPr>
                <w:rFonts w:ascii="Arial" w:hAnsi="Arial" w:cs="Arial"/>
                <w:sz w:val="18"/>
                <w:szCs w:val="18"/>
              </w:rPr>
              <w:t>20</w:t>
            </w:r>
            <w:r>
              <w:rPr>
                <w:rFonts w:ascii="Arial" w:hAnsi="Arial" w:cs="Arial"/>
                <w:sz w:val="18"/>
                <w:szCs w:val="18"/>
              </w:rPr>
              <w:t>5</w:t>
            </w:r>
          </w:p>
        </w:tc>
      </w:tr>
      <w:tr w:rsidR="0080710C" w:rsidRPr="00F37760" w14:paraId="61C0F94C" w14:textId="77777777" w:rsidTr="00F377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pct"/>
          </w:tcPr>
          <w:p w14:paraId="4328CB1A" w14:textId="77777777" w:rsidR="0080710C" w:rsidRPr="00F37760" w:rsidRDefault="0080710C" w:rsidP="0080710C">
            <w:pPr>
              <w:pStyle w:val="Tabletext"/>
              <w:rPr>
                <w:rFonts w:ascii="Arial" w:hAnsi="Arial" w:cs="Arial"/>
                <w:color w:val="FF0000"/>
                <w:sz w:val="18"/>
                <w:szCs w:val="18"/>
              </w:rPr>
            </w:pPr>
            <w:r w:rsidRPr="00F37760">
              <w:rPr>
                <w:rFonts w:ascii="Arial" w:hAnsi="Arial" w:cs="Arial"/>
                <w:color w:val="FF0000"/>
                <w:sz w:val="18"/>
                <w:szCs w:val="18"/>
              </w:rPr>
              <w:t>[Revised]</w:t>
            </w:r>
          </w:p>
          <w:p w14:paraId="5A9664CB" w14:textId="0F046CE7" w:rsidR="0080710C" w:rsidRPr="00F37760" w:rsidRDefault="0080710C" w:rsidP="0080710C">
            <w:pPr>
              <w:pStyle w:val="Tabletext"/>
              <w:rPr>
                <w:rFonts w:ascii="Arial" w:hAnsi="Arial" w:cs="Arial"/>
                <w:color w:val="FF0000"/>
                <w:sz w:val="18"/>
                <w:szCs w:val="18"/>
              </w:rPr>
            </w:pPr>
            <w:r w:rsidRPr="00F37760">
              <w:rPr>
                <w:rFonts w:ascii="Arial" w:hAnsi="Arial" w:cs="Arial"/>
                <w:sz w:val="18"/>
                <w:szCs w:val="18"/>
              </w:rPr>
              <w:t>Note 5.1 Total property, plant and equipment</w:t>
            </w:r>
          </w:p>
        </w:tc>
        <w:tc>
          <w:tcPr>
            <w:cnfStyle w:val="000010000000" w:firstRow="0" w:lastRow="0" w:firstColumn="0" w:lastColumn="0" w:oddVBand="1" w:evenVBand="0" w:oddHBand="0" w:evenHBand="0" w:firstRowFirstColumn="0" w:firstRowLastColumn="0" w:lastRowFirstColumn="0" w:lastRowLastColumn="0"/>
            <w:tcW w:w="1085" w:type="pct"/>
          </w:tcPr>
          <w:p w14:paraId="56A598C3" w14:textId="37D2A632" w:rsidR="0080710C" w:rsidRDefault="0080710C" w:rsidP="0080710C">
            <w:pPr>
              <w:spacing w:before="0" w:after="200"/>
              <w:rPr>
                <w:rFonts w:ascii="Arial" w:hAnsi="Arial" w:cs="Arial"/>
                <w:sz w:val="18"/>
                <w:szCs w:val="18"/>
              </w:rPr>
            </w:pPr>
            <w:r w:rsidRPr="00F37760">
              <w:rPr>
                <w:rFonts w:ascii="Arial" w:hAnsi="Arial" w:cs="Arial"/>
                <w:sz w:val="18"/>
                <w:szCs w:val="18"/>
              </w:rPr>
              <w:t>VAGO Recommendation</w:t>
            </w:r>
          </w:p>
        </w:tc>
        <w:tc>
          <w:tcPr>
            <w:cnfStyle w:val="000001000000" w:firstRow="0" w:lastRow="0" w:firstColumn="0" w:lastColumn="0" w:oddVBand="0" w:evenVBand="1" w:oddHBand="0" w:evenHBand="0" w:firstRowFirstColumn="0" w:firstRowLastColumn="0" w:lastRowFirstColumn="0" w:lastRowLastColumn="0"/>
            <w:tcW w:w="2394" w:type="pct"/>
          </w:tcPr>
          <w:p w14:paraId="29E24297" w14:textId="273EA28F" w:rsidR="0080710C" w:rsidRPr="00F37760" w:rsidRDefault="0080710C" w:rsidP="0080710C">
            <w:pPr>
              <w:pStyle w:val="Tabletext"/>
              <w:rPr>
                <w:rFonts w:ascii="Arial" w:hAnsi="Arial" w:cs="Arial"/>
                <w:sz w:val="18"/>
                <w:szCs w:val="18"/>
              </w:rPr>
            </w:pPr>
            <w:r w:rsidRPr="00F37760">
              <w:rPr>
                <w:rFonts w:ascii="Arial" w:hAnsi="Arial" w:cs="Arial"/>
                <w:sz w:val="18"/>
                <w:szCs w:val="18"/>
              </w:rPr>
              <w:t xml:space="preserve">The note has been updated to include a paragraph on the accounting policy on the impairment of non-financial physical assets under AASB 136 </w:t>
            </w:r>
            <w:r w:rsidRPr="00F37760">
              <w:rPr>
                <w:rFonts w:ascii="Arial" w:hAnsi="Arial" w:cs="Arial"/>
                <w:i/>
                <w:sz w:val="18"/>
                <w:szCs w:val="18"/>
              </w:rPr>
              <w:t>Impairment of Assets</w:t>
            </w:r>
            <w:r w:rsidRPr="00F37760">
              <w:rPr>
                <w:rFonts w:ascii="Arial" w:hAnsi="Arial" w:cs="Arial"/>
                <w:sz w:val="18"/>
                <w:szCs w:val="18"/>
              </w:rPr>
              <w:t xml:space="preserve"> and AASB 2016-4 </w:t>
            </w:r>
            <w:r w:rsidRPr="00F37760">
              <w:rPr>
                <w:rFonts w:ascii="Arial" w:hAnsi="Arial" w:cs="Arial"/>
                <w:i/>
                <w:sz w:val="18"/>
                <w:szCs w:val="18"/>
              </w:rPr>
              <w:t>Amendments to Australian Accounting Standards – Recoverable amount of non-cash-generating specialised assets of not-for-profit entities</w:t>
            </w:r>
            <w:r w:rsidRPr="00F37760">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636" w:type="pct"/>
          </w:tcPr>
          <w:p w14:paraId="682154D9" w14:textId="28EF0BFC" w:rsidR="0080710C" w:rsidRPr="00F37760" w:rsidRDefault="0080710C" w:rsidP="0080710C">
            <w:pPr>
              <w:pStyle w:val="Tabletextcentred"/>
              <w:rPr>
                <w:rFonts w:ascii="Arial" w:hAnsi="Arial" w:cs="Arial"/>
                <w:sz w:val="18"/>
                <w:szCs w:val="18"/>
              </w:rPr>
            </w:pPr>
            <w:r w:rsidRPr="00F37760">
              <w:rPr>
                <w:rFonts w:ascii="Arial" w:hAnsi="Arial" w:cs="Arial"/>
                <w:sz w:val="18"/>
                <w:szCs w:val="18"/>
              </w:rPr>
              <w:t>120</w:t>
            </w:r>
          </w:p>
        </w:tc>
      </w:tr>
      <w:tr w:rsidR="0080710C" w:rsidRPr="00F37760" w14:paraId="15E1497A" w14:textId="77777777" w:rsidTr="00F37760">
        <w:tc>
          <w:tcPr>
            <w:cnfStyle w:val="001000000000" w:firstRow="0" w:lastRow="0" w:firstColumn="1" w:lastColumn="0" w:oddVBand="0" w:evenVBand="0" w:oddHBand="0" w:evenHBand="0" w:firstRowFirstColumn="0" w:firstRowLastColumn="0" w:lastRowFirstColumn="0" w:lastRowLastColumn="0"/>
            <w:tcW w:w="885" w:type="pct"/>
          </w:tcPr>
          <w:p w14:paraId="7ECC7F72" w14:textId="77777777" w:rsidR="0080710C" w:rsidRPr="00F37760" w:rsidRDefault="0080710C" w:rsidP="0080710C">
            <w:pPr>
              <w:pStyle w:val="Tabletext"/>
              <w:rPr>
                <w:rFonts w:ascii="Arial" w:hAnsi="Arial" w:cs="Arial"/>
                <w:color w:val="FF0000"/>
                <w:sz w:val="18"/>
                <w:szCs w:val="18"/>
              </w:rPr>
            </w:pPr>
            <w:r w:rsidRPr="00F37760">
              <w:rPr>
                <w:rFonts w:ascii="Arial" w:hAnsi="Arial" w:cs="Arial"/>
                <w:color w:val="FF0000"/>
                <w:sz w:val="18"/>
                <w:szCs w:val="18"/>
              </w:rPr>
              <w:t>[Revised]</w:t>
            </w:r>
          </w:p>
          <w:p w14:paraId="737F19F0" w14:textId="0642261D" w:rsidR="0080710C" w:rsidRPr="00F37760" w:rsidRDefault="0080710C" w:rsidP="0080710C">
            <w:pPr>
              <w:pStyle w:val="Tabletext"/>
              <w:rPr>
                <w:rFonts w:ascii="Arial" w:hAnsi="Arial" w:cs="Arial"/>
                <w:color w:val="FF0000"/>
                <w:sz w:val="18"/>
                <w:szCs w:val="18"/>
              </w:rPr>
            </w:pPr>
            <w:r w:rsidRPr="00F37760">
              <w:rPr>
                <w:rFonts w:ascii="Arial" w:hAnsi="Arial" w:cs="Arial"/>
                <w:sz w:val="18"/>
                <w:szCs w:val="18"/>
              </w:rPr>
              <w:t>Note 7.5.2 PPP Commitments</w:t>
            </w:r>
          </w:p>
        </w:tc>
        <w:tc>
          <w:tcPr>
            <w:cnfStyle w:val="000010000000" w:firstRow="0" w:lastRow="0" w:firstColumn="0" w:lastColumn="0" w:oddVBand="1" w:evenVBand="0" w:oddHBand="0" w:evenHBand="0" w:firstRowFirstColumn="0" w:firstRowLastColumn="0" w:lastRowFirstColumn="0" w:lastRowLastColumn="0"/>
            <w:tcW w:w="1085" w:type="pct"/>
          </w:tcPr>
          <w:p w14:paraId="6E130EA3" w14:textId="3EB53FBC" w:rsidR="0080710C" w:rsidRPr="00F37760" w:rsidRDefault="0080710C" w:rsidP="0080710C">
            <w:pPr>
              <w:spacing w:before="0" w:after="200"/>
              <w:rPr>
                <w:rFonts w:ascii="Arial" w:hAnsi="Arial" w:cs="Arial"/>
                <w:sz w:val="18"/>
                <w:szCs w:val="18"/>
              </w:rPr>
            </w:pPr>
            <w:r w:rsidRPr="00F37760">
              <w:rPr>
                <w:rFonts w:ascii="Arial" w:hAnsi="Arial" w:cs="Arial"/>
                <w:sz w:val="18"/>
                <w:szCs w:val="18"/>
              </w:rPr>
              <w:t>Recommendation</w:t>
            </w:r>
            <w:r>
              <w:rPr>
                <w:rFonts w:ascii="Arial" w:hAnsi="Arial" w:cs="Arial"/>
                <w:sz w:val="18"/>
                <w:szCs w:val="18"/>
              </w:rPr>
              <w:t xml:space="preserve"> from </w:t>
            </w:r>
            <w:r w:rsidR="0023688D">
              <w:rPr>
                <w:rFonts w:ascii="Arial" w:hAnsi="Arial" w:cs="Arial"/>
                <w:sz w:val="18"/>
                <w:szCs w:val="18"/>
              </w:rPr>
              <w:t>Line Departments and VAGO recommendation</w:t>
            </w:r>
          </w:p>
        </w:tc>
        <w:tc>
          <w:tcPr>
            <w:cnfStyle w:val="000001000000" w:firstRow="0" w:lastRow="0" w:firstColumn="0" w:lastColumn="0" w:oddVBand="0" w:evenVBand="1" w:oddHBand="0" w:evenHBand="0" w:firstRowFirstColumn="0" w:firstRowLastColumn="0" w:lastRowFirstColumn="0" w:lastRowLastColumn="0"/>
            <w:tcW w:w="2394" w:type="pct"/>
          </w:tcPr>
          <w:p w14:paraId="6C256631" w14:textId="09A5F134" w:rsidR="0080710C" w:rsidRPr="00F37760" w:rsidRDefault="0023688D" w:rsidP="0080710C">
            <w:pPr>
              <w:pStyle w:val="Tabletext"/>
              <w:rPr>
                <w:rFonts w:ascii="Arial" w:hAnsi="Arial" w:cs="Arial"/>
                <w:sz w:val="18"/>
                <w:szCs w:val="18"/>
              </w:rPr>
            </w:pPr>
            <w:r>
              <w:rPr>
                <w:rFonts w:ascii="Arial" w:hAnsi="Arial" w:cs="Arial"/>
                <w:sz w:val="18"/>
                <w:szCs w:val="18"/>
              </w:rPr>
              <w:t xml:space="preserve">To assist consistent application and </w:t>
            </w:r>
            <w:r w:rsidR="0080710C" w:rsidRPr="00F37760">
              <w:rPr>
                <w:rFonts w:ascii="Arial" w:hAnsi="Arial" w:cs="Arial"/>
                <w:sz w:val="18"/>
                <w:szCs w:val="18"/>
              </w:rPr>
              <w:t xml:space="preserve">enhanced transparency, a separate column in Table 7.5.2 has been added to disclose the capital contributions that the State </w:t>
            </w:r>
            <w:r>
              <w:rPr>
                <w:rFonts w:ascii="Arial" w:hAnsi="Arial" w:cs="Arial"/>
                <w:sz w:val="18"/>
                <w:szCs w:val="18"/>
              </w:rPr>
              <w:t>is yet to make under its contractual commitment for projects in construction.</w:t>
            </w:r>
            <w:r w:rsidR="0080710C" w:rsidRPr="00F37760">
              <w:rPr>
                <w:rFonts w:ascii="Arial" w:hAnsi="Arial" w:cs="Arial"/>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636" w:type="pct"/>
          </w:tcPr>
          <w:p w14:paraId="154C649B" w14:textId="77777777" w:rsidR="0080710C" w:rsidRPr="00F37760" w:rsidRDefault="0080710C" w:rsidP="0080710C">
            <w:pPr>
              <w:pStyle w:val="Tabletextcentred"/>
              <w:rPr>
                <w:rFonts w:ascii="Arial" w:hAnsi="Arial" w:cs="Arial"/>
                <w:sz w:val="18"/>
                <w:szCs w:val="18"/>
              </w:rPr>
            </w:pPr>
            <w:r w:rsidRPr="00F37760">
              <w:rPr>
                <w:rFonts w:ascii="Arial" w:hAnsi="Arial" w:cs="Arial"/>
                <w:sz w:val="18"/>
                <w:szCs w:val="18"/>
              </w:rPr>
              <w:t>156</w:t>
            </w:r>
          </w:p>
          <w:p w14:paraId="71CE640D" w14:textId="77777777" w:rsidR="0080710C" w:rsidRPr="00F37760" w:rsidRDefault="0080710C" w:rsidP="0080710C">
            <w:pPr>
              <w:pStyle w:val="Tabletextcentred"/>
              <w:rPr>
                <w:rFonts w:ascii="Arial" w:hAnsi="Arial" w:cs="Arial"/>
                <w:sz w:val="18"/>
                <w:szCs w:val="18"/>
              </w:rPr>
            </w:pPr>
          </w:p>
        </w:tc>
      </w:tr>
      <w:tr w:rsidR="0080710C" w:rsidRPr="00F37760" w14:paraId="50CBAA18" w14:textId="77777777" w:rsidTr="00F377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pct"/>
          </w:tcPr>
          <w:p w14:paraId="30493276" w14:textId="77777777" w:rsidR="0080710C" w:rsidRPr="00F37760" w:rsidRDefault="0080710C" w:rsidP="0080710C">
            <w:pPr>
              <w:pStyle w:val="Tabletext"/>
              <w:rPr>
                <w:rFonts w:ascii="Arial" w:hAnsi="Arial" w:cs="Arial"/>
                <w:color w:val="FF0000"/>
                <w:sz w:val="18"/>
                <w:szCs w:val="18"/>
              </w:rPr>
            </w:pPr>
            <w:r w:rsidRPr="00F37760">
              <w:rPr>
                <w:rFonts w:ascii="Arial" w:hAnsi="Arial" w:cs="Arial"/>
                <w:color w:val="FF0000"/>
                <w:sz w:val="18"/>
                <w:szCs w:val="18"/>
              </w:rPr>
              <w:t>[Revised]</w:t>
            </w:r>
          </w:p>
          <w:p w14:paraId="0CC1F7BB" w14:textId="0321A73F" w:rsidR="0080710C" w:rsidRPr="00F37760" w:rsidRDefault="0080710C" w:rsidP="0080710C">
            <w:pPr>
              <w:pStyle w:val="Tabletext"/>
              <w:rPr>
                <w:rFonts w:ascii="Arial" w:hAnsi="Arial" w:cs="Arial"/>
                <w:color w:val="FF0000"/>
                <w:sz w:val="18"/>
                <w:szCs w:val="18"/>
              </w:rPr>
            </w:pPr>
            <w:r w:rsidRPr="00F37760">
              <w:rPr>
                <w:rFonts w:ascii="Arial" w:hAnsi="Arial" w:cs="Arial"/>
                <w:sz w:val="18"/>
                <w:szCs w:val="18"/>
              </w:rPr>
              <w:t xml:space="preserve">Note 9.7 Changes in accounting policies </w:t>
            </w:r>
          </w:p>
        </w:tc>
        <w:tc>
          <w:tcPr>
            <w:cnfStyle w:val="000010000000" w:firstRow="0" w:lastRow="0" w:firstColumn="0" w:lastColumn="0" w:oddVBand="1" w:evenVBand="0" w:oddHBand="0" w:evenHBand="0" w:firstRowFirstColumn="0" w:firstRowLastColumn="0" w:lastRowFirstColumn="0" w:lastRowLastColumn="0"/>
            <w:tcW w:w="1085" w:type="pct"/>
          </w:tcPr>
          <w:p w14:paraId="3D19CF37" w14:textId="77777777" w:rsidR="0080710C" w:rsidRPr="00F37760" w:rsidRDefault="0080710C" w:rsidP="0080710C">
            <w:pPr>
              <w:pStyle w:val="Tabletext"/>
              <w:rPr>
                <w:rFonts w:ascii="Arial" w:hAnsi="Arial" w:cs="Arial"/>
                <w:sz w:val="18"/>
                <w:szCs w:val="18"/>
              </w:rPr>
            </w:pPr>
            <w:r w:rsidRPr="00F37760">
              <w:rPr>
                <w:rFonts w:ascii="Arial" w:hAnsi="Arial" w:cs="Arial"/>
                <w:sz w:val="18"/>
                <w:szCs w:val="18"/>
              </w:rPr>
              <w:t xml:space="preserve">AASB 108 </w:t>
            </w:r>
            <w:r w:rsidRPr="00F37760">
              <w:rPr>
                <w:rFonts w:ascii="Arial" w:hAnsi="Arial" w:cs="Arial"/>
                <w:i/>
                <w:sz w:val="18"/>
                <w:szCs w:val="18"/>
              </w:rPr>
              <w:t>Accounting Policies, Changes in Accounting Estimates and Errors</w:t>
            </w:r>
          </w:p>
          <w:p w14:paraId="08498067" w14:textId="222F34B8" w:rsidR="0080710C" w:rsidRPr="00F37760" w:rsidRDefault="0080710C" w:rsidP="0080710C">
            <w:pPr>
              <w:spacing w:before="0" w:after="200"/>
              <w:rPr>
                <w:rFonts w:ascii="Arial" w:hAnsi="Arial" w:cs="Arial"/>
                <w:sz w:val="18"/>
                <w:szCs w:val="18"/>
              </w:rPr>
            </w:pPr>
            <w:r w:rsidRPr="00F37760">
              <w:rPr>
                <w:rFonts w:ascii="Arial" w:hAnsi="Arial" w:cs="Arial"/>
                <w:sz w:val="18"/>
                <w:szCs w:val="18"/>
              </w:rPr>
              <w:t xml:space="preserve">AASB 9 </w:t>
            </w:r>
            <w:r w:rsidRPr="00F37760">
              <w:rPr>
                <w:rFonts w:ascii="Arial" w:hAnsi="Arial" w:cs="Arial"/>
                <w:i/>
                <w:sz w:val="18"/>
                <w:szCs w:val="18"/>
              </w:rPr>
              <w:t>Financial Instruments</w:t>
            </w:r>
          </w:p>
        </w:tc>
        <w:tc>
          <w:tcPr>
            <w:cnfStyle w:val="000001000000" w:firstRow="0" w:lastRow="0" w:firstColumn="0" w:lastColumn="0" w:oddVBand="0" w:evenVBand="1" w:oddHBand="0" w:evenHBand="0" w:firstRowFirstColumn="0" w:firstRowLastColumn="0" w:lastRowFirstColumn="0" w:lastRowLastColumn="0"/>
            <w:tcW w:w="2394" w:type="pct"/>
          </w:tcPr>
          <w:p w14:paraId="06CF9D21" w14:textId="0806491E" w:rsidR="0080710C" w:rsidRPr="00F37760" w:rsidRDefault="0080710C" w:rsidP="0080710C">
            <w:pPr>
              <w:pStyle w:val="Tabletext"/>
              <w:rPr>
                <w:rFonts w:ascii="Arial" w:hAnsi="Arial" w:cs="Arial"/>
                <w:sz w:val="18"/>
                <w:szCs w:val="18"/>
              </w:rPr>
            </w:pPr>
            <w:r w:rsidRPr="00F37760">
              <w:rPr>
                <w:rFonts w:ascii="Arial" w:hAnsi="Arial" w:cs="Arial"/>
                <w:sz w:val="18"/>
                <w:szCs w:val="18"/>
              </w:rPr>
              <w:t>The section has been amended to incorporate the required transitional disclosures for the first-time adoption of AASB 9 in accordance with AASB 108 retrospective application requirements and AASB 9 specific transition requirements.</w:t>
            </w:r>
          </w:p>
        </w:tc>
        <w:tc>
          <w:tcPr>
            <w:cnfStyle w:val="000100000000" w:firstRow="0" w:lastRow="0" w:firstColumn="0" w:lastColumn="1" w:oddVBand="0" w:evenVBand="0" w:oddHBand="0" w:evenHBand="0" w:firstRowFirstColumn="0" w:firstRowLastColumn="0" w:lastRowFirstColumn="0" w:lastRowLastColumn="0"/>
            <w:tcW w:w="636" w:type="pct"/>
          </w:tcPr>
          <w:p w14:paraId="742FC84E" w14:textId="77777777" w:rsidR="0080710C" w:rsidRPr="00F37760" w:rsidRDefault="0080710C" w:rsidP="0080710C">
            <w:pPr>
              <w:pStyle w:val="Tabletextcentred"/>
              <w:rPr>
                <w:rFonts w:ascii="Arial" w:hAnsi="Arial" w:cs="Arial"/>
                <w:sz w:val="18"/>
                <w:szCs w:val="18"/>
              </w:rPr>
            </w:pPr>
            <w:r w:rsidRPr="00F37760">
              <w:rPr>
                <w:rFonts w:ascii="Arial" w:hAnsi="Arial" w:cs="Arial"/>
                <w:sz w:val="18"/>
                <w:szCs w:val="18"/>
              </w:rPr>
              <w:t>209-21</w:t>
            </w:r>
            <w:r>
              <w:rPr>
                <w:rFonts w:ascii="Arial" w:hAnsi="Arial" w:cs="Arial"/>
                <w:sz w:val="18"/>
                <w:szCs w:val="18"/>
              </w:rPr>
              <w:t>2</w:t>
            </w:r>
          </w:p>
          <w:p w14:paraId="65CBA6D2" w14:textId="77777777" w:rsidR="0080710C" w:rsidRPr="00F37760" w:rsidRDefault="0080710C" w:rsidP="0080710C">
            <w:pPr>
              <w:pStyle w:val="Tabletextcentred"/>
              <w:rPr>
                <w:rFonts w:ascii="Arial" w:hAnsi="Arial" w:cs="Arial"/>
                <w:sz w:val="18"/>
                <w:szCs w:val="18"/>
              </w:rPr>
            </w:pPr>
          </w:p>
        </w:tc>
      </w:tr>
      <w:tr w:rsidR="0080710C" w:rsidRPr="00F37760" w14:paraId="3617395D" w14:textId="77777777" w:rsidTr="00F37760">
        <w:tc>
          <w:tcPr>
            <w:cnfStyle w:val="001000000000" w:firstRow="0" w:lastRow="0" w:firstColumn="1" w:lastColumn="0" w:oddVBand="0" w:evenVBand="0" w:oddHBand="0" w:evenHBand="0" w:firstRowFirstColumn="0" w:firstRowLastColumn="0" w:lastRowFirstColumn="0" w:lastRowLastColumn="0"/>
            <w:tcW w:w="885" w:type="pct"/>
          </w:tcPr>
          <w:p w14:paraId="34007782" w14:textId="77777777" w:rsidR="0080710C" w:rsidRPr="00F37760" w:rsidRDefault="0080710C" w:rsidP="0080710C">
            <w:pPr>
              <w:pStyle w:val="Tabletext"/>
              <w:rPr>
                <w:rFonts w:ascii="Arial" w:hAnsi="Arial" w:cs="Arial"/>
                <w:color w:val="FF0000"/>
                <w:sz w:val="18"/>
                <w:szCs w:val="18"/>
              </w:rPr>
            </w:pPr>
            <w:r w:rsidRPr="00F37760">
              <w:rPr>
                <w:rFonts w:ascii="Arial" w:hAnsi="Arial" w:cs="Arial"/>
                <w:color w:val="FF0000"/>
                <w:sz w:val="18"/>
                <w:szCs w:val="18"/>
              </w:rPr>
              <w:t>[Revised]</w:t>
            </w:r>
          </w:p>
          <w:p w14:paraId="65BA49CF" w14:textId="10F57E16" w:rsidR="0080710C" w:rsidRPr="00F37760" w:rsidRDefault="0080710C" w:rsidP="0080710C">
            <w:pPr>
              <w:pStyle w:val="Tabletext"/>
              <w:rPr>
                <w:rFonts w:ascii="Arial" w:hAnsi="Arial" w:cs="Arial"/>
                <w:color w:val="FF0000"/>
                <w:sz w:val="18"/>
                <w:szCs w:val="18"/>
              </w:rPr>
            </w:pPr>
            <w:r w:rsidRPr="00F37760">
              <w:rPr>
                <w:rFonts w:ascii="Arial" w:hAnsi="Arial" w:cs="Arial"/>
                <w:sz w:val="18"/>
                <w:szCs w:val="18"/>
              </w:rPr>
              <w:t>Note 9.14 Australian Accounting Standards issued that are not yet effective</w:t>
            </w:r>
          </w:p>
        </w:tc>
        <w:tc>
          <w:tcPr>
            <w:cnfStyle w:val="000010000000" w:firstRow="0" w:lastRow="0" w:firstColumn="0" w:lastColumn="0" w:oddVBand="1" w:evenVBand="0" w:oddHBand="0" w:evenHBand="0" w:firstRowFirstColumn="0" w:firstRowLastColumn="0" w:lastRowFirstColumn="0" w:lastRowLastColumn="0"/>
            <w:tcW w:w="1085" w:type="pct"/>
          </w:tcPr>
          <w:p w14:paraId="34F2CCE3" w14:textId="77777777" w:rsidR="0080710C" w:rsidRPr="00F37760" w:rsidRDefault="0080710C" w:rsidP="0080710C">
            <w:pPr>
              <w:pStyle w:val="Tabletext"/>
              <w:rPr>
                <w:rFonts w:ascii="Arial" w:hAnsi="Arial" w:cs="Arial"/>
                <w:sz w:val="18"/>
                <w:szCs w:val="18"/>
              </w:rPr>
            </w:pPr>
            <w:r w:rsidRPr="00F37760">
              <w:rPr>
                <w:rFonts w:ascii="Arial" w:hAnsi="Arial" w:cs="Arial"/>
                <w:sz w:val="18"/>
                <w:szCs w:val="18"/>
              </w:rPr>
              <w:t xml:space="preserve">AASB 108 </w:t>
            </w:r>
            <w:r w:rsidRPr="00F37760">
              <w:rPr>
                <w:rFonts w:ascii="Arial" w:hAnsi="Arial" w:cs="Arial"/>
                <w:i/>
                <w:sz w:val="18"/>
                <w:szCs w:val="18"/>
              </w:rPr>
              <w:t>Accounting Policies, Changes in Accounting Estimates and Errors</w:t>
            </w:r>
          </w:p>
          <w:p w14:paraId="61AAF176" w14:textId="77777777" w:rsidR="0080710C" w:rsidRPr="00F37760" w:rsidRDefault="0080710C" w:rsidP="0080710C">
            <w:pPr>
              <w:pStyle w:val="Tabletext"/>
              <w:rPr>
                <w:rFonts w:ascii="Arial" w:hAnsi="Arial" w:cs="Arial"/>
                <w:i/>
                <w:sz w:val="18"/>
                <w:szCs w:val="18"/>
              </w:rPr>
            </w:pPr>
            <w:r w:rsidRPr="00F37760">
              <w:rPr>
                <w:rFonts w:ascii="Arial" w:hAnsi="Arial" w:cs="Arial"/>
                <w:sz w:val="18"/>
                <w:szCs w:val="18"/>
              </w:rPr>
              <w:t xml:space="preserve">AASB 1059 </w:t>
            </w:r>
            <w:r w:rsidRPr="00F37760">
              <w:rPr>
                <w:rFonts w:ascii="Arial" w:hAnsi="Arial" w:cs="Arial"/>
                <w:i/>
                <w:sz w:val="18"/>
                <w:szCs w:val="18"/>
              </w:rPr>
              <w:t>Service Concession Arrangements: Grantor</w:t>
            </w:r>
          </w:p>
          <w:p w14:paraId="75FE2344" w14:textId="77777777" w:rsidR="0080710C" w:rsidRPr="00F37760" w:rsidRDefault="0080710C" w:rsidP="0080710C">
            <w:pPr>
              <w:pStyle w:val="Tabletext"/>
              <w:rPr>
                <w:rFonts w:ascii="Arial" w:hAnsi="Arial" w:cs="Arial"/>
                <w:i/>
                <w:sz w:val="18"/>
                <w:szCs w:val="18"/>
              </w:rPr>
            </w:pPr>
            <w:r w:rsidRPr="00F37760">
              <w:rPr>
                <w:rFonts w:ascii="Arial" w:hAnsi="Arial" w:cs="Arial"/>
                <w:sz w:val="18"/>
                <w:szCs w:val="18"/>
              </w:rPr>
              <w:t xml:space="preserve">AASB 16 </w:t>
            </w:r>
            <w:r w:rsidRPr="00F37760">
              <w:rPr>
                <w:rFonts w:ascii="Arial" w:hAnsi="Arial" w:cs="Arial"/>
                <w:i/>
                <w:sz w:val="18"/>
                <w:szCs w:val="18"/>
              </w:rPr>
              <w:t>Leases</w:t>
            </w:r>
          </w:p>
          <w:p w14:paraId="319BDB05" w14:textId="77777777" w:rsidR="0080710C" w:rsidRPr="00F37760" w:rsidRDefault="0080710C" w:rsidP="0080710C">
            <w:pPr>
              <w:pStyle w:val="Tabletext"/>
              <w:rPr>
                <w:rFonts w:ascii="Arial" w:hAnsi="Arial" w:cs="Arial"/>
                <w:i/>
                <w:sz w:val="18"/>
                <w:szCs w:val="18"/>
              </w:rPr>
            </w:pPr>
            <w:r w:rsidRPr="00F37760">
              <w:rPr>
                <w:rFonts w:ascii="Arial" w:hAnsi="Arial" w:cs="Arial"/>
                <w:sz w:val="18"/>
                <w:szCs w:val="18"/>
              </w:rPr>
              <w:t xml:space="preserve">AASB 15 </w:t>
            </w:r>
            <w:r w:rsidRPr="00F37760">
              <w:rPr>
                <w:rFonts w:ascii="Arial" w:hAnsi="Arial" w:cs="Arial"/>
                <w:i/>
                <w:sz w:val="18"/>
                <w:szCs w:val="18"/>
              </w:rPr>
              <w:t>Revenue from Contract with Customers</w:t>
            </w:r>
          </w:p>
          <w:p w14:paraId="36AE7366" w14:textId="432E1746" w:rsidR="0080710C" w:rsidRPr="00F37760" w:rsidRDefault="0080710C" w:rsidP="0080710C">
            <w:pPr>
              <w:pStyle w:val="Tabletext"/>
              <w:rPr>
                <w:rFonts w:ascii="Arial" w:hAnsi="Arial" w:cs="Arial"/>
                <w:sz w:val="18"/>
                <w:szCs w:val="18"/>
              </w:rPr>
            </w:pPr>
            <w:r w:rsidRPr="00F37760">
              <w:rPr>
                <w:rFonts w:ascii="Arial" w:hAnsi="Arial" w:cs="Arial"/>
                <w:sz w:val="18"/>
                <w:szCs w:val="18"/>
              </w:rPr>
              <w:t xml:space="preserve">AASB 1058 </w:t>
            </w:r>
            <w:r w:rsidRPr="00F37760">
              <w:rPr>
                <w:rFonts w:ascii="Arial" w:hAnsi="Arial" w:cs="Arial"/>
                <w:i/>
                <w:sz w:val="18"/>
                <w:szCs w:val="18"/>
              </w:rPr>
              <w:t>Income of Not-for-Profit Entities</w:t>
            </w:r>
          </w:p>
        </w:tc>
        <w:tc>
          <w:tcPr>
            <w:cnfStyle w:val="000001000000" w:firstRow="0" w:lastRow="0" w:firstColumn="0" w:lastColumn="0" w:oddVBand="0" w:evenVBand="1" w:oddHBand="0" w:evenHBand="0" w:firstRowFirstColumn="0" w:firstRowLastColumn="0" w:lastRowFirstColumn="0" w:lastRowLastColumn="0"/>
            <w:tcW w:w="2394" w:type="pct"/>
          </w:tcPr>
          <w:p w14:paraId="5A3FA4B5" w14:textId="77777777" w:rsidR="0080710C" w:rsidRPr="00F37760" w:rsidRDefault="0080710C" w:rsidP="0080710C">
            <w:pPr>
              <w:pStyle w:val="Tabletext"/>
              <w:rPr>
                <w:sz w:val="18"/>
                <w:szCs w:val="18"/>
              </w:rPr>
            </w:pPr>
            <w:r w:rsidRPr="00F37760">
              <w:rPr>
                <w:sz w:val="18"/>
                <w:szCs w:val="18"/>
              </w:rPr>
              <w:t>The note has been updated to include example disclosures associated with the new accounting standards (issued but not effective for 30 June 2019) to assist preparers to disclose the potential impact</w:t>
            </w:r>
            <w:r>
              <w:rPr>
                <w:sz w:val="18"/>
                <w:szCs w:val="18"/>
              </w:rPr>
              <w:t>s</w:t>
            </w:r>
            <w:r w:rsidRPr="00F37760">
              <w:rPr>
                <w:sz w:val="18"/>
                <w:szCs w:val="18"/>
              </w:rPr>
              <w:t xml:space="preserve"> of these standards on the Department</w:t>
            </w:r>
            <w:r>
              <w:rPr>
                <w:sz w:val="18"/>
                <w:szCs w:val="18"/>
              </w:rPr>
              <w:t>’</w:t>
            </w:r>
            <w:r w:rsidRPr="00F37760">
              <w:rPr>
                <w:sz w:val="18"/>
                <w:szCs w:val="18"/>
              </w:rPr>
              <w:t>s financial statements in their Annual Financial Report. These include example disclosures for:</w:t>
            </w:r>
          </w:p>
          <w:p w14:paraId="569E8A25" w14:textId="77777777" w:rsidR="0080710C" w:rsidRPr="00F37760" w:rsidRDefault="0080710C" w:rsidP="0080710C">
            <w:pPr>
              <w:pStyle w:val="Tabletext"/>
              <w:numPr>
                <w:ilvl w:val="0"/>
                <w:numId w:val="36"/>
              </w:numPr>
              <w:rPr>
                <w:rFonts w:ascii="Arial" w:hAnsi="Arial" w:cs="Arial"/>
                <w:sz w:val="18"/>
                <w:szCs w:val="18"/>
              </w:rPr>
            </w:pPr>
            <w:r w:rsidRPr="00F37760">
              <w:rPr>
                <w:rFonts w:ascii="Arial" w:hAnsi="Arial" w:cs="Arial"/>
                <w:sz w:val="18"/>
                <w:szCs w:val="18"/>
              </w:rPr>
              <w:t xml:space="preserve">AASB 1059 </w:t>
            </w:r>
            <w:r w:rsidRPr="00F37760">
              <w:rPr>
                <w:rFonts w:ascii="Arial" w:hAnsi="Arial" w:cs="Arial"/>
                <w:i/>
                <w:sz w:val="18"/>
                <w:szCs w:val="18"/>
              </w:rPr>
              <w:t>Service Concession Arrangements: Grantor;</w:t>
            </w:r>
          </w:p>
          <w:p w14:paraId="1B2697D8" w14:textId="77777777" w:rsidR="0080710C" w:rsidRPr="00F37760" w:rsidRDefault="0080710C" w:rsidP="0080710C">
            <w:pPr>
              <w:pStyle w:val="Tabletext"/>
              <w:numPr>
                <w:ilvl w:val="0"/>
                <w:numId w:val="36"/>
              </w:numPr>
              <w:rPr>
                <w:rFonts w:ascii="Arial" w:hAnsi="Arial" w:cs="Arial"/>
                <w:sz w:val="18"/>
                <w:szCs w:val="18"/>
              </w:rPr>
            </w:pPr>
            <w:r w:rsidRPr="00F37760">
              <w:rPr>
                <w:rFonts w:ascii="Arial" w:hAnsi="Arial" w:cs="Arial"/>
                <w:sz w:val="18"/>
                <w:szCs w:val="18"/>
              </w:rPr>
              <w:t xml:space="preserve">AASB 16 </w:t>
            </w:r>
            <w:r w:rsidRPr="00F37760">
              <w:rPr>
                <w:rFonts w:ascii="Arial" w:hAnsi="Arial" w:cs="Arial"/>
                <w:i/>
                <w:sz w:val="18"/>
                <w:szCs w:val="18"/>
              </w:rPr>
              <w:t>Leases;</w:t>
            </w:r>
          </w:p>
          <w:p w14:paraId="329BEA40" w14:textId="77777777" w:rsidR="0080710C" w:rsidRPr="00F37760" w:rsidRDefault="0080710C" w:rsidP="0080710C">
            <w:pPr>
              <w:pStyle w:val="Tabletext"/>
              <w:numPr>
                <w:ilvl w:val="0"/>
                <w:numId w:val="36"/>
              </w:numPr>
              <w:rPr>
                <w:rFonts w:ascii="Arial" w:hAnsi="Arial" w:cs="Arial"/>
                <w:sz w:val="18"/>
                <w:szCs w:val="18"/>
              </w:rPr>
            </w:pPr>
            <w:r w:rsidRPr="00F37760">
              <w:rPr>
                <w:rFonts w:ascii="Arial" w:hAnsi="Arial" w:cs="Arial"/>
                <w:sz w:val="18"/>
                <w:szCs w:val="18"/>
              </w:rPr>
              <w:t xml:space="preserve">AASB 15 </w:t>
            </w:r>
            <w:r w:rsidRPr="00F37760">
              <w:rPr>
                <w:rFonts w:ascii="Arial" w:hAnsi="Arial" w:cs="Arial"/>
                <w:i/>
                <w:sz w:val="18"/>
                <w:szCs w:val="18"/>
              </w:rPr>
              <w:t>Revenue from Contracts with Customers; and</w:t>
            </w:r>
          </w:p>
          <w:p w14:paraId="5D8DEACB" w14:textId="2276563E" w:rsidR="0080710C" w:rsidRPr="00F37760" w:rsidRDefault="0080710C" w:rsidP="0080710C">
            <w:pPr>
              <w:pStyle w:val="Tabletext"/>
              <w:rPr>
                <w:rFonts w:ascii="Arial" w:hAnsi="Arial" w:cs="Arial"/>
                <w:sz w:val="18"/>
                <w:szCs w:val="18"/>
              </w:rPr>
            </w:pPr>
            <w:r w:rsidRPr="00F37760">
              <w:rPr>
                <w:rFonts w:ascii="Arial" w:hAnsi="Arial" w:cs="Arial"/>
                <w:sz w:val="18"/>
                <w:szCs w:val="18"/>
              </w:rPr>
              <w:t xml:space="preserve">AASB 1058 </w:t>
            </w:r>
            <w:r w:rsidRPr="00F37760">
              <w:rPr>
                <w:rFonts w:ascii="Arial" w:hAnsi="Arial" w:cs="Arial"/>
                <w:i/>
                <w:sz w:val="18"/>
                <w:szCs w:val="18"/>
              </w:rPr>
              <w:t xml:space="preserve">Income of Not-for-profit entities. </w:t>
            </w:r>
          </w:p>
        </w:tc>
        <w:tc>
          <w:tcPr>
            <w:cnfStyle w:val="000100000000" w:firstRow="0" w:lastRow="0" w:firstColumn="0" w:lastColumn="1" w:oddVBand="0" w:evenVBand="0" w:oddHBand="0" w:evenHBand="0" w:firstRowFirstColumn="0" w:firstRowLastColumn="0" w:lastRowFirstColumn="0" w:lastRowLastColumn="0"/>
            <w:tcW w:w="636" w:type="pct"/>
          </w:tcPr>
          <w:p w14:paraId="28754650" w14:textId="30D75CD2" w:rsidR="0080710C" w:rsidRPr="00F37760" w:rsidRDefault="0080710C" w:rsidP="0080710C">
            <w:pPr>
              <w:pStyle w:val="Tabletextcentred"/>
              <w:rPr>
                <w:rFonts w:ascii="Arial" w:hAnsi="Arial" w:cs="Arial"/>
                <w:sz w:val="18"/>
                <w:szCs w:val="18"/>
              </w:rPr>
            </w:pPr>
            <w:r w:rsidRPr="00F37760">
              <w:rPr>
                <w:rFonts w:ascii="Arial" w:hAnsi="Arial" w:cs="Arial"/>
                <w:sz w:val="18"/>
                <w:szCs w:val="18"/>
              </w:rPr>
              <w:t>221-223</w:t>
            </w:r>
          </w:p>
        </w:tc>
      </w:tr>
    </w:tbl>
    <w:p w14:paraId="299F7412" w14:textId="77777777" w:rsidR="00F41E7D" w:rsidRDefault="00F41E7D" w:rsidP="005E6AE4">
      <w:pPr>
        <w:pStyle w:val="Tabletext"/>
      </w:pPr>
      <w:r>
        <w:br w:type="page"/>
      </w:r>
    </w:p>
    <w:tbl>
      <w:tblPr>
        <w:tblStyle w:val="DTFtexttable"/>
        <w:tblW w:w="5000" w:type="pct"/>
        <w:tblLook w:val="01A0" w:firstRow="1" w:lastRow="0" w:firstColumn="1" w:lastColumn="1" w:noHBand="0" w:noVBand="0"/>
      </w:tblPr>
      <w:tblGrid>
        <w:gridCol w:w="1587"/>
        <w:gridCol w:w="1819"/>
        <w:gridCol w:w="4570"/>
        <w:gridCol w:w="1164"/>
      </w:tblGrid>
      <w:tr w:rsidR="00F37760" w:rsidRPr="00F37760" w14:paraId="5ABC5773" w14:textId="77777777" w:rsidTr="00B52F4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gridSpan w:val="4"/>
          </w:tcPr>
          <w:p w14:paraId="28839372" w14:textId="04EA9D03" w:rsidR="00F37760" w:rsidRPr="00F37760" w:rsidRDefault="00F37760" w:rsidP="00B52F46">
            <w:pPr>
              <w:pStyle w:val="Tableheader"/>
              <w:rPr>
                <w:sz w:val="18"/>
                <w:szCs w:val="18"/>
              </w:rPr>
            </w:pPr>
            <w:r>
              <w:lastRenderedPageBreak/>
              <w:br w:type="page"/>
            </w:r>
            <w:r w:rsidRPr="00F37760">
              <w:rPr>
                <w:sz w:val="18"/>
                <w:szCs w:val="18"/>
              </w:rPr>
              <w:br w:type="page"/>
              <w:t>Summary of changes – Appendices</w:t>
            </w:r>
          </w:p>
        </w:tc>
      </w:tr>
      <w:tr w:rsidR="00F37760" w:rsidRPr="00F37760" w14:paraId="54A1B9AF" w14:textId="77777777" w:rsidTr="00B52F4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68" w:type="pct"/>
            <w:shd w:val="clear" w:color="auto" w:fill="749CC9" w:themeFill="accent3"/>
          </w:tcPr>
          <w:p w14:paraId="0673CB38" w14:textId="77777777" w:rsidR="00F37760" w:rsidRPr="00F37760" w:rsidRDefault="00F37760" w:rsidP="00B52F46">
            <w:pPr>
              <w:pStyle w:val="Tableheader"/>
              <w:rPr>
                <w:sz w:val="18"/>
                <w:szCs w:val="18"/>
              </w:rPr>
            </w:pPr>
            <w:r w:rsidRPr="00F37760">
              <w:rPr>
                <w:sz w:val="18"/>
                <w:szCs w:val="18"/>
              </w:rPr>
              <w:t xml:space="preserve">Subject matter </w:t>
            </w:r>
          </w:p>
        </w:tc>
        <w:tc>
          <w:tcPr>
            <w:cnfStyle w:val="000010000000" w:firstRow="0" w:lastRow="0" w:firstColumn="0" w:lastColumn="0" w:oddVBand="1" w:evenVBand="0" w:oddHBand="0" w:evenHBand="0" w:firstRowFirstColumn="0" w:firstRowLastColumn="0" w:lastRowFirstColumn="0" w:lastRowLastColumn="0"/>
            <w:tcW w:w="995" w:type="pct"/>
            <w:shd w:val="clear" w:color="auto" w:fill="749CC9" w:themeFill="accent3"/>
          </w:tcPr>
          <w:p w14:paraId="2347E129" w14:textId="77777777" w:rsidR="00F37760" w:rsidRPr="00F37760" w:rsidRDefault="00F37760" w:rsidP="00B52F46">
            <w:pPr>
              <w:pStyle w:val="Tableheader"/>
              <w:rPr>
                <w:sz w:val="18"/>
                <w:szCs w:val="18"/>
              </w:rPr>
            </w:pPr>
            <w:r w:rsidRPr="00F37760">
              <w:rPr>
                <w:sz w:val="18"/>
                <w:szCs w:val="18"/>
              </w:rPr>
              <w:t>Source of change</w:t>
            </w:r>
          </w:p>
        </w:tc>
        <w:tc>
          <w:tcPr>
            <w:cnfStyle w:val="000001000000" w:firstRow="0" w:lastRow="0" w:firstColumn="0" w:lastColumn="0" w:oddVBand="0" w:evenVBand="1" w:oddHBand="0" w:evenHBand="0" w:firstRowFirstColumn="0" w:firstRowLastColumn="0" w:lastRowFirstColumn="0" w:lastRowLastColumn="0"/>
            <w:tcW w:w="2500" w:type="pct"/>
            <w:shd w:val="clear" w:color="auto" w:fill="749CC9" w:themeFill="accent3"/>
          </w:tcPr>
          <w:p w14:paraId="1795B61E" w14:textId="77777777" w:rsidR="00F37760" w:rsidRPr="00F37760" w:rsidRDefault="00F37760" w:rsidP="00B52F46">
            <w:pPr>
              <w:pStyle w:val="Tableheader"/>
              <w:rPr>
                <w:sz w:val="18"/>
                <w:szCs w:val="18"/>
              </w:rPr>
            </w:pPr>
            <w:r w:rsidRPr="00F37760">
              <w:rPr>
                <w:sz w:val="18"/>
                <w:szCs w:val="18"/>
              </w:rPr>
              <w:t>Summary of changes applied to the relevant sections in the Appendices</w:t>
            </w:r>
          </w:p>
        </w:tc>
        <w:tc>
          <w:tcPr>
            <w:cnfStyle w:val="000100001000" w:firstRow="0" w:lastRow="0" w:firstColumn="0" w:lastColumn="1" w:oddVBand="0" w:evenVBand="0" w:oddHBand="0" w:evenHBand="0" w:firstRowFirstColumn="0" w:firstRowLastColumn="1" w:lastRowFirstColumn="0" w:lastRowLastColumn="0"/>
            <w:tcW w:w="637" w:type="pct"/>
            <w:shd w:val="clear" w:color="auto" w:fill="749CC9" w:themeFill="accent3"/>
          </w:tcPr>
          <w:p w14:paraId="657856AB" w14:textId="77777777" w:rsidR="00F37760" w:rsidRPr="00F37760" w:rsidRDefault="00F37760" w:rsidP="00B52F46">
            <w:pPr>
              <w:pStyle w:val="Tableheader"/>
              <w:jc w:val="center"/>
              <w:rPr>
                <w:sz w:val="18"/>
                <w:szCs w:val="18"/>
              </w:rPr>
            </w:pPr>
            <w:r w:rsidRPr="00F37760">
              <w:rPr>
                <w:sz w:val="18"/>
                <w:szCs w:val="18"/>
              </w:rPr>
              <w:t>Page reference</w:t>
            </w:r>
          </w:p>
        </w:tc>
      </w:tr>
      <w:tr w:rsidR="00F37760" w:rsidRPr="00F37760" w14:paraId="526497C3" w14:textId="77777777" w:rsidTr="00B52F46">
        <w:tc>
          <w:tcPr>
            <w:cnfStyle w:val="001000000000" w:firstRow="0" w:lastRow="0" w:firstColumn="1" w:lastColumn="0" w:oddVBand="0" w:evenVBand="0" w:oddHBand="0" w:evenHBand="0" w:firstRowFirstColumn="0" w:firstRowLastColumn="0" w:lastRowFirstColumn="0" w:lastRowLastColumn="0"/>
            <w:tcW w:w="868" w:type="pct"/>
          </w:tcPr>
          <w:p w14:paraId="5B5D4710" w14:textId="77777777" w:rsidR="00F37760" w:rsidRPr="00F37760" w:rsidRDefault="00F37760" w:rsidP="00B52F46">
            <w:pPr>
              <w:pStyle w:val="Tabletext"/>
              <w:rPr>
                <w:rFonts w:ascii="Arial" w:hAnsi="Arial" w:cs="Arial"/>
                <w:color w:val="FF0000"/>
                <w:sz w:val="18"/>
                <w:szCs w:val="18"/>
              </w:rPr>
            </w:pPr>
            <w:r w:rsidRPr="00F37760">
              <w:rPr>
                <w:rFonts w:ascii="Arial" w:hAnsi="Arial" w:cs="Arial"/>
                <w:color w:val="FF0000"/>
                <w:sz w:val="18"/>
                <w:szCs w:val="18"/>
              </w:rPr>
              <w:t>[Revised]</w:t>
            </w:r>
          </w:p>
          <w:p w14:paraId="247C1E82" w14:textId="77777777" w:rsidR="00F37760" w:rsidRPr="00F37760" w:rsidRDefault="00F37760" w:rsidP="00B52F46">
            <w:pPr>
              <w:pStyle w:val="Tabletext"/>
              <w:rPr>
                <w:rFonts w:ascii="Arial" w:hAnsi="Arial" w:cs="Arial"/>
                <w:sz w:val="18"/>
                <w:szCs w:val="18"/>
              </w:rPr>
            </w:pPr>
            <w:r w:rsidRPr="00F37760">
              <w:rPr>
                <w:rFonts w:ascii="Arial" w:hAnsi="Arial" w:cs="Arial"/>
                <w:sz w:val="18"/>
                <w:szCs w:val="18"/>
              </w:rPr>
              <w:t>Appendix 1: Extracts of whole of government financial statements</w:t>
            </w:r>
          </w:p>
        </w:tc>
        <w:tc>
          <w:tcPr>
            <w:cnfStyle w:val="000010000000" w:firstRow="0" w:lastRow="0" w:firstColumn="0" w:lastColumn="0" w:oddVBand="1" w:evenVBand="0" w:oddHBand="0" w:evenHBand="0" w:firstRowFirstColumn="0" w:firstRowLastColumn="0" w:lastRowFirstColumn="0" w:lastRowLastColumn="0"/>
            <w:tcW w:w="995" w:type="pct"/>
          </w:tcPr>
          <w:p w14:paraId="48AB3811" w14:textId="77777777" w:rsidR="00F37760" w:rsidRPr="00F37760" w:rsidRDefault="00F37760" w:rsidP="00B52F46">
            <w:pPr>
              <w:pStyle w:val="Tabletext"/>
              <w:rPr>
                <w:rFonts w:ascii="Arial" w:hAnsi="Arial" w:cs="Arial"/>
                <w:sz w:val="18"/>
                <w:szCs w:val="18"/>
              </w:rPr>
            </w:pPr>
            <w:r w:rsidRPr="00F37760">
              <w:rPr>
                <w:rFonts w:ascii="Arial" w:hAnsi="Arial" w:cs="Arial"/>
                <w:sz w:val="18"/>
                <w:szCs w:val="18"/>
              </w:rPr>
              <w:t xml:space="preserve">Annual update </w:t>
            </w:r>
          </w:p>
        </w:tc>
        <w:tc>
          <w:tcPr>
            <w:cnfStyle w:val="000001000000" w:firstRow="0" w:lastRow="0" w:firstColumn="0" w:lastColumn="0" w:oddVBand="0" w:evenVBand="1" w:oddHBand="0" w:evenHBand="0" w:firstRowFirstColumn="0" w:firstRowLastColumn="0" w:lastRowFirstColumn="0" w:lastRowLastColumn="0"/>
            <w:tcW w:w="2500" w:type="pct"/>
          </w:tcPr>
          <w:p w14:paraId="6B92D205" w14:textId="77777777" w:rsidR="00F37760" w:rsidRPr="00F37760" w:rsidRDefault="00F37760" w:rsidP="00B52F46">
            <w:pPr>
              <w:pStyle w:val="Tabletext"/>
              <w:rPr>
                <w:rFonts w:ascii="Arial" w:hAnsi="Arial" w:cs="Arial"/>
                <w:sz w:val="18"/>
                <w:szCs w:val="18"/>
              </w:rPr>
            </w:pPr>
            <w:r w:rsidRPr="00F37760">
              <w:rPr>
                <w:rFonts w:ascii="Arial" w:hAnsi="Arial" w:cs="Arial"/>
                <w:sz w:val="18"/>
                <w:szCs w:val="18"/>
              </w:rPr>
              <w:t>The extract of the Whole of Government and General Government financial statements have been updated to reflect the suite of publications for the 2018-19 financial year.</w:t>
            </w:r>
          </w:p>
        </w:tc>
        <w:tc>
          <w:tcPr>
            <w:cnfStyle w:val="000100000000" w:firstRow="0" w:lastRow="0" w:firstColumn="0" w:lastColumn="1" w:oddVBand="0" w:evenVBand="0" w:oddHBand="0" w:evenHBand="0" w:firstRowFirstColumn="0" w:firstRowLastColumn="0" w:lastRowFirstColumn="0" w:lastRowLastColumn="0"/>
            <w:tcW w:w="637" w:type="pct"/>
          </w:tcPr>
          <w:p w14:paraId="7A8FEE97" w14:textId="77777777" w:rsidR="00F37760" w:rsidRPr="00F37760" w:rsidRDefault="00F37760" w:rsidP="00B52F46">
            <w:pPr>
              <w:pStyle w:val="Tabletextcentred"/>
              <w:rPr>
                <w:rFonts w:ascii="Arial" w:hAnsi="Arial" w:cs="Arial"/>
                <w:sz w:val="18"/>
                <w:szCs w:val="18"/>
              </w:rPr>
            </w:pPr>
            <w:r w:rsidRPr="00F37760">
              <w:rPr>
                <w:rFonts w:ascii="Arial" w:hAnsi="Arial" w:cs="Arial"/>
                <w:sz w:val="18"/>
                <w:szCs w:val="18"/>
              </w:rPr>
              <w:t>248-263</w:t>
            </w:r>
          </w:p>
          <w:p w14:paraId="7EC122E5" w14:textId="77777777" w:rsidR="00F37760" w:rsidRPr="00F37760" w:rsidRDefault="00F37760" w:rsidP="00B52F46">
            <w:pPr>
              <w:pStyle w:val="Tabletextcentred"/>
              <w:rPr>
                <w:rFonts w:ascii="Arial" w:hAnsi="Arial" w:cs="Arial"/>
                <w:sz w:val="18"/>
                <w:szCs w:val="18"/>
              </w:rPr>
            </w:pPr>
          </w:p>
        </w:tc>
      </w:tr>
      <w:tr w:rsidR="00F37760" w:rsidRPr="00F37760" w14:paraId="35A02DFE" w14:textId="77777777" w:rsidTr="00B52F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14:paraId="781EF552" w14:textId="77777777" w:rsidR="00F37760" w:rsidRPr="00F37760" w:rsidRDefault="00F37760" w:rsidP="00B52F46">
            <w:pPr>
              <w:pStyle w:val="Tabletext"/>
              <w:rPr>
                <w:rFonts w:ascii="Arial" w:hAnsi="Arial" w:cs="Arial"/>
                <w:color w:val="FF0000"/>
                <w:sz w:val="18"/>
                <w:szCs w:val="18"/>
              </w:rPr>
            </w:pPr>
            <w:r w:rsidRPr="00F37760">
              <w:rPr>
                <w:rFonts w:ascii="Arial" w:hAnsi="Arial" w:cs="Arial"/>
                <w:color w:val="FF0000"/>
                <w:sz w:val="18"/>
                <w:szCs w:val="18"/>
              </w:rPr>
              <w:t>[Revised]</w:t>
            </w:r>
          </w:p>
          <w:p w14:paraId="56B630B1" w14:textId="77777777" w:rsidR="00F37760" w:rsidRPr="00F37760" w:rsidRDefault="00F37760" w:rsidP="00B52F46">
            <w:pPr>
              <w:pStyle w:val="Tabletext"/>
              <w:rPr>
                <w:rFonts w:ascii="Arial" w:hAnsi="Arial" w:cs="Arial"/>
                <w:color w:val="FF0000"/>
                <w:sz w:val="18"/>
                <w:szCs w:val="18"/>
              </w:rPr>
            </w:pPr>
            <w:r w:rsidRPr="00F37760">
              <w:rPr>
                <w:rFonts w:ascii="Arial" w:hAnsi="Arial" w:cs="Arial"/>
                <w:sz w:val="18"/>
                <w:szCs w:val="18"/>
              </w:rPr>
              <w:t>Appendix 3: Understanding the Independent Audit’s Report</w:t>
            </w:r>
          </w:p>
        </w:tc>
        <w:tc>
          <w:tcPr>
            <w:cnfStyle w:val="000010000000" w:firstRow="0" w:lastRow="0" w:firstColumn="0" w:lastColumn="0" w:oddVBand="1" w:evenVBand="0" w:oddHBand="0" w:evenHBand="0" w:firstRowFirstColumn="0" w:firstRowLastColumn="0" w:lastRowFirstColumn="0" w:lastRowLastColumn="0"/>
            <w:tcW w:w="995" w:type="pct"/>
          </w:tcPr>
          <w:p w14:paraId="2676D157" w14:textId="77777777" w:rsidR="00F37760" w:rsidRPr="00F37760" w:rsidRDefault="00F37760" w:rsidP="00B52F46">
            <w:pPr>
              <w:pStyle w:val="Tabletext"/>
              <w:rPr>
                <w:rFonts w:ascii="Arial" w:hAnsi="Arial" w:cs="Arial"/>
                <w:sz w:val="18"/>
                <w:szCs w:val="18"/>
              </w:rPr>
            </w:pPr>
            <w:r w:rsidRPr="00F37760">
              <w:rPr>
                <w:rFonts w:ascii="Arial" w:hAnsi="Arial" w:cs="Arial"/>
                <w:sz w:val="18"/>
                <w:szCs w:val="18"/>
              </w:rPr>
              <w:t>Auditors Report</w:t>
            </w:r>
          </w:p>
        </w:tc>
        <w:tc>
          <w:tcPr>
            <w:cnfStyle w:val="000001000000" w:firstRow="0" w:lastRow="0" w:firstColumn="0" w:lastColumn="0" w:oddVBand="0" w:evenVBand="1" w:oddHBand="0" w:evenHBand="0" w:firstRowFirstColumn="0" w:firstRowLastColumn="0" w:lastRowFirstColumn="0" w:lastRowLastColumn="0"/>
            <w:tcW w:w="2500" w:type="pct"/>
          </w:tcPr>
          <w:p w14:paraId="3749C4AE" w14:textId="77777777" w:rsidR="00F37760" w:rsidRPr="00F37760" w:rsidRDefault="00F37760" w:rsidP="00B52F46">
            <w:pPr>
              <w:pStyle w:val="Tabletext"/>
              <w:rPr>
                <w:rFonts w:ascii="Arial" w:hAnsi="Arial" w:cs="Arial"/>
                <w:sz w:val="18"/>
                <w:szCs w:val="18"/>
              </w:rPr>
            </w:pPr>
            <w:r w:rsidRPr="00F37760">
              <w:rPr>
                <w:rFonts w:ascii="Arial" w:hAnsi="Arial" w:cs="Arial"/>
                <w:sz w:val="18"/>
                <w:szCs w:val="18"/>
              </w:rPr>
              <w:t xml:space="preserve">Guidance on VAGO’s independent auditor’s report has been added to assist users on the interpretation of the auditor’s report. </w:t>
            </w:r>
          </w:p>
        </w:tc>
        <w:tc>
          <w:tcPr>
            <w:cnfStyle w:val="000100000000" w:firstRow="0" w:lastRow="0" w:firstColumn="0" w:lastColumn="1" w:oddVBand="0" w:evenVBand="0" w:oddHBand="0" w:evenHBand="0" w:firstRowFirstColumn="0" w:firstRowLastColumn="0" w:lastRowFirstColumn="0" w:lastRowLastColumn="0"/>
            <w:tcW w:w="637" w:type="pct"/>
          </w:tcPr>
          <w:p w14:paraId="240B2B64" w14:textId="77777777" w:rsidR="00F37760" w:rsidRPr="00F37760" w:rsidRDefault="00F37760" w:rsidP="00B52F46">
            <w:pPr>
              <w:pStyle w:val="Tabletextcentred"/>
              <w:rPr>
                <w:rFonts w:ascii="Arial" w:hAnsi="Arial" w:cs="Arial"/>
                <w:sz w:val="18"/>
                <w:szCs w:val="18"/>
              </w:rPr>
            </w:pPr>
            <w:r w:rsidRPr="00F37760">
              <w:rPr>
                <w:rFonts w:ascii="Arial" w:hAnsi="Arial" w:cs="Arial"/>
                <w:sz w:val="18"/>
                <w:szCs w:val="18"/>
              </w:rPr>
              <w:t>270-271</w:t>
            </w:r>
          </w:p>
          <w:p w14:paraId="5B8C6F8C" w14:textId="77777777" w:rsidR="00F37760" w:rsidRPr="00F37760" w:rsidRDefault="00F37760" w:rsidP="00B52F46">
            <w:pPr>
              <w:pStyle w:val="Tabletextcentred"/>
              <w:rPr>
                <w:rFonts w:ascii="Arial" w:hAnsi="Arial" w:cs="Arial"/>
                <w:sz w:val="18"/>
                <w:szCs w:val="18"/>
              </w:rPr>
            </w:pPr>
          </w:p>
        </w:tc>
      </w:tr>
      <w:tr w:rsidR="00F37760" w:rsidRPr="00F37760" w14:paraId="3DE46F8B" w14:textId="77777777" w:rsidTr="00B52F46">
        <w:tc>
          <w:tcPr>
            <w:cnfStyle w:val="001000000000" w:firstRow="0" w:lastRow="0" w:firstColumn="1" w:lastColumn="0" w:oddVBand="0" w:evenVBand="0" w:oddHBand="0" w:evenHBand="0" w:firstRowFirstColumn="0" w:firstRowLastColumn="0" w:lastRowFirstColumn="0" w:lastRowLastColumn="0"/>
            <w:tcW w:w="868" w:type="pct"/>
          </w:tcPr>
          <w:p w14:paraId="5D1144D6" w14:textId="77777777" w:rsidR="00F37760" w:rsidRPr="00F37760" w:rsidRDefault="00F37760" w:rsidP="00B52F46">
            <w:pPr>
              <w:pStyle w:val="Tabletext"/>
              <w:rPr>
                <w:rFonts w:ascii="Arial" w:hAnsi="Arial" w:cs="Arial"/>
                <w:color w:val="FF0000"/>
                <w:sz w:val="18"/>
                <w:szCs w:val="18"/>
              </w:rPr>
            </w:pPr>
            <w:r w:rsidRPr="00F37760">
              <w:rPr>
                <w:rFonts w:ascii="Arial" w:hAnsi="Arial" w:cs="Arial"/>
                <w:color w:val="FF0000"/>
                <w:sz w:val="18"/>
                <w:szCs w:val="18"/>
              </w:rPr>
              <w:t>[Revised]</w:t>
            </w:r>
          </w:p>
          <w:p w14:paraId="7A8A9E3B" w14:textId="77777777" w:rsidR="00F37760" w:rsidRPr="00F37760" w:rsidRDefault="00F37760" w:rsidP="00B52F46">
            <w:pPr>
              <w:pStyle w:val="Tabletext"/>
              <w:rPr>
                <w:rFonts w:ascii="Arial" w:hAnsi="Arial" w:cs="Arial"/>
                <w:sz w:val="18"/>
                <w:szCs w:val="18"/>
              </w:rPr>
            </w:pPr>
            <w:r w:rsidRPr="00F37760">
              <w:rPr>
                <w:rFonts w:ascii="Arial" w:hAnsi="Arial" w:cs="Arial"/>
                <w:sz w:val="18"/>
                <w:szCs w:val="18"/>
              </w:rPr>
              <w:t>Appendix 10A:</w:t>
            </w:r>
          </w:p>
          <w:p w14:paraId="32E52B21" w14:textId="77777777" w:rsidR="00F37760" w:rsidRPr="00F37760" w:rsidRDefault="00F37760" w:rsidP="00B52F46">
            <w:pPr>
              <w:pStyle w:val="Tabletext"/>
              <w:rPr>
                <w:rFonts w:ascii="Arial" w:hAnsi="Arial" w:cs="Arial"/>
                <w:color w:val="FF0000"/>
                <w:sz w:val="18"/>
                <w:szCs w:val="18"/>
              </w:rPr>
            </w:pPr>
            <w:r w:rsidRPr="00F37760">
              <w:rPr>
                <w:rFonts w:ascii="Arial" w:hAnsi="Arial" w:cs="Arial"/>
                <w:sz w:val="18"/>
                <w:szCs w:val="18"/>
              </w:rPr>
              <w:t>Cabinet ministers as at 1 July 2018</w:t>
            </w:r>
          </w:p>
        </w:tc>
        <w:tc>
          <w:tcPr>
            <w:cnfStyle w:val="000010000000" w:firstRow="0" w:lastRow="0" w:firstColumn="0" w:lastColumn="0" w:oddVBand="1" w:evenVBand="0" w:oddHBand="0" w:evenHBand="0" w:firstRowFirstColumn="0" w:firstRowLastColumn="0" w:lastRowFirstColumn="0" w:lastRowLastColumn="0"/>
            <w:tcW w:w="995" w:type="pct"/>
          </w:tcPr>
          <w:p w14:paraId="50001DDC" w14:textId="09E65DAA" w:rsidR="00F37760" w:rsidRPr="00F37760" w:rsidRDefault="00F37760" w:rsidP="00B52F46">
            <w:pPr>
              <w:pStyle w:val="Tabletext"/>
              <w:rPr>
                <w:rFonts w:ascii="Arial" w:hAnsi="Arial" w:cs="Arial"/>
                <w:sz w:val="18"/>
                <w:szCs w:val="18"/>
              </w:rPr>
            </w:pPr>
            <w:r w:rsidRPr="00F37760">
              <w:rPr>
                <w:rFonts w:ascii="Arial" w:hAnsi="Arial" w:cs="Arial"/>
                <w:sz w:val="18"/>
                <w:szCs w:val="18"/>
              </w:rPr>
              <w:t xml:space="preserve">Key Management Personnel for the State (Cabinet). </w:t>
            </w:r>
          </w:p>
          <w:p w14:paraId="2F8665B4" w14:textId="77777777" w:rsidR="00F37760" w:rsidRPr="00F37760" w:rsidRDefault="00F37760" w:rsidP="00B52F46">
            <w:pPr>
              <w:pStyle w:val="Tabletext"/>
              <w:rPr>
                <w:rFonts w:ascii="Arial" w:hAnsi="Arial" w:cs="Arial"/>
                <w:sz w:val="18"/>
                <w:szCs w:val="18"/>
              </w:rPr>
            </w:pPr>
          </w:p>
        </w:tc>
        <w:tc>
          <w:tcPr>
            <w:cnfStyle w:val="000001000000" w:firstRow="0" w:lastRow="0" w:firstColumn="0" w:lastColumn="0" w:oddVBand="0" w:evenVBand="1" w:oddHBand="0" w:evenHBand="0" w:firstRowFirstColumn="0" w:firstRowLastColumn="0" w:lastRowFirstColumn="0" w:lastRowLastColumn="0"/>
            <w:tcW w:w="2500" w:type="pct"/>
          </w:tcPr>
          <w:p w14:paraId="51F869A1" w14:textId="291F8E84" w:rsidR="00F37760" w:rsidRPr="00F37760" w:rsidRDefault="00F37760" w:rsidP="00B52F46">
            <w:pPr>
              <w:pStyle w:val="Tabletext"/>
              <w:rPr>
                <w:rFonts w:ascii="Arial" w:hAnsi="Arial" w:cs="Arial"/>
                <w:sz w:val="18"/>
                <w:szCs w:val="18"/>
              </w:rPr>
            </w:pPr>
            <w:r w:rsidRPr="00F37760">
              <w:rPr>
                <w:rFonts w:ascii="Arial" w:hAnsi="Arial" w:cs="Arial"/>
                <w:sz w:val="18"/>
                <w:szCs w:val="18"/>
              </w:rPr>
              <w:t xml:space="preserve">To support the completeness of the related party disclosures in the annual report, the listing of Cabinet Ministers </w:t>
            </w:r>
            <w:r w:rsidR="00B51703" w:rsidRPr="00F37760">
              <w:rPr>
                <w:rFonts w:ascii="Arial" w:hAnsi="Arial" w:cs="Arial"/>
                <w:sz w:val="18"/>
                <w:szCs w:val="18"/>
              </w:rPr>
              <w:t>has</w:t>
            </w:r>
            <w:r w:rsidRPr="00F37760">
              <w:rPr>
                <w:rFonts w:ascii="Arial" w:hAnsi="Arial" w:cs="Arial"/>
                <w:sz w:val="18"/>
                <w:szCs w:val="18"/>
              </w:rPr>
              <w:t xml:space="preserve"> been updated to reflect the change in Cabinet and Ministerial appointments due to the </w:t>
            </w:r>
            <w:r w:rsidR="00751323">
              <w:rPr>
                <w:rFonts w:ascii="Arial" w:hAnsi="Arial" w:cs="Arial"/>
                <w:sz w:val="18"/>
                <w:szCs w:val="18"/>
              </w:rPr>
              <w:t>S</w:t>
            </w:r>
            <w:r w:rsidRPr="00F37760">
              <w:rPr>
                <w:rFonts w:ascii="Arial" w:hAnsi="Arial" w:cs="Arial"/>
                <w:sz w:val="18"/>
                <w:szCs w:val="18"/>
              </w:rPr>
              <w:t>tate election held in the current financial year.</w:t>
            </w:r>
          </w:p>
          <w:p w14:paraId="41F92B04" w14:textId="77777777" w:rsidR="00F37760" w:rsidRPr="00F37760" w:rsidRDefault="00F37760" w:rsidP="00B52F46">
            <w:pPr>
              <w:pStyle w:val="Tabletext"/>
              <w:rPr>
                <w:rFonts w:ascii="Arial" w:hAnsi="Arial" w:cs="Arial"/>
                <w:sz w:val="18"/>
                <w:szCs w:val="18"/>
              </w:rPr>
            </w:pPr>
            <w:r w:rsidRPr="00F37760">
              <w:rPr>
                <w:rFonts w:ascii="Arial" w:hAnsi="Arial" w:cs="Arial"/>
                <w:sz w:val="18"/>
                <w:szCs w:val="18"/>
              </w:rPr>
              <w:t>Information has been provided in two tables:</w:t>
            </w:r>
          </w:p>
          <w:p w14:paraId="0EF41704" w14:textId="77777777" w:rsidR="00F37760" w:rsidRPr="00F37760" w:rsidRDefault="00F37760" w:rsidP="00B52F46">
            <w:pPr>
              <w:pStyle w:val="Tabletext"/>
              <w:numPr>
                <w:ilvl w:val="0"/>
                <w:numId w:val="32"/>
              </w:numPr>
              <w:rPr>
                <w:rFonts w:ascii="Arial" w:hAnsi="Arial" w:cs="Arial"/>
                <w:sz w:val="18"/>
                <w:szCs w:val="18"/>
              </w:rPr>
            </w:pPr>
            <w:r w:rsidRPr="00F37760">
              <w:rPr>
                <w:rFonts w:ascii="Arial" w:hAnsi="Arial" w:cs="Arial"/>
                <w:sz w:val="18"/>
                <w:szCs w:val="18"/>
              </w:rPr>
              <w:t>Cabinet ministers in office for the period 1 July -30 October 2018 (i.e. up to the start of caretaker); and Cabinet ministers in office following the State election.</w:t>
            </w:r>
          </w:p>
          <w:p w14:paraId="4523B0C5" w14:textId="77777777" w:rsidR="00F37760" w:rsidRPr="00F37760" w:rsidRDefault="00F37760" w:rsidP="00B52F46">
            <w:pPr>
              <w:pStyle w:val="Tabletext"/>
              <w:rPr>
                <w:rFonts w:ascii="Arial" w:hAnsi="Arial" w:cs="Arial"/>
                <w:sz w:val="18"/>
                <w:szCs w:val="18"/>
              </w:rPr>
            </w:pPr>
          </w:p>
          <w:p w14:paraId="054157E0" w14:textId="77777777" w:rsidR="00F37760" w:rsidRPr="00F37760" w:rsidRDefault="00F37760" w:rsidP="00B52F46">
            <w:pPr>
              <w:pStyle w:val="Tabletext"/>
              <w:rPr>
                <w:rFonts w:ascii="Arial" w:hAnsi="Arial" w:cs="Arial"/>
                <w:sz w:val="18"/>
                <w:szCs w:val="18"/>
              </w:rPr>
            </w:pPr>
            <w:r w:rsidRPr="00F37760">
              <w:rPr>
                <w:rFonts w:ascii="Arial" w:hAnsi="Arial" w:cs="Arial"/>
                <w:sz w:val="18"/>
                <w:szCs w:val="18"/>
              </w:rPr>
              <w:t>The table of Register of Members’ Interests has been updated to reflect the publications for the 2018-19 financial year.</w:t>
            </w:r>
          </w:p>
        </w:tc>
        <w:tc>
          <w:tcPr>
            <w:cnfStyle w:val="000100000000" w:firstRow="0" w:lastRow="0" w:firstColumn="0" w:lastColumn="1" w:oddVBand="0" w:evenVBand="0" w:oddHBand="0" w:evenHBand="0" w:firstRowFirstColumn="0" w:firstRowLastColumn="0" w:lastRowFirstColumn="0" w:lastRowLastColumn="0"/>
            <w:tcW w:w="637" w:type="pct"/>
          </w:tcPr>
          <w:p w14:paraId="36D4EBD7" w14:textId="77777777" w:rsidR="00F37760" w:rsidRPr="00F37760" w:rsidRDefault="00F37760" w:rsidP="00B52F46">
            <w:pPr>
              <w:pStyle w:val="Tabletextcentred"/>
              <w:rPr>
                <w:rFonts w:ascii="Arial" w:hAnsi="Arial" w:cs="Arial"/>
                <w:sz w:val="18"/>
                <w:szCs w:val="18"/>
              </w:rPr>
            </w:pPr>
            <w:r w:rsidRPr="00F37760">
              <w:rPr>
                <w:rFonts w:ascii="Arial" w:hAnsi="Arial" w:cs="Arial"/>
                <w:sz w:val="18"/>
                <w:szCs w:val="18"/>
              </w:rPr>
              <w:t>307-309</w:t>
            </w:r>
          </w:p>
          <w:p w14:paraId="21686B2D" w14:textId="77777777" w:rsidR="00F37760" w:rsidRPr="00F37760" w:rsidRDefault="00F37760" w:rsidP="00B52F46">
            <w:pPr>
              <w:pStyle w:val="Tabletextcentred"/>
              <w:rPr>
                <w:rFonts w:ascii="Arial" w:hAnsi="Arial" w:cs="Arial"/>
                <w:sz w:val="18"/>
                <w:szCs w:val="18"/>
              </w:rPr>
            </w:pPr>
          </w:p>
        </w:tc>
      </w:tr>
      <w:tr w:rsidR="00F37760" w:rsidRPr="00F37760" w14:paraId="312D165A" w14:textId="77777777" w:rsidTr="00B52F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14:paraId="7F980B4C" w14:textId="77777777" w:rsidR="00F37760" w:rsidRPr="00F37760" w:rsidRDefault="00F37760" w:rsidP="00B52F46">
            <w:pPr>
              <w:pStyle w:val="Tabletext"/>
              <w:rPr>
                <w:rFonts w:ascii="Arial" w:hAnsi="Arial" w:cs="Arial"/>
                <w:color w:val="FF0000"/>
                <w:sz w:val="18"/>
                <w:szCs w:val="18"/>
              </w:rPr>
            </w:pPr>
            <w:r w:rsidRPr="00F37760">
              <w:rPr>
                <w:rFonts w:ascii="Arial" w:hAnsi="Arial" w:cs="Arial"/>
                <w:color w:val="FF0000"/>
                <w:sz w:val="18"/>
                <w:szCs w:val="18"/>
              </w:rPr>
              <w:t>[New]</w:t>
            </w:r>
          </w:p>
          <w:p w14:paraId="06F660B8" w14:textId="77777777" w:rsidR="00F37760" w:rsidRPr="00F37760" w:rsidRDefault="00F37760" w:rsidP="00B52F46">
            <w:pPr>
              <w:pStyle w:val="Tabletext"/>
              <w:rPr>
                <w:rFonts w:ascii="Arial" w:hAnsi="Arial" w:cs="Arial"/>
                <w:color w:val="FF0000"/>
                <w:sz w:val="18"/>
                <w:szCs w:val="18"/>
              </w:rPr>
            </w:pPr>
            <w:r w:rsidRPr="00F37760">
              <w:rPr>
                <w:rFonts w:ascii="Arial" w:hAnsi="Arial" w:cs="Arial"/>
                <w:sz w:val="18"/>
                <w:szCs w:val="18"/>
              </w:rPr>
              <w:t>Appendix 12: New Accounting Standards Instructions Pack Checklists</w:t>
            </w:r>
          </w:p>
        </w:tc>
        <w:tc>
          <w:tcPr>
            <w:cnfStyle w:val="000010000000" w:firstRow="0" w:lastRow="0" w:firstColumn="0" w:lastColumn="0" w:oddVBand="1" w:evenVBand="0" w:oddHBand="0" w:evenHBand="0" w:firstRowFirstColumn="0" w:firstRowLastColumn="0" w:lastRowFirstColumn="0" w:lastRowLastColumn="0"/>
            <w:tcW w:w="995" w:type="pct"/>
          </w:tcPr>
          <w:p w14:paraId="34E91AEE" w14:textId="77777777" w:rsidR="00F37760" w:rsidRPr="00F37760" w:rsidRDefault="00F37760" w:rsidP="00B52F46">
            <w:pPr>
              <w:pStyle w:val="Tabletext"/>
              <w:rPr>
                <w:rFonts w:ascii="Arial" w:hAnsi="Arial" w:cs="Arial"/>
                <w:sz w:val="18"/>
                <w:szCs w:val="18"/>
              </w:rPr>
            </w:pPr>
            <w:r w:rsidRPr="00F37760">
              <w:rPr>
                <w:rFonts w:ascii="Arial" w:hAnsi="Arial" w:cs="Arial"/>
                <w:sz w:val="18"/>
                <w:szCs w:val="18"/>
              </w:rPr>
              <w:t>Relocation to the DTF website</w:t>
            </w:r>
          </w:p>
        </w:tc>
        <w:tc>
          <w:tcPr>
            <w:cnfStyle w:val="000001000000" w:firstRow="0" w:lastRow="0" w:firstColumn="0" w:lastColumn="0" w:oddVBand="0" w:evenVBand="1" w:oddHBand="0" w:evenHBand="0" w:firstRowFirstColumn="0" w:firstRowLastColumn="0" w:lastRowFirstColumn="0" w:lastRowLastColumn="0"/>
            <w:tcW w:w="2500" w:type="pct"/>
          </w:tcPr>
          <w:p w14:paraId="4DC098E1" w14:textId="3BC99114" w:rsidR="00F37760" w:rsidRDefault="00F37760" w:rsidP="00B52F46">
            <w:pPr>
              <w:pStyle w:val="Tabletext"/>
              <w:rPr>
                <w:rFonts w:ascii="Arial" w:hAnsi="Arial" w:cs="Arial"/>
                <w:color w:val="FF0000"/>
                <w:sz w:val="18"/>
                <w:szCs w:val="18"/>
              </w:rPr>
            </w:pPr>
            <w:r w:rsidRPr="00F37760">
              <w:rPr>
                <w:rFonts w:ascii="Arial" w:hAnsi="Arial" w:cs="Arial"/>
                <w:sz w:val="18"/>
                <w:szCs w:val="18"/>
              </w:rPr>
              <w:t xml:space="preserve">The assessment checklists on the </w:t>
            </w:r>
            <w:r w:rsidR="00D710E2">
              <w:rPr>
                <w:rFonts w:ascii="Arial" w:hAnsi="Arial" w:cs="Arial"/>
                <w:sz w:val="18"/>
                <w:szCs w:val="18"/>
              </w:rPr>
              <w:t>new Australian Accounting Standards</w:t>
            </w:r>
            <w:r w:rsidRPr="00F37760">
              <w:rPr>
                <w:rFonts w:ascii="Arial" w:hAnsi="Arial" w:cs="Arial"/>
                <w:sz w:val="18"/>
                <w:szCs w:val="18"/>
              </w:rPr>
              <w:t xml:space="preserve"> have been relocated from the Model Report and published on the DTF website at:</w:t>
            </w:r>
          </w:p>
          <w:p w14:paraId="6DBAFD1E" w14:textId="1DE0A257" w:rsidR="00F37760" w:rsidRPr="00F37760" w:rsidRDefault="00831E8C" w:rsidP="00B52F46">
            <w:pPr>
              <w:pStyle w:val="Tabletext"/>
              <w:rPr>
                <w:rFonts w:ascii="Arial" w:hAnsi="Arial" w:cs="Arial"/>
                <w:sz w:val="18"/>
                <w:szCs w:val="18"/>
              </w:rPr>
            </w:pPr>
            <w:hyperlink r:id="rId8" w:history="1">
              <w:r w:rsidR="00F37760" w:rsidRPr="00F37760">
                <w:rPr>
                  <w:rStyle w:val="Hyperlink"/>
                  <w:rFonts w:ascii="Arial" w:hAnsi="Arial" w:cs="Arial"/>
                  <w:sz w:val="18"/>
                  <w:szCs w:val="18"/>
                </w:rPr>
                <w:t>https://www.dtf.vic.gov.au/financial-reporting-policy/accounting-standards-checklists</w:t>
              </w:r>
            </w:hyperlink>
            <w:r w:rsidR="00F37760" w:rsidRPr="00F37760">
              <w:rPr>
                <w:rFonts w:ascii="Arial" w:hAnsi="Arial" w:cs="Arial"/>
                <w:color w:val="FF0000"/>
                <w:sz w:val="18"/>
                <w:szCs w:val="18"/>
              </w:rPr>
              <w:t xml:space="preserve"> </w:t>
            </w:r>
            <w:r w:rsidR="00F37760" w:rsidRPr="00F37760">
              <w:rPr>
                <w:rFonts w:ascii="Arial" w:hAnsi="Arial" w:cs="Arial"/>
                <w:sz w:val="18"/>
                <w:szCs w:val="18"/>
              </w:rPr>
              <w:t xml:space="preserve">. </w:t>
            </w:r>
          </w:p>
          <w:p w14:paraId="6435CB30" w14:textId="23C300C6" w:rsidR="00F37760" w:rsidRPr="00C84BC2" w:rsidRDefault="00F37760" w:rsidP="00C84BC2">
            <w:pPr>
              <w:pStyle w:val="Tabletext"/>
              <w:rPr>
                <w:rFonts w:ascii="Arial" w:hAnsi="Arial" w:cs="Arial"/>
                <w:sz w:val="18"/>
                <w:szCs w:val="18"/>
              </w:rPr>
            </w:pPr>
            <w:r w:rsidRPr="00F37760">
              <w:rPr>
                <w:rFonts w:ascii="Arial" w:hAnsi="Arial" w:cs="Arial"/>
                <w:sz w:val="18"/>
                <w:szCs w:val="18"/>
              </w:rPr>
              <w:t>These incorporate</w:t>
            </w:r>
            <w:r w:rsidR="00C84BC2">
              <w:rPr>
                <w:rFonts w:ascii="Arial" w:hAnsi="Arial" w:cs="Arial"/>
                <w:sz w:val="18"/>
                <w:szCs w:val="18"/>
              </w:rPr>
              <w:t xml:space="preserve"> </w:t>
            </w:r>
            <w:r w:rsidRPr="00F37760">
              <w:rPr>
                <w:rFonts w:ascii="Arial" w:hAnsi="Arial" w:cs="Arial"/>
                <w:sz w:val="18"/>
                <w:szCs w:val="18"/>
              </w:rPr>
              <w:t xml:space="preserve">checklists for AASB 9 </w:t>
            </w:r>
            <w:r w:rsidRPr="00F37760">
              <w:rPr>
                <w:rFonts w:ascii="Arial" w:hAnsi="Arial" w:cs="Arial"/>
                <w:i/>
                <w:sz w:val="18"/>
                <w:szCs w:val="18"/>
              </w:rPr>
              <w:t>Financial Instruments</w:t>
            </w:r>
            <w:r w:rsidRPr="00F37760">
              <w:rPr>
                <w:rFonts w:ascii="Arial" w:hAnsi="Arial" w:cs="Arial"/>
                <w:sz w:val="18"/>
                <w:szCs w:val="18"/>
              </w:rPr>
              <w:t xml:space="preserve">, AASB 16 </w:t>
            </w:r>
            <w:r w:rsidRPr="00F37760">
              <w:rPr>
                <w:rFonts w:ascii="Arial" w:hAnsi="Arial" w:cs="Arial"/>
                <w:i/>
                <w:sz w:val="18"/>
                <w:szCs w:val="18"/>
              </w:rPr>
              <w:t>Leases,</w:t>
            </w:r>
            <w:r w:rsidRPr="00F37760">
              <w:rPr>
                <w:rFonts w:ascii="Arial" w:hAnsi="Arial" w:cs="Arial"/>
                <w:sz w:val="18"/>
                <w:szCs w:val="18"/>
              </w:rPr>
              <w:t xml:space="preserve"> AASB 15 </w:t>
            </w:r>
            <w:r w:rsidRPr="00F37760">
              <w:rPr>
                <w:rFonts w:ascii="Arial" w:hAnsi="Arial" w:cs="Arial"/>
                <w:i/>
                <w:sz w:val="18"/>
                <w:szCs w:val="18"/>
              </w:rPr>
              <w:t>Revenue from contracts with customers</w:t>
            </w:r>
            <w:r w:rsidRPr="00F37760">
              <w:rPr>
                <w:rFonts w:ascii="Arial" w:hAnsi="Arial" w:cs="Arial"/>
                <w:sz w:val="18"/>
                <w:szCs w:val="18"/>
              </w:rPr>
              <w:t xml:space="preserve"> and AASB 1058 </w:t>
            </w:r>
            <w:r w:rsidRPr="00F37760">
              <w:rPr>
                <w:rFonts w:ascii="Arial" w:hAnsi="Arial" w:cs="Arial"/>
                <w:i/>
                <w:sz w:val="18"/>
                <w:szCs w:val="18"/>
              </w:rPr>
              <w:t xml:space="preserve">Income of Not-for-profit entities, </w:t>
            </w:r>
            <w:r w:rsidRPr="00F37760">
              <w:rPr>
                <w:rFonts w:ascii="Arial" w:hAnsi="Arial" w:cs="Arial"/>
                <w:sz w:val="18"/>
                <w:szCs w:val="18"/>
              </w:rPr>
              <w:t>which were previously incorporated in the 2017-18 Model Report (formerly Appendi</w:t>
            </w:r>
            <w:r w:rsidR="00751323">
              <w:rPr>
                <w:rFonts w:ascii="Arial" w:hAnsi="Arial" w:cs="Arial"/>
                <w:sz w:val="18"/>
                <w:szCs w:val="18"/>
              </w:rPr>
              <w:t>ces</w:t>
            </w:r>
            <w:r w:rsidRPr="00F37760">
              <w:rPr>
                <w:rFonts w:ascii="Arial" w:hAnsi="Arial" w:cs="Arial"/>
                <w:sz w:val="18"/>
                <w:szCs w:val="18"/>
              </w:rPr>
              <w:t xml:space="preserve"> 11, 12 and 13)</w:t>
            </w:r>
            <w:r w:rsidR="00C84BC2">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637" w:type="pct"/>
          </w:tcPr>
          <w:p w14:paraId="7EC0DFB4" w14:textId="77777777" w:rsidR="00F37760" w:rsidRPr="00F37760" w:rsidRDefault="00F37760" w:rsidP="00B52F46">
            <w:pPr>
              <w:pStyle w:val="Tabletextcentred"/>
              <w:rPr>
                <w:rFonts w:ascii="Arial" w:hAnsi="Arial" w:cs="Arial"/>
                <w:sz w:val="18"/>
                <w:szCs w:val="18"/>
              </w:rPr>
            </w:pPr>
            <w:r w:rsidRPr="00F37760">
              <w:rPr>
                <w:rFonts w:ascii="Arial" w:hAnsi="Arial" w:cs="Arial"/>
                <w:sz w:val="18"/>
                <w:szCs w:val="18"/>
              </w:rPr>
              <w:t>318</w:t>
            </w:r>
          </w:p>
          <w:p w14:paraId="4852F27A" w14:textId="77777777" w:rsidR="00F37760" w:rsidRPr="00F37760" w:rsidRDefault="00F37760" w:rsidP="00B52F46">
            <w:pPr>
              <w:pStyle w:val="Tabletextcentred"/>
              <w:rPr>
                <w:rFonts w:ascii="Arial" w:hAnsi="Arial" w:cs="Arial"/>
                <w:sz w:val="18"/>
                <w:szCs w:val="18"/>
              </w:rPr>
            </w:pPr>
          </w:p>
        </w:tc>
      </w:tr>
      <w:tr w:rsidR="0071531C" w:rsidRPr="00F37760" w14:paraId="7E8C34AC" w14:textId="77777777" w:rsidTr="00B52F46">
        <w:tc>
          <w:tcPr>
            <w:cnfStyle w:val="001000000000" w:firstRow="0" w:lastRow="0" w:firstColumn="1" w:lastColumn="0" w:oddVBand="0" w:evenVBand="0" w:oddHBand="0" w:evenHBand="0" w:firstRowFirstColumn="0" w:firstRowLastColumn="0" w:lastRowFirstColumn="0" w:lastRowLastColumn="0"/>
            <w:tcW w:w="868" w:type="pct"/>
          </w:tcPr>
          <w:p w14:paraId="64226F14" w14:textId="77777777" w:rsidR="0071531C" w:rsidRPr="00D26A55" w:rsidRDefault="0071531C" w:rsidP="0071531C">
            <w:pPr>
              <w:pStyle w:val="Tabletext"/>
              <w:rPr>
                <w:rFonts w:ascii="Arial" w:hAnsi="Arial" w:cs="Arial"/>
                <w:color w:val="FF0000"/>
                <w:sz w:val="18"/>
              </w:rPr>
            </w:pPr>
            <w:r w:rsidRPr="00D26A55">
              <w:rPr>
                <w:rFonts w:ascii="Arial" w:hAnsi="Arial" w:cs="Arial"/>
                <w:color w:val="FF0000"/>
                <w:sz w:val="18"/>
              </w:rPr>
              <w:t>[Revised]</w:t>
            </w:r>
          </w:p>
          <w:p w14:paraId="19D66EC1" w14:textId="180C4296" w:rsidR="0071531C" w:rsidRPr="00D26A55" w:rsidRDefault="0071531C" w:rsidP="0071531C">
            <w:pPr>
              <w:pStyle w:val="Tabletext"/>
              <w:rPr>
                <w:rFonts w:ascii="Arial" w:hAnsi="Arial" w:cs="Arial"/>
                <w:color w:val="FF0000"/>
                <w:sz w:val="18"/>
                <w:szCs w:val="18"/>
              </w:rPr>
            </w:pPr>
            <w:r w:rsidRPr="00D26A55">
              <w:rPr>
                <w:rFonts w:ascii="Arial" w:hAnsi="Arial" w:cs="Arial"/>
                <w:sz w:val="18"/>
              </w:rPr>
              <w:t>Appendix 13: Summary of new/revised accounting standards for current and future reporting periods</w:t>
            </w:r>
          </w:p>
        </w:tc>
        <w:tc>
          <w:tcPr>
            <w:cnfStyle w:val="000010000000" w:firstRow="0" w:lastRow="0" w:firstColumn="0" w:lastColumn="0" w:oddVBand="1" w:evenVBand="0" w:oddHBand="0" w:evenHBand="0" w:firstRowFirstColumn="0" w:firstRowLastColumn="0" w:lastRowFirstColumn="0" w:lastRowLastColumn="0"/>
            <w:tcW w:w="995" w:type="pct"/>
          </w:tcPr>
          <w:p w14:paraId="5263A938" w14:textId="296332AF" w:rsidR="0071531C" w:rsidRPr="00D26A55" w:rsidRDefault="0071531C" w:rsidP="0071531C">
            <w:pPr>
              <w:pStyle w:val="Tabletext"/>
              <w:rPr>
                <w:rFonts w:ascii="Arial" w:hAnsi="Arial" w:cs="Arial"/>
                <w:sz w:val="18"/>
                <w:szCs w:val="18"/>
              </w:rPr>
            </w:pPr>
            <w:r w:rsidRPr="00D26A55">
              <w:rPr>
                <w:rFonts w:ascii="Arial" w:hAnsi="Arial" w:cs="Arial"/>
                <w:sz w:val="18"/>
              </w:rPr>
              <w:t>AASB pronouncements</w:t>
            </w:r>
          </w:p>
        </w:tc>
        <w:tc>
          <w:tcPr>
            <w:cnfStyle w:val="000001000000" w:firstRow="0" w:lastRow="0" w:firstColumn="0" w:lastColumn="0" w:oddVBand="0" w:evenVBand="1" w:oddHBand="0" w:evenHBand="0" w:firstRowFirstColumn="0" w:firstRowLastColumn="0" w:lastRowFirstColumn="0" w:lastRowLastColumn="0"/>
            <w:tcW w:w="2500" w:type="pct"/>
          </w:tcPr>
          <w:p w14:paraId="545FB1A5" w14:textId="5D9C3445" w:rsidR="0071531C" w:rsidRPr="00D26A55" w:rsidRDefault="0071531C" w:rsidP="0071531C">
            <w:pPr>
              <w:pStyle w:val="Tabletext"/>
              <w:rPr>
                <w:rFonts w:ascii="Arial" w:hAnsi="Arial" w:cs="Arial"/>
                <w:sz w:val="18"/>
                <w:szCs w:val="18"/>
              </w:rPr>
            </w:pPr>
            <w:r w:rsidRPr="00D26A55">
              <w:rPr>
                <w:rFonts w:ascii="Arial" w:hAnsi="Arial" w:cs="Arial"/>
                <w:sz w:val="18"/>
              </w:rPr>
              <w:t>Appendix 13 has been updated to reflect the AASB amendments that come into effect in the 2018-19 and future reporting periods.</w:t>
            </w:r>
          </w:p>
        </w:tc>
        <w:tc>
          <w:tcPr>
            <w:cnfStyle w:val="000100000000" w:firstRow="0" w:lastRow="0" w:firstColumn="0" w:lastColumn="1" w:oddVBand="0" w:evenVBand="0" w:oddHBand="0" w:evenHBand="0" w:firstRowFirstColumn="0" w:firstRowLastColumn="0" w:lastRowFirstColumn="0" w:lastRowLastColumn="0"/>
            <w:tcW w:w="637" w:type="pct"/>
          </w:tcPr>
          <w:p w14:paraId="4C8E2CF5" w14:textId="77777777" w:rsidR="0071531C" w:rsidRPr="00D26A55" w:rsidRDefault="0071531C" w:rsidP="0071531C">
            <w:pPr>
              <w:pStyle w:val="Tabletextcentred"/>
              <w:rPr>
                <w:rFonts w:ascii="Arial" w:hAnsi="Arial" w:cs="Arial"/>
                <w:sz w:val="18"/>
              </w:rPr>
            </w:pPr>
            <w:r w:rsidRPr="00D26A55">
              <w:rPr>
                <w:rFonts w:ascii="Arial" w:hAnsi="Arial" w:cs="Arial"/>
                <w:sz w:val="18"/>
              </w:rPr>
              <w:t>319-321</w:t>
            </w:r>
          </w:p>
          <w:p w14:paraId="762EDAC8" w14:textId="77777777" w:rsidR="0071531C" w:rsidRPr="00D26A55" w:rsidRDefault="0071531C" w:rsidP="0071531C">
            <w:pPr>
              <w:pStyle w:val="Tabletextcentred"/>
              <w:rPr>
                <w:rFonts w:ascii="Arial" w:hAnsi="Arial" w:cs="Arial"/>
                <w:sz w:val="18"/>
                <w:szCs w:val="18"/>
              </w:rPr>
            </w:pPr>
          </w:p>
        </w:tc>
      </w:tr>
    </w:tbl>
    <w:p w14:paraId="48C9FF22" w14:textId="25B7B003" w:rsidR="00F37760" w:rsidRDefault="00F37760" w:rsidP="005E6AE4">
      <w:pPr>
        <w:pStyle w:val="Tabletext"/>
      </w:pPr>
      <w:r>
        <w:br w:type="page"/>
      </w:r>
    </w:p>
    <w:tbl>
      <w:tblPr>
        <w:tblStyle w:val="DTFtexttable"/>
        <w:tblW w:w="5000" w:type="pct"/>
        <w:tblLayout w:type="fixed"/>
        <w:tblLook w:val="01A0" w:firstRow="1" w:lastRow="0" w:firstColumn="1" w:lastColumn="1" w:noHBand="0" w:noVBand="0"/>
      </w:tblPr>
      <w:tblGrid>
        <w:gridCol w:w="1618"/>
        <w:gridCol w:w="1983"/>
        <w:gridCol w:w="4376"/>
        <w:gridCol w:w="1163"/>
      </w:tblGrid>
      <w:tr w:rsidR="00F37760" w:rsidRPr="005778D7" w14:paraId="3A6C185A" w14:textId="77777777" w:rsidTr="00B52F4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gridSpan w:val="4"/>
          </w:tcPr>
          <w:p w14:paraId="0EADBE59" w14:textId="556544FF" w:rsidR="00F37760" w:rsidRPr="005778D7" w:rsidRDefault="00F37760" w:rsidP="00B52F46">
            <w:pPr>
              <w:pStyle w:val="Tableheader"/>
              <w:spacing w:line="276" w:lineRule="auto"/>
              <w:rPr>
                <w:rFonts w:eastAsiaTheme="minorEastAsia"/>
                <w:b w:val="0"/>
                <w:color w:val="auto"/>
                <w:sz w:val="17"/>
                <w:szCs w:val="20"/>
                <w:lang w:eastAsia="en-AU"/>
              </w:rPr>
            </w:pPr>
            <w:r w:rsidRPr="005778D7">
              <w:lastRenderedPageBreak/>
              <w:t>Summary of changes –</w:t>
            </w:r>
            <w:r>
              <w:t xml:space="preserve"> Appendices </w:t>
            </w:r>
          </w:p>
        </w:tc>
      </w:tr>
      <w:tr w:rsidR="00F37760" w:rsidRPr="005778D7" w14:paraId="5A4426B7" w14:textId="77777777" w:rsidTr="00B52F4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85" w:type="pct"/>
            <w:shd w:val="clear" w:color="auto" w:fill="749CC9" w:themeFill="accent3"/>
          </w:tcPr>
          <w:p w14:paraId="5FEEFB20" w14:textId="77777777" w:rsidR="00F37760" w:rsidRPr="005778D7" w:rsidRDefault="00F37760" w:rsidP="00B52F46">
            <w:pPr>
              <w:pStyle w:val="Tableheader"/>
              <w:rPr>
                <w:sz w:val="18"/>
                <w:szCs w:val="18"/>
              </w:rPr>
            </w:pPr>
            <w:r w:rsidRPr="005778D7">
              <w:rPr>
                <w:sz w:val="18"/>
                <w:szCs w:val="18"/>
              </w:rPr>
              <w:t xml:space="preserve">Subject matter </w:t>
            </w:r>
          </w:p>
        </w:tc>
        <w:tc>
          <w:tcPr>
            <w:cnfStyle w:val="000010000000" w:firstRow="0" w:lastRow="0" w:firstColumn="0" w:lastColumn="0" w:oddVBand="1" w:evenVBand="0" w:oddHBand="0" w:evenHBand="0" w:firstRowFirstColumn="0" w:firstRowLastColumn="0" w:lastRowFirstColumn="0" w:lastRowLastColumn="0"/>
            <w:tcW w:w="1085" w:type="pct"/>
            <w:shd w:val="clear" w:color="auto" w:fill="749CC9" w:themeFill="accent3"/>
          </w:tcPr>
          <w:p w14:paraId="6E24F0EF" w14:textId="77777777" w:rsidR="00F37760" w:rsidRPr="005778D7" w:rsidRDefault="00F37760" w:rsidP="00B52F46">
            <w:pPr>
              <w:pStyle w:val="Tableheader"/>
              <w:rPr>
                <w:sz w:val="18"/>
                <w:szCs w:val="18"/>
              </w:rPr>
            </w:pPr>
            <w:r w:rsidRPr="005778D7">
              <w:rPr>
                <w:sz w:val="18"/>
                <w:szCs w:val="18"/>
              </w:rPr>
              <w:t>Source of change</w:t>
            </w:r>
          </w:p>
        </w:tc>
        <w:tc>
          <w:tcPr>
            <w:cnfStyle w:val="000001000000" w:firstRow="0" w:lastRow="0" w:firstColumn="0" w:lastColumn="0" w:oddVBand="0" w:evenVBand="1" w:oddHBand="0" w:evenHBand="0" w:firstRowFirstColumn="0" w:firstRowLastColumn="0" w:lastRowFirstColumn="0" w:lastRowLastColumn="0"/>
            <w:tcW w:w="2394" w:type="pct"/>
            <w:shd w:val="clear" w:color="auto" w:fill="749CC9" w:themeFill="accent3"/>
          </w:tcPr>
          <w:p w14:paraId="1A3BF9C3" w14:textId="77777777" w:rsidR="00F37760" w:rsidRPr="005778D7" w:rsidRDefault="00F37760" w:rsidP="00B52F46">
            <w:pPr>
              <w:pStyle w:val="Tableheader"/>
              <w:rPr>
                <w:sz w:val="18"/>
                <w:szCs w:val="18"/>
              </w:rPr>
            </w:pPr>
            <w:r w:rsidRPr="005778D7">
              <w:rPr>
                <w:sz w:val="18"/>
                <w:szCs w:val="18"/>
              </w:rPr>
              <w:t>Summary of changes applied to the relevant sections in the Introduction</w:t>
            </w:r>
          </w:p>
        </w:tc>
        <w:tc>
          <w:tcPr>
            <w:cnfStyle w:val="000100001000" w:firstRow="0" w:lastRow="0" w:firstColumn="0" w:lastColumn="1" w:oddVBand="0" w:evenVBand="0" w:oddHBand="0" w:evenHBand="0" w:firstRowFirstColumn="0" w:firstRowLastColumn="1" w:lastRowFirstColumn="0" w:lastRowLastColumn="0"/>
            <w:tcW w:w="636" w:type="pct"/>
            <w:shd w:val="clear" w:color="auto" w:fill="749CC9" w:themeFill="accent3"/>
          </w:tcPr>
          <w:p w14:paraId="09E967EA" w14:textId="77777777" w:rsidR="00F37760" w:rsidRPr="005778D7" w:rsidRDefault="00F37760" w:rsidP="00B52F46">
            <w:pPr>
              <w:pStyle w:val="Tableheader"/>
              <w:rPr>
                <w:sz w:val="18"/>
                <w:szCs w:val="18"/>
              </w:rPr>
            </w:pPr>
            <w:r w:rsidRPr="005778D7">
              <w:rPr>
                <w:sz w:val="18"/>
                <w:szCs w:val="18"/>
              </w:rPr>
              <w:t>Page reference</w:t>
            </w:r>
          </w:p>
        </w:tc>
      </w:tr>
      <w:tr w:rsidR="00F37760" w14:paraId="5C25038A" w14:textId="77777777" w:rsidTr="00F37760">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5" w:type="pct"/>
          </w:tcPr>
          <w:p w14:paraId="399EE6AA" w14:textId="77777777" w:rsidR="00F37760" w:rsidRPr="00D26A55" w:rsidRDefault="00F37760" w:rsidP="00B52F46">
            <w:pPr>
              <w:pStyle w:val="Tabletext"/>
              <w:rPr>
                <w:rFonts w:ascii="Arial" w:hAnsi="Arial" w:cs="Arial"/>
                <w:color w:val="FF0000"/>
                <w:sz w:val="18"/>
              </w:rPr>
            </w:pPr>
            <w:r w:rsidRPr="00D26A55">
              <w:rPr>
                <w:rFonts w:ascii="Arial" w:hAnsi="Arial" w:cs="Arial"/>
                <w:color w:val="FF0000"/>
                <w:sz w:val="18"/>
              </w:rPr>
              <w:t>[Revised]</w:t>
            </w:r>
          </w:p>
          <w:p w14:paraId="2003D011" w14:textId="77777777" w:rsidR="00F37760" w:rsidRPr="00D26A55" w:rsidRDefault="00F37760" w:rsidP="00B52F46">
            <w:pPr>
              <w:pStyle w:val="Tabletext"/>
              <w:rPr>
                <w:rFonts w:ascii="Arial" w:hAnsi="Arial" w:cs="Arial"/>
                <w:color w:val="FF0000"/>
                <w:sz w:val="18"/>
              </w:rPr>
            </w:pPr>
            <w:r w:rsidRPr="00D26A55">
              <w:rPr>
                <w:rFonts w:ascii="Arial" w:hAnsi="Arial" w:cs="Arial"/>
                <w:sz w:val="18"/>
              </w:rPr>
              <w:t>Appendix 14 AASB reporting requirements for For-Profit and Not-for-Profit entities in the Victorian Public Sector</w:t>
            </w:r>
          </w:p>
        </w:tc>
        <w:tc>
          <w:tcPr>
            <w:tcW w:w="1085" w:type="pct"/>
          </w:tcPr>
          <w:p w14:paraId="4D51DA84" w14:textId="77777777" w:rsidR="00F37760" w:rsidRPr="00D26A55" w:rsidRDefault="00F37760" w:rsidP="00B52F4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8"/>
                <w:highlight w:val="yellow"/>
              </w:rPr>
            </w:pPr>
            <w:r w:rsidRPr="00D26A55">
              <w:rPr>
                <w:rFonts w:ascii="Arial" w:hAnsi="Arial" w:cs="Arial"/>
                <w:sz w:val="18"/>
              </w:rPr>
              <w:t>Australian Accounting Standards</w:t>
            </w:r>
          </w:p>
        </w:tc>
        <w:tc>
          <w:tcPr>
            <w:tcW w:w="2394" w:type="pct"/>
          </w:tcPr>
          <w:p w14:paraId="5838D896" w14:textId="7FF839E7" w:rsidR="00F37760" w:rsidRPr="00D26A55" w:rsidRDefault="00F37760" w:rsidP="00B52F4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D26A55">
              <w:rPr>
                <w:rFonts w:ascii="Arial" w:hAnsi="Arial" w:cs="Arial"/>
                <w:sz w:val="18"/>
              </w:rPr>
              <w:t>Appendix 1</w:t>
            </w:r>
            <w:r w:rsidR="00792939" w:rsidRPr="00D26A55">
              <w:rPr>
                <w:rFonts w:ascii="Arial" w:hAnsi="Arial" w:cs="Arial"/>
                <w:sz w:val="18"/>
              </w:rPr>
              <w:t>4</w:t>
            </w:r>
            <w:r w:rsidRPr="00D26A55">
              <w:rPr>
                <w:rFonts w:ascii="Arial" w:hAnsi="Arial" w:cs="Arial"/>
                <w:sz w:val="18"/>
              </w:rPr>
              <w:t xml:space="preserve"> has been updated to reflect the AASB amendments that come into effect in the 2018-19 and future reporting periods applicable to For-profit and Not-for-profit entities. </w:t>
            </w:r>
          </w:p>
        </w:tc>
        <w:tc>
          <w:tcPr>
            <w:tcW w:w="636" w:type="pct"/>
          </w:tcPr>
          <w:p w14:paraId="17D9DC25" w14:textId="77777777" w:rsidR="00F37760" w:rsidRPr="00D26A55" w:rsidRDefault="00F37760" w:rsidP="00B52F46">
            <w:pPr>
              <w:pStyle w:val="Tabletextcentred"/>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D26A55">
              <w:rPr>
                <w:rFonts w:ascii="Arial" w:hAnsi="Arial" w:cs="Arial"/>
                <w:sz w:val="18"/>
              </w:rPr>
              <w:t>322-324</w:t>
            </w:r>
          </w:p>
          <w:p w14:paraId="1BDF2F44" w14:textId="77777777" w:rsidR="00F37760" w:rsidRPr="00D26A55" w:rsidRDefault="00F37760" w:rsidP="00B52F46">
            <w:pPr>
              <w:pStyle w:val="Tabletextcentred"/>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bl>
    <w:p w14:paraId="12E8197E" w14:textId="77777777" w:rsidR="00DE2904" w:rsidRPr="00045296" w:rsidRDefault="00DE2904" w:rsidP="005E6AE4">
      <w:pPr>
        <w:pStyle w:val="Tabletext"/>
      </w:pPr>
    </w:p>
    <w:sectPr w:rsidR="00DE2904" w:rsidRPr="00045296" w:rsidSect="00134CEA">
      <w:headerReference w:type="default" r:id="rId9"/>
      <w:footerReference w:type="even" r:id="rId10"/>
      <w:footerReference w:type="default" r:id="rId11"/>
      <w:pgSz w:w="11906" w:h="16838" w:code="9"/>
      <w:pgMar w:top="2160" w:right="1440" w:bottom="135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A42A4" w14:textId="77777777" w:rsidR="00B52F46" w:rsidRDefault="00B52F46" w:rsidP="002D711A">
      <w:pPr>
        <w:spacing w:after="0" w:line="240" w:lineRule="auto"/>
      </w:pPr>
      <w:r>
        <w:separator/>
      </w:r>
    </w:p>
  </w:endnote>
  <w:endnote w:type="continuationSeparator" w:id="0">
    <w:p w14:paraId="377EF2BD" w14:textId="77777777" w:rsidR="00B52F46" w:rsidRDefault="00B52F46"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BE10B" w14:textId="77777777" w:rsidR="00B52F46" w:rsidRPr="00014213" w:rsidRDefault="00B52F46" w:rsidP="00C022F9">
    <w:pPr>
      <w:pStyle w:val="Footer"/>
    </w:pPr>
    <w:r>
      <w:drawing>
        <wp:anchor distT="0" distB="0" distL="114300" distR="114300" simplePos="0" relativeHeight="251667456" behindDoc="0" locked="0" layoutInCell="1" allowOverlap="1" wp14:anchorId="131A3204" wp14:editId="6EFD878F">
          <wp:simplePos x="0" y="0"/>
          <wp:positionH relativeFrom="column">
            <wp:posOffset>4240861</wp:posOffset>
          </wp:positionH>
          <wp:positionV relativeFrom="page">
            <wp:posOffset>9493250</wp:posOffset>
          </wp:positionV>
          <wp:extent cx="1956435" cy="582930"/>
          <wp:effectExtent l="0" t="0" r="5715" b="7620"/>
          <wp:wrapNone/>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6635" w14:textId="4A408F3E" w:rsidR="00B52F46" w:rsidRPr="00C022F9" w:rsidRDefault="00B52F46"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831E8C">
      <w:rPr>
        <w:b/>
        <w:color w:val="0063A6" w:themeColor="accent1"/>
      </w:rPr>
      <w:t>Summary of changes applied to the 2018-19 Model Report</w:t>
    </w:r>
    <w:r w:rsidRPr="00C022F9">
      <w:rPr>
        <w:b/>
        <w:color w:val="0063A6" w:themeColor="accent1"/>
      </w:rPr>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4</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D971E" w14:textId="77777777" w:rsidR="00B52F46" w:rsidRDefault="00B52F46" w:rsidP="002D711A">
      <w:pPr>
        <w:spacing w:after="0" w:line="240" w:lineRule="auto"/>
      </w:pPr>
      <w:r>
        <w:separator/>
      </w:r>
    </w:p>
  </w:footnote>
  <w:footnote w:type="continuationSeparator" w:id="0">
    <w:p w14:paraId="5618EDA9" w14:textId="77777777" w:rsidR="00B52F46" w:rsidRDefault="00B52F46"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A46EB" w14:textId="4C444DCB" w:rsidR="00B52F46" w:rsidRPr="0041689E" w:rsidRDefault="00B52F46">
    <w:pPr>
      <w:pStyle w:val="Header"/>
    </w:pPr>
    <w:r>
      <w:rPr>
        <w:noProof/>
      </w:rPr>
      <w:drawing>
        <wp:anchor distT="0" distB="0" distL="114300" distR="114300" simplePos="0" relativeHeight="251670528" behindDoc="0" locked="0" layoutInCell="1" allowOverlap="1" wp14:anchorId="63BF06C3" wp14:editId="327360AD">
          <wp:simplePos x="0" y="0"/>
          <wp:positionH relativeFrom="column">
            <wp:posOffset>-309880</wp:posOffset>
          </wp:positionH>
          <wp:positionV relativeFrom="page">
            <wp:posOffset>308610</wp:posOffset>
          </wp:positionV>
          <wp:extent cx="1380490" cy="411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0F50A4AB" wp14:editId="23C9E31A">
          <wp:simplePos x="0" y="0"/>
          <wp:positionH relativeFrom="column">
            <wp:posOffset>-914400</wp:posOffset>
          </wp:positionH>
          <wp:positionV relativeFrom="page">
            <wp:posOffset>125095</wp:posOffset>
          </wp:positionV>
          <wp:extent cx="7589520" cy="740410"/>
          <wp:effectExtent l="0" t="0" r="0" b="2540"/>
          <wp:wrapNone/>
          <wp:docPr id="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129E799C"/>
    <w:multiLevelType w:val="hybridMultilevel"/>
    <w:tmpl w:val="7A020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6C074F"/>
    <w:multiLevelType w:val="hybridMultilevel"/>
    <w:tmpl w:val="43FEF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FE3A40"/>
    <w:multiLevelType w:val="hybridMultilevel"/>
    <w:tmpl w:val="ABF2CE84"/>
    <w:lvl w:ilvl="0" w:tplc="0C090001">
      <w:start w:val="1"/>
      <w:numFmt w:val="bullet"/>
      <w:lvlText w:val=""/>
      <w:lvlJc w:val="left"/>
      <w:pPr>
        <w:ind w:left="910" w:hanging="360"/>
      </w:pPr>
      <w:rPr>
        <w:rFonts w:ascii="Symbol" w:hAnsi="Symbol" w:hint="default"/>
      </w:rPr>
    </w:lvl>
    <w:lvl w:ilvl="1" w:tplc="0C090003" w:tentative="1">
      <w:start w:val="1"/>
      <w:numFmt w:val="bullet"/>
      <w:lvlText w:val="o"/>
      <w:lvlJc w:val="left"/>
      <w:pPr>
        <w:ind w:left="1630" w:hanging="360"/>
      </w:pPr>
      <w:rPr>
        <w:rFonts w:ascii="Courier New" w:hAnsi="Courier New" w:cs="Courier New" w:hint="default"/>
      </w:rPr>
    </w:lvl>
    <w:lvl w:ilvl="2" w:tplc="0C090005" w:tentative="1">
      <w:start w:val="1"/>
      <w:numFmt w:val="bullet"/>
      <w:lvlText w:val=""/>
      <w:lvlJc w:val="left"/>
      <w:pPr>
        <w:ind w:left="2350" w:hanging="360"/>
      </w:pPr>
      <w:rPr>
        <w:rFonts w:ascii="Wingdings" w:hAnsi="Wingdings" w:hint="default"/>
      </w:rPr>
    </w:lvl>
    <w:lvl w:ilvl="3" w:tplc="0C090001" w:tentative="1">
      <w:start w:val="1"/>
      <w:numFmt w:val="bullet"/>
      <w:lvlText w:val=""/>
      <w:lvlJc w:val="left"/>
      <w:pPr>
        <w:ind w:left="3070" w:hanging="360"/>
      </w:pPr>
      <w:rPr>
        <w:rFonts w:ascii="Symbol" w:hAnsi="Symbol" w:hint="default"/>
      </w:rPr>
    </w:lvl>
    <w:lvl w:ilvl="4" w:tplc="0C090003" w:tentative="1">
      <w:start w:val="1"/>
      <w:numFmt w:val="bullet"/>
      <w:lvlText w:val="o"/>
      <w:lvlJc w:val="left"/>
      <w:pPr>
        <w:ind w:left="3790" w:hanging="360"/>
      </w:pPr>
      <w:rPr>
        <w:rFonts w:ascii="Courier New" w:hAnsi="Courier New" w:cs="Courier New" w:hint="default"/>
      </w:rPr>
    </w:lvl>
    <w:lvl w:ilvl="5" w:tplc="0C090005" w:tentative="1">
      <w:start w:val="1"/>
      <w:numFmt w:val="bullet"/>
      <w:lvlText w:val=""/>
      <w:lvlJc w:val="left"/>
      <w:pPr>
        <w:ind w:left="4510" w:hanging="360"/>
      </w:pPr>
      <w:rPr>
        <w:rFonts w:ascii="Wingdings" w:hAnsi="Wingdings" w:hint="default"/>
      </w:rPr>
    </w:lvl>
    <w:lvl w:ilvl="6" w:tplc="0C090001" w:tentative="1">
      <w:start w:val="1"/>
      <w:numFmt w:val="bullet"/>
      <w:lvlText w:val=""/>
      <w:lvlJc w:val="left"/>
      <w:pPr>
        <w:ind w:left="5230" w:hanging="360"/>
      </w:pPr>
      <w:rPr>
        <w:rFonts w:ascii="Symbol" w:hAnsi="Symbol" w:hint="default"/>
      </w:rPr>
    </w:lvl>
    <w:lvl w:ilvl="7" w:tplc="0C090003" w:tentative="1">
      <w:start w:val="1"/>
      <w:numFmt w:val="bullet"/>
      <w:lvlText w:val="o"/>
      <w:lvlJc w:val="left"/>
      <w:pPr>
        <w:ind w:left="5950" w:hanging="360"/>
      </w:pPr>
      <w:rPr>
        <w:rFonts w:ascii="Courier New" w:hAnsi="Courier New" w:cs="Courier New" w:hint="default"/>
      </w:rPr>
    </w:lvl>
    <w:lvl w:ilvl="8" w:tplc="0C090005" w:tentative="1">
      <w:start w:val="1"/>
      <w:numFmt w:val="bullet"/>
      <w:lvlText w:val=""/>
      <w:lvlJc w:val="left"/>
      <w:pPr>
        <w:ind w:left="6670" w:hanging="360"/>
      </w:pPr>
      <w:rPr>
        <w:rFonts w:ascii="Wingdings" w:hAnsi="Wingdings" w:hint="default"/>
      </w:rPr>
    </w:lvl>
  </w:abstractNum>
  <w:abstractNum w:abstractNumId="4" w15:restartNumberingAfterBreak="0">
    <w:nsid w:val="1C1A5583"/>
    <w:multiLevelType w:val="hybridMultilevel"/>
    <w:tmpl w:val="9A4A8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2673F4"/>
    <w:multiLevelType w:val="hybridMultilevel"/>
    <w:tmpl w:val="6EEE2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0151C8"/>
    <w:multiLevelType w:val="multilevel"/>
    <w:tmpl w:val="27AA0C2E"/>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lowerRoman"/>
      <w:lvlText w:val="(%3)"/>
      <w:lvlJc w:val="right"/>
      <w:pPr>
        <w:tabs>
          <w:tab w:val="num" w:pos="1512"/>
        </w:tabs>
        <w:ind w:left="1512" w:hanging="504"/>
      </w:pPr>
      <w:rPr>
        <w:rFonts w:hint="default"/>
      </w:rPr>
    </w:lvl>
    <w:lvl w:ilvl="3">
      <w:start w:val="1"/>
      <w:numFmt w:val="decimal"/>
      <w:lvlText w:val="%4."/>
      <w:lvlJc w:val="left"/>
      <w:pPr>
        <w:tabs>
          <w:tab w:val="num" w:pos="2582"/>
        </w:tabs>
        <w:ind w:left="2016" w:hanging="504"/>
      </w:pPr>
      <w:rPr>
        <w:rFonts w:hint="default"/>
      </w:rPr>
    </w:lvl>
    <w:lvl w:ilvl="4">
      <w:start w:val="1"/>
      <w:numFmt w:val="lowerLetter"/>
      <w:lvlText w:val="%5."/>
      <w:lvlJc w:val="left"/>
      <w:pPr>
        <w:tabs>
          <w:tab w:val="num" w:pos="3086"/>
        </w:tabs>
        <w:ind w:left="2520" w:hanging="504"/>
      </w:pPr>
      <w:rPr>
        <w:rFonts w:hint="default"/>
      </w:rPr>
    </w:lvl>
    <w:lvl w:ilvl="5">
      <w:start w:val="1"/>
      <w:numFmt w:val="lowerRoman"/>
      <w:lvlText w:val="%6."/>
      <w:lvlJc w:val="right"/>
      <w:pPr>
        <w:tabs>
          <w:tab w:val="num" w:pos="3590"/>
        </w:tabs>
        <w:ind w:left="3024" w:hanging="504"/>
      </w:pPr>
      <w:rPr>
        <w:rFonts w:hint="default"/>
      </w:rPr>
    </w:lvl>
    <w:lvl w:ilvl="6">
      <w:start w:val="1"/>
      <w:numFmt w:val="decimal"/>
      <w:lvlText w:val="%7."/>
      <w:lvlJc w:val="left"/>
      <w:pPr>
        <w:tabs>
          <w:tab w:val="num" w:pos="4094"/>
        </w:tabs>
        <w:ind w:left="3528" w:hanging="504"/>
      </w:pPr>
      <w:rPr>
        <w:rFonts w:hint="default"/>
      </w:rPr>
    </w:lvl>
    <w:lvl w:ilvl="7">
      <w:start w:val="1"/>
      <w:numFmt w:val="lowerLetter"/>
      <w:lvlText w:val="%8."/>
      <w:lvlJc w:val="left"/>
      <w:pPr>
        <w:tabs>
          <w:tab w:val="num" w:pos="4598"/>
        </w:tabs>
        <w:ind w:left="4032" w:hanging="504"/>
      </w:pPr>
      <w:rPr>
        <w:rFonts w:hint="default"/>
      </w:rPr>
    </w:lvl>
    <w:lvl w:ilvl="8">
      <w:start w:val="1"/>
      <w:numFmt w:val="lowerRoman"/>
      <w:lvlText w:val="%9."/>
      <w:lvlJc w:val="right"/>
      <w:pPr>
        <w:tabs>
          <w:tab w:val="num" w:pos="5102"/>
        </w:tabs>
        <w:ind w:left="4536" w:hanging="504"/>
      </w:pPr>
      <w:rPr>
        <w:rFonts w:hint="default"/>
      </w:rPr>
    </w:lvl>
  </w:abstractNum>
  <w:abstractNum w:abstractNumId="8" w15:restartNumberingAfterBreak="0">
    <w:nsid w:val="2C631F58"/>
    <w:multiLevelType w:val="hybridMultilevel"/>
    <w:tmpl w:val="BF06C0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A33D4D"/>
    <w:multiLevelType w:val="hybridMultilevel"/>
    <w:tmpl w:val="C6BCC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1" w15:restartNumberingAfterBreak="0">
    <w:nsid w:val="51590777"/>
    <w:multiLevelType w:val="hybridMultilevel"/>
    <w:tmpl w:val="136430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21E0B1A"/>
    <w:multiLevelType w:val="hybridMultilevel"/>
    <w:tmpl w:val="9E362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E56D44"/>
    <w:multiLevelType w:val="hybridMultilevel"/>
    <w:tmpl w:val="3C0C207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5B6A2E53"/>
    <w:multiLevelType w:val="hybridMultilevel"/>
    <w:tmpl w:val="28B044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BE1229"/>
    <w:multiLevelType w:val="hybridMultilevel"/>
    <w:tmpl w:val="CE2C05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C9B418D"/>
    <w:multiLevelType w:val="hybridMultilevel"/>
    <w:tmpl w:val="981028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F4672D"/>
    <w:multiLevelType w:val="hybridMultilevel"/>
    <w:tmpl w:val="E5023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A44C55"/>
    <w:multiLevelType w:val="hybridMultilevel"/>
    <w:tmpl w:val="4EEC0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7E12E5"/>
    <w:multiLevelType w:val="hybridMultilevel"/>
    <w:tmpl w:val="A8B82154"/>
    <w:lvl w:ilvl="0" w:tplc="DB862236">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D44514"/>
    <w:multiLevelType w:val="multilevel"/>
    <w:tmpl w:val="0252461C"/>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864"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10"/>
  </w:num>
  <w:num w:numId="2">
    <w:abstractNumId w:val="10"/>
  </w:num>
  <w:num w:numId="3">
    <w:abstractNumId w:val="10"/>
  </w:num>
  <w:num w:numId="4">
    <w:abstractNumId w:val="20"/>
  </w:num>
  <w:num w:numId="5">
    <w:abstractNumId w:val="10"/>
  </w:num>
  <w:num w:numId="6">
    <w:abstractNumId w:val="10"/>
  </w:num>
  <w:num w:numId="7">
    <w:abstractNumId w:val="10"/>
  </w:num>
  <w:num w:numId="8">
    <w:abstractNumId w:val="1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5"/>
  </w:num>
  <w:num w:numId="18">
    <w:abstractNumId w:val="5"/>
  </w:num>
  <w:num w:numId="19">
    <w:abstractNumId w:val="19"/>
  </w:num>
  <w:num w:numId="20">
    <w:abstractNumId w:val="0"/>
  </w:num>
  <w:num w:numId="21">
    <w:abstractNumId w:val="13"/>
  </w:num>
  <w:num w:numId="22">
    <w:abstractNumId w:val="8"/>
  </w:num>
  <w:num w:numId="23">
    <w:abstractNumId w:val="7"/>
  </w:num>
  <w:num w:numId="24">
    <w:abstractNumId w:val="16"/>
  </w:num>
  <w:num w:numId="25">
    <w:abstractNumId w:val="11"/>
  </w:num>
  <w:num w:numId="26">
    <w:abstractNumId w:val="17"/>
  </w:num>
  <w:num w:numId="27">
    <w:abstractNumId w:val="12"/>
  </w:num>
  <w:num w:numId="28">
    <w:abstractNumId w:val="2"/>
  </w:num>
  <w:num w:numId="29">
    <w:abstractNumId w:val="4"/>
  </w:num>
  <w:num w:numId="30">
    <w:abstractNumId w:val="10"/>
  </w:num>
  <w:num w:numId="31">
    <w:abstractNumId w:val="14"/>
  </w:num>
  <w:num w:numId="32">
    <w:abstractNumId w:val="18"/>
  </w:num>
  <w:num w:numId="33">
    <w:abstractNumId w:val="9"/>
  </w:num>
  <w:num w:numId="34">
    <w:abstractNumId w:val="10"/>
  </w:num>
  <w:num w:numId="35">
    <w:abstractNumId w:val="3"/>
  </w:num>
  <w:num w:numId="36">
    <w:abstractNumId w:val="1"/>
  </w:num>
  <w:num w:numId="37">
    <w:abstractNumId w:val="6"/>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DAF"/>
    <w:rsid w:val="0000076D"/>
    <w:rsid w:val="00001FB3"/>
    <w:rsid w:val="000070F0"/>
    <w:rsid w:val="00007921"/>
    <w:rsid w:val="00012F6F"/>
    <w:rsid w:val="00014213"/>
    <w:rsid w:val="00014B55"/>
    <w:rsid w:val="0001515F"/>
    <w:rsid w:val="00020E3E"/>
    <w:rsid w:val="00023BF3"/>
    <w:rsid w:val="0002408B"/>
    <w:rsid w:val="0002680A"/>
    <w:rsid w:val="00026811"/>
    <w:rsid w:val="00026B32"/>
    <w:rsid w:val="00041315"/>
    <w:rsid w:val="00042CD6"/>
    <w:rsid w:val="0004356D"/>
    <w:rsid w:val="00045296"/>
    <w:rsid w:val="00052293"/>
    <w:rsid w:val="00052EEA"/>
    <w:rsid w:val="00054B00"/>
    <w:rsid w:val="00056DFF"/>
    <w:rsid w:val="00063926"/>
    <w:rsid w:val="00065120"/>
    <w:rsid w:val="00066B32"/>
    <w:rsid w:val="00067BE9"/>
    <w:rsid w:val="00071E9F"/>
    <w:rsid w:val="00075E6C"/>
    <w:rsid w:val="000761ED"/>
    <w:rsid w:val="00077411"/>
    <w:rsid w:val="00080A04"/>
    <w:rsid w:val="00082A58"/>
    <w:rsid w:val="000958CB"/>
    <w:rsid w:val="00096141"/>
    <w:rsid w:val="000A4D21"/>
    <w:rsid w:val="000B29AD"/>
    <w:rsid w:val="000B64D6"/>
    <w:rsid w:val="000B7293"/>
    <w:rsid w:val="000C6372"/>
    <w:rsid w:val="000C6643"/>
    <w:rsid w:val="000D2584"/>
    <w:rsid w:val="000D2CB5"/>
    <w:rsid w:val="000D34DF"/>
    <w:rsid w:val="000D55B5"/>
    <w:rsid w:val="000E08D3"/>
    <w:rsid w:val="000E392D"/>
    <w:rsid w:val="000E4264"/>
    <w:rsid w:val="000F4288"/>
    <w:rsid w:val="000F7165"/>
    <w:rsid w:val="00101A3E"/>
    <w:rsid w:val="00102379"/>
    <w:rsid w:val="001065D6"/>
    <w:rsid w:val="00106DFE"/>
    <w:rsid w:val="00107F92"/>
    <w:rsid w:val="00111699"/>
    <w:rsid w:val="00112262"/>
    <w:rsid w:val="001133F9"/>
    <w:rsid w:val="00113626"/>
    <w:rsid w:val="001147D6"/>
    <w:rsid w:val="00116208"/>
    <w:rsid w:val="00121252"/>
    <w:rsid w:val="001238D5"/>
    <w:rsid w:val="00124609"/>
    <w:rsid w:val="001254CE"/>
    <w:rsid w:val="00131CC6"/>
    <w:rsid w:val="001345CD"/>
    <w:rsid w:val="00134C45"/>
    <w:rsid w:val="00134CEA"/>
    <w:rsid w:val="0013780D"/>
    <w:rsid w:val="001422CC"/>
    <w:rsid w:val="00142779"/>
    <w:rsid w:val="0014371A"/>
    <w:rsid w:val="0014382D"/>
    <w:rsid w:val="001439F1"/>
    <w:rsid w:val="0014422D"/>
    <w:rsid w:val="00147227"/>
    <w:rsid w:val="00147ECB"/>
    <w:rsid w:val="001501FD"/>
    <w:rsid w:val="0015423E"/>
    <w:rsid w:val="00154AB2"/>
    <w:rsid w:val="00155FA3"/>
    <w:rsid w:val="001575BE"/>
    <w:rsid w:val="00157C9F"/>
    <w:rsid w:val="001617B6"/>
    <w:rsid w:val="00163D6D"/>
    <w:rsid w:val="001658F9"/>
    <w:rsid w:val="00165E66"/>
    <w:rsid w:val="00166230"/>
    <w:rsid w:val="001672BC"/>
    <w:rsid w:val="001677F2"/>
    <w:rsid w:val="00172E97"/>
    <w:rsid w:val="00173CD6"/>
    <w:rsid w:val="00174C87"/>
    <w:rsid w:val="00175BAC"/>
    <w:rsid w:val="00186016"/>
    <w:rsid w:val="001916EC"/>
    <w:rsid w:val="00191B1E"/>
    <w:rsid w:val="00192EBD"/>
    <w:rsid w:val="00193281"/>
    <w:rsid w:val="001934DD"/>
    <w:rsid w:val="001A274B"/>
    <w:rsid w:val="001A51F1"/>
    <w:rsid w:val="001A6393"/>
    <w:rsid w:val="001A6CA1"/>
    <w:rsid w:val="001A728C"/>
    <w:rsid w:val="001B1306"/>
    <w:rsid w:val="001B315F"/>
    <w:rsid w:val="001C4C3D"/>
    <w:rsid w:val="001C7BAE"/>
    <w:rsid w:val="001D2E12"/>
    <w:rsid w:val="001D79C6"/>
    <w:rsid w:val="001E0604"/>
    <w:rsid w:val="001E31FA"/>
    <w:rsid w:val="001E42BB"/>
    <w:rsid w:val="001E64F6"/>
    <w:rsid w:val="001E70D1"/>
    <w:rsid w:val="001E7480"/>
    <w:rsid w:val="001F210E"/>
    <w:rsid w:val="001F7F09"/>
    <w:rsid w:val="00200545"/>
    <w:rsid w:val="002022D0"/>
    <w:rsid w:val="00210EFE"/>
    <w:rsid w:val="002127A6"/>
    <w:rsid w:val="002216EA"/>
    <w:rsid w:val="00221E41"/>
    <w:rsid w:val="00222135"/>
    <w:rsid w:val="00222BEB"/>
    <w:rsid w:val="002255FF"/>
    <w:rsid w:val="00225E60"/>
    <w:rsid w:val="00226861"/>
    <w:rsid w:val="00227768"/>
    <w:rsid w:val="00227907"/>
    <w:rsid w:val="0023202C"/>
    <w:rsid w:val="00233BF6"/>
    <w:rsid w:val="00235E57"/>
    <w:rsid w:val="00236203"/>
    <w:rsid w:val="0023688D"/>
    <w:rsid w:val="00236CF7"/>
    <w:rsid w:val="00236D7B"/>
    <w:rsid w:val="002377A6"/>
    <w:rsid w:val="002414DF"/>
    <w:rsid w:val="00242C1C"/>
    <w:rsid w:val="00243A2B"/>
    <w:rsid w:val="00245043"/>
    <w:rsid w:val="00254107"/>
    <w:rsid w:val="002542B6"/>
    <w:rsid w:val="00257760"/>
    <w:rsid w:val="00257AAC"/>
    <w:rsid w:val="00261E88"/>
    <w:rsid w:val="0026454D"/>
    <w:rsid w:val="002648D1"/>
    <w:rsid w:val="00265CF4"/>
    <w:rsid w:val="00266B18"/>
    <w:rsid w:val="00266FF8"/>
    <w:rsid w:val="00267238"/>
    <w:rsid w:val="00267DA4"/>
    <w:rsid w:val="00270216"/>
    <w:rsid w:val="00280666"/>
    <w:rsid w:val="00283A04"/>
    <w:rsid w:val="0028554C"/>
    <w:rsid w:val="00287722"/>
    <w:rsid w:val="0029265F"/>
    <w:rsid w:val="00292D36"/>
    <w:rsid w:val="00293983"/>
    <w:rsid w:val="00295511"/>
    <w:rsid w:val="00297033"/>
    <w:rsid w:val="00297281"/>
    <w:rsid w:val="002A6156"/>
    <w:rsid w:val="002B16C9"/>
    <w:rsid w:val="002B67A7"/>
    <w:rsid w:val="002C0A0F"/>
    <w:rsid w:val="002C4A68"/>
    <w:rsid w:val="002C54E0"/>
    <w:rsid w:val="002C7C2B"/>
    <w:rsid w:val="002D284F"/>
    <w:rsid w:val="002D5DB2"/>
    <w:rsid w:val="002D711A"/>
    <w:rsid w:val="002D7336"/>
    <w:rsid w:val="002E3396"/>
    <w:rsid w:val="002F1AC0"/>
    <w:rsid w:val="002F4102"/>
    <w:rsid w:val="002F4B16"/>
    <w:rsid w:val="002F7661"/>
    <w:rsid w:val="003043E0"/>
    <w:rsid w:val="0030791B"/>
    <w:rsid w:val="0031149C"/>
    <w:rsid w:val="00311811"/>
    <w:rsid w:val="0031322E"/>
    <w:rsid w:val="00313DF9"/>
    <w:rsid w:val="00314EDB"/>
    <w:rsid w:val="00320E10"/>
    <w:rsid w:val="00322129"/>
    <w:rsid w:val="00326A03"/>
    <w:rsid w:val="00330437"/>
    <w:rsid w:val="00330C40"/>
    <w:rsid w:val="003314E7"/>
    <w:rsid w:val="003363B9"/>
    <w:rsid w:val="00340A71"/>
    <w:rsid w:val="00350284"/>
    <w:rsid w:val="0035059E"/>
    <w:rsid w:val="003542B9"/>
    <w:rsid w:val="00355864"/>
    <w:rsid w:val="00355FFB"/>
    <w:rsid w:val="00362A32"/>
    <w:rsid w:val="003655FB"/>
    <w:rsid w:val="0036743A"/>
    <w:rsid w:val="00372D89"/>
    <w:rsid w:val="00373E8B"/>
    <w:rsid w:val="00377B38"/>
    <w:rsid w:val="00380C9E"/>
    <w:rsid w:val="00381AC2"/>
    <w:rsid w:val="0038220A"/>
    <w:rsid w:val="00383180"/>
    <w:rsid w:val="0038610D"/>
    <w:rsid w:val="00386701"/>
    <w:rsid w:val="0038771C"/>
    <w:rsid w:val="0039405B"/>
    <w:rsid w:val="00397A77"/>
    <w:rsid w:val="00397E96"/>
    <w:rsid w:val="003A075E"/>
    <w:rsid w:val="003A1C92"/>
    <w:rsid w:val="003A1C96"/>
    <w:rsid w:val="003A541A"/>
    <w:rsid w:val="003A6923"/>
    <w:rsid w:val="003A6D63"/>
    <w:rsid w:val="003A73B0"/>
    <w:rsid w:val="003A73CB"/>
    <w:rsid w:val="003B73C7"/>
    <w:rsid w:val="003C12DC"/>
    <w:rsid w:val="003C2323"/>
    <w:rsid w:val="003C2C67"/>
    <w:rsid w:val="003C5BA4"/>
    <w:rsid w:val="003C63E3"/>
    <w:rsid w:val="003D1463"/>
    <w:rsid w:val="003D1CDE"/>
    <w:rsid w:val="003D62BA"/>
    <w:rsid w:val="003E1143"/>
    <w:rsid w:val="003E1F2A"/>
    <w:rsid w:val="003E3E26"/>
    <w:rsid w:val="003F0E47"/>
    <w:rsid w:val="003F1295"/>
    <w:rsid w:val="003F1C34"/>
    <w:rsid w:val="003F24B1"/>
    <w:rsid w:val="003F281B"/>
    <w:rsid w:val="003F59F7"/>
    <w:rsid w:val="003F67BF"/>
    <w:rsid w:val="003F6E39"/>
    <w:rsid w:val="003F76FC"/>
    <w:rsid w:val="004002EB"/>
    <w:rsid w:val="004013A7"/>
    <w:rsid w:val="00405185"/>
    <w:rsid w:val="0041052F"/>
    <w:rsid w:val="0041201F"/>
    <w:rsid w:val="0041689E"/>
    <w:rsid w:val="00417AD5"/>
    <w:rsid w:val="004236C8"/>
    <w:rsid w:val="00424AA0"/>
    <w:rsid w:val="00425ECF"/>
    <w:rsid w:val="00426AAE"/>
    <w:rsid w:val="00427681"/>
    <w:rsid w:val="00431EC3"/>
    <w:rsid w:val="00433DB7"/>
    <w:rsid w:val="0043634D"/>
    <w:rsid w:val="004413BB"/>
    <w:rsid w:val="00441B95"/>
    <w:rsid w:val="00446463"/>
    <w:rsid w:val="00453750"/>
    <w:rsid w:val="00456941"/>
    <w:rsid w:val="0046684C"/>
    <w:rsid w:val="004669E3"/>
    <w:rsid w:val="004702EA"/>
    <w:rsid w:val="0047712B"/>
    <w:rsid w:val="00481D97"/>
    <w:rsid w:val="00482D02"/>
    <w:rsid w:val="00483C0A"/>
    <w:rsid w:val="00484E77"/>
    <w:rsid w:val="0048799A"/>
    <w:rsid w:val="004976A3"/>
    <w:rsid w:val="004A7519"/>
    <w:rsid w:val="004B24DC"/>
    <w:rsid w:val="004B2852"/>
    <w:rsid w:val="004B4303"/>
    <w:rsid w:val="004B4447"/>
    <w:rsid w:val="004B51E9"/>
    <w:rsid w:val="004B51EA"/>
    <w:rsid w:val="004B56F2"/>
    <w:rsid w:val="004C2793"/>
    <w:rsid w:val="004C2F8E"/>
    <w:rsid w:val="004C3780"/>
    <w:rsid w:val="004C38D0"/>
    <w:rsid w:val="004C3B4B"/>
    <w:rsid w:val="004D3518"/>
    <w:rsid w:val="004D426D"/>
    <w:rsid w:val="004D5969"/>
    <w:rsid w:val="004D5EE7"/>
    <w:rsid w:val="004D62D6"/>
    <w:rsid w:val="004E2644"/>
    <w:rsid w:val="004E4717"/>
    <w:rsid w:val="004F2985"/>
    <w:rsid w:val="004F4ABA"/>
    <w:rsid w:val="004F708F"/>
    <w:rsid w:val="00506E2C"/>
    <w:rsid w:val="0050705C"/>
    <w:rsid w:val="0051091B"/>
    <w:rsid w:val="00510DBB"/>
    <w:rsid w:val="005137DB"/>
    <w:rsid w:val="00514DA1"/>
    <w:rsid w:val="00525B18"/>
    <w:rsid w:val="00531158"/>
    <w:rsid w:val="005331E3"/>
    <w:rsid w:val="0053416C"/>
    <w:rsid w:val="0053539E"/>
    <w:rsid w:val="00536054"/>
    <w:rsid w:val="00537675"/>
    <w:rsid w:val="00541C2F"/>
    <w:rsid w:val="00543AF1"/>
    <w:rsid w:val="005442FE"/>
    <w:rsid w:val="00545666"/>
    <w:rsid w:val="005461F2"/>
    <w:rsid w:val="0054680E"/>
    <w:rsid w:val="005506BF"/>
    <w:rsid w:val="0055127B"/>
    <w:rsid w:val="00553AE6"/>
    <w:rsid w:val="005603AC"/>
    <w:rsid w:val="00563527"/>
    <w:rsid w:val="00564099"/>
    <w:rsid w:val="00566EC1"/>
    <w:rsid w:val="005713BD"/>
    <w:rsid w:val="00573EF0"/>
    <w:rsid w:val="005749F2"/>
    <w:rsid w:val="00577054"/>
    <w:rsid w:val="0058124E"/>
    <w:rsid w:val="00584301"/>
    <w:rsid w:val="0058744B"/>
    <w:rsid w:val="005875A3"/>
    <w:rsid w:val="00592CF8"/>
    <w:rsid w:val="00595DF0"/>
    <w:rsid w:val="00596F82"/>
    <w:rsid w:val="005A15BF"/>
    <w:rsid w:val="005A234C"/>
    <w:rsid w:val="005A323F"/>
    <w:rsid w:val="005A3416"/>
    <w:rsid w:val="005A6E7F"/>
    <w:rsid w:val="005A71DE"/>
    <w:rsid w:val="005B27FE"/>
    <w:rsid w:val="005B3B9F"/>
    <w:rsid w:val="005B5113"/>
    <w:rsid w:val="005B5DA7"/>
    <w:rsid w:val="005C007D"/>
    <w:rsid w:val="005C0366"/>
    <w:rsid w:val="005C1096"/>
    <w:rsid w:val="005C3E6D"/>
    <w:rsid w:val="005C4C28"/>
    <w:rsid w:val="005C5671"/>
    <w:rsid w:val="005C6BBF"/>
    <w:rsid w:val="005C7591"/>
    <w:rsid w:val="005C7D3D"/>
    <w:rsid w:val="005D09A9"/>
    <w:rsid w:val="005D26E4"/>
    <w:rsid w:val="005E45C1"/>
    <w:rsid w:val="005E4A9F"/>
    <w:rsid w:val="005E62C7"/>
    <w:rsid w:val="005E6AE4"/>
    <w:rsid w:val="005F0B6F"/>
    <w:rsid w:val="005F61DF"/>
    <w:rsid w:val="005F71A1"/>
    <w:rsid w:val="006019B4"/>
    <w:rsid w:val="006023F9"/>
    <w:rsid w:val="00602FF3"/>
    <w:rsid w:val="006032E3"/>
    <w:rsid w:val="00605A24"/>
    <w:rsid w:val="00610559"/>
    <w:rsid w:val="0061493C"/>
    <w:rsid w:val="006170FF"/>
    <w:rsid w:val="00620529"/>
    <w:rsid w:val="0062386E"/>
    <w:rsid w:val="006258F5"/>
    <w:rsid w:val="00633201"/>
    <w:rsid w:val="006332F6"/>
    <w:rsid w:val="006348D0"/>
    <w:rsid w:val="006361E7"/>
    <w:rsid w:val="00636331"/>
    <w:rsid w:val="00637BD2"/>
    <w:rsid w:val="00637E3A"/>
    <w:rsid w:val="0064107D"/>
    <w:rsid w:val="0064151C"/>
    <w:rsid w:val="00652625"/>
    <w:rsid w:val="0065280B"/>
    <w:rsid w:val="006534B2"/>
    <w:rsid w:val="006535B0"/>
    <w:rsid w:val="00656156"/>
    <w:rsid w:val="0065615D"/>
    <w:rsid w:val="00656D9F"/>
    <w:rsid w:val="00657011"/>
    <w:rsid w:val="006650B5"/>
    <w:rsid w:val="006651B1"/>
    <w:rsid w:val="00665778"/>
    <w:rsid w:val="0067564B"/>
    <w:rsid w:val="00676306"/>
    <w:rsid w:val="006826D1"/>
    <w:rsid w:val="00683BEB"/>
    <w:rsid w:val="006848D1"/>
    <w:rsid w:val="00684CE5"/>
    <w:rsid w:val="00687FB4"/>
    <w:rsid w:val="00692A23"/>
    <w:rsid w:val="00694991"/>
    <w:rsid w:val="00696B6F"/>
    <w:rsid w:val="006A492B"/>
    <w:rsid w:val="006A5B34"/>
    <w:rsid w:val="006A5F5B"/>
    <w:rsid w:val="006B1A99"/>
    <w:rsid w:val="006B7224"/>
    <w:rsid w:val="006C2BEA"/>
    <w:rsid w:val="006C5A51"/>
    <w:rsid w:val="006C600F"/>
    <w:rsid w:val="006C6C95"/>
    <w:rsid w:val="006C77A9"/>
    <w:rsid w:val="006D0991"/>
    <w:rsid w:val="006D1B9F"/>
    <w:rsid w:val="006D7C46"/>
    <w:rsid w:val="006E077D"/>
    <w:rsid w:val="006E6E6B"/>
    <w:rsid w:val="006F074C"/>
    <w:rsid w:val="006F17B7"/>
    <w:rsid w:val="006F3CD6"/>
    <w:rsid w:val="006F46C2"/>
    <w:rsid w:val="006F46E1"/>
    <w:rsid w:val="006F6693"/>
    <w:rsid w:val="006F7A24"/>
    <w:rsid w:val="006F7B96"/>
    <w:rsid w:val="00701955"/>
    <w:rsid w:val="00707FE8"/>
    <w:rsid w:val="00713DA8"/>
    <w:rsid w:val="0071531C"/>
    <w:rsid w:val="0071698E"/>
    <w:rsid w:val="007213E5"/>
    <w:rsid w:val="00721480"/>
    <w:rsid w:val="007243B4"/>
    <w:rsid w:val="00724962"/>
    <w:rsid w:val="00724A0F"/>
    <w:rsid w:val="0072556B"/>
    <w:rsid w:val="00727E0A"/>
    <w:rsid w:val="007320B4"/>
    <w:rsid w:val="007320E5"/>
    <w:rsid w:val="00732162"/>
    <w:rsid w:val="00734E09"/>
    <w:rsid w:val="00736732"/>
    <w:rsid w:val="0073796C"/>
    <w:rsid w:val="007407C3"/>
    <w:rsid w:val="007446DE"/>
    <w:rsid w:val="00745BDA"/>
    <w:rsid w:val="0074664F"/>
    <w:rsid w:val="0074745D"/>
    <w:rsid w:val="00750CBE"/>
    <w:rsid w:val="00751323"/>
    <w:rsid w:val="00751FF0"/>
    <w:rsid w:val="00752666"/>
    <w:rsid w:val="00752A42"/>
    <w:rsid w:val="0075384F"/>
    <w:rsid w:val="00754BA6"/>
    <w:rsid w:val="007613C7"/>
    <w:rsid w:val="0076389A"/>
    <w:rsid w:val="00763FBD"/>
    <w:rsid w:val="00764F99"/>
    <w:rsid w:val="0076546B"/>
    <w:rsid w:val="00766B5A"/>
    <w:rsid w:val="00772AD2"/>
    <w:rsid w:val="007744D7"/>
    <w:rsid w:val="007751F5"/>
    <w:rsid w:val="007800B3"/>
    <w:rsid w:val="007813C5"/>
    <w:rsid w:val="00782EF3"/>
    <w:rsid w:val="007834F2"/>
    <w:rsid w:val="00783A9A"/>
    <w:rsid w:val="00784753"/>
    <w:rsid w:val="00784E8D"/>
    <w:rsid w:val="00791020"/>
    <w:rsid w:val="00792939"/>
    <w:rsid w:val="0079326A"/>
    <w:rsid w:val="0079575E"/>
    <w:rsid w:val="007A238A"/>
    <w:rsid w:val="007A5F82"/>
    <w:rsid w:val="007A7C1E"/>
    <w:rsid w:val="007B2DE8"/>
    <w:rsid w:val="007B6A10"/>
    <w:rsid w:val="007C0352"/>
    <w:rsid w:val="007C109B"/>
    <w:rsid w:val="007C27EC"/>
    <w:rsid w:val="007C4121"/>
    <w:rsid w:val="007C5689"/>
    <w:rsid w:val="007D0F7B"/>
    <w:rsid w:val="007D3A9F"/>
    <w:rsid w:val="007D6A71"/>
    <w:rsid w:val="007D7025"/>
    <w:rsid w:val="007E10C8"/>
    <w:rsid w:val="007E4441"/>
    <w:rsid w:val="007E514F"/>
    <w:rsid w:val="007E781E"/>
    <w:rsid w:val="007E797A"/>
    <w:rsid w:val="007F01E2"/>
    <w:rsid w:val="007F04DD"/>
    <w:rsid w:val="007F1A4C"/>
    <w:rsid w:val="007F42C3"/>
    <w:rsid w:val="008022C3"/>
    <w:rsid w:val="0080289A"/>
    <w:rsid w:val="00803EA8"/>
    <w:rsid w:val="008041E6"/>
    <w:rsid w:val="00804611"/>
    <w:rsid w:val="00806529"/>
    <w:rsid w:val="008065D2"/>
    <w:rsid w:val="0080710C"/>
    <w:rsid w:val="008078C6"/>
    <w:rsid w:val="00811928"/>
    <w:rsid w:val="00812B90"/>
    <w:rsid w:val="00812BD4"/>
    <w:rsid w:val="0081651C"/>
    <w:rsid w:val="0081775C"/>
    <w:rsid w:val="008179E5"/>
    <w:rsid w:val="0082194C"/>
    <w:rsid w:val="008220C4"/>
    <w:rsid w:val="008222FF"/>
    <w:rsid w:val="008241FF"/>
    <w:rsid w:val="00827D29"/>
    <w:rsid w:val="00827FCC"/>
    <w:rsid w:val="00830851"/>
    <w:rsid w:val="00831E8C"/>
    <w:rsid w:val="00835C1F"/>
    <w:rsid w:val="00835E74"/>
    <w:rsid w:val="0084094F"/>
    <w:rsid w:val="008411E9"/>
    <w:rsid w:val="00841317"/>
    <w:rsid w:val="008413E5"/>
    <w:rsid w:val="0084200F"/>
    <w:rsid w:val="00843B2C"/>
    <w:rsid w:val="0085123C"/>
    <w:rsid w:val="0085145C"/>
    <w:rsid w:val="00853532"/>
    <w:rsid w:val="0085477B"/>
    <w:rsid w:val="008617E5"/>
    <w:rsid w:val="008726FD"/>
    <w:rsid w:val="00872AC3"/>
    <w:rsid w:val="00873B75"/>
    <w:rsid w:val="00873C2B"/>
    <w:rsid w:val="00874080"/>
    <w:rsid w:val="008757E7"/>
    <w:rsid w:val="00895A8C"/>
    <w:rsid w:val="00895C1F"/>
    <w:rsid w:val="00895C7E"/>
    <w:rsid w:val="008A3B15"/>
    <w:rsid w:val="008A4900"/>
    <w:rsid w:val="008A6C29"/>
    <w:rsid w:val="008B053E"/>
    <w:rsid w:val="008B3C19"/>
    <w:rsid w:val="008B489B"/>
    <w:rsid w:val="008B6950"/>
    <w:rsid w:val="008B70D6"/>
    <w:rsid w:val="008C173D"/>
    <w:rsid w:val="008C37C6"/>
    <w:rsid w:val="008C6698"/>
    <w:rsid w:val="008C781D"/>
    <w:rsid w:val="008D0281"/>
    <w:rsid w:val="008D3290"/>
    <w:rsid w:val="008E0A48"/>
    <w:rsid w:val="008E1BC5"/>
    <w:rsid w:val="008E26AA"/>
    <w:rsid w:val="008E3C4E"/>
    <w:rsid w:val="008E5C8B"/>
    <w:rsid w:val="008E7463"/>
    <w:rsid w:val="008F546A"/>
    <w:rsid w:val="008F69BB"/>
    <w:rsid w:val="008F6D45"/>
    <w:rsid w:val="009024BC"/>
    <w:rsid w:val="00903C75"/>
    <w:rsid w:val="00905BEB"/>
    <w:rsid w:val="00906D03"/>
    <w:rsid w:val="0091094E"/>
    <w:rsid w:val="009134E3"/>
    <w:rsid w:val="00913752"/>
    <w:rsid w:val="009142E0"/>
    <w:rsid w:val="00914478"/>
    <w:rsid w:val="00917652"/>
    <w:rsid w:val="0092476E"/>
    <w:rsid w:val="00930A86"/>
    <w:rsid w:val="00932990"/>
    <w:rsid w:val="00933C87"/>
    <w:rsid w:val="0094081C"/>
    <w:rsid w:val="00941B26"/>
    <w:rsid w:val="00942623"/>
    <w:rsid w:val="00942D58"/>
    <w:rsid w:val="00943D12"/>
    <w:rsid w:val="009455DC"/>
    <w:rsid w:val="0095090A"/>
    <w:rsid w:val="009513CE"/>
    <w:rsid w:val="00955547"/>
    <w:rsid w:val="009622B2"/>
    <w:rsid w:val="0096308E"/>
    <w:rsid w:val="00970978"/>
    <w:rsid w:val="00970AD7"/>
    <w:rsid w:val="00970DC7"/>
    <w:rsid w:val="00972CBD"/>
    <w:rsid w:val="009731E9"/>
    <w:rsid w:val="009805E3"/>
    <w:rsid w:val="00982EFF"/>
    <w:rsid w:val="009834C0"/>
    <w:rsid w:val="00985C25"/>
    <w:rsid w:val="00986AAC"/>
    <w:rsid w:val="00986DAF"/>
    <w:rsid w:val="00986E93"/>
    <w:rsid w:val="00987D4B"/>
    <w:rsid w:val="009901A2"/>
    <w:rsid w:val="0099048E"/>
    <w:rsid w:val="00991B35"/>
    <w:rsid w:val="009964F2"/>
    <w:rsid w:val="009A1028"/>
    <w:rsid w:val="009A1DA2"/>
    <w:rsid w:val="009A3704"/>
    <w:rsid w:val="009A383F"/>
    <w:rsid w:val="009A4739"/>
    <w:rsid w:val="009A5573"/>
    <w:rsid w:val="009A6177"/>
    <w:rsid w:val="009A674F"/>
    <w:rsid w:val="009A6A3D"/>
    <w:rsid w:val="009B199C"/>
    <w:rsid w:val="009B2AAA"/>
    <w:rsid w:val="009B54C8"/>
    <w:rsid w:val="009B61F1"/>
    <w:rsid w:val="009B62E0"/>
    <w:rsid w:val="009B727C"/>
    <w:rsid w:val="009C0C58"/>
    <w:rsid w:val="009C3D88"/>
    <w:rsid w:val="009C3E90"/>
    <w:rsid w:val="009D45A1"/>
    <w:rsid w:val="009D6513"/>
    <w:rsid w:val="009D652F"/>
    <w:rsid w:val="009E1897"/>
    <w:rsid w:val="009E3858"/>
    <w:rsid w:val="009E4573"/>
    <w:rsid w:val="009E5B9E"/>
    <w:rsid w:val="009E70DD"/>
    <w:rsid w:val="009F2ED9"/>
    <w:rsid w:val="009F3231"/>
    <w:rsid w:val="009F5C58"/>
    <w:rsid w:val="009F7DFF"/>
    <w:rsid w:val="00A023A0"/>
    <w:rsid w:val="00A036AA"/>
    <w:rsid w:val="00A03DD5"/>
    <w:rsid w:val="00A0679C"/>
    <w:rsid w:val="00A075B0"/>
    <w:rsid w:val="00A128FC"/>
    <w:rsid w:val="00A14BF5"/>
    <w:rsid w:val="00A1562B"/>
    <w:rsid w:val="00A170F4"/>
    <w:rsid w:val="00A21D12"/>
    <w:rsid w:val="00A22192"/>
    <w:rsid w:val="00A22A4E"/>
    <w:rsid w:val="00A2377C"/>
    <w:rsid w:val="00A2559E"/>
    <w:rsid w:val="00A25FD9"/>
    <w:rsid w:val="00A32D57"/>
    <w:rsid w:val="00A425FB"/>
    <w:rsid w:val="00A42E21"/>
    <w:rsid w:val="00A46492"/>
    <w:rsid w:val="00A46BA8"/>
    <w:rsid w:val="00A47634"/>
    <w:rsid w:val="00A50912"/>
    <w:rsid w:val="00A51B74"/>
    <w:rsid w:val="00A5515A"/>
    <w:rsid w:val="00A60DC8"/>
    <w:rsid w:val="00A612FE"/>
    <w:rsid w:val="00A66B00"/>
    <w:rsid w:val="00A67C1C"/>
    <w:rsid w:val="00A746C7"/>
    <w:rsid w:val="00A83A6F"/>
    <w:rsid w:val="00A83C4E"/>
    <w:rsid w:val="00A8445D"/>
    <w:rsid w:val="00A91BCF"/>
    <w:rsid w:val="00A93FD8"/>
    <w:rsid w:val="00A955A3"/>
    <w:rsid w:val="00AA03E9"/>
    <w:rsid w:val="00AA06A9"/>
    <w:rsid w:val="00AA0D7D"/>
    <w:rsid w:val="00AA18F9"/>
    <w:rsid w:val="00AA23F0"/>
    <w:rsid w:val="00AA26B8"/>
    <w:rsid w:val="00AA7BD9"/>
    <w:rsid w:val="00AB3FE2"/>
    <w:rsid w:val="00AB512C"/>
    <w:rsid w:val="00AB7306"/>
    <w:rsid w:val="00AB7EA0"/>
    <w:rsid w:val="00AC1FF9"/>
    <w:rsid w:val="00AC2076"/>
    <w:rsid w:val="00AC3A1E"/>
    <w:rsid w:val="00AC432D"/>
    <w:rsid w:val="00AC7A52"/>
    <w:rsid w:val="00AD2403"/>
    <w:rsid w:val="00AD3322"/>
    <w:rsid w:val="00AD5CD5"/>
    <w:rsid w:val="00AD695A"/>
    <w:rsid w:val="00AD6EC7"/>
    <w:rsid w:val="00AD7864"/>
    <w:rsid w:val="00AD7886"/>
    <w:rsid w:val="00AD7E4E"/>
    <w:rsid w:val="00AE7978"/>
    <w:rsid w:val="00AF1112"/>
    <w:rsid w:val="00AF1795"/>
    <w:rsid w:val="00AF1EF7"/>
    <w:rsid w:val="00AF4D58"/>
    <w:rsid w:val="00AF6666"/>
    <w:rsid w:val="00B04449"/>
    <w:rsid w:val="00B04F2C"/>
    <w:rsid w:val="00B10154"/>
    <w:rsid w:val="00B1234D"/>
    <w:rsid w:val="00B134E2"/>
    <w:rsid w:val="00B17DEF"/>
    <w:rsid w:val="00B2296E"/>
    <w:rsid w:val="00B24017"/>
    <w:rsid w:val="00B34894"/>
    <w:rsid w:val="00B37860"/>
    <w:rsid w:val="00B42197"/>
    <w:rsid w:val="00B42DD7"/>
    <w:rsid w:val="00B46C75"/>
    <w:rsid w:val="00B51703"/>
    <w:rsid w:val="00B52F46"/>
    <w:rsid w:val="00B55E40"/>
    <w:rsid w:val="00B700E5"/>
    <w:rsid w:val="00B72A71"/>
    <w:rsid w:val="00B8128F"/>
    <w:rsid w:val="00B814A5"/>
    <w:rsid w:val="00B81B44"/>
    <w:rsid w:val="00B831AC"/>
    <w:rsid w:val="00B9053B"/>
    <w:rsid w:val="00B9556D"/>
    <w:rsid w:val="00B96C9B"/>
    <w:rsid w:val="00BA1E4E"/>
    <w:rsid w:val="00BA4533"/>
    <w:rsid w:val="00BA71FA"/>
    <w:rsid w:val="00BB167A"/>
    <w:rsid w:val="00BC1F9F"/>
    <w:rsid w:val="00BC31C7"/>
    <w:rsid w:val="00BC3422"/>
    <w:rsid w:val="00BC4461"/>
    <w:rsid w:val="00BC7CF0"/>
    <w:rsid w:val="00BD1BA8"/>
    <w:rsid w:val="00BE192A"/>
    <w:rsid w:val="00BE7233"/>
    <w:rsid w:val="00BF15D9"/>
    <w:rsid w:val="00BF2C10"/>
    <w:rsid w:val="00BF40CC"/>
    <w:rsid w:val="00BF4746"/>
    <w:rsid w:val="00C015B9"/>
    <w:rsid w:val="00C0165F"/>
    <w:rsid w:val="00C01DFC"/>
    <w:rsid w:val="00C022F9"/>
    <w:rsid w:val="00C032EA"/>
    <w:rsid w:val="00C06403"/>
    <w:rsid w:val="00C06EB5"/>
    <w:rsid w:val="00C1145F"/>
    <w:rsid w:val="00C11BA7"/>
    <w:rsid w:val="00C21B27"/>
    <w:rsid w:val="00C2515F"/>
    <w:rsid w:val="00C2690D"/>
    <w:rsid w:val="00C27D82"/>
    <w:rsid w:val="00C30808"/>
    <w:rsid w:val="00C330C5"/>
    <w:rsid w:val="00C34322"/>
    <w:rsid w:val="00C346E1"/>
    <w:rsid w:val="00C34B38"/>
    <w:rsid w:val="00C472D4"/>
    <w:rsid w:val="00C530FF"/>
    <w:rsid w:val="00C55401"/>
    <w:rsid w:val="00C56A6A"/>
    <w:rsid w:val="00C60A95"/>
    <w:rsid w:val="00C637E1"/>
    <w:rsid w:val="00C648DE"/>
    <w:rsid w:val="00C65E84"/>
    <w:rsid w:val="00C70A7E"/>
    <w:rsid w:val="00C70D50"/>
    <w:rsid w:val="00C73719"/>
    <w:rsid w:val="00C74B8D"/>
    <w:rsid w:val="00C829C5"/>
    <w:rsid w:val="00C83490"/>
    <w:rsid w:val="00C84BC2"/>
    <w:rsid w:val="00C85E5D"/>
    <w:rsid w:val="00C907D7"/>
    <w:rsid w:val="00C92338"/>
    <w:rsid w:val="00C9361E"/>
    <w:rsid w:val="00C937DC"/>
    <w:rsid w:val="00C963FB"/>
    <w:rsid w:val="00CA1FC2"/>
    <w:rsid w:val="00CA3DD3"/>
    <w:rsid w:val="00CA45C2"/>
    <w:rsid w:val="00CA7C3A"/>
    <w:rsid w:val="00CB20D9"/>
    <w:rsid w:val="00CB2E2B"/>
    <w:rsid w:val="00CC2DB2"/>
    <w:rsid w:val="00CC385D"/>
    <w:rsid w:val="00CC3B91"/>
    <w:rsid w:val="00CC5F87"/>
    <w:rsid w:val="00CC7A20"/>
    <w:rsid w:val="00CD0307"/>
    <w:rsid w:val="00CD030B"/>
    <w:rsid w:val="00CD06C7"/>
    <w:rsid w:val="00CD12E6"/>
    <w:rsid w:val="00CD18EE"/>
    <w:rsid w:val="00CD3D1B"/>
    <w:rsid w:val="00CE158C"/>
    <w:rsid w:val="00CE238F"/>
    <w:rsid w:val="00CE3F2B"/>
    <w:rsid w:val="00CE48D6"/>
    <w:rsid w:val="00CF1ACA"/>
    <w:rsid w:val="00CF670C"/>
    <w:rsid w:val="00CF7043"/>
    <w:rsid w:val="00CF7DCA"/>
    <w:rsid w:val="00D007E6"/>
    <w:rsid w:val="00D021B1"/>
    <w:rsid w:val="00D04355"/>
    <w:rsid w:val="00D0673A"/>
    <w:rsid w:val="00D11CA3"/>
    <w:rsid w:val="00D13C51"/>
    <w:rsid w:val="00D16C2E"/>
    <w:rsid w:val="00D211E9"/>
    <w:rsid w:val="00D2312F"/>
    <w:rsid w:val="00D264DE"/>
    <w:rsid w:val="00D269C1"/>
    <w:rsid w:val="00D26A55"/>
    <w:rsid w:val="00D27870"/>
    <w:rsid w:val="00D326C2"/>
    <w:rsid w:val="00D37A7A"/>
    <w:rsid w:val="00D40611"/>
    <w:rsid w:val="00D44953"/>
    <w:rsid w:val="00D53503"/>
    <w:rsid w:val="00D53B88"/>
    <w:rsid w:val="00D542F3"/>
    <w:rsid w:val="00D5644B"/>
    <w:rsid w:val="00D56BB9"/>
    <w:rsid w:val="00D56E25"/>
    <w:rsid w:val="00D57D39"/>
    <w:rsid w:val="00D60BC3"/>
    <w:rsid w:val="00D61700"/>
    <w:rsid w:val="00D61BF7"/>
    <w:rsid w:val="00D63D76"/>
    <w:rsid w:val="00D64F32"/>
    <w:rsid w:val="00D71077"/>
    <w:rsid w:val="00D710E2"/>
    <w:rsid w:val="00D718D7"/>
    <w:rsid w:val="00D73E66"/>
    <w:rsid w:val="00D814B7"/>
    <w:rsid w:val="00D855A5"/>
    <w:rsid w:val="00D86153"/>
    <w:rsid w:val="00D90688"/>
    <w:rsid w:val="00D94648"/>
    <w:rsid w:val="00DA1E76"/>
    <w:rsid w:val="00DA3AAD"/>
    <w:rsid w:val="00DA4121"/>
    <w:rsid w:val="00DA5408"/>
    <w:rsid w:val="00DA6F2A"/>
    <w:rsid w:val="00DB0D59"/>
    <w:rsid w:val="00DB0E25"/>
    <w:rsid w:val="00DB312B"/>
    <w:rsid w:val="00DB3E3B"/>
    <w:rsid w:val="00DB3FF4"/>
    <w:rsid w:val="00DB51E1"/>
    <w:rsid w:val="00DB7E36"/>
    <w:rsid w:val="00DC35B2"/>
    <w:rsid w:val="00DC5654"/>
    <w:rsid w:val="00DC658F"/>
    <w:rsid w:val="00DC72F8"/>
    <w:rsid w:val="00DD341E"/>
    <w:rsid w:val="00DD54C9"/>
    <w:rsid w:val="00DD77B6"/>
    <w:rsid w:val="00DE0452"/>
    <w:rsid w:val="00DE1077"/>
    <w:rsid w:val="00DE2904"/>
    <w:rsid w:val="00DE4FE3"/>
    <w:rsid w:val="00DE60CC"/>
    <w:rsid w:val="00DF195E"/>
    <w:rsid w:val="00DF3DD0"/>
    <w:rsid w:val="00DF5908"/>
    <w:rsid w:val="00E11B6B"/>
    <w:rsid w:val="00E23C6D"/>
    <w:rsid w:val="00E26B32"/>
    <w:rsid w:val="00E318E3"/>
    <w:rsid w:val="00E32FB8"/>
    <w:rsid w:val="00E346A2"/>
    <w:rsid w:val="00E35527"/>
    <w:rsid w:val="00E35C70"/>
    <w:rsid w:val="00E37783"/>
    <w:rsid w:val="00E407B6"/>
    <w:rsid w:val="00E41EA2"/>
    <w:rsid w:val="00E41EF1"/>
    <w:rsid w:val="00E42942"/>
    <w:rsid w:val="00E440BD"/>
    <w:rsid w:val="00E4622B"/>
    <w:rsid w:val="00E46242"/>
    <w:rsid w:val="00E462F1"/>
    <w:rsid w:val="00E468A6"/>
    <w:rsid w:val="00E46BA7"/>
    <w:rsid w:val="00E53FAE"/>
    <w:rsid w:val="00E54B62"/>
    <w:rsid w:val="00E54ED3"/>
    <w:rsid w:val="00E61FF8"/>
    <w:rsid w:val="00E62960"/>
    <w:rsid w:val="00E6335D"/>
    <w:rsid w:val="00E66760"/>
    <w:rsid w:val="00E70B9C"/>
    <w:rsid w:val="00E71BDF"/>
    <w:rsid w:val="00E73B31"/>
    <w:rsid w:val="00E75094"/>
    <w:rsid w:val="00E77CC1"/>
    <w:rsid w:val="00E83CA7"/>
    <w:rsid w:val="00EA12C9"/>
    <w:rsid w:val="00EA7EF3"/>
    <w:rsid w:val="00EB13BB"/>
    <w:rsid w:val="00EB494C"/>
    <w:rsid w:val="00EC171D"/>
    <w:rsid w:val="00EC60B8"/>
    <w:rsid w:val="00EC7A72"/>
    <w:rsid w:val="00ED487E"/>
    <w:rsid w:val="00ED6460"/>
    <w:rsid w:val="00ED7D11"/>
    <w:rsid w:val="00EE0FC7"/>
    <w:rsid w:val="00EE5D6C"/>
    <w:rsid w:val="00EE5EAB"/>
    <w:rsid w:val="00EE62A7"/>
    <w:rsid w:val="00EE6810"/>
    <w:rsid w:val="00EE7A0D"/>
    <w:rsid w:val="00EE7B94"/>
    <w:rsid w:val="00EE7C97"/>
    <w:rsid w:val="00EF5F67"/>
    <w:rsid w:val="00F023EE"/>
    <w:rsid w:val="00F02429"/>
    <w:rsid w:val="00F0370A"/>
    <w:rsid w:val="00F04E7E"/>
    <w:rsid w:val="00F076EA"/>
    <w:rsid w:val="00F12061"/>
    <w:rsid w:val="00F12A5F"/>
    <w:rsid w:val="00F14217"/>
    <w:rsid w:val="00F143AC"/>
    <w:rsid w:val="00F17CE1"/>
    <w:rsid w:val="00F2115C"/>
    <w:rsid w:val="00F22ABA"/>
    <w:rsid w:val="00F30F01"/>
    <w:rsid w:val="00F35A41"/>
    <w:rsid w:val="00F36B12"/>
    <w:rsid w:val="00F36B66"/>
    <w:rsid w:val="00F36E09"/>
    <w:rsid w:val="00F37760"/>
    <w:rsid w:val="00F41E7D"/>
    <w:rsid w:val="00F4239A"/>
    <w:rsid w:val="00F43B13"/>
    <w:rsid w:val="00F44A92"/>
    <w:rsid w:val="00F44CB2"/>
    <w:rsid w:val="00F44DE3"/>
    <w:rsid w:val="00F44EA0"/>
    <w:rsid w:val="00F4572C"/>
    <w:rsid w:val="00F46391"/>
    <w:rsid w:val="00F60F9F"/>
    <w:rsid w:val="00F6471E"/>
    <w:rsid w:val="00F64F08"/>
    <w:rsid w:val="00F656A3"/>
    <w:rsid w:val="00F659DA"/>
    <w:rsid w:val="00F66478"/>
    <w:rsid w:val="00F664DC"/>
    <w:rsid w:val="00F734F5"/>
    <w:rsid w:val="00F81377"/>
    <w:rsid w:val="00F8168D"/>
    <w:rsid w:val="00F81A5F"/>
    <w:rsid w:val="00F86634"/>
    <w:rsid w:val="00F8711E"/>
    <w:rsid w:val="00F874A6"/>
    <w:rsid w:val="00F92738"/>
    <w:rsid w:val="00F93076"/>
    <w:rsid w:val="00F966B1"/>
    <w:rsid w:val="00F97048"/>
    <w:rsid w:val="00F97D48"/>
    <w:rsid w:val="00FA0311"/>
    <w:rsid w:val="00FA154A"/>
    <w:rsid w:val="00FA1FB5"/>
    <w:rsid w:val="00FA24ED"/>
    <w:rsid w:val="00FA2921"/>
    <w:rsid w:val="00FC13C7"/>
    <w:rsid w:val="00FC42E5"/>
    <w:rsid w:val="00FC4DF7"/>
    <w:rsid w:val="00FC6FE1"/>
    <w:rsid w:val="00FC7AF6"/>
    <w:rsid w:val="00FD4CB2"/>
    <w:rsid w:val="00FD4FC5"/>
    <w:rsid w:val="00FD640F"/>
    <w:rsid w:val="00FD6B4C"/>
    <w:rsid w:val="00FE0E4E"/>
    <w:rsid w:val="00FE1029"/>
    <w:rsid w:val="00FE5152"/>
    <w:rsid w:val="00FF4E3A"/>
    <w:rsid w:val="00FF4E99"/>
    <w:rsid w:val="00FF74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1E467778"/>
  <w15:docId w15:val="{BB18481B-4FF8-45BE-BC39-A7AE94BB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864"/>
    <w:pPr>
      <w:spacing w:before="160" w:after="100"/>
    </w:pPr>
    <w:rPr>
      <w:spacing w:val="2"/>
      <w:sz w:val="24"/>
    </w:rPr>
  </w:style>
  <w:style w:type="paragraph" w:styleId="Heading1">
    <w:name w:val="heading 1"/>
    <w:next w:val="Normal"/>
    <w:link w:val="Heading1Char"/>
    <w:qFormat/>
    <w:rsid w:val="00EC171D"/>
    <w:pPr>
      <w:keepNext/>
      <w:keepLines/>
      <w:spacing w:before="600" w:after="88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EC171D"/>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50705C"/>
    <w:pPr>
      <w:numPr>
        <w:numId w:val="1"/>
      </w:numPr>
      <w:spacing w:before="100" w:after="100" w:line="240" w:lineRule="auto"/>
    </w:pPr>
    <w:rPr>
      <w:rFonts w:eastAsia="Times New Roman" w:cs="Calibri"/>
      <w:spacing w:val="2"/>
      <w:sz w:val="24"/>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5"/>
    <w:qFormat/>
    <w:rsid w:val="00EC171D"/>
    <w:pPr>
      <w:numPr>
        <w:ilvl w:val="2"/>
      </w:numPr>
    </w:pPr>
  </w:style>
  <w:style w:type="paragraph" w:customStyle="1" w:styleId="Heading1numbered">
    <w:name w:val="Heading 1 numbered"/>
    <w:basedOn w:val="Heading1"/>
    <w:next w:val="NormalIndent"/>
    <w:uiPriority w:val="4"/>
    <w:qFormat/>
    <w:rsid w:val="00EC171D"/>
    <w:pPr>
      <w:numPr>
        <w:ilvl w:val="2"/>
        <w:numId w:val="4"/>
      </w:numPr>
    </w:pPr>
  </w:style>
  <w:style w:type="paragraph" w:customStyle="1" w:styleId="Heading2numbered">
    <w:name w:val="Heading 2 numbered"/>
    <w:basedOn w:val="Heading2"/>
    <w:next w:val="NormalIndent"/>
    <w:uiPriority w:val="4"/>
    <w:qFormat/>
    <w:rsid w:val="00EC171D"/>
    <w:pPr>
      <w:numPr>
        <w:ilvl w:val="3"/>
        <w:numId w:val="4"/>
      </w:numPr>
    </w:pPr>
  </w:style>
  <w:style w:type="paragraph" w:customStyle="1" w:styleId="Heading3numbered">
    <w:name w:val="Heading 3 numbered"/>
    <w:basedOn w:val="Heading3"/>
    <w:next w:val="NormalIndent"/>
    <w:uiPriority w:val="4"/>
    <w:qFormat/>
    <w:rsid w:val="00EC171D"/>
    <w:pPr>
      <w:numPr>
        <w:ilvl w:val="4"/>
        <w:numId w:val="4"/>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qFormat/>
    <w:rsid w:val="00EC171D"/>
    <w:pPr>
      <w:numPr>
        <w:ilvl w:val="5"/>
        <w:numId w:val="4"/>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4"/>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EC171D"/>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EC171D"/>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5"/>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 w:val="18"/>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EC171D"/>
    <w:rPr>
      <w:b w:val="0"/>
      <w:color w:val="4C4C4C"/>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652625"/>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indent2">
    <w:name w:val="List num indent 2"/>
    <w:basedOn w:val="Normal"/>
    <w:uiPriority w:val="5"/>
    <w:qFormat/>
    <w:rsid w:val="00EC171D"/>
    <w:pPr>
      <w:numPr>
        <w:ilvl w:val="7"/>
        <w:numId w:val="4"/>
      </w:numPr>
      <w:spacing w:before="100"/>
      <w:contextualSpacing/>
    </w:pPr>
  </w:style>
  <w:style w:type="paragraph" w:customStyle="1" w:styleId="Listnumindent">
    <w:name w:val="List num indent"/>
    <w:basedOn w:val="Normal"/>
    <w:uiPriority w:val="5"/>
    <w:qFormat/>
    <w:rsid w:val="00EC171D"/>
    <w:pPr>
      <w:numPr>
        <w:ilvl w:val="6"/>
        <w:numId w:val="4"/>
      </w:numPr>
      <w:spacing w:before="100"/>
    </w:pPr>
  </w:style>
  <w:style w:type="paragraph" w:customStyle="1" w:styleId="Listnum">
    <w:name w:val="List num"/>
    <w:basedOn w:val="Normal"/>
    <w:qFormat/>
    <w:rsid w:val="00EC171D"/>
    <w:pPr>
      <w:numPr>
        <w:numId w:val="4"/>
      </w:numPr>
    </w:pPr>
  </w:style>
  <w:style w:type="paragraph" w:customStyle="1" w:styleId="Listnum2">
    <w:name w:val="List num 2"/>
    <w:basedOn w:val="Normal"/>
    <w:qFormat/>
    <w:rsid w:val="00EC171D"/>
    <w:pPr>
      <w:numPr>
        <w:ilvl w:val="1"/>
        <w:numId w:val="4"/>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D211E9"/>
    <w:pPr>
      <w:numPr>
        <w:numId w:val="18"/>
      </w:numPr>
    </w:pPr>
  </w:style>
  <w:style w:type="paragraph" w:customStyle="1" w:styleId="Tabledash">
    <w:name w:val="Table dash"/>
    <w:basedOn w:val="Tablebullet"/>
    <w:uiPriority w:val="7"/>
    <w:rsid w:val="00D211E9"/>
    <w:pPr>
      <w:numPr>
        <w:ilvl w:val="1"/>
      </w:numPr>
    </w:pPr>
  </w:style>
  <w:style w:type="paragraph" w:customStyle="1" w:styleId="Tabletextindent">
    <w:name w:val="Table text indent"/>
    <w:basedOn w:val="Tabletext"/>
    <w:uiPriority w:val="6"/>
    <w:qFormat/>
    <w:rsid w:val="00D211E9"/>
    <w:pPr>
      <w:ind w:left="288"/>
    </w:pPr>
  </w:style>
  <w:style w:type="paragraph" w:customStyle="1" w:styleId="Numpara">
    <w:name w:val="Num para"/>
    <w:basedOn w:val="ListParagraph"/>
    <w:uiPriority w:val="3"/>
    <w:qFormat/>
    <w:rsid w:val="006361E7"/>
    <w:pPr>
      <w:numPr>
        <w:numId w:val="19"/>
      </w:numPr>
      <w:tabs>
        <w:tab w:val="num" w:pos="504"/>
        <w:tab w:val="left" w:pos="540"/>
      </w:tabs>
      <w:ind w:left="504" w:hanging="504"/>
    </w:pPr>
  </w:style>
  <w:style w:type="paragraph" w:styleId="ListParagraph">
    <w:name w:val="List Paragraph"/>
    <w:basedOn w:val="Normal"/>
    <w:uiPriority w:val="34"/>
    <w:qFormat/>
    <w:rsid w:val="006361E7"/>
    <w:pPr>
      <w:ind w:left="720"/>
      <w:contextualSpacing/>
    </w:pPr>
  </w:style>
  <w:style w:type="table" w:customStyle="1" w:styleId="Summarytable">
    <w:name w:val="Summary table"/>
    <w:basedOn w:val="TableNormal"/>
    <w:uiPriority w:val="99"/>
    <w:rsid w:val="005E6AE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1">
    <w:name w:val="Summary table1"/>
    <w:basedOn w:val="TableNormal"/>
    <w:uiPriority w:val="99"/>
    <w:rsid w:val="0095554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2">
    <w:name w:val="Summary table2"/>
    <w:basedOn w:val="TableNormal"/>
    <w:uiPriority w:val="99"/>
    <w:rsid w:val="007800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3">
    <w:name w:val="Summary table3"/>
    <w:basedOn w:val="TableNormal"/>
    <w:uiPriority w:val="99"/>
    <w:rsid w:val="00F04E7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4">
    <w:name w:val="Summary table4"/>
    <w:basedOn w:val="TableNormal"/>
    <w:uiPriority w:val="99"/>
    <w:rsid w:val="005B3B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paragraph" w:customStyle="1" w:styleId="Listnum3">
    <w:name w:val="List num 3"/>
    <w:basedOn w:val="Normal"/>
    <w:rsid w:val="000761ED"/>
    <w:pPr>
      <w:tabs>
        <w:tab w:val="num" w:pos="1512"/>
      </w:tabs>
      <w:spacing w:before="0" w:after="0" w:line="240" w:lineRule="auto"/>
      <w:ind w:left="1512" w:hanging="504"/>
    </w:pPr>
    <w:rPr>
      <w:rFonts w:eastAsia="Times New Roman" w:cs="Times New Roman"/>
      <w:color w:val="000000" w:themeColor="text1"/>
      <w:sz w:val="20"/>
      <w:lang w:eastAsia="en-US"/>
    </w:rPr>
  </w:style>
  <w:style w:type="paragraph" w:customStyle="1" w:styleId="Reference">
    <w:name w:val="Reference"/>
    <w:basedOn w:val="Normal"/>
    <w:link w:val="ReferenceChar"/>
    <w:qFormat/>
    <w:rsid w:val="00A83C4E"/>
    <w:pPr>
      <w:spacing w:before="20" w:after="20" w:line="240" w:lineRule="auto"/>
    </w:pPr>
    <w:rPr>
      <w:rFonts w:eastAsia="Tahoma" w:cs="Arial"/>
      <w:iCs/>
      <w:noProof/>
      <w:color w:val="0072CE" w:themeColor="accent4"/>
      <w:sz w:val="14"/>
      <w:szCs w:val="14"/>
    </w:rPr>
  </w:style>
  <w:style w:type="character" w:customStyle="1" w:styleId="ReferenceChar">
    <w:name w:val="Reference Char"/>
    <w:link w:val="Reference"/>
    <w:rsid w:val="00A83C4E"/>
    <w:rPr>
      <w:rFonts w:eastAsia="Tahoma" w:cs="Arial"/>
      <w:iCs/>
      <w:noProof/>
      <w:color w:val="0072CE" w:themeColor="accent4"/>
      <w:spacing w:val="2"/>
      <w:sz w:val="14"/>
      <w:szCs w:val="14"/>
    </w:rPr>
  </w:style>
  <w:style w:type="paragraph" w:customStyle="1" w:styleId="Referencered">
    <w:name w:val="Reference red"/>
    <w:basedOn w:val="Reference"/>
    <w:qFormat/>
    <w:rsid w:val="00A83C4E"/>
    <w:pPr>
      <w:keepNext/>
      <w:spacing w:before="0" w:after="0"/>
    </w:pPr>
    <w:rPr>
      <w:rFonts w:ascii="Arial" w:hAnsi="Arial" w:cs="Arial Narrow"/>
      <w:iCs w:val="0"/>
      <w:noProof w:val="0"/>
      <w:color w:val="AF272F"/>
      <w:spacing w:val="0"/>
      <w:szCs w:val="16"/>
    </w:rPr>
  </w:style>
  <w:style w:type="character" w:styleId="FollowedHyperlink">
    <w:name w:val="FollowedHyperlink"/>
    <w:basedOn w:val="DefaultParagraphFont"/>
    <w:uiPriority w:val="99"/>
    <w:semiHidden/>
    <w:rsid w:val="00C55401"/>
    <w:rPr>
      <w:color w:val="8A2A2B" w:themeColor="followedHyperlink"/>
      <w:u w:val="single"/>
    </w:rPr>
  </w:style>
  <w:style w:type="character" w:styleId="CommentReference">
    <w:name w:val="annotation reference"/>
    <w:basedOn w:val="DefaultParagraphFont"/>
    <w:uiPriority w:val="99"/>
    <w:semiHidden/>
    <w:rsid w:val="00E6335D"/>
    <w:rPr>
      <w:sz w:val="16"/>
      <w:szCs w:val="16"/>
    </w:rPr>
  </w:style>
  <w:style w:type="paragraph" w:styleId="CommentText">
    <w:name w:val="annotation text"/>
    <w:basedOn w:val="Normal"/>
    <w:link w:val="CommentTextChar"/>
    <w:uiPriority w:val="99"/>
    <w:semiHidden/>
    <w:rsid w:val="00E6335D"/>
    <w:pPr>
      <w:spacing w:line="240" w:lineRule="auto"/>
    </w:pPr>
    <w:rPr>
      <w:sz w:val="20"/>
    </w:rPr>
  </w:style>
  <w:style w:type="character" w:customStyle="1" w:styleId="CommentTextChar">
    <w:name w:val="Comment Text Char"/>
    <w:basedOn w:val="DefaultParagraphFont"/>
    <w:link w:val="CommentText"/>
    <w:uiPriority w:val="99"/>
    <w:semiHidden/>
    <w:rsid w:val="00E6335D"/>
    <w:rPr>
      <w:spacing w:val="2"/>
    </w:rPr>
  </w:style>
  <w:style w:type="paragraph" w:styleId="CommentSubject">
    <w:name w:val="annotation subject"/>
    <w:basedOn w:val="CommentText"/>
    <w:next w:val="CommentText"/>
    <w:link w:val="CommentSubjectChar"/>
    <w:uiPriority w:val="99"/>
    <w:semiHidden/>
    <w:rsid w:val="00E6335D"/>
    <w:rPr>
      <w:b/>
      <w:bCs/>
    </w:rPr>
  </w:style>
  <w:style w:type="character" w:customStyle="1" w:styleId="CommentSubjectChar">
    <w:name w:val="Comment Subject Char"/>
    <w:basedOn w:val="CommentTextChar"/>
    <w:link w:val="CommentSubject"/>
    <w:uiPriority w:val="99"/>
    <w:semiHidden/>
    <w:rsid w:val="00E6335D"/>
    <w:rPr>
      <w:b/>
      <w:bCs/>
      <w:spacing w:val="2"/>
    </w:rPr>
  </w:style>
  <w:style w:type="paragraph" w:styleId="Revision">
    <w:name w:val="Revision"/>
    <w:hidden/>
    <w:uiPriority w:val="99"/>
    <w:semiHidden/>
    <w:rsid w:val="00636331"/>
    <w:pPr>
      <w:spacing w:after="0" w:line="240" w:lineRule="auto"/>
    </w:pPr>
    <w:rPr>
      <w:spacing w:val="2"/>
      <w:sz w:val="24"/>
    </w:rPr>
  </w:style>
  <w:style w:type="character" w:styleId="UnresolvedMention">
    <w:name w:val="Unresolved Mention"/>
    <w:basedOn w:val="DefaultParagraphFont"/>
    <w:uiPriority w:val="99"/>
    <w:semiHidden/>
    <w:unhideWhenUsed/>
    <w:rsid w:val="00F37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tf.vic.gov.au/financial-reporting-policy/accounting-standards-checklis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595C4-1AE7-4E8D-9ABC-C5760CD1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Portrait.dotx</Template>
  <TotalTime>188</TotalTime>
  <Pages>10</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Marsal</dc:creator>
  <cp:lastModifiedBy>Karen Foo (DTF)</cp:lastModifiedBy>
  <cp:revision>74</cp:revision>
  <cp:lastPrinted>2019-05-16T22:56:00Z</cp:lastPrinted>
  <dcterms:created xsi:type="dcterms:W3CDTF">2019-04-24T01:44:00Z</dcterms:created>
  <dcterms:modified xsi:type="dcterms:W3CDTF">2019-05-16T22:56:00Z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f4e1f2c0-aaca-49af-a098-9b1bfc145e90</vt:lpwstr>
  </property>
  <property fmtid="{D5CDD505-2E9C-101B-9397-08002B2CF9AE}" pid="3" name="PSPFClassification">
    <vt:lpwstr>Do Not Mark</vt:lpwstr>
  </property>
  <property fmtid="{D5CDD505-2E9C-101B-9397-08002B2CF9AE}" pid="4" name="Classification">
    <vt:lpwstr>Do Not Mark</vt:lpwstr>
  </property>
</Properties>
</file>