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Default="005A4F90" w:rsidP="006738C4">
      <w:pPr>
        <w:pStyle w:val="Title"/>
        <w:spacing w:after="40"/>
      </w:pPr>
      <w:bookmarkStart w:id="0" w:name="_Toc442780672"/>
      <w:bookmarkStart w:id="1" w:name="_GoBack"/>
      <w:bookmarkEnd w:id="1"/>
      <w:r w:rsidRPr="005A4F90">
        <w:t>Community Support Fund</w:t>
      </w:r>
    </w:p>
    <w:p w:rsidR="00935E07" w:rsidRDefault="00935E07" w:rsidP="00285CCF">
      <w:pPr>
        <w:pStyle w:val="Heading2"/>
      </w:pPr>
      <w:r w:rsidRPr="00935E07">
        <w:t>Total expenditure by program for 201</w:t>
      </w:r>
      <w:r w:rsidR="009B6661">
        <w:t>4</w:t>
      </w:r>
      <w:r w:rsidR="00285CCF">
        <w:noBreakHyphen/>
      </w:r>
      <w:r w:rsidRPr="00935E07">
        <w:t>1</w:t>
      </w:r>
      <w:r w:rsidR="009B6661">
        <w:t>5</w:t>
      </w:r>
    </w:p>
    <w:p w:rsidR="00E54915" w:rsidRDefault="00E54915" w:rsidP="00285CCF">
      <w:pPr>
        <w:pStyle w:val="Heading3"/>
      </w:pPr>
      <w:r w:rsidRPr="00E54915">
        <w:t>Expenditure by program from 1 July 201</w:t>
      </w:r>
      <w:r w:rsidR="009B6661">
        <w:t>4 to 30 June 2015</w:t>
      </w:r>
    </w:p>
    <w:tbl>
      <w:tblPr>
        <w:tblStyle w:val="DTFtexttable"/>
        <w:tblW w:w="9147" w:type="dxa"/>
        <w:tblLayout w:type="fixed"/>
        <w:tblLook w:val="00A0" w:firstRow="1" w:lastRow="0" w:firstColumn="1" w:lastColumn="0" w:noHBand="0" w:noVBand="0"/>
      </w:tblPr>
      <w:tblGrid>
        <w:gridCol w:w="1857"/>
        <w:gridCol w:w="4500"/>
        <w:gridCol w:w="1170"/>
        <w:gridCol w:w="1620"/>
      </w:tblGrid>
      <w:tr w:rsidR="00FB0558" w:rsidTr="00FB05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57" w:type="dxa"/>
            <w:hideMark/>
          </w:tcPr>
          <w:p w:rsidR="00FB0558" w:rsidRDefault="00FB0558" w:rsidP="00FB0558">
            <w:pPr>
              <w:pStyle w:val="Tableheader"/>
              <w:rPr>
                <w:rFonts w:ascii="Calibri" w:hAnsi="Calibri"/>
                <w:sz w:val="22"/>
                <w:szCs w:val="22"/>
              </w:rPr>
            </w:pPr>
            <w:r>
              <w:t>Program name</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header"/>
              <w:rPr>
                <w:rFonts w:ascii="Calibri" w:hAnsi="Calibri"/>
                <w:sz w:val="22"/>
                <w:szCs w:val="22"/>
              </w:rPr>
            </w:pPr>
            <w:r>
              <w:t>Program description and links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header"/>
              <w:rPr>
                <w:rFonts w:ascii="Calibri" w:hAnsi="Calibri"/>
                <w:sz w:val="22"/>
                <w:szCs w:val="22"/>
              </w:rPr>
            </w:pPr>
            <w:r>
              <w:t>Portfolio</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header"/>
              <w:jc w:val="right"/>
              <w:rPr>
                <w:rFonts w:ascii="Calibri" w:hAnsi="Calibri"/>
                <w:sz w:val="22"/>
                <w:szCs w:val="22"/>
                <w:highlight w:val="yellow"/>
              </w:rPr>
            </w:pPr>
            <w:r>
              <w:t>$</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Victorian Responsible Gambling Foundation</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The Foundation is a statutory authority with the objectives of reducing the prevalence of problem gambling and the severity of harm related to gambling, and of fostering responsible gambling.</w:t>
            </w:r>
          </w:p>
          <w:p w:rsidR="00FB0558" w:rsidRDefault="00FB0558" w:rsidP="00FB0558">
            <w:pPr>
              <w:pStyle w:val="Tabletext"/>
              <w:rPr>
                <w:rFonts w:ascii="Calibri" w:hAnsi="Calibri"/>
                <w:sz w:val="22"/>
                <w:szCs w:val="22"/>
              </w:rPr>
            </w:pPr>
            <w:r>
              <w:t xml:space="preserve">Link to </w:t>
            </w:r>
            <w:hyperlink r:id="rId9"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Gaming</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 xml:space="preserve">43 347 000.00 </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Alcohol and Other Drugs Strategy – Treatment Services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funding provides for a range of services under the Drug Prevention and Control and Drug Treatment and Rehabilitation outputs in 2014</w:t>
            </w:r>
            <w:r>
              <w:noBreakHyphen/>
              <w:t>15. These include education, prevention, early intervention, treatment and support programs and activities, and targeted services for homeless, youth, forensic, Aboriginal and CALD population groups. Services are delivered both in the community and residential treatment settings.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Health</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40 000 000.00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Aquatic Access/Better Pools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initiative forms part of the ‘Go For Your Life’ strategy. It contributes to community aquatic recreation projects that increase participation/improve access to aquatic based sport and recreation activities, particularly in disadvantaged areas. Projects supported include new major aquatic centres and the redevelopment of existing swimming pools.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1 250 000.00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Better Facilities – Stronger Communities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initiative provides communities with revitalised facilities, extending the functional life of buildings and ensuring continued access and use by the broader community. Around 35 RSL Sub</w:t>
            </w:r>
            <w:r>
              <w:noBreakHyphen/>
              <w:t>Branches and CFA stations will benefit from upgrade and redevelopment works in areas of disadvantage, growth or decline across Victoria over the life of the program.</w:t>
            </w:r>
          </w:p>
          <w:p w:rsidR="00FB0558" w:rsidRDefault="00FB0558" w:rsidP="00FB0558">
            <w:pPr>
              <w:pStyle w:val="Tabletext"/>
              <w:rPr>
                <w:rFonts w:ascii="Calibri" w:hAnsi="Calibri"/>
                <w:sz w:val="22"/>
                <w:szCs w:val="22"/>
              </w:rPr>
            </w:pPr>
            <w:r>
              <w:t xml:space="preserve">Link to </w:t>
            </w:r>
            <w:hyperlink r:id="rId10"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Veterans Affairs</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377 401.00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Children and Youth Area Partnerships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rPr>
                <w:bCs/>
              </w:rPr>
              <w:t>Children and Youth Area Partnerships (Area Partnerships) is a Victorian Government initiative to improve outcomes for vulnerable children, young people and their families at the local level</w:t>
            </w:r>
            <w:r>
              <w:rPr>
                <w:bCs/>
              </w:rPr>
              <w:t xml:space="preserve">. </w:t>
            </w:r>
            <w:r>
              <w:t xml:space="preserve">Area Partnerships bring together representatives in a local area from Commonwealth, State and local governments, the community sector and the broader community, who are most able to impact the outcomes for children and young people. </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302 791.55</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 xml:space="preserve">Community Advancement Fund </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fund provides funding for a limited number of initiatives that relate to the support and advancement of the community.</w:t>
            </w:r>
          </w:p>
          <w:p w:rsidR="00FB0558" w:rsidRDefault="00FB0558" w:rsidP="00FB0558">
            <w:pPr>
              <w:pStyle w:val="Tabletext"/>
              <w:rPr>
                <w:rFonts w:ascii="Calibri" w:hAnsi="Calibri"/>
                <w:sz w:val="22"/>
                <w:szCs w:val="22"/>
              </w:rPr>
            </w:pPr>
            <w:r>
              <w:t xml:space="preserve">Link to </w:t>
            </w:r>
            <w:hyperlink r:id="rId11"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Premier</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1 000 000.00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Commitments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Community Commitments program</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25 000.00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 xml:space="preserve">Community Commitments </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Community Commitments program</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Regional and Rural Development</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 156 000.00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lastRenderedPageBreak/>
              <w:t xml:space="preserve">Community Commitments </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initiative responds to community sport and recreation needs by building and upgrading sports facilities; providing accessible, high quality facilities and building healthy, active communities for all Victorians.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 1 000 000.00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Facility Funding Program 2011</w:t>
            </w:r>
            <w:r>
              <w:noBreakHyphen/>
              <w:t>12</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cs="Calibri"/>
                <w:color w:val="000000"/>
                <w:sz w:val="22"/>
                <w:szCs w:val="22"/>
              </w:rPr>
            </w:pPr>
            <w:r>
              <w:rPr>
                <w:rFonts w:cs="Calibri"/>
                <w:color w:val="000000"/>
              </w:rPr>
              <w:t>This initiative contributes to community sport and recreation projects that increase participation and/or improve access to sport and recreation activities</w:t>
            </w:r>
            <w:r>
              <w:rPr>
                <w:rFonts w:cs="Calibri"/>
                <w:color w:val="000000"/>
              </w:rPr>
              <w:t xml:space="preserve">. </w:t>
            </w:r>
            <w:r>
              <w:rPr>
                <w:rFonts w:cs="Calibri"/>
                <w:color w:val="000000"/>
              </w:rPr>
              <w:t>Projects supported include sporting facility developments and improvements, including but not limited to aquatic leisure centre developments, multi</w:t>
            </w:r>
            <w:r>
              <w:rPr>
                <w:rFonts w:cs="Calibri"/>
                <w:color w:val="000000"/>
              </w:rPr>
              <w:noBreakHyphen/>
              <w:t>purpose indoor stadiums, sports pavilions, playing surfaces, youth recreation facilities, and planning initiatives.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200 000.00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Facility Funding Program 2012</w:t>
            </w:r>
            <w:r>
              <w:noBreakHyphen/>
              <w:t>13</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Program aims to increase participation in sport and recreation and to address a shortfall in the quantity, quality and range of community sport and recreation facilities across Victorian communities.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3 100 000.00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Facility Funding Program 2013</w:t>
            </w:r>
            <w:r>
              <w:noBreakHyphen/>
              <w:t>14</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Program aims to increase participation in sport and recreation and to address a shortfall in the quantity, quality and range of community sport and recreation facilities across Victorian communities.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3 680 000.00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Facility Funding Program 2014</w:t>
            </w:r>
            <w:r>
              <w:noBreakHyphen/>
              <w:t>15</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Program aims to increase participation in sport and recreation and to address a shortfall in the quantity, quality and range of community sport and recreation facilities across Victorian communities.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6 000 000.00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Facilities – Supporting Growing Communities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The Bushfire Areas component of this program was implemented in April 2010 to provide funding for community infrastructure as well as for capacity building initiatives in communities affected by the 2009 bushfires. These projects were unable to be funded by other government funding or the Victorian Bushfire Appeal Fund.</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Regional and Rural Development</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 49 809.17</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Renewal</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place</w:t>
            </w:r>
            <w:r>
              <w:noBreakHyphen/>
              <w:t>based initiative enables residents, businesses, government and local organisations to come together to transform their community into a place of opportunity and activity. Community Renewal supports communities in urban neighbourhoods that are experiencing rapid change. It asks residents to make choices about how best to achieve new upgraded facilities and infrastructure,</w:t>
            </w:r>
            <w:r>
              <w:t xml:space="preserve"> </w:t>
            </w:r>
            <w:r>
              <w:t>ongoing community participation in local decision</w:t>
            </w:r>
            <w:r>
              <w:noBreakHyphen/>
              <w:t xml:space="preserve">making, new job and learning opportunities, and neighbourhood volunteering. </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133 683.28</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Sports Grants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There are two categories available in this initiative, Planning and Building Community Infrastructure. This initiative helps to provide high quality, accessible community facilities across Victoria, that increases participation and improves access to sport and recreation facilities.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151 200.00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Strengthening through Men’s Sheds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initiative provides grants for infrastructure to construct Men’s Shed facilities to improve older men’s health, wellbeing and increase access to life</w:t>
            </w:r>
            <w:r>
              <w:noBreakHyphen/>
              <w:t>long learning opportunities. The Men’s Sheds Program provides infrastructure funding to not for profit organisations and local councils to construct a Men’s Shed building, modify an existing building to allow the establishment of a new Men’s Shed program, redevelop a building to allow for co</w:t>
            </w:r>
            <w:r>
              <w:noBreakHyphen/>
              <w:t>location and redevelop leased premises where there is a substantial lease.</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37 114.00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lastRenderedPageBreak/>
              <w:t>Community Support and Recreational Sports Package – DHS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The program will support community service organisations to participate fully in delivering the Victorian Government’s drive to more effective service delivery that focusses on improving outcomes for vulnerable Victorians, building stronger communities and supporting families.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380 197.00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Community Support and Recreational Sports Package – DTPLI</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The Community Infrastructure Fund is an initiative of Plan Melbourne. The fund will deliver liveable communities and neighbourhoods, and drive the vision for Melbourne as a global city of opportunity and choice</w:t>
            </w:r>
            <w:r>
              <w:t xml:space="preserve">. </w:t>
            </w:r>
            <w:r>
              <w:t xml:space="preserve">This initiative invests in integrated planning and delivery of innovative local community infrastructure in growing areas of metropolitan Melbourne. </w:t>
            </w:r>
          </w:p>
          <w:p w:rsidR="00FB0558" w:rsidRDefault="00FB0558" w:rsidP="00FB0558">
            <w:pPr>
              <w:pStyle w:val="Tabletext"/>
              <w:rPr>
                <w:rFonts w:ascii="Calibri" w:hAnsi="Calibri"/>
                <w:sz w:val="22"/>
                <w:szCs w:val="22"/>
              </w:rPr>
            </w:pPr>
            <w:r>
              <w:t xml:space="preserve">Link to </w:t>
            </w:r>
            <w:hyperlink r:id="rId12"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Planning</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1 500 000.00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Extending Support for Soccer Facilities Program</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The objective of the program is to ensure that all Victorian municipalities have the appropriate facilities to develop soccer participation, including developing facilities, particularly where a club is not already in existence.</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Sport and Recreation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150 000.00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Foodbank</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Purchase of two refrigerated trucks</w:t>
            </w:r>
          </w:p>
          <w:p w:rsidR="00FB0558" w:rsidRDefault="00FB0558" w:rsidP="00FB0558">
            <w:pPr>
              <w:pStyle w:val="Tabletext"/>
              <w:rPr>
                <w:rFonts w:ascii="Calibri" w:hAnsi="Calibri"/>
                <w:sz w:val="22"/>
                <w:szCs w:val="22"/>
              </w:rPr>
            </w:pPr>
            <w:r>
              <w:t xml:space="preserve">Link to </w:t>
            </w:r>
            <w:hyperlink r:id="rId13"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417 347.15</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Healing the Stolen Generations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program supports the provision of services to members of the Stolen Generations to address the effects of removal, giving effect to the ongoing commitment to implement the recommendations of the National Inquiry into the Separation of Aboriginal and Torres Strait Islander Children from their Families, as articulated in the report titled Bringing Them Home.</w:t>
            </w:r>
          </w:p>
          <w:p w:rsidR="00FB0558" w:rsidRDefault="00FB0558" w:rsidP="00FB0558">
            <w:pPr>
              <w:pStyle w:val="Tabletext"/>
              <w:rPr>
                <w:rFonts w:ascii="Calibri" w:hAnsi="Calibri"/>
                <w:sz w:val="22"/>
                <w:szCs w:val="22"/>
              </w:rPr>
            </w:pPr>
            <w:r>
              <w:t xml:space="preserve">Link to </w:t>
            </w:r>
            <w:hyperlink r:id="rId14"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Aboriginal Affairs</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1 256 000.00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Imagination Unlimited</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initiative will take the arts to diverse communities across Victoria</w:t>
            </w:r>
            <w:r>
              <w:t xml:space="preserve">. </w:t>
            </w:r>
            <w:r>
              <w:t>It will be delivered through a network of schools, other education settings, arts venues, arts companies and individual artists and will expand opportunities for all Victorians to participate in arts/cultural activity.</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Arts</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35 500.00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Indigenous Cultural Strengthening Project</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lang w:val="en-GB"/>
              </w:rPr>
            </w:pPr>
            <w:r>
              <w:rPr>
                <w:lang w:val="en-GB"/>
              </w:rPr>
              <w:t>Connection to culture plans play an important roles in the lives of young Aboriginal Victorians. The Cultural Strengthening Project showcases cultural initiatives that are being delivered by Aboriginal people or organisations and supports the exchange of those practices between communities. It funds small projects that fill gaps in cultural connection activities and collates evidence of ‘what works’ and ‘how’ in relation to culture. The Cultural Strengthening Project will also shape future Government efforts by building on the commitments in the Victorian Aboriginal Affairs Framework.</w:t>
            </w:r>
          </w:p>
          <w:p w:rsidR="00FB0558" w:rsidRDefault="00FB0558" w:rsidP="00FB0558">
            <w:pPr>
              <w:pStyle w:val="Tabletext"/>
              <w:rPr>
                <w:rFonts w:ascii="Calibri" w:hAnsi="Calibri"/>
                <w:sz w:val="22"/>
                <w:szCs w:val="22"/>
                <w:lang w:val="en-GB"/>
              </w:rPr>
            </w:pPr>
            <w:r>
              <w:t xml:space="preserve">Link to </w:t>
            </w:r>
            <w:hyperlink r:id="rId15" w:history="1">
              <w:r>
                <w:rPr>
                  <w:rStyle w:val="Hyperlink"/>
                </w:rPr>
                <w:t>grants approved in 2014</w:t>
              </w:r>
              <w:r>
                <w:rPr>
                  <w:rStyle w:val="Hyperlink"/>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Aboriginal Affairs</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145 000.00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Our Watch</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lang w:val="en-GB"/>
              </w:rPr>
            </w:pPr>
            <w:r>
              <w:rPr>
                <w:lang w:val="en-GB"/>
              </w:rPr>
              <w:t>Our Watch is the national violence prevention foundation (formerly called the Foundation to Prevent Violence Against Women and Children). It was established by the Commonwealth and Victorian Governments and launched in July 2013</w:t>
            </w:r>
            <w:r>
              <w:rPr>
                <w:lang w:val="en-GB"/>
              </w:rPr>
              <w:t xml:space="preserve">. </w:t>
            </w:r>
            <w:r>
              <w:rPr>
                <w:lang w:val="en-GB"/>
              </w:rPr>
              <w:t>The Northern Territory and South Australia have since joined. The key purpose of Our Watch is to promote the prevention of emotional, sexual and physical abuse.</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Women’s Affairs</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500 000.00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proofErr w:type="spellStart"/>
            <w:r>
              <w:lastRenderedPageBreak/>
              <w:t>PilchConnect</w:t>
            </w:r>
            <w:proofErr w:type="spellEnd"/>
            <w:r>
              <w:t xml:space="preserve"> – Supporting Community Organisations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lang w:val="en-GB"/>
              </w:rPr>
            </w:pPr>
            <w:proofErr w:type="spellStart"/>
            <w:r>
              <w:rPr>
                <w:lang w:val="en-GB"/>
              </w:rPr>
              <w:t>PilchConnect</w:t>
            </w:r>
            <w:proofErr w:type="spellEnd"/>
            <w:r>
              <w:rPr>
                <w:lang w:val="en-GB"/>
              </w:rPr>
              <w:t xml:space="preserve"> is a service that provides free or low</w:t>
            </w:r>
            <w:r>
              <w:rPr>
                <w:lang w:val="en-GB"/>
              </w:rPr>
              <w:noBreakHyphen/>
              <w:t>cost support to not</w:t>
            </w:r>
            <w:r>
              <w:rPr>
                <w:lang w:val="en-GB"/>
              </w:rPr>
              <w:noBreakHyphen/>
              <w:t>for</w:t>
            </w:r>
            <w:r>
              <w:rPr>
                <w:lang w:val="en-GB"/>
              </w:rPr>
              <w:noBreakHyphen/>
              <w:t>profit community organisations on a range of legal and regulatory issues</w:t>
            </w:r>
            <w:r>
              <w:rPr>
                <w:lang w:val="en-GB"/>
              </w:rPr>
              <w:t xml:space="preserve">. </w:t>
            </w:r>
            <w:r>
              <w:rPr>
                <w:lang w:val="en-GB"/>
              </w:rPr>
              <w:t xml:space="preserve">This initiative provides funding towards the operations of </w:t>
            </w:r>
            <w:proofErr w:type="spellStart"/>
            <w:r>
              <w:rPr>
                <w:lang w:val="en-GB"/>
              </w:rPr>
              <w:t>PilchConnect</w:t>
            </w:r>
            <w:proofErr w:type="spellEnd"/>
            <w:r>
              <w:rPr>
                <w:lang w:val="en-GB"/>
              </w:rPr>
              <w:t xml:space="preserve"> from 2012</w:t>
            </w:r>
            <w:r>
              <w:rPr>
                <w:lang w:val="en-GB"/>
              </w:rPr>
              <w:noBreakHyphen/>
              <w:t>13 to 2015</w:t>
            </w:r>
            <w:r>
              <w:rPr>
                <w:lang w:val="en-GB"/>
              </w:rPr>
              <w:noBreakHyphen/>
              <w:t xml:space="preserve">16. </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300 000.00</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Pre</w:t>
            </w:r>
            <w:r>
              <w:noBreakHyphen/>
              <w:t>commitment Implementation Project</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lang w:val="en-GB"/>
              </w:rPr>
            </w:pPr>
            <w:r>
              <w:rPr>
                <w:lang w:val="en-GB"/>
              </w:rPr>
              <w:t>The Victorian Government is committed to implementing a voluntary Pre</w:t>
            </w:r>
            <w:r>
              <w:rPr>
                <w:lang w:val="en-GB"/>
              </w:rPr>
              <w:noBreakHyphen/>
              <w:t>commitment scheme for Victorian electronic gaming machines. The policy objectives for the scheme are to minimise harm by providing a tool to assist players to control their gambling and avoid escalation into harmful levels.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Gaming</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2 337 600.00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Promotion of the Premier's Spirit of ANZAC Prize</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lang w:val="en-GB"/>
              </w:rPr>
            </w:pPr>
            <w:r>
              <w:rPr>
                <w:lang w:val="en-GB"/>
              </w:rPr>
              <w:t>This initiative improves the promotion of the Spirit of ANZAC Prize to years 9 and 10 students across Victoria by developing and distributing promotional materials to all Victorian secondary schools, and by targeting schools in under</w:t>
            </w:r>
            <w:r>
              <w:rPr>
                <w:lang w:val="en-GB"/>
              </w:rPr>
              <w:noBreakHyphen/>
              <w:t>represented regions.</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Veterans Affairs</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 xml:space="preserve">100 000.00 </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Social Traders 2012</w:t>
            </w:r>
            <w:r>
              <w:noBreakHyphen/>
              <w:t>13 to 2014</w:t>
            </w:r>
            <w:r>
              <w:noBreakHyphen/>
              <w:t>15 Supporting Development of Social Traders</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This program will increase the number and commercial viability of social enterprises across</w:t>
            </w:r>
          </w:p>
          <w:p w:rsidR="00FB0558" w:rsidRDefault="00FB0558" w:rsidP="00FB0558">
            <w:pPr>
              <w:pStyle w:val="Tabletext"/>
              <w:rPr>
                <w:rFonts w:ascii="Calibri" w:hAnsi="Calibri"/>
                <w:sz w:val="22"/>
                <w:szCs w:val="22"/>
              </w:rPr>
            </w:pPr>
            <w:r>
              <w:t xml:space="preserve">Victoria. It will provide social enterprises with business development support, analysis of market opportunities and seed funding. </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Families and Children</w:t>
            </w:r>
          </w:p>
        </w:tc>
        <w:tc>
          <w:tcPr>
            <w:cnfStyle w:val="000010000000" w:firstRow="0" w:lastRow="0" w:firstColumn="0" w:lastColumn="0" w:oddVBand="1" w:evenVBand="0" w:oddHBand="0" w:evenHBand="0" w:firstRowFirstColumn="0" w:firstRowLastColumn="0" w:lastRowFirstColumn="0" w:lastRowLastColumn="0"/>
            <w:tcW w:w="1620" w:type="dxa"/>
            <w:hideMark/>
          </w:tcPr>
          <w:p w:rsidR="00FB0558" w:rsidRDefault="00FB0558" w:rsidP="00FB0558">
            <w:pPr>
              <w:pStyle w:val="Tabletext"/>
              <w:jc w:val="right"/>
              <w:rPr>
                <w:rFonts w:ascii="Calibri" w:hAnsi="Calibri"/>
                <w:sz w:val="22"/>
                <w:szCs w:val="22"/>
              </w:rPr>
            </w:pPr>
            <w:r>
              <w:t>946 000.00</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hideMark/>
          </w:tcPr>
          <w:p w:rsidR="00FB0558" w:rsidRDefault="00FB0558" w:rsidP="00FB0558">
            <w:pPr>
              <w:pStyle w:val="Tabletext"/>
              <w:rPr>
                <w:rFonts w:ascii="Calibri" w:hAnsi="Calibri"/>
                <w:sz w:val="22"/>
                <w:szCs w:val="22"/>
              </w:rPr>
            </w:pPr>
            <w:r>
              <w:t>Victorian Community Support Grants (and related administration)</w:t>
            </w:r>
          </w:p>
        </w:tc>
        <w:tc>
          <w:tcPr>
            <w:cnfStyle w:val="000010000000" w:firstRow="0" w:lastRow="0" w:firstColumn="0" w:lastColumn="0" w:oddVBand="1" w:evenVBand="0" w:oddHBand="0" w:evenHBand="0" w:firstRowFirstColumn="0" w:firstRowLastColumn="0" w:lastRowFirstColumn="0" w:lastRowLastColumn="0"/>
            <w:tcW w:w="4500" w:type="dxa"/>
            <w:hideMark/>
          </w:tcPr>
          <w:p w:rsidR="00FB0558" w:rsidRDefault="00FB0558" w:rsidP="00FB0558">
            <w:pPr>
              <w:pStyle w:val="Tabletext"/>
              <w:rPr>
                <w:rFonts w:ascii="Calibri" w:hAnsi="Calibri"/>
                <w:sz w:val="22"/>
                <w:szCs w:val="22"/>
              </w:rPr>
            </w:pPr>
            <w:r>
              <w:t>Victorian Community Support Grants aim to build stronger, more active and inclusive neighbourhoods and communities. These grants support communities to build on their assets which range from local skills, knowledge and social connections through to facilities, buildings and other infrastructure.</w:t>
            </w:r>
          </w:p>
        </w:tc>
        <w:tc>
          <w:tcPr>
            <w:cnfStyle w:val="000001000000" w:firstRow="0" w:lastRow="0" w:firstColumn="0" w:lastColumn="0" w:oddVBand="0" w:evenVBand="1" w:oddHBand="0" w:evenHBand="0" w:firstRowFirstColumn="0" w:firstRowLastColumn="0" w:lastRowFirstColumn="0" w:lastRowLastColumn="0"/>
            <w:tcW w:w="1170" w:type="dxa"/>
            <w:hideMark/>
          </w:tcPr>
          <w:p w:rsidR="00FB0558" w:rsidRDefault="00FB0558" w:rsidP="00FB0558">
            <w:pPr>
              <w:pStyle w:val="Tabletext"/>
              <w:rPr>
                <w:rFonts w:ascii="Calibri" w:hAnsi="Calibri"/>
                <w:sz w:val="22"/>
                <w:szCs w:val="22"/>
              </w:rPr>
            </w:pPr>
            <w:r>
              <w:t>Regional and Rural Development</w:t>
            </w:r>
          </w:p>
        </w:tc>
        <w:tc>
          <w:tcPr>
            <w:cnfStyle w:val="000010000000" w:firstRow="0" w:lastRow="0" w:firstColumn="0" w:lastColumn="0" w:oddVBand="1" w:evenVBand="0" w:oddHBand="0" w:evenHBand="0" w:firstRowFirstColumn="0" w:firstRowLastColumn="0" w:lastRowFirstColumn="0" w:lastRowLastColumn="0"/>
            <w:tcW w:w="1620" w:type="dxa"/>
          </w:tcPr>
          <w:p w:rsidR="00FB0558" w:rsidRDefault="00FB0558" w:rsidP="00FB0558">
            <w:pPr>
              <w:pStyle w:val="Tabletext"/>
              <w:jc w:val="right"/>
              <w:rPr>
                <w:rFonts w:ascii="Calibri" w:hAnsi="Calibri"/>
                <w:sz w:val="22"/>
                <w:szCs w:val="22"/>
              </w:rPr>
            </w:pPr>
            <w:r>
              <w:t>478 156.00</w:t>
            </w:r>
          </w:p>
          <w:p w:rsidR="00FB0558" w:rsidRDefault="00FB0558" w:rsidP="00FB0558">
            <w:pPr>
              <w:pStyle w:val="Tabletext"/>
              <w:jc w:val="right"/>
              <w:rPr>
                <w:rFonts w:ascii="Calibri" w:hAnsi="Calibri"/>
                <w:sz w:val="22"/>
                <w:szCs w:val="22"/>
              </w:rPr>
            </w:pP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tcBorders>
              <w:bottom w:val="single" w:sz="6" w:space="0" w:color="0063A6" w:themeColor="accent1"/>
            </w:tcBorders>
            <w:hideMark/>
          </w:tcPr>
          <w:p w:rsidR="00FB0558" w:rsidRDefault="00FB0558" w:rsidP="00FB0558">
            <w:pPr>
              <w:pStyle w:val="Tabletext"/>
              <w:rPr>
                <w:rFonts w:ascii="Calibri" w:hAnsi="Calibri"/>
                <w:sz w:val="22"/>
                <w:szCs w:val="22"/>
              </w:rPr>
            </w:pPr>
            <w:r>
              <w:t>VIYAC – Supporting Emerging Indigenous Leaders Program</w:t>
            </w:r>
          </w:p>
        </w:tc>
        <w:tc>
          <w:tcPr>
            <w:cnfStyle w:val="000010000000" w:firstRow="0" w:lastRow="0" w:firstColumn="0" w:lastColumn="0" w:oddVBand="1" w:evenVBand="0" w:oddHBand="0" w:evenHBand="0" w:firstRowFirstColumn="0" w:firstRowLastColumn="0" w:lastRowFirstColumn="0" w:lastRowLastColumn="0"/>
            <w:tcW w:w="4500" w:type="dxa"/>
            <w:tcBorders>
              <w:bottom w:val="single" w:sz="6" w:space="0" w:color="0063A6" w:themeColor="accent1"/>
            </w:tcBorders>
            <w:hideMark/>
          </w:tcPr>
          <w:p w:rsidR="00FB0558" w:rsidRDefault="00FB0558" w:rsidP="00FB0558">
            <w:pPr>
              <w:pStyle w:val="Tabletext"/>
              <w:rPr>
                <w:rFonts w:ascii="Calibri" w:hAnsi="Calibri"/>
                <w:sz w:val="22"/>
                <w:szCs w:val="22"/>
              </w:rPr>
            </w:pPr>
            <w:r>
              <w:t xml:space="preserve">This program supports the delivery of youth leadership by supporting the </w:t>
            </w:r>
            <w:proofErr w:type="spellStart"/>
            <w:r>
              <w:t>Koorie</w:t>
            </w:r>
            <w:proofErr w:type="spellEnd"/>
            <w:r>
              <w:t xml:space="preserve"> Youth Council</w:t>
            </w:r>
            <w:r>
              <w:t xml:space="preserve"> </w:t>
            </w:r>
            <w:r>
              <w:t>to advocate on Aboriginal issues and advise government and community organisations on a range of policy areas.</w:t>
            </w:r>
          </w:p>
          <w:p w:rsidR="00FB0558" w:rsidRDefault="00FB0558" w:rsidP="00FB0558">
            <w:pPr>
              <w:pStyle w:val="Tabletext"/>
              <w:rPr>
                <w:rFonts w:ascii="Calibri" w:hAnsi="Calibri"/>
                <w:sz w:val="22"/>
                <w:szCs w:val="22"/>
              </w:rPr>
            </w:pPr>
            <w:r>
              <w:t xml:space="preserve">Link to </w:t>
            </w:r>
            <w:hyperlink r:id="rId16" w:history="1">
              <w:r w:rsidRPr="00FB0558">
                <w:rPr>
                  <w:rStyle w:val="Hyperlink"/>
                  <w:color w:val="0072CE" w:themeColor="accent4"/>
                </w:rPr>
                <w:t>grants approved in 2014</w:t>
              </w:r>
              <w:r w:rsidRPr="00FB0558">
                <w:rPr>
                  <w:rStyle w:val="Hyperlink"/>
                  <w:color w:val="0072CE" w:themeColor="accent4"/>
                </w:rPr>
                <w:noBreakHyphen/>
                <w:t>15</w:t>
              </w:r>
            </w:hyperlink>
          </w:p>
        </w:tc>
        <w:tc>
          <w:tcPr>
            <w:cnfStyle w:val="000001000000" w:firstRow="0" w:lastRow="0" w:firstColumn="0" w:lastColumn="0" w:oddVBand="0" w:evenVBand="1" w:oddHBand="0" w:evenHBand="0" w:firstRowFirstColumn="0" w:firstRowLastColumn="0" w:lastRowFirstColumn="0" w:lastRowLastColumn="0"/>
            <w:tcW w:w="1170" w:type="dxa"/>
            <w:tcBorders>
              <w:bottom w:val="single" w:sz="6" w:space="0" w:color="0063A6" w:themeColor="accent1"/>
            </w:tcBorders>
            <w:hideMark/>
          </w:tcPr>
          <w:p w:rsidR="00FB0558" w:rsidRDefault="00FB0558" w:rsidP="00FB0558">
            <w:pPr>
              <w:pStyle w:val="Tabletext"/>
              <w:rPr>
                <w:rFonts w:ascii="Calibri" w:hAnsi="Calibri"/>
                <w:sz w:val="22"/>
                <w:szCs w:val="22"/>
              </w:rPr>
            </w:pPr>
            <w:r>
              <w:t>Aboriginal Affairs</w:t>
            </w:r>
          </w:p>
        </w:tc>
        <w:tc>
          <w:tcPr>
            <w:cnfStyle w:val="000010000000" w:firstRow="0" w:lastRow="0" w:firstColumn="0" w:lastColumn="0" w:oddVBand="1" w:evenVBand="0" w:oddHBand="0" w:evenHBand="0" w:firstRowFirstColumn="0" w:firstRowLastColumn="0" w:lastRowFirstColumn="0" w:lastRowLastColumn="0"/>
            <w:tcW w:w="1620" w:type="dxa"/>
            <w:tcBorders>
              <w:bottom w:val="single" w:sz="6" w:space="0" w:color="0063A6" w:themeColor="accent1"/>
            </w:tcBorders>
            <w:hideMark/>
          </w:tcPr>
          <w:p w:rsidR="00FB0558" w:rsidRDefault="00FB0558" w:rsidP="00FB0558">
            <w:pPr>
              <w:pStyle w:val="Tabletext"/>
              <w:jc w:val="right"/>
              <w:rPr>
                <w:rFonts w:ascii="Calibri" w:hAnsi="Calibri"/>
                <w:sz w:val="22"/>
                <w:szCs w:val="22"/>
              </w:rPr>
            </w:pPr>
            <w:r>
              <w:t>194 365.00</w:t>
            </w:r>
          </w:p>
        </w:tc>
      </w:tr>
      <w:tr w:rsidR="00FB0558" w:rsidRP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7" w:type="dxa"/>
            <w:gridSpan w:val="3"/>
            <w:tcBorders>
              <w:top w:val="single" w:sz="6" w:space="0" w:color="0063A6" w:themeColor="accent1"/>
              <w:bottom w:val="single" w:sz="6" w:space="0" w:color="0063A6" w:themeColor="accent1"/>
            </w:tcBorders>
            <w:hideMark/>
          </w:tcPr>
          <w:p w:rsidR="00FB0558" w:rsidRPr="00FB0558" w:rsidRDefault="00FB0558" w:rsidP="00FB0558">
            <w:pPr>
              <w:pStyle w:val="Tabletext"/>
              <w:rPr>
                <w:rFonts w:ascii="Calibri" w:hAnsi="Calibri" w:cs="Calibri"/>
                <w:b/>
                <w:sz w:val="22"/>
                <w:szCs w:val="22"/>
                <w:lang w:val="en-CA" w:eastAsia="en-CA"/>
              </w:rPr>
            </w:pPr>
            <w:r w:rsidRPr="00FB0558">
              <w:rPr>
                <w:rFonts w:cs="Calibri"/>
                <w:b/>
                <w:bCs/>
                <w:lang w:val="en-CA" w:eastAsia="en-CA"/>
              </w:rPr>
              <w:t> Total program expenditure</w:t>
            </w:r>
          </w:p>
        </w:tc>
        <w:tc>
          <w:tcPr>
            <w:cnfStyle w:val="000010000000" w:firstRow="0" w:lastRow="0" w:firstColumn="0" w:lastColumn="0" w:oddVBand="1" w:evenVBand="0" w:oddHBand="0" w:evenHBand="0" w:firstRowFirstColumn="0" w:firstRowLastColumn="0" w:lastRowFirstColumn="0" w:lastRowLastColumn="0"/>
            <w:tcW w:w="1620" w:type="dxa"/>
            <w:tcBorders>
              <w:top w:val="single" w:sz="6" w:space="0" w:color="0063A6" w:themeColor="accent1"/>
              <w:bottom w:val="single" w:sz="6" w:space="0" w:color="0063A6" w:themeColor="accent1"/>
            </w:tcBorders>
            <w:hideMark/>
          </w:tcPr>
          <w:p w:rsidR="00FB0558" w:rsidRPr="00FB0558" w:rsidRDefault="00FB0558" w:rsidP="00FB0558">
            <w:pPr>
              <w:pStyle w:val="Tabletext"/>
              <w:jc w:val="right"/>
              <w:rPr>
                <w:rFonts w:ascii="Calibri" w:hAnsi="Calibri" w:cs="Calibri"/>
                <w:b/>
                <w:sz w:val="22"/>
                <w:szCs w:val="22"/>
                <w:lang w:eastAsia="en-CA"/>
              </w:rPr>
            </w:pPr>
            <w:r w:rsidRPr="00FB0558">
              <w:rPr>
                <w:rFonts w:cs="Calibri"/>
                <w:b/>
                <w:lang w:eastAsia="en-CA"/>
              </w:rPr>
              <w:t>$109 550 164.15</w:t>
            </w:r>
          </w:p>
        </w:tc>
      </w:tr>
      <w:tr w:rsidR="00FB0558" w:rsidTr="00FB0558">
        <w:tc>
          <w:tcPr>
            <w:cnfStyle w:val="001000000000" w:firstRow="0" w:lastRow="0" w:firstColumn="1" w:lastColumn="0" w:oddVBand="0" w:evenVBand="0" w:oddHBand="0" w:evenHBand="0" w:firstRowFirstColumn="0" w:firstRowLastColumn="0" w:lastRowFirstColumn="0" w:lastRowLastColumn="0"/>
            <w:tcW w:w="1857" w:type="dxa"/>
            <w:tcBorders>
              <w:top w:val="single" w:sz="6" w:space="0" w:color="0063A6" w:themeColor="accent1"/>
            </w:tcBorders>
            <w:hideMark/>
          </w:tcPr>
          <w:p w:rsidR="00FB0558" w:rsidRDefault="00FB0558" w:rsidP="00FB0558">
            <w:pPr>
              <w:pStyle w:val="Tabletext"/>
              <w:rPr>
                <w:rFonts w:ascii="Calibri" w:hAnsi="Calibri" w:cs="Calibri"/>
                <w:sz w:val="22"/>
                <w:szCs w:val="22"/>
                <w:lang w:val="en-CA" w:eastAsia="en-CA"/>
              </w:rPr>
            </w:pPr>
            <w:r>
              <w:rPr>
                <w:rFonts w:cs="Calibri"/>
                <w:bCs/>
                <w:lang w:val="en-CA" w:eastAsia="en-CA"/>
              </w:rPr>
              <w:t>ANZAC Day Revenue to Veterans Fund</w:t>
            </w:r>
          </w:p>
        </w:tc>
        <w:tc>
          <w:tcPr>
            <w:cnfStyle w:val="000010000000" w:firstRow="0" w:lastRow="0" w:firstColumn="0" w:lastColumn="0" w:oddVBand="1" w:evenVBand="0" w:oddHBand="0" w:evenHBand="0" w:firstRowFirstColumn="0" w:firstRowLastColumn="0" w:lastRowFirstColumn="0" w:lastRowLastColumn="0"/>
            <w:tcW w:w="5670" w:type="dxa"/>
            <w:gridSpan w:val="2"/>
            <w:tcBorders>
              <w:top w:val="single" w:sz="6" w:space="0" w:color="0063A6" w:themeColor="accent1"/>
            </w:tcBorders>
            <w:hideMark/>
          </w:tcPr>
          <w:p w:rsidR="00FB0558" w:rsidRDefault="00FB0558" w:rsidP="00FB0558">
            <w:pPr>
              <w:pStyle w:val="Tabletext"/>
              <w:rPr>
                <w:rFonts w:ascii="Calibri" w:hAnsi="Calibri" w:cs="Calibri"/>
                <w:sz w:val="22"/>
                <w:szCs w:val="22"/>
                <w:lang w:val="en-CA" w:eastAsia="en-CA"/>
              </w:rPr>
            </w:pPr>
            <w:r>
              <w:rPr>
                <w:rFonts w:cs="Calibri"/>
                <w:lang w:val="en-CA" w:eastAsia="en-CA"/>
              </w:rPr>
              <w:t>Payment of one day’s revenue from the Community Support Fund to the Victorian Veterans Fund.</w:t>
            </w:r>
          </w:p>
        </w:tc>
        <w:tc>
          <w:tcPr>
            <w:cnfStyle w:val="000001000000" w:firstRow="0" w:lastRow="0" w:firstColumn="0" w:lastColumn="0" w:oddVBand="0" w:evenVBand="1" w:oddHBand="0" w:evenHBand="0" w:firstRowFirstColumn="0" w:firstRowLastColumn="0" w:lastRowFirstColumn="0" w:lastRowLastColumn="0"/>
            <w:tcW w:w="1620" w:type="dxa"/>
            <w:tcBorders>
              <w:top w:val="single" w:sz="6" w:space="0" w:color="0063A6" w:themeColor="accent1"/>
            </w:tcBorders>
            <w:hideMark/>
          </w:tcPr>
          <w:p w:rsidR="00FB0558" w:rsidRDefault="00FB0558" w:rsidP="00FB0558">
            <w:pPr>
              <w:pStyle w:val="Tabletext"/>
              <w:jc w:val="right"/>
              <w:rPr>
                <w:rFonts w:ascii="Calibri" w:hAnsi="Calibri" w:cs="Calibri"/>
                <w:sz w:val="22"/>
                <w:szCs w:val="22"/>
                <w:lang w:val="en-CA" w:eastAsia="en-CA"/>
              </w:rPr>
            </w:pPr>
            <w:r>
              <w:t>255 371.94</w:t>
            </w:r>
          </w:p>
        </w:tc>
      </w:tr>
      <w:tr w:rsidR="00FB0558" w:rsidTr="00FB05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Borders>
              <w:bottom w:val="single" w:sz="6" w:space="0" w:color="0063A6" w:themeColor="accent1"/>
            </w:tcBorders>
            <w:hideMark/>
          </w:tcPr>
          <w:p w:rsidR="00FB0558" w:rsidRDefault="00FB0558" w:rsidP="00FB0558">
            <w:pPr>
              <w:pStyle w:val="Tabletext"/>
              <w:rPr>
                <w:rFonts w:ascii="Calibri" w:hAnsi="Calibri" w:cs="Calibri"/>
                <w:sz w:val="22"/>
                <w:szCs w:val="22"/>
                <w:lang w:val="en-CA" w:eastAsia="en-CA"/>
              </w:rPr>
            </w:pPr>
            <w:r>
              <w:rPr>
                <w:rFonts w:cs="Calibri"/>
                <w:bCs/>
                <w:lang w:val="en-CA" w:eastAsia="en-CA"/>
              </w:rPr>
              <w:t>CSF Administration</w:t>
            </w:r>
          </w:p>
        </w:tc>
        <w:tc>
          <w:tcPr>
            <w:cnfStyle w:val="000010000000" w:firstRow="0" w:lastRow="0" w:firstColumn="0" w:lastColumn="0" w:oddVBand="1" w:evenVBand="0" w:oddHBand="0" w:evenHBand="0" w:firstRowFirstColumn="0" w:firstRowLastColumn="0" w:lastRowFirstColumn="0" w:lastRowLastColumn="0"/>
            <w:tcW w:w="5670" w:type="dxa"/>
            <w:gridSpan w:val="2"/>
            <w:tcBorders>
              <w:bottom w:val="single" w:sz="6" w:space="0" w:color="0063A6" w:themeColor="accent1"/>
            </w:tcBorders>
            <w:hideMark/>
          </w:tcPr>
          <w:p w:rsidR="00FB0558" w:rsidRDefault="00FB0558" w:rsidP="00FB0558">
            <w:pPr>
              <w:pStyle w:val="Tabletext"/>
              <w:rPr>
                <w:rFonts w:ascii="Calibri" w:hAnsi="Calibri" w:cs="Calibri"/>
                <w:sz w:val="22"/>
                <w:szCs w:val="22"/>
                <w:lang w:val="en-CA" w:eastAsia="en-CA"/>
              </w:rPr>
            </w:pPr>
            <w:r>
              <w:rPr>
                <w:rFonts w:cs="Calibri"/>
                <w:lang w:val="en-CA" w:eastAsia="en-CA"/>
              </w:rPr>
              <w:t>Expenditure incurred in administering and managing the Fund and monitoring and reporting on the application of money from the Fund.</w:t>
            </w:r>
          </w:p>
        </w:tc>
        <w:tc>
          <w:tcPr>
            <w:cnfStyle w:val="000001000000" w:firstRow="0" w:lastRow="0" w:firstColumn="0" w:lastColumn="0" w:oddVBand="0" w:evenVBand="1" w:oddHBand="0" w:evenHBand="0" w:firstRowFirstColumn="0" w:firstRowLastColumn="0" w:lastRowFirstColumn="0" w:lastRowLastColumn="0"/>
            <w:tcW w:w="1620" w:type="dxa"/>
            <w:tcBorders>
              <w:bottom w:val="single" w:sz="6" w:space="0" w:color="0063A6" w:themeColor="accent1"/>
            </w:tcBorders>
            <w:hideMark/>
          </w:tcPr>
          <w:p w:rsidR="00FB0558" w:rsidRDefault="00FB0558" w:rsidP="00FB0558">
            <w:pPr>
              <w:pStyle w:val="Tabletext"/>
              <w:jc w:val="right"/>
              <w:rPr>
                <w:rFonts w:ascii="Calibri" w:hAnsi="Calibri" w:cs="Calibri"/>
                <w:sz w:val="22"/>
                <w:szCs w:val="22"/>
                <w:lang w:val="en-CA" w:eastAsia="en-CA"/>
              </w:rPr>
            </w:pPr>
            <w:r>
              <w:rPr>
                <w:rFonts w:cs="Calibri"/>
                <w:lang w:val="en-CA" w:eastAsia="en-CA"/>
              </w:rPr>
              <w:t xml:space="preserve">360 900.00 </w:t>
            </w:r>
          </w:p>
        </w:tc>
      </w:tr>
      <w:tr w:rsidR="00FB0558" w:rsidRPr="00FB0558" w:rsidTr="00FB0558">
        <w:tc>
          <w:tcPr>
            <w:cnfStyle w:val="001000000000" w:firstRow="0" w:lastRow="0" w:firstColumn="1" w:lastColumn="0" w:oddVBand="0" w:evenVBand="0" w:oddHBand="0" w:evenHBand="0" w:firstRowFirstColumn="0" w:firstRowLastColumn="0" w:lastRowFirstColumn="0" w:lastRowLastColumn="0"/>
            <w:tcW w:w="7527" w:type="dxa"/>
            <w:gridSpan w:val="3"/>
            <w:tcBorders>
              <w:top w:val="single" w:sz="6" w:space="0" w:color="0063A6" w:themeColor="accent1"/>
              <w:bottom w:val="single" w:sz="12" w:space="0" w:color="0063A6" w:themeColor="accent1"/>
            </w:tcBorders>
            <w:hideMark/>
          </w:tcPr>
          <w:p w:rsidR="00FB0558" w:rsidRPr="00FB0558" w:rsidRDefault="00FB0558" w:rsidP="00FB0558">
            <w:pPr>
              <w:pStyle w:val="Tabletext"/>
              <w:rPr>
                <w:rFonts w:ascii="Calibri" w:hAnsi="Calibri" w:cs="Calibri"/>
                <w:b/>
                <w:sz w:val="22"/>
                <w:szCs w:val="22"/>
                <w:lang w:val="en-CA" w:eastAsia="en-CA"/>
              </w:rPr>
            </w:pPr>
            <w:r w:rsidRPr="00FB0558">
              <w:rPr>
                <w:rFonts w:cs="Calibri"/>
                <w:b/>
                <w:lang w:val="en-CA" w:eastAsia="en-CA"/>
              </w:rPr>
              <w:t>Total operating expenditure</w:t>
            </w:r>
          </w:p>
        </w:tc>
        <w:tc>
          <w:tcPr>
            <w:cnfStyle w:val="000010000000" w:firstRow="0" w:lastRow="0" w:firstColumn="0" w:lastColumn="0" w:oddVBand="1" w:evenVBand="0" w:oddHBand="0" w:evenHBand="0" w:firstRowFirstColumn="0" w:firstRowLastColumn="0" w:lastRowFirstColumn="0" w:lastRowLastColumn="0"/>
            <w:tcW w:w="1620" w:type="dxa"/>
            <w:tcBorders>
              <w:top w:val="single" w:sz="6" w:space="0" w:color="0063A6" w:themeColor="accent1"/>
              <w:bottom w:val="single" w:sz="12" w:space="0" w:color="0063A6" w:themeColor="accent1"/>
            </w:tcBorders>
            <w:hideMark/>
          </w:tcPr>
          <w:p w:rsidR="00FB0558" w:rsidRPr="00FB0558" w:rsidRDefault="00FB0558" w:rsidP="00FB0558">
            <w:pPr>
              <w:pStyle w:val="Tabletext"/>
              <w:jc w:val="right"/>
              <w:rPr>
                <w:rFonts w:ascii="Calibri" w:hAnsi="Calibri" w:cs="Calibri"/>
                <w:b/>
                <w:sz w:val="22"/>
                <w:szCs w:val="22"/>
                <w:lang w:val="en-CA" w:eastAsia="en-CA"/>
              </w:rPr>
            </w:pPr>
            <w:r w:rsidRPr="00FB0558">
              <w:rPr>
                <w:rFonts w:cs="Calibri"/>
                <w:b/>
                <w:lang w:val="en-CA" w:eastAsia="en-CA"/>
              </w:rPr>
              <w:t>$110 166 436.09</w:t>
            </w:r>
          </w:p>
        </w:tc>
      </w:tr>
    </w:tbl>
    <w:p w:rsidR="00FB0558" w:rsidRDefault="00FB0558" w:rsidP="00FB0558"/>
    <w:p w:rsidR="00FB0558" w:rsidRDefault="00FB0558">
      <w:pPr>
        <w:spacing w:before="0" w:after="200"/>
      </w:pPr>
      <w:r>
        <w:br w:type="page"/>
      </w:r>
    </w:p>
    <w:p w:rsidR="00FB0558" w:rsidRPr="00FB0558" w:rsidRDefault="00FB0558" w:rsidP="00FB0558"/>
    <w:tbl>
      <w:tblPr>
        <w:tblStyle w:val="DTFtexttable"/>
        <w:tblW w:w="9147" w:type="dxa"/>
        <w:tblLayout w:type="fixed"/>
        <w:tblLook w:val="0060" w:firstRow="1" w:lastRow="1" w:firstColumn="0" w:lastColumn="0" w:noHBand="0" w:noVBand="0"/>
      </w:tblPr>
      <w:tblGrid>
        <w:gridCol w:w="2217"/>
        <w:gridCol w:w="4410"/>
        <w:gridCol w:w="1062"/>
        <w:gridCol w:w="18"/>
        <w:gridCol w:w="180"/>
        <w:gridCol w:w="1260"/>
      </w:tblGrid>
      <w:tr w:rsidR="00935E07" w:rsidRPr="009E5E0A" w:rsidTr="00285CC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header"/>
            </w:pPr>
            <w:r w:rsidRPr="009E5E0A">
              <w:t>Program name</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header"/>
            </w:pPr>
            <w:r w:rsidRPr="009E5E0A">
              <w:t>Program description and links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header"/>
            </w:pPr>
            <w:r w:rsidRPr="009E5E0A">
              <w:t>Portfolio</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header"/>
              <w:jc w:val="right"/>
              <w:rPr>
                <w:highlight w:val="yellow"/>
              </w:rPr>
            </w:pPr>
            <w:r w:rsidRPr="009E5E0A">
              <w:t>$</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35E07" w:rsidRDefault="00935E07" w:rsidP="00935E07">
            <w:pPr>
              <w:pStyle w:val="Tabletext"/>
            </w:pPr>
            <w:r w:rsidRPr="00935E07">
              <w:t>Victorian Responsible Gambling Foundation</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35E07" w:rsidRDefault="00935E07" w:rsidP="00935E07">
            <w:pPr>
              <w:pStyle w:val="Tabletext"/>
            </w:pPr>
            <w:r w:rsidRPr="00935E07">
              <w:t>The Foundation is a statutory authority with the objectives of reducing the prevalence of problem gambling and the severity of harm related to gambling, and of fostering responsible gambling.</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35E07" w:rsidRDefault="00935E07" w:rsidP="00935E07">
            <w:pPr>
              <w:pStyle w:val="Tabletext"/>
            </w:pPr>
            <w:r w:rsidRPr="00935E07">
              <w:t>Gaming</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 xml:space="preserve">2 359 800.00 </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35E07" w:rsidRDefault="00935E07" w:rsidP="00935E07">
            <w:pPr>
              <w:pStyle w:val="Tabletext"/>
            </w:pPr>
            <w:r w:rsidRPr="00935E07">
              <w:t>Victorian Responsible Gambling Foundation 2015</w:t>
            </w:r>
            <w:r w:rsidR="00285CCF">
              <w:noBreakHyphen/>
            </w:r>
            <w:r w:rsidRPr="00935E07">
              <w:t>16 to 2018</w:t>
            </w:r>
            <w:r w:rsidR="00285CCF">
              <w:noBreakHyphen/>
            </w:r>
            <w:r w:rsidRPr="00935E07">
              <w:t>19</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35E07" w:rsidRDefault="00935E07" w:rsidP="00935E07">
            <w:pPr>
              <w:pStyle w:val="Tabletext"/>
            </w:pPr>
            <w:r w:rsidRPr="00935E07">
              <w:t>The Foundation is a statutory authority with the objectives of reducing the prevalence of problem gambling and the severity of harm related to gambling, and of fostering responsible gambling.</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35E07" w:rsidRDefault="00935E07" w:rsidP="00935E07">
            <w:pPr>
              <w:pStyle w:val="Tabletext"/>
            </w:pPr>
            <w:r w:rsidRPr="00935E07">
              <w:t>Gaming</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34 215 000.00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35E07" w:rsidRDefault="00935E07" w:rsidP="00935E07">
            <w:pPr>
              <w:pStyle w:val="Tabletext"/>
            </w:pPr>
            <w:r w:rsidRPr="00935E07">
              <w:t>Alcohol and Other Drugs Strategy – Treatment Services</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35E07" w:rsidRDefault="00935E07" w:rsidP="00935E07">
            <w:pPr>
              <w:pStyle w:val="Tabletext"/>
            </w:pPr>
            <w:r w:rsidRPr="00935E07">
              <w:t>This funding provides for a range of services under the Drug Prevention and Control and Drug Treatment and Rehabilitation outputs in 2015 16. These include education, prevention, early intervention, treatment and support programs and activities, and targeted services for homeless, youth, forensic, Aboriginal and CALD population groups. Services are delivered both in the community and residential treatment settings.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35E07" w:rsidRDefault="00935E07" w:rsidP="00935E07">
            <w:pPr>
              <w:pStyle w:val="Tabletext"/>
            </w:pPr>
            <w:r w:rsidRPr="00935E07">
              <w:t>Health</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40 000 000.00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35E07" w:rsidRDefault="00935E07" w:rsidP="00935E07">
            <w:pPr>
              <w:pStyle w:val="Tabletext"/>
            </w:pPr>
            <w:r w:rsidRPr="00935E07">
              <w:t xml:space="preserve">Aquatic Access / Better Pools – DHHS (Formerly DTPLI) </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35E07" w:rsidRDefault="00935E07" w:rsidP="00935E07">
            <w:pPr>
              <w:pStyle w:val="Tabletext"/>
            </w:pPr>
            <w:r w:rsidRPr="00935E07">
              <w:t>This initiative forms part of the ‘Go For Your Life’ strategy. It contributes to community aquatic recreation projects that increase participation and/or improve access to aquatic based sport and recreation activities, particularly in disadvantaged areas. Projects supported include new major aquatic centres and the redevelopment of existing swimming pools.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35E07" w:rsidRDefault="00935E07" w:rsidP="00935E07">
            <w:pPr>
              <w:pStyle w:val="Tabletext"/>
            </w:pPr>
            <w:r w:rsidRPr="00935E07">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500 000.00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 xml:space="preserve">Community Commitments – DHHS (Formerly DTPLI) </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 xml:space="preserve">This initiative responds to community sport and recreation needs by building and upgrading sports facilities; providing accessible, high quality facilities and building healthy, active communities for all Victorians.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231 500.00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Facility Funding Program 2011</w:t>
            </w:r>
            <w:r w:rsidR="00285CCF">
              <w:noBreakHyphen/>
            </w:r>
            <w:r w:rsidRPr="009E5E0A">
              <w:t>12 – DHHS (Formerly DTPLI)</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rPr>
                <w:rFonts w:cs="Calibri"/>
                <w:color w:val="000000"/>
              </w:rPr>
            </w:pPr>
            <w:r w:rsidRPr="009E5E0A">
              <w:rPr>
                <w:rFonts w:cs="Calibri"/>
                <w:color w:val="000000"/>
              </w:rPr>
              <w:t>This initiative contributes to community sport and recreation projects that increase participation and/or improve access to sport and recreation activities</w:t>
            </w:r>
            <w:r w:rsidR="00285CCF">
              <w:rPr>
                <w:rFonts w:cs="Calibri"/>
                <w:color w:val="000000"/>
              </w:rPr>
              <w:t xml:space="preserve">. </w:t>
            </w:r>
            <w:r w:rsidRPr="009E5E0A">
              <w:rPr>
                <w:rFonts w:cs="Calibri"/>
                <w:color w:val="000000"/>
              </w:rPr>
              <w:t>Projects supported include sporting facility developments and improvements, including but not limited to aquatic leisure centre developments, multi</w:t>
            </w:r>
            <w:r w:rsidR="00285CCF">
              <w:rPr>
                <w:rFonts w:cs="Calibri"/>
                <w:color w:val="000000"/>
              </w:rPr>
              <w:noBreakHyphen/>
            </w:r>
            <w:r w:rsidRPr="009E5E0A">
              <w:rPr>
                <w:rFonts w:cs="Calibri"/>
                <w:color w:val="000000"/>
              </w:rPr>
              <w:t>purpose indoor stadiums, sports pavilions, playing surfaces, youth recreation facilities, and planning initiatives.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200 000.00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Facility Funding Program 2012</w:t>
            </w:r>
            <w:r w:rsidR="00285CCF">
              <w:noBreakHyphen/>
            </w:r>
            <w:r w:rsidRPr="009E5E0A">
              <w:t>13 to 2014</w:t>
            </w:r>
            <w:r w:rsidR="00285CCF">
              <w:noBreakHyphen/>
            </w:r>
            <w:r w:rsidRPr="009E5E0A">
              <w:t>15 – DHHS (Formerly DTPLI)</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aims to increase participation in sport and recreation and to address a shortfall in the quantity, quality and range of community sport and recreation facilities across Victorian communities.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400 000.00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Facility Funding Program 2013</w:t>
            </w:r>
            <w:r w:rsidR="00285CCF">
              <w:noBreakHyphen/>
            </w:r>
            <w:r w:rsidRPr="009E5E0A">
              <w:t>14 to 2015</w:t>
            </w:r>
            <w:r w:rsidR="00285CCF">
              <w:noBreakHyphen/>
            </w:r>
            <w:r w:rsidRPr="009E5E0A">
              <w:t xml:space="preserve">16 – DHHS (Formerly DTPLI) </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aims to increase participation in sport and recreation and to address a shortfall in the quantity, quality and range of community sport and recreation facilities across Victorian communities.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2 780 000.00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Facility Funding Program 2014</w:t>
            </w:r>
            <w:r w:rsidR="00285CCF">
              <w:noBreakHyphen/>
            </w:r>
            <w:r w:rsidRPr="009E5E0A">
              <w:t>15 to 2016</w:t>
            </w:r>
            <w:r w:rsidR="00285CCF">
              <w:noBreakHyphen/>
            </w:r>
            <w:r w:rsidRPr="009E5E0A">
              <w:t>17 – DHHS (Formerly DTPLI)</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aims to increase participation in sport and recreation and to address a shortfall in the quantity, quality and range of community sport and recreation facilities across Victorian communities.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10 748 000.00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Facility Funding Program 2015</w:t>
            </w:r>
            <w:r w:rsidR="00285CCF">
              <w:noBreakHyphen/>
            </w:r>
            <w:r w:rsidRPr="009E5E0A">
              <w:t>16 – DHHS (Formerly DTPLI)</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aims to increase participation in sports and recreation and to address a shortfall in the quantity, quality and range of community sport and recreation facilities in Victorian communities</w:t>
            </w:r>
            <w:r w:rsidR="00285CCF">
              <w:t xml:space="preserve">. </w:t>
            </w:r>
            <w:r w:rsidRPr="009E5E0A">
              <w:t>This includes leisure centres, indoor stadiums, pavilions, and flood lights.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9 974 000.00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lastRenderedPageBreak/>
              <w:t>Community Sports Grants – DHHS (Formerly DTPLI)</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There are two categories available in this initiative, Planning and Building Community Infrastructure. This initiative helps to provide high quality, accessible community facilities across Victoria, that increases participation and improves access to sport and recreation facilities.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922 000.00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 xml:space="preserve">Extending Support for Soccer Facilities Program – DHHS (Formerly DTPLI) </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 xml:space="preserve">The objective of the program is to ensure that all Victorian municipalities have the appropriate facilities to develop soccer participation, including developing facilities, particularly where a club is not already in existence.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Sport and Recreation</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150 000.00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proofErr w:type="spellStart"/>
            <w:r w:rsidRPr="009E5E0A">
              <w:t>PilchConnect</w:t>
            </w:r>
            <w:proofErr w:type="spellEnd"/>
            <w:r w:rsidR="00285CCF">
              <w:t xml:space="preserve"> – </w:t>
            </w:r>
            <w:r w:rsidRPr="009E5E0A">
              <w:t>Supporting Community Organisations</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rPr>
                <w:lang w:val="en-GB"/>
              </w:rPr>
            </w:pPr>
            <w:proofErr w:type="spellStart"/>
            <w:r w:rsidRPr="009E5E0A">
              <w:rPr>
                <w:lang w:val="en-GB"/>
              </w:rPr>
              <w:t>PilchConnect</w:t>
            </w:r>
            <w:proofErr w:type="spellEnd"/>
            <w:r w:rsidRPr="009E5E0A">
              <w:rPr>
                <w:lang w:val="en-GB"/>
              </w:rPr>
              <w:t xml:space="preserve"> is a service that provides free or low</w:t>
            </w:r>
            <w:r w:rsidR="00285CCF">
              <w:rPr>
                <w:lang w:val="en-GB"/>
              </w:rPr>
              <w:noBreakHyphen/>
            </w:r>
            <w:r w:rsidRPr="009E5E0A">
              <w:rPr>
                <w:lang w:val="en-GB"/>
              </w:rPr>
              <w:t>cost support to not</w:t>
            </w:r>
            <w:r w:rsidR="00285CCF">
              <w:rPr>
                <w:lang w:val="en-GB"/>
              </w:rPr>
              <w:noBreakHyphen/>
            </w:r>
            <w:r w:rsidRPr="009E5E0A">
              <w:rPr>
                <w:lang w:val="en-GB"/>
              </w:rPr>
              <w:t>for</w:t>
            </w:r>
            <w:r w:rsidR="00285CCF">
              <w:rPr>
                <w:lang w:val="en-GB"/>
              </w:rPr>
              <w:noBreakHyphen/>
            </w:r>
            <w:r w:rsidRPr="009E5E0A">
              <w:rPr>
                <w:lang w:val="en-GB"/>
              </w:rPr>
              <w:t>profit community organisations on a range of legal and regulatory issues</w:t>
            </w:r>
            <w:r w:rsidR="00285CCF">
              <w:rPr>
                <w:lang w:val="en-GB"/>
              </w:rPr>
              <w:t xml:space="preserve">. </w:t>
            </w:r>
            <w:r w:rsidRPr="009E5E0A">
              <w:rPr>
                <w:lang w:val="en-GB"/>
              </w:rPr>
              <w:t xml:space="preserve">This initiative provides funding towards the operations of </w:t>
            </w:r>
            <w:proofErr w:type="spellStart"/>
            <w:r w:rsidRPr="009E5E0A">
              <w:rPr>
                <w:lang w:val="en-GB"/>
              </w:rPr>
              <w:t>PilchConnect</w:t>
            </w:r>
            <w:proofErr w:type="spellEnd"/>
            <w:r w:rsidRPr="009E5E0A">
              <w:rPr>
                <w:lang w:val="en-GB"/>
              </w:rPr>
              <w:t xml:space="preserve"> from 2012</w:t>
            </w:r>
            <w:r w:rsidR="00285CCF">
              <w:rPr>
                <w:lang w:val="en-GB"/>
              </w:rPr>
              <w:noBreakHyphen/>
            </w:r>
            <w:r w:rsidRPr="009E5E0A">
              <w:rPr>
                <w:lang w:val="en-GB"/>
              </w:rPr>
              <w:t>13 to 2015</w:t>
            </w:r>
            <w:r w:rsidR="00285CCF">
              <w:rPr>
                <w:lang w:val="en-GB"/>
              </w:rPr>
              <w:noBreakHyphen/>
            </w:r>
            <w:r w:rsidRPr="009E5E0A">
              <w:rPr>
                <w:lang w:val="en-GB"/>
              </w:rPr>
              <w:t xml:space="preserve">16.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Community Services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300 000.00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Social Traders 2012</w:t>
            </w:r>
            <w:r w:rsidR="00285CCF">
              <w:noBreakHyphen/>
            </w:r>
            <w:r w:rsidRPr="009E5E0A">
              <w:t>13 to 2014</w:t>
            </w:r>
            <w:r w:rsidR="00285CCF">
              <w:noBreakHyphen/>
            </w:r>
            <w:r w:rsidRPr="009E5E0A">
              <w:t>15 Supporting Development of Social Traders</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will increase the number and commercial viability of social enterprises across</w:t>
            </w:r>
          </w:p>
          <w:p w:rsidR="00935E07" w:rsidRPr="009E5E0A" w:rsidRDefault="00935E07" w:rsidP="00935E07">
            <w:pPr>
              <w:pStyle w:val="Tabletext"/>
            </w:pPr>
            <w:r w:rsidRPr="009E5E0A">
              <w:t xml:space="preserve">Victoria. It will provide social enterprises with business development support, analysis of market opportunities and seed funding.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Community Services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949 000.00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Support and Recreational Sports Package</w:t>
            </w:r>
            <w:r w:rsidR="00285CCF">
              <w:t xml:space="preserve"> – </w:t>
            </w:r>
            <w:r w:rsidRPr="009E5E0A">
              <w:t>DHHS</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The program will support community service organisations to participate fully in delivering the Victorian Government’s drive to more effective service delivery that focusses on improving outcomes for vulnerable Victorians, building stronger communities and supporting families.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Community Services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286 658.00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Children and Youth Area Partnerships</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rPr>
                <w:rFonts w:cstheme="minorHAnsi"/>
                <w:szCs w:val="20"/>
              </w:rPr>
            </w:pPr>
            <w:r w:rsidRPr="009E5E0A">
              <w:t>Children and Youth Area Partnerships (Area Partnerships) is a Victorian Government initiative to improve outcomes for vulnerable children, young people and their families at the local level</w:t>
            </w:r>
            <w:r w:rsidR="00285CCF">
              <w:t xml:space="preserve">. </w:t>
            </w:r>
            <w:r w:rsidRPr="009E5E0A">
              <w:t>Area Partnerships bring together representatives in a local area from Commonwealth, State and local governments, the community sector and the broader community, who are most able to impact the outcomes for children and young people</w:t>
            </w:r>
            <w:r w:rsidR="00285CCF">
              <w:t xml:space="preserve">.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Community Services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468 032.00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Renewal</w:t>
            </w:r>
          </w:p>
          <w:p w:rsidR="00935E07" w:rsidRPr="009E5E0A" w:rsidRDefault="00935E07" w:rsidP="00935E07">
            <w:pPr>
              <w:pStyle w:val="Tabletext"/>
            </w:pP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place</w:t>
            </w:r>
            <w:r w:rsidR="00285CCF">
              <w:noBreakHyphen/>
            </w:r>
            <w:r w:rsidRPr="009E5E0A">
              <w:t>based initiative enables residents, businesses, government and local organisations to come together to transform their community into a place of opportunity and activity. Community Renewal supports communities in urban neighbourhoods that are experiencing rapid change. It asks residents to make choices about how best to achieve new upgraded facilities and infrastructure,</w:t>
            </w:r>
            <w:r w:rsidR="00285CCF">
              <w:t xml:space="preserve"> </w:t>
            </w:r>
            <w:r w:rsidRPr="009E5E0A">
              <w:t>ongoing community participation in local decision</w:t>
            </w:r>
            <w:r w:rsidR="00285CCF">
              <w:noBreakHyphen/>
            </w:r>
            <w:r w:rsidRPr="009E5E0A">
              <w:t xml:space="preserve">making, new job and learning opportunities, and neighbourhood volunteering.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Community Services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71 816.72</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Pre</w:t>
            </w:r>
            <w:r w:rsidR="00285CCF">
              <w:noBreakHyphen/>
            </w:r>
            <w:r w:rsidRPr="009E5E0A">
              <w:t>commitment Implementation Project</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rPr>
                <w:rFonts w:cs="Calibri"/>
                <w:color w:val="000000"/>
              </w:rPr>
            </w:pPr>
            <w:r w:rsidRPr="009E5E0A">
              <w:rPr>
                <w:rFonts w:cs="Calibri"/>
                <w:color w:val="000000"/>
              </w:rPr>
              <w:t>The Victorian Government is committed to implementing a voluntary Pre</w:t>
            </w:r>
            <w:r w:rsidR="00285CCF">
              <w:rPr>
                <w:rFonts w:cs="Calibri"/>
                <w:color w:val="000000"/>
              </w:rPr>
              <w:noBreakHyphen/>
            </w:r>
            <w:r w:rsidRPr="009E5E0A">
              <w:rPr>
                <w:rFonts w:cs="Calibri"/>
                <w:color w:val="000000"/>
              </w:rPr>
              <w:t>commitment scheme for Victorian electronic gaming machines. The policy objectives for the scheme are to minimise harm by providing a tool to assist players to control their gambling and avoid escalation into harmful levels.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Gaming</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1 202 271.08</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Pre</w:t>
            </w:r>
            <w:r w:rsidR="00285CCF">
              <w:noBreakHyphen/>
            </w:r>
            <w:r w:rsidRPr="009E5E0A">
              <w:t>commitment Information Program</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is to encourage an understanding of how pre</w:t>
            </w:r>
            <w:r w:rsidR="00285CCF">
              <w:noBreakHyphen/>
            </w:r>
            <w:r w:rsidRPr="009E5E0A">
              <w:t>commitment works and encourage players to join the pre</w:t>
            </w:r>
            <w:r w:rsidR="00285CCF">
              <w:noBreakHyphen/>
            </w:r>
            <w:r w:rsidRPr="009E5E0A">
              <w:t>commitment scheme.</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Gaming</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1 500 000.00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lastRenderedPageBreak/>
              <w:t xml:space="preserve">Community Commitments – Formerly </w:t>
            </w:r>
            <w:proofErr w:type="spellStart"/>
            <w:r w:rsidRPr="009E5E0A">
              <w:t>DoJ</w:t>
            </w:r>
            <w:proofErr w:type="spellEnd"/>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 xml:space="preserve">This particular program will support the Point Lonsdale Surf Life Saving Club in the provision of life saving services to the community through the design, planning and building of a new Surf Life Saving clubhouse. </w:t>
            </w:r>
          </w:p>
          <w:p w:rsidR="00935E07" w:rsidRPr="009E5E0A" w:rsidRDefault="00935E07" w:rsidP="00935E07">
            <w:pPr>
              <w:pStyle w:val="Tabletext"/>
            </w:pPr>
            <w:r w:rsidRPr="009E5E0A">
              <w:t>Total cost of project</w:t>
            </w:r>
            <w:r w:rsidR="00285CCF">
              <w:t xml:space="preserve"> </w:t>
            </w:r>
            <w:r w:rsidRPr="009E5E0A">
              <w:t xml:space="preserve">$3.5 million </w:t>
            </w:r>
          </w:p>
          <w:p w:rsidR="00935E07" w:rsidRPr="009E5E0A" w:rsidRDefault="00935E07" w:rsidP="00935E07">
            <w:pPr>
              <w:pStyle w:val="Tabletext"/>
              <w:rPr>
                <w:u w:val="single"/>
              </w:rPr>
            </w:pPr>
          </w:p>
          <w:p w:rsidR="00935E07" w:rsidRPr="00935E07" w:rsidRDefault="00935E07" w:rsidP="00935E07">
            <w:pPr>
              <w:pStyle w:val="Tabletext"/>
              <w:rPr>
                <w:b/>
              </w:rPr>
            </w:pPr>
            <w:r w:rsidRPr="00935E07">
              <w:rPr>
                <w:b/>
              </w:rPr>
              <w:t>Total Government Contribution $200,000</w:t>
            </w:r>
          </w:p>
          <w:p w:rsidR="00935E07" w:rsidRPr="009E5E0A" w:rsidRDefault="00935E07" w:rsidP="00935E07">
            <w:pPr>
              <w:pStyle w:val="Tabletext"/>
            </w:pPr>
            <w:r w:rsidRPr="009E5E0A">
              <w:t xml:space="preserve">Paid prior to 1 July 2015 = $100,000 for initiation and development of feasibility study. </w:t>
            </w:r>
          </w:p>
          <w:p w:rsidR="00935E07" w:rsidRPr="009E5E0A" w:rsidRDefault="00935E07" w:rsidP="00935E07">
            <w:pPr>
              <w:pStyle w:val="Tabletext"/>
            </w:pPr>
          </w:p>
          <w:p w:rsidR="00935E07" w:rsidRPr="009E5E0A" w:rsidRDefault="00935E07" w:rsidP="00935E07">
            <w:pPr>
              <w:pStyle w:val="Tabletext"/>
            </w:pPr>
            <w:r w:rsidRPr="009E5E0A">
              <w:t>1 July 2015</w:t>
            </w:r>
            <w:r w:rsidR="00285CCF">
              <w:noBreakHyphen/>
            </w:r>
            <w:r w:rsidRPr="009E5E0A">
              <w:t xml:space="preserve"> 30 June 2016</w:t>
            </w:r>
            <w:r w:rsidR="00285CCF">
              <w:t xml:space="preserve"> – </w:t>
            </w:r>
            <w:r w:rsidRPr="009E5E0A">
              <w:t>Finalisation of feasibility study and detailed</w:t>
            </w:r>
            <w:r w:rsidR="00285CCF">
              <w:t xml:space="preserve"> design for planning permit $40 </w:t>
            </w:r>
            <w:r w:rsidRPr="009E5E0A">
              <w:t xml:space="preserve">000.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 xml:space="preserve">Department of Justice &amp; Regulation, </w:t>
            </w:r>
          </w:p>
          <w:p w:rsidR="00935E07" w:rsidRPr="009E5E0A" w:rsidRDefault="00935E07" w:rsidP="00935E07">
            <w:pPr>
              <w:pStyle w:val="Tabletext"/>
            </w:pPr>
          </w:p>
          <w:p w:rsidR="00935E07" w:rsidRPr="009E5E0A" w:rsidRDefault="00935E07" w:rsidP="00935E07">
            <w:pPr>
              <w:pStyle w:val="Tabletext"/>
            </w:pPr>
            <w:r w:rsidRPr="009E5E0A">
              <w:t xml:space="preserve">Emergency Services </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 xml:space="preserve">40 000.00 </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Victorian Community Support Grants (and related administration)</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Victorian Community Support Grants aim to build stronger, more active and inclusive neighbourhoods and communities. These grants support communities to build on their assets which range from local skills, knowledge and social connections through to facilities, buildings and other infrastructure.</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Regional Development</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152 000</w:t>
            </w:r>
          </w:p>
          <w:p w:rsidR="00935E07" w:rsidRPr="009E5E0A" w:rsidRDefault="00935E07" w:rsidP="00935E07">
            <w:pPr>
              <w:pStyle w:val="Tabletextright"/>
            </w:pP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 xml:space="preserve">Benambra Hall Upgrade (Formerly DSDBI) </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will restore a valued community asset and an important meeting place to benefit the community of Benambra.</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Regional and Rural Development</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 100 000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Community Support and Recreational Sports Package</w:t>
            </w:r>
            <w:r w:rsidR="00285CCF">
              <w:t xml:space="preserve"> – </w:t>
            </w:r>
            <w:r w:rsidRPr="009E5E0A">
              <w:t>DELWP</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The Community Infrastructure Fund (CIF) is an initiative of Plan Melbourne. The fund will deliver liveable communities and neighbourhoods, and drive the vision for Melbourne as a global city of opportunity and choice</w:t>
            </w:r>
            <w:r w:rsidR="00285CCF">
              <w:t xml:space="preserve">. </w:t>
            </w:r>
            <w:r w:rsidRPr="009E5E0A">
              <w:t xml:space="preserve">This initiative invests in integrated planning and delivery of innovative local community infrastructure and place making infrastructure in growing areas of metropolitan Melbourne. </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Planning</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2 200 000.00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Healing the Stolen Generations</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This program supports the provision of services to members of the Stolen Generations to address the effects of removal, giving effect to the ongoing commitment to implement the recommendations of the National Inquiry into the Separation of Aboriginal and Torres Strait Islander Children from their Families, as articulated in the report titled Bringing Them Home.</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Aboriginal Affairs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929 500.00</w:t>
            </w:r>
          </w:p>
        </w:tc>
      </w:tr>
      <w:tr w:rsidR="00935E07" w:rsidRPr="009E5E0A" w:rsidTr="00285CCF">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VIYAC – Supporting Emerging Indigenous Leaders Program</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pPr>
            <w:r w:rsidRPr="009E5E0A">
              <w:t xml:space="preserve">This program supports the delivery of youth leadership by supporting the </w:t>
            </w:r>
            <w:proofErr w:type="spellStart"/>
            <w:r w:rsidRPr="009E5E0A">
              <w:t>Koorie</w:t>
            </w:r>
            <w:proofErr w:type="spellEnd"/>
            <w:r w:rsidRPr="009E5E0A">
              <w:t xml:space="preserve"> Youth Council (KYC) to advocate on Aboriginal issues and advise government and community organisations on a range of policy areas.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Aboriginal Affairs</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199 225.0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pPr>
            <w:r w:rsidRPr="009E5E0A">
              <w:t>Promotion of the Premier's Spirit of ANZAC Prize</w:t>
            </w:r>
          </w:p>
        </w:tc>
        <w:tc>
          <w:tcPr>
            <w:cnfStyle w:val="000001000000" w:firstRow="0" w:lastRow="0" w:firstColumn="0" w:lastColumn="0" w:oddVBand="0" w:evenVBand="1" w:oddHBand="0" w:evenHBand="0" w:firstRowFirstColumn="0" w:firstRowLastColumn="0" w:lastRowFirstColumn="0" w:lastRowLastColumn="0"/>
            <w:tcW w:w="4410" w:type="dxa"/>
          </w:tcPr>
          <w:p w:rsidR="00935E07" w:rsidRPr="009E5E0A" w:rsidRDefault="00935E07" w:rsidP="00935E07">
            <w:pPr>
              <w:pStyle w:val="Tabletext"/>
              <w:rPr>
                <w:lang w:val="en-GB"/>
              </w:rPr>
            </w:pPr>
            <w:r w:rsidRPr="009E5E0A">
              <w:rPr>
                <w:lang w:val="en-GB"/>
              </w:rPr>
              <w:t>This initiative improves the promotion of the Spirit of ANZAC Prize to years 9 and 10 students across Victoria by developing and distributing promotional materials to all Victorian secondary schools, and by targeting schools in under</w:t>
            </w:r>
            <w:r w:rsidR="00285CCF">
              <w:rPr>
                <w:lang w:val="en-GB"/>
              </w:rPr>
              <w:noBreakHyphen/>
            </w:r>
            <w:r w:rsidRPr="009E5E0A">
              <w:rPr>
                <w:lang w:val="en-GB"/>
              </w:rPr>
              <w:t>represented regions.</w:t>
            </w:r>
          </w:p>
        </w:tc>
        <w:tc>
          <w:tcPr>
            <w:cnfStyle w:val="000010000000" w:firstRow="0" w:lastRow="0" w:firstColumn="0" w:lastColumn="0" w:oddVBand="1" w:evenVBand="0" w:oddHBand="0" w:evenHBand="0" w:firstRowFirstColumn="0" w:firstRowLastColumn="0" w:lastRowFirstColumn="0" w:lastRowLastColumn="0"/>
            <w:tcW w:w="1260" w:type="dxa"/>
            <w:gridSpan w:val="3"/>
          </w:tcPr>
          <w:p w:rsidR="00935E07" w:rsidRPr="009E5E0A" w:rsidRDefault="00935E07" w:rsidP="00935E07">
            <w:pPr>
              <w:pStyle w:val="Tabletext"/>
            </w:pPr>
            <w:r w:rsidRPr="009E5E0A">
              <w:t xml:space="preserve">Veterans Branch </w:t>
            </w:r>
          </w:p>
        </w:tc>
        <w:tc>
          <w:tcPr>
            <w:cnfStyle w:val="000001000000" w:firstRow="0" w:lastRow="0" w:firstColumn="0" w:lastColumn="0" w:oddVBand="0" w:evenVBand="1" w:oddHBand="0" w:evenHBand="0" w:firstRowFirstColumn="0" w:firstRowLastColumn="0" w:lastRowFirstColumn="0" w:lastRowLastColumn="0"/>
            <w:tcW w:w="1260" w:type="dxa"/>
          </w:tcPr>
          <w:p w:rsidR="00935E07" w:rsidRPr="009E5E0A" w:rsidRDefault="00935E07" w:rsidP="00935E07">
            <w:pPr>
              <w:pStyle w:val="Tabletextright"/>
            </w:pPr>
            <w:r w:rsidRPr="009E5E0A">
              <w:t xml:space="preserve">50 000.00 </w:t>
            </w:r>
          </w:p>
        </w:tc>
      </w:tr>
      <w:tr w:rsidR="00935E07" w:rsidRPr="009E5E0A" w:rsidTr="00FB0558">
        <w:tc>
          <w:tcPr>
            <w:cnfStyle w:val="000010000000" w:firstRow="0" w:lastRow="0" w:firstColumn="0" w:lastColumn="0" w:oddVBand="1" w:evenVBand="0" w:oddHBand="0" w:evenHBand="0" w:firstRowFirstColumn="0" w:firstRowLastColumn="0" w:lastRowFirstColumn="0" w:lastRowLastColumn="0"/>
            <w:tcW w:w="2217" w:type="dxa"/>
            <w:tcBorders>
              <w:bottom w:val="single" w:sz="6" w:space="0" w:color="0063A6" w:themeColor="accent1"/>
            </w:tcBorders>
          </w:tcPr>
          <w:p w:rsidR="00935E07" w:rsidRPr="009E5E0A" w:rsidRDefault="00935E07" w:rsidP="00935E07">
            <w:pPr>
              <w:pStyle w:val="Tabletext"/>
            </w:pPr>
            <w:r w:rsidRPr="009E5E0A">
              <w:lastRenderedPageBreak/>
              <w:t>Our Watch</w:t>
            </w:r>
          </w:p>
        </w:tc>
        <w:tc>
          <w:tcPr>
            <w:cnfStyle w:val="000001000000" w:firstRow="0" w:lastRow="0" w:firstColumn="0" w:lastColumn="0" w:oddVBand="0" w:evenVBand="1" w:oddHBand="0" w:evenHBand="0" w:firstRowFirstColumn="0" w:firstRowLastColumn="0" w:lastRowFirstColumn="0" w:lastRowLastColumn="0"/>
            <w:tcW w:w="4410" w:type="dxa"/>
            <w:tcBorders>
              <w:bottom w:val="single" w:sz="6" w:space="0" w:color="0063A6" w:themeColor="accent1"/>
            </w:tcBorders>
          </w:tcPr>
          <w:p w:rsidR="00935E07" w:rsidRPr="009E5E0A" w:rsidRDefault="00935E07" w:rsidP="00935E07">
            <w:pPr>
              <w:pStyle w:val="Tabletext"/>
              <w:rPr>
                <w:lang w:val="en-GB"/>
              </w:rPr>
            </w:pPr>
            <w:r w:rsidRPr="009E5E0A">
              <w:rPr>
                <w:lang w:val="en-GB"/>
              </w:rPr>
              <w:t xml:space="preserve">Our Watch is the national violence prevention foundation (formerly called the Foundation to Prevent Violence Against Women and Children). It was established by the Commonwealth and Victorian Governments and launched in July 2013. Our Watch was established as an independent company with Victorian and Commonwealth governments as the two Principal Members. Since that time the Northern Territory (September 2014) and South Australia (August 2014) have joined Our Watch. </w:t>
            </w:r>
          </w:p>
          <w:p w:rsidR="00935E07" w:rsidRPr="009E5E0A" w:rsidRDefault="00935E07" w:rsidP="00935E07">
            <w:pPr>
              <w:pStyle w:val="Tabletext"/>
              <w:rPr>
                <w:lang w:val="en-GB"/>
              </w:rPr>
            </w:pPr>
            <w:r w:rsidRPr="009E5E0A">
              <w:rPr>
                <w:lang w:val="en-GB"/>
              </w:rPr>
              <w:t>The key purpose of Our Watch is to promote the prevention of emotional abuse, sexual abuse, and physical abuse, specifically the prevention of violence against women and children.</w:t>
            </w:r>
          </w:p>
        </w:tc>
        <w:tc>
          <w:tcPr>
            <w:cnfStyle w:val="000010000000" w:firstRow="0" w:lastRow="0" w:firstColumn="0" w:lastColumn="0" w:oddVBand="1" w:evenVBand="0" w:oddHBand="0" w:evenHBand="0" w:firstRowFirstColumn="0" w:firstRowLastColumn="0" w:lastRowFirstColumn="0" w:lastRowLastColumn="0"/>
            <w:tcW w:w="1260" w:type="dxa"/>
            <w:gridSpan w:val="3"/>
            <w:tcBorders>
              <w:bottom w:val="single" w:sz="6" w:space="0" w:color="0063A6" w:themeColor="accent1"/>
            </w:tcBorders>
          </w:tcPr>
          <w:p w:rsidR="00935E07" w:rsidRPr="009E5E0A" w:rsidRDefault="00935E07" w:rsidP="00935E07">
            <w:pPr>
              <w:pStyle w:val="Tabletext"/>
            </w:pPr>
            <w:r w:rsidRPr="009E5E0A">
              <w:t>Women’s Affairs</w:t>
            </w:r>
          </w:p>
        </w:tc>
        <w:tc>
          <w:tcPr>
            <w:cnfStyle w:val="000001000000" w:firstRow="0" w:lastRow="0" w:firstColumn="0" w:lastColumn="0" w:oddVBand="0" w:evenVBand="1" w:oddHBand="0" w:evenHBand="0" w:firstRowFirstColumn="0" w:firstRowLastColumn="0" w:lastRowFirstColumn="0" w:lastRowLastColumn="0"/>
            <w:tcW w:w="1260" w:type="dxa"/>
            <w:tcBorders>
              <w:bottom w:val="single" w:sz="6" w:space="0" w:color="0063A6" w:themeColor="accent1"/>
            </w:tcBorders>
          </w:tcPr>
          <w:p w:rsidR="00935E07" w:rsidRPr="009E5E0A" w:rsidRDefault="00935E07" w:rsidP="00935E07">
            <w:pPr>
              <w:pStyle w:val="Tabletextright"/>
            </w:pPr>
            <w:r w:rsidRPr="009E5E0A">
              <w:t>1 500 000.00</w:t>
            </w:r>
          </w:p>
        </w:tc>
      </w:tr>
      <w:tr w:rsidR="00935E07" w:rsidRPr="00935E07" w:rsidTr="00FB0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89" w:type="dxa"/>
            <w:gridSpan w:val="3"/>
            <w:tcBorders>
              <w:top w:val="single" w:sz="6" w:space="0" w:color="0063A6" w:themeColor="accent1"/>
              <w:bottom w:val="single" w:sz="6" w:space="0" w:color="0063A6" w:themeColor="accent1"/>
            </w:tcBorders>
          </w:tcPr>
          <w:p w:rsidR="00935E07" w:rsidRPr="00935E07" w:rsidRDefault="00935E07" w:rsidP="00935E07">
            <w:pPr>
              <w:pStyle w:val="Tabletext"/>
              <w:rPr>
                <w:b/>
                <w:lang w:val="en-CA" w:eastAsia="en-CA"/>
              </w:rPr>
            </w:pPr>
            <w:r w:rsidRPr="00935E07">
              <w:rPr>
                <w:b/>
                <w:lang w:val="en-CA" w:eastAsia="en-CA"/>
              </w:rPr>
              <w:t>Total program expenditure</w:t>
            </w:r>
          </w:p>
        </w:tc>
        <w:tc>
          <w:tcPr>
            <w:cnfStyle w:val="000001000000" w:firstRow="0" w:lastRow="0" w:firstColumn="0" w:lastColumn="0" w:oddVBand="0" w:evenVBand="1" w:oddHBand="0" w:evenHBand="0" w:firstRowFirstColumn="0" w:firstRowLastColumn="0" w:lastRowFirstColumn="0" w:lastRowLastColumn="0"/>
            <w:tcW w:w="1458" w:type="dxa"/>
            <w:gridSpan w:val="3"/>
            <w:tcBorders>
              <w:top w:val="single" w:sz="6" w:space="0" w:color="0063A6" w:themeColor="accent1"/>
              <w:bottom w:val="single" w:sz="6" w:space="0" w:color="0063A6" w:themeColor="accent1"/>
            </w:tcBorders>
          </w:tcPr>
          <w:p w:rsidR="00935E07" w:rsidRPr="00935E07" w:rsidRDefault="00935E07" w:rsidP="00935E07">
            <w:pPr>
              <w:pStyle w:val="Tabletextright"/>
              <w:rPr>
                <w:b/>
                <w:lang w:eastAsia="en-CA"/>
              </w:rPr>
            </w:pPr>
            <w:r w:rsidRPr="00935E07">
              <w:rPr>
                <w:b/>
                <w:lang w:eastAsia="en-CA"/>
              </w:rPr>
              <w:t>$112 428 802.80</w:t>
            </w:r>
          </w:p>
        </w:tc>
      </w:tr>
      <w:tr w:rsidR="00935E07" w:rsidRPr="009E5E0A" w:rsidTr="00FB0558">
        <w:tc>
          <w:tcPr>
            <w:cnfStyle w:val="000010000000" w:firstRow="0" w:lastRow="0" w:firstColumn="0" w:lastColumn="0" w:oddVBand="1" w:evenVBand="0" w:oddHBand="0" w:evenHBand="0" w:firstRowFirstColumn="0" w:firstRowLastColumn="0" w:lastRowFirstColumn="0" w:lastRowLastColumn="0"/>
            <w:tcW w:w="2217" w:type="dxa"/>
            <w:tcBorders>
              <w:top w:val="single" w:sz="6" w:space="0" w:color="0063A6" w:themeColor="accent1"/>
            </w:tcBorders>
          </w:tcPr>
          <w:p w:rsidR="00935E07" w:rsidRPr="009E5E0A" w:rsidRDefault="00935E07" w:rsidP="00935E07">
            <w:pPr>
              <w:pStyle w:val="Tabletext"/>
              <w:rPr>
                <w:lang w:val="en-CA" w:eastAsia="en-CA"/>
              </w:rPr>
            </w:pPr>
            <w:r w:rsidRPr="009E5E0A">
              <w:rPr>
                <w:lang w:val="en-CA" w:eastAsia="en-CA"/>
              </w:rPr>
              <w:t>ANZAC Day Revenue to Veterans Fund</w:t>
            </w:r>
          </w:p>
        </w:tc>
        <w:tc>
          <w:tcPr>
            <w:cnfStyle w:val="000001000000" w:firstRow="0" w:lastRow="0" w:firstColumn="0" w:lastColumn="0" w:oddVBand="0" w:evenVBand="1" w:oddHBand="0" w:evenHBand="0" w:firstRowFirstColumn="0" w:firstRowLastColumn="0" w:lastRowFirstColumn="0" w:lastRowLastColumn="0"/>
            <w:tcW w:w="5490" w:type="dxa"/>
            <w:gridSpan w:val="3"/>
            <w:tcBorders>
              <w:top w:val="single" w:sz="6" w:space="0" w:color="0063A6" w:themeColor="accent1"/>
            </w:tcBorders>
          </w:tcPr>
          <w:p w:rsidR="00935E07" w:rsidRPr="009E5E0A" w:rsidRDefault="00935E07" w:rsidP="00935E07">
            <w:pPr>
              <w:pStyle w:val="Tabletext"/>
              <w:rPr>
                <w:lang w:val="en-CA" w:eastAsia="en-CA"/>
              </w:rPr>
            </w:pPr>
            <w:r w:rsidRPr="009E5E0A">
              <w:rPr>
                <w:lang w:val="en-CA" w:eastAsia="en-CA"/>
              </w:rPr>
              <w:t>Payment of one day’s revenue from the Community Support Fund to the Victorian Veterans Fund.</w:t>
            </w:r>
          </w:p>
        </w:tc>
        <w:tc>
          <w:tcPr>
            <w:cnfStyle w:val="000010000000" w:firstRow="0" w:lastRow="0" w:firstColumn="0" w:lastColumn="0" w:oddVBand="1" w:evenVBand="0" w:oddHBand="0" w:evenHBand="0" w:firstRowFirstColumn="0" w:firstRowLastColumn="0" w:lastRowFirstColumn="0" w:lastRowLastColumn="0"/>
            <w:tcW w:w="1440" w:type="dxa"/>
            <w:gridSpan w:val="2"/>
            <w:tcBorders>
              <w:top w:val="single" w:sz="6" w:space="0" w:color="0063A6" w:themeColor="accent1"/>
            </w:tcBorders>
          </w:tcPr>
          <w:p w:rsidR="00935E07" w:rsidRPr="009E5E0A" w:rsidRDefault="00935E07" w:rsidP="00935E07">
            <w:pPr>
              <w:pStyle w:val="Tabletextright"/>
              <w:rPr>
                <w:rFonts w:cs="Calibri"/>
                <w:lang w:val="en-CA" w:eastAsia="en-CA"/>
              </w:rPr>
            </w:pPr>
            <w:r w:rsidRPr="009E5E0A">
              <w:t>264 399.90</w:t>
            </w:r>
          </w:p>
        </w:tc>
      </w:tr>
      <w:tr w:rsidR="00935E07" w:rsidRPr="009E5E0A" w:rsidTr="00285CC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7" w:type="dxa"/>
          </w:tcPr>
          <w:p w:rsidR="00935E07" w:rsidRPr="009E5E0A" w:rsidRDefault="00935E07" w:rsidP="00935E07">
            <w:pPr>
              <w:pStyle w:val="Tabletext"/>
              <w:rPr>
                <w:lang w:val="en-CA" w:eastAsia="en-CA"/>
              </w:rPr>
            </w:pPr>
            <w:r w:rsidRPr="009E5E0A">
              <w:rPr>
                <w:lang w:val="en-CA" w:eastAsia="en-CA"/>
              </w:rPr>
              <w:t>CSF Administration</w:t>
            </w:r>
          </w:p>
        </w:tc>
        <w:tc>
          <w:tcPr>
            <w:cnfStyle w:val="000001000000" w:firstRow="0" w:lastRow="0" w:firstColumn="0" w:lastColumn="0" w:oddVBand="0" w:evenVBand="1" w:oddHBand="0" w:evenHBand="0" w:firstRowFirstColumn="0" w:firstRowLastColumn="0" w:lastRowFirstColumn="0" w:lastRowLastColumn="0"/>
            <w:tcW w:w="5490" w:type="dxa"/>
            <w:gridSpan w:val="3"/>
          </w:tcPr>
          <w:p w:rsidR="00935E07" w:rsidRPr="009E5E0A" w:rsidRDefault="00935E07" w:rsidP="00935E07">
            <w:pPr>
              <w:pStyle w:val="Tabletext"/>
              <w:rPr>
                <w:lang w:val="en-CA" w:eastAsia="en-CA"/>
              </w:rPr>
            </w:pPr>
            <w:r w:rsidRPr="009E5E0A">
              <w:rPr>
                <w:lang w:val="en-CA" w:eastAsia="en-CA"/>
              </w:rPr>
              <w:t>Expenditure incurred in administering and managing the Fund and monitoring and reporting on the application of money from the Fund.</w:t>
            </w:r>
          </w:p>
        </w:tc>
        <w:tc>
          <w:tcPr>
            <w:cnfStyle w:val="000010000000" w:firstRow="0" w:lastRow="0" w:firstColumn="0" w:lastColumn="0" w:oddVBand="1" w:evenVBand="0" w:oddHBand="0" w:evenHBand="0" w:firstRowFirstColumn="0" w:firstRowLastColumn="0" w:lastRowFirstColumn="0" w:lastRowLastColumn="0"/>
            <w:tcW w:w="1440" w:type="dxa"/>
            <w:gridSpan w:val="2"/>
          </w:tcPr>
          <w:p w:rsidR="00935E07" w:rsidRPr="009E5E0A" w:rsidRDefault="00935E07" w:rsidP="00935E07">
            <w:pPr>
              <w:pStyle w:val="Tabletextright"/>
              <w:rPr>
                <w:rFonts w:cs="Calibri"/>
                <w:lang w:val="en-CA" w:eastAsia="en-CA"/>
              </w:rPr>
            </w:pPr>
            <w:r w:rsidRPr="009E5E0A">
              <w:rPr>
                <w:rFonts w:cs="Calibri"/>
                <w:lang w:val="en-CA" w:eastAsia="en-CA"/>
              </w:rPr>
              <w:t>322 591.47</w:t>
            </w:r>
          </w:p>
        </w:tc>
      </w:tr>
      <w:tr w:rsidR="00935E07" w:rsidRPr="009E5E0A" w:rsidTr="00285CCF">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89" w:type="dxa"/>
            <w:gridSpan w:val="3"/>
          </w:tcPr>
          <w:p w:rsidR="00935E07" w:rsidRPr="009E5E0A" w:rsidRDefault="00935E07" w:rsidP="00935E07">
            <w:pPr>
              <w:pStyle w:val="Tabletext"/>
              <w:rPr>
                <w:b w:val="0"/>
                <w:lang w:val="en-CA" w:eastAsia="en-CA"/>
              </w:rPr>
            </w:pPr>
            <w:r w:rsidRPr="009E5E0A">
              <w:rPr>
                <w:lang w:val="en-CA" w:eastAsia="en-CA"/>
              </w:rPr>
              <w:t>Total operating expenditure</w:t>
            </w:r>
          </w:p>
        </w:tc>
        <w:tc>
          <w:tcPr>
            <w:cnfStyle w:val="000001000000" w:firstRow="0" w:lastRow="0" w:firstColumn="0" w:lastColumn="0" w:oddVBand="0" w:evenVBand="1" w:oddHBand="0" w:evenHBand="0" w:firstRowFirstColumn="0" w:firstRowLastColumn="0" w:lastRowFirstColumn="0" w:lastRowLastColumn="0"/>
            <w:tcW w:w="1458" w:type="dxa"/>
            <w:gridSpan w:val="3"/>
          </w:tcPr>
          <w:p w:rsidR="00935E07" w:rsidRPr="009E5E0A" w:rsidRDefault="00935E07" w:rsidP="00935E07">
            <w:pPr>
              <w:pStyle w:val="Tabletextright"/>
              <w:rPr>
                <w:b w:val="0"/>
                <w:lang w:val="en-CA" w:eastAsia="en-CA"/>
              </w:rPr>
            </w:pPr>
            <w:r w:rsidRPr="009E5E0A">
              <w:rPr>
                <w:lang w:val="en-CA" w:eastAsia="en-CA"/>
              </w:rPr>
              <w:t>$</w:t>
            </w:r>
            <w:bookmarkStart w:id="2" w:name="OLE_LINK1"/>
            <w:r w:rsidRPr="009E5E0A">
              <w:rPr>
                <w:lang w:val="en-CA" w:eastAsia="en-CA"/>
              </w:rPr>
              <w:t>113 015 794.</w:t>
            </w:r>
            <w:bookmarkEnd w:id="2"/>
            <w:r w:rsidRPr="009E5E0A">
              <w:rPr>
                <w:lang w:val="en-CA" w:eastAsia="en-CA"/>
              </w:rPr>
              <w:t>17</w:t>
            </w:r>
          </w:p>
        </w:tc>
      </w:tr>
    </w:tbl>
    <w:p w:rsidR="00E54915" w:rsidRDefault="00E54915" w:rsidP="00E54915">
      <w:pPr>
        <w:pStyle w:val="NoteNormal"/>
      </w:pPr>
    </w:p>
    <w:p w:rsidR="00E54915" w:rsidRDefault="00E54915" w:rsidP="00E54915"/>
    <w:p w:rsidR="00E54915" w:rsidRPr="00E54915" w:rsidRDefault="00E54915" w:rsidP="00E54915"/>
    <w:bookmarkEnd w:id="0"/>
    <w:sectPr w:rsidR="00E54915" w:rsidRPr="00E54915" w:rsidSect="00D44A71">
      <w:headerReference w:type="default" r:id="rId17"/>
      <w:footerReference w:type="default" r:id="rId18"/>
      <w:pgSz w:w="11906" w:h="16838" w:code="9"/>
      <w:pgMar w:top="1890" w:right="1440" w:bottom="900" w:left="1440" w:header="70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90" w:rsidRDefault="005A4F90" w:rsidP="002D711A">
      <w:pPr>
        <w:spacing w:after="0" w:line="240" w:lineRule="auto"/>
      </w:pPr>
      <w:r>
        <w:separator/>
      </w:r>
    </w:p>
  </w:endnote>
  <w:endnote w:type="continuationSeparator" w:id="0">
    <w:p w:rsidR="005A4F90" w:rsidRDefault="005A4F9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669E3">
    <w:pPr>
      <w:pStyle w:val="Spacer"/>
    </w:pPr>
  </w:p>
  <w:p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FB0558">
      <w:rPr>
        <w:b/>
        <w:color w:val="0063A6" w:themeColor="accent1"/>
      </w:rPr>
      <w:t>Community Support Fund</w:t>
    </w:r>
    <w:r w:rsidRPr="00C022F9">
      <w:rPr>
        <w:b/>
        <w:color w:val="0063A6" w:themeColor="accent1"/>
      </w:rPr>
      <w:fldChar w:fldCharType="end"/>
    </w:r>
    <w:r w:rsidR="006738C4">
      <w:t xml:space="preserve"> (</w:t>
    </w:r>
    <w:r w:rsidR="00FB0558">
      <w:rPr>
        <w:noProof w:val="0"/>
      </w:rPr>
      <w:fldChar w:fldCharType="begin"/>
    </w:r>
    <w:r w:rsidR="00FB0558">
      <w:rPr>
        <w:noProof w:val="0"/>
      </w:rPr>
      <w:instrText xml:space="preserve"> STYLEREF  "Heading 2" </w:instrText>
    </w:r>
    <w:r w:rsidR="00FB0558">
      <w:rPr>
        <w:noProof w:val="0"/>
      </w:rPr>
      <w:fldChar w:fldCharType="separate"/>
    </w:r>
    <w:r w:rsidR="00FB0558">
      <w:t>Total expenditure by program for 2014-15</w:t>
    </w:r>
    <w:r w:rsidR="00FB0558">
      <w:rPr>
        <w:noProof w:val="0"/>
      </w:rPr>
      <w:fldChar w:fldCharType="end"/>
    </w:r>
    <w:r w:rsidR="006738C4">
      <w:t xml:space="preserve">) </w:t>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FB0558">
      <w:rPr>
        <w:rStyle w:val="PageNumber"/>
      </w:rPr>
      <w:t>1</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90" w:rsidRDefault="005A4F90" w:rsidP="002D711A">
      <w:pPr>
        <w:spacing w:after="0" w:line="240" w:lineRule="auto"/>
      </w:pPr>
      <w:r>
        <w:separator/>
      </w:r>
    </w:p>
  </w:footnote>
  <w:footnote w:type="continuationSeparator" w:id="0">
    <w:p w:rsidR="005A4F90" w:rsidRDefault="005A4F90"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F417C3">
    <w:pPr>
      <w:pStyle w:val="Header"/>
    </w:pPr>
    <w:r>
      <w:rPr>
        <w:noProof/>
      </w:rPr>
      <w:drawing>
        <wp:anchor distT="0" distB="0" distL="114300" distR="114300" simplePos="0" relativeHeight="251673600" behindDoc="0" locked="0" layoutInCell="1" allowOverlap="1" wp14:anchorId="299D289F" wp14:editId="0D2C2F9C">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732B30F6" wp14:editId="5B023D89">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0"/>
    <w:rsid w:val="00012F6F"/>
    <w:rsid w:val="00014213"/>
    <w:rsid w:val="00014B55"/>
    <w:rsid w:val="00020E3E"/>
    <w:rsid w:val="00023BF3"/>
    <w:rsid w:val="00026186"/>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22BEB"/>
    <w:rsid w:val="00225E60"/>
    <w:rsid w:val="0023202C"/>
    <w:rsid w:val="00236203"/>
    <w:rsid w:val="00245043"/>
    <w:rsid w:val="002502E5"/>
    <w:rsid w:val="00257760"/>
    <w:rsid w:val="00285CCF"/>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E3E26"/>
    <w:rsid w:val="003E640C"/>
    <w:rsid w:val="003F1295"/>
    <w:rsid w:val="003F76FC"/>
    <w:rsid w:val="004002EB"/>
    <w:rsid w:val="00405C57"/>
    <w:rsid w:val="0041689E"/>
    <w:rsid w:val="00422139"/>
    <w:rsid w:val="004236C8"/>
    <w:rsid w:val="00427681"/>
    <w:rsid w:val="00433DB7"/>
    <w:rsid w:val="00453750"/>
    <w:rsid w:val="00456941"/>
    <w:rsid w:val="004669E3"/>
    <w:rsid w:val="004702EA"/>
    <w:rsid w:val="00482D02"/>
    <w:rsid w:val="00492A49"/>
    <w:rsid w:val="004A7519"/>
    <w:rsid w:val="004B41CA"/>
    <w:rsid w:val="004D3518"/>
    <w:rsid w:val="004D62D6"/>
    <w:rsid w:val="0053416C"/>
    <w:rsid w:val="00541C2F"/>
    <w:rsid w:val="00563527"/>
    <w:rsid w:val="0058124E"/>
    <w:rsid w:val="00584301"/>
    <w:rsid w:val="005875A3"/>
    <w:rsid w:val="005A3416"/>
    <w:rsid w:val="005A4F90"/>
    <w:rsid w:val="005B27FE"/>
    <w:rsid w:val="005C3E6D"/>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C70FC"/>
    <w:rsid w:val="006C77A9"/>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6DF8"/>
    <w:rsid w:val="008A4900"/>
    <w:rsid w:val="008D0281"/>
    <w:rsid w:val="008E3C4E"/>
    <w:rsid w:val="008F6D45"/>
    <w:rsid w:val="00935E07"/>
    <w:rsid w:val="009834C0"/>
    <w:rsid w:val="00984C95"/>
    <w:rsid w:val="00986AAC"/>
    <w:rsid w:val="009A1DA2"/>
    <w:rsid w:val="009A3704"/>
    <w:rsid w:val="009A4739"/>
    <w:rsid w:val="009A674F"/>
    <w:rsid w:val="009B199C"/>
    <w:rsid w:val="009B54C8"/>
    <w:rsid w:val="009B61F1"/>
    <w:rsid w:val="009B62E0"/>
    <w:rsid w:val="009B6661"/>
    <w:rsid w:val="009C3D88"/>
    <w:rsid w:val="009D5F2C"/>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10154"/>
    <w:rsid w:val="00B81B44"/>
    <w:rsid w:val="00B9053B"/>
    <w:rsid w:val="00BC3422"/>
    <w:rsid w:val="00C015B9"/>
    <w:rsid w:val="00C022F9"/>
    <w:rsid w:val="00C032EA"/>
    <w:rsid w:val="00C06EB5"/>
    <w:rsid w:val="00C1145F"/>
    <w:rsid w:val="00C637E1"/>
    <w:rsid w:val="00C70D50"/>
    <w:rsid w:val="00C8243E"/>
    <w:rsid w:val="00C907D7"/>
    <w:rsid w:val="00C92338"/>
    <w:rsid w:val="00CA7C3A"/>
    <w:rsid w:val="00CA7E74"/>
    <w:rsid w:val="00CC2DB2"/>
    <w:rsid w:val="00CD0307"/>
    <w:rsid w:val="00CD3D1B"/>
    <w:rsid w:val="00CE62B3"/>
    <w:rsid w:val="00CF7DCA"/>
    <w:rsid w:val="00D211E9"/>
    <w:rsid w:val="00D2312F"/>
    <w:rsid w:val="00D269C1"/>
    <w:rsid w:val="00D44953"/>
    <w:rsid w:val="00D44A71"/>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16B1C"/>
    <w:rsid w:val="00E26B32"/>
    <w:rsid w:val="00E31444"/>
    <w:rsid w:val="00E407B6"/>
    <w:rsid w:val="00E41EF1"/>
    <w:rsid w:val="00E42942"/>
    <w:rsid w:val="00E468A6"/>
    <w:rsid w:val="00E54915"/>
    <w:rsid w:val="00E71BDF"/>
    <w:rsid w:val="00E83CA7"/>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B0558"/>
    <w:rsid w:val="00FC42E5"/>
    <w:rsid w:val="00FD640F"/>
    <w:rsid w:val="00FD6B4C"/>
    <w:rsid w:val="00FD6BE9"/>
    <w:rsid w:val="00FF4E99"/>
    <w:rsid w:val="00FF6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uiPriority="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FD6BE9"/>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qFormat/>
    <w:rsid w:val="00EC171D"/>
    <w:rPr>
      <w:color w:val="53565A" w:themeColor="hyperlink"/>
      <w:u w:val="none"/>
    </w:rPr>
  </w:style>
  <w:style w:type="character" w:customStyle="1" w:styleId="Heading1Char">
    <w:name w:val="Heading 1 Char"/>
    <w:basedOn w:val="DefaultParagraphFont"/>
    <w:link w:val="Heading1"/>
    <w:rsid w:val="00FD6BE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1A3DD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uiPriority="0"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FD6BE9"/>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qFormat/>
    <w:rsid w:val="00EC171D"/>
    <w:rPr>
      <w:color w:val="53565A" w:themeColor="hyperlink"/>
      <w:u w:val="none"/>
    </w:rPr>
  </w:style>
  <w:style w:type="character" w:customStyle="1" w:styleId="Heading1Char">
    <w:name w:val="Heading 1 Char"/>
    <w:basedOn w:val="DefaultParagraphFont"/>
    <w:link w:val="Heading1"/>
    <w:rsid w:val="00FD6BE9"/>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7"/>
    <w:rsid w:val="001A3DD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tf.vic.gov.au/Publications/Victoria-Economy-publications/Community-Support-Fund-grant-approvals-2014-1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tf.vic.gov.au/Publications/Victoria-Economy-publications/Community-Support-Fund-grant-approvals-2014-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tf.vic.gov.au/Publications/Victoria-Economy-publications/Community-Support-Fund-grant-approvals-2014-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vic.gov.au/Publications/Victoria-Economy-publications/Community-Support-Fund-grant-approvals-2014-15" TargetMode="External"/><Relationship Id="rId5" Type="http://schemas.openxmlformats.org/officeDocument/2006/relationships/settings" Target="settings.xml"/><Relationship Id="rId15" Type="http://schemas.openxmlformats.org/officeDocument/2006/relationships/hyperlink" Target="http://www.dtf.vic.gov.au/Publications/Victoria-Economy-publications/Community-Support-Fund-grant-approvals-2014-15" TargetMode="External"/><Relationship Id="rId10" Type="http://schemas.openxmlformats.org/officeDocument/2006/relationships/hyperlink" Target="http://www.dtf.vic.gov.au/Publications/Victoria-Economy-publications/Community-Support-Fund-grant-approvals-2014-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tf.vic.gov.au/Publications/Victoria-Economy-publications/Community-Support-Fund-grant-approvals-2014-15" TargetMode="External"/><Relationship Id="rId14" Type="http://schemas.openxmlformats.org/officeDocument/2006/relationships/hyperlink" Target="http://www.dtf.vic.gov.au/Publications/Victoria-Economy-publications/Community-Support-Fund-grant-approvals-2014-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1840-D1A1-4166-B9D7-C69B994F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7</TotalTime>
  <Pages>8</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Julie Marsal</cp:lastModifiedBy>
  <cp:revision>4</cp:revision>
  <cp:lastPrinted>2016-02-09T01:59:00Z</cp:lastPrinted>
  <dcterms:created xsi:type="dcterms:W3CDTF">2018-05-28T01:11:00Z</dcterms:created>
  <dcterms:modified xsi:type="dcterms:W3CDTF">2018-06-01T02:02:00Z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6cfc1d38-f2a2-446c-9b2b-20b3a440a01c</vt:lpwstr>
  </property>
  <property fmtid="{D5CDD505-2E9C-101B-9397-08002B2CF9AE}" pid="3" name="PSPFClassification">
    <vt:lpwstr>Do Not Mark</vt:lpwstr>
  </property>
</Properties>
</file>