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8902F9" w:rsidRDefault="005E29DA" w:rsidP="008902F9">
      <w:pPr>
        <w:pStyle w:val="Title"/>
      </w:pPr>
      <w:bookmarkStart w:id="0" w:name="_Toc442780672"/>
      <w:r w:rsidRPr="008902F9">
        <w:t>Community Support Fund</w:t>
      </w:r>
    </w:p>
    <w:p w:rsidR="005E29DA" w:rsidRPr="008902F9" w:rsidRDefault="005E29DA" w:rsidP="008902F9">
      <w:pPr>
        <w:pStyle w:val="TertiaryTitle"/>
        <w:rPr>
          <w:b/>
        </w:rPr>
      </w:pPr>
      <w:r w:rsidRPr="008902F9">
        <w:rPr>
          <w:b/>
        </w:rPr>
        <w:t>Fact sheet</w:t>
      </w:r>
    </w:p>
    <w:p w:rsidR="005E29DA" w:rsidRPr="008902F9" w:rsidRDefault="005E29DA" w:rsidP="008902F9">
      <w:pPr>
        <w:pStyle w:val="Heading3"/>
        <w:spacing w:before="360"/>
        <w:rPr>
          <w:color w:val="0063A6"/>
          <w:szCs w:val="32"/>
        </w:rPr>
      </w:pPr>
      <w:r w:rsidRPr="008902F9">
        <w:rPr>
          <w:color w:val="0063A6"/>
        </w:rPr>
        <w:t xml:space="preserve">The Community Support Fund (CSF) was established in 1991 to distribute part of the Victorian Government’s gaming revenue to projects that benefit communities. The CSF </w:t>
      </w:r>
      <w:r w:rsidRPr="008902F9">
        <w:rPr>
          <w:color w:val="0063A6"/>
          <w:szCs w:val="32"/>
        </w:rPr>
        <w:t xml:space="preserve">is a trust fund governed by the </w:t>
      </w:r>
      <w:r w:rsidRPr="008902F9">
        <w:rPr>
          <w:i/>
          <w:color w:val="0063A6"/>
          <w:szCs w:val="32"/>
        </w:rPr>
        <w:t>Gambling Regulation Act</w:t>
      </w:r>
      <w:r w:rsidRPr="008902F9">
        <w:rPr>
          <w:color w:val="0063A6"/>
          <w:szCs w:val="32"/>
        </w:rPr>
        <w:t> </w:t>
      </w:r>
      <w:r w:rsidRPr="008902F9">
        <w:rPr>
          <w:i/>
          <w:color w:val="0063A6"/>
          <w:szCs w:val="32"/>
        </w:rPr>
        <w:t>2003</w:t>
      </w:r>
      <w:r w:rsidRPr="008902F9">
        <w:rPr>
          <w:color w:val="0063A6"/>
          <w:szCs w:val="32"/>
        </w:rPr>
        <w:t xml:space="preserve"> and receives a portion of revenue from electronic gaming machines – i</w:t>
      </w:r>
      <w:r w:rsidR="008902F9">
        <w:rPr>
          <w:color w:val="0063A6"/>
          <w:szCs w:val="32"/>
        </w:rPr>
        <w:t xml:space="preserve">t </w:t>
      </w:r>
      <w:r w:rsidRPr="008902F9">
        <w:rPr>
          <w:color w:val="0063A6"/>
          <w:szCs w:val="32"/>
        </w:rPr>
        <w:t>does not receive revenue from gaming machines located in clubs or in the casino.</w:t>
      </w:r>
    </w:p>
    <w:p w:rsidR="005E29DA" w:rsidRDefault="005E29DA" w:rsidP="005E29DA">
      <w:pPr>
        <w:rPr>
          <w:lang w:eastAsia="en-US"/>
        </w:rPr>
        <w:sectPr w:rsidR="005E29DA"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D15E25" w:rsidRDefault="00D15E25" w:rsidP="00D15E25">
      <w:pPr>
        <w:spacing w:before="120" w:after="120"/>
        <w:rPr>
          <w:lang w:eastAsia="en-US"/>
        </w:rPr>
      </w:pPr>
      <w:r>
        <w:rPr>
          <w:lang w:eastAsia="en-US"/>
        </w:rPr>
        <w:lastRenderedPageBreak/>
        <w:t>Gaming revenue to go</w:t>
      </w:r>
      <w:bookmarkStart w:id="4" w:name="_GoBack"/>
      <w:bookmarkEnd w:id="4"/>
      <w:r>
        <w:rPr>
          <w:lang w:eastAsia="en-US"/>
        </w:rPr>
        <w:t>vernment comes in a number of forms through various fees, levies and taxes on gaming.</w:t>
      </w:r>
    </w:p>
    <w:p w:rsidR="00D15E25" w:rsidRDefault="00D15E25" w:rsidP="00D15E25">
      <w:pPr>
        <w:spacing w:before="120" w:after="120"/>
        <w:rPr>
          <w:lang w:eastAsia="en-US"/>
        </w:rPr>
      </w:pPr>
      <w:r>
        <w:rPr>
          <w:lang w:eastAsia="en-US"/>
        </w:rPr>
        <w:t xml:space="preserve">In 2014-15, the CSF received $96.5 million in revenue from gaming machines in hotels and $1 million in interest. This represents approximately 10 per cent of revenue received by the Victorian government from this source. </w:t>
      </w:r>
    </w:p>
    <w:p w:rsidR="00D15E25" w:rsidRDefault="00D15E25" w:rsidP="00D15E25">
      <w:pPr>
        <w:spacing w:before="120" w:after="120"/>
        <w:rPr>
          <w:lang w:eastAsia="en-US"/>
        </w:rPr>
      </w:pPr>
      <w:r>
        <w:rPr>
          <w:lang w:eastAsia="en-US"/>
        </w:rPr>
        <w:t>The majority of gaming revenue goes directly into key areas such as Victoria’s hospitals and charities in the health sector.</w:t>
      </w:r>
    </w:p>
    <w:p w:rsidR="005E29DA" w:rsidRDefault="00D15E25" w:rsidP="00D15E25">
      <w:pPr>
        <w:spacing w:before="120" w:after="120"/>
        <w:rPr>
          <w:lang w:eastAsia="en-US"/>
        </w:rPr>
      </w:pPr>
      <w:r>
        <w:rPr>
          <w:lang w:eastAsia="en-US"/>
        </w:rPr>
        <w:t>CSF funds are distributed to various Victorian Government departments which in turn invest in a range of programs and projects in the community. The government allocates CSF funding to a range of initiatives consistent with the purposes of the Fund as outlined in the legislation:</w:t>
      </w:r>
    </w:p>
    <w:p w:rsidR="00D15E25" w:rsidRPr="00D15E25" w:rsidRDefault="00D15E25" w:rsidP="00D15E25">
      <w:pPr>
        <w:pStyle w:val="Bullet1"/>
        <w:rPr>
          <w:sz w:val="19"/>
          <w:szCs w:val="19"/>
        </w:rPr>
      </w:pPr>
      <w:r w:rsidRPr="00D15E25">
        <w:rPr>
          <w:sz w:val="19"/>
          <w:szCs w:val="19"/>
        </w:rPr>
        <w:t>addressing problem gambling (this is the first call on the Fund and includes payment of amounts into the Responsible Gambling Fund1);</w:t>
      </w:r>
    </w:p>
    <w:p w:rsidR="00D15E25" w:rsidRPr="00D15E25" w:rsidRDefault="00D15E25" w:rsidP="00D15E25">
      <w:pPr>
        <w:pStyle w:val="Bullet1"/>
        <w:rPr>
          <w:sz w:val="19"/>
          <w:szCs w:val="19"/>
        </w:rPr>
      </w:pPr>
      <w:r w:rsidRPr="00D15E25">
        <w:rPr>
          <w:sz w:val="19"/>
          <w:szCs w:val="19"/>
        </w:rPr>
        <w:t>drug education, treatment and rehabilitation;</w:t>
      </w:r>
    </w:p>
    <w:p w:rsidR="00D15E25" w:rsidRPr="00D15E25" w:rsidRDefault="00D15E25" w:rsidP="00D15E25">
      <w:pPr>
        <w:pStyle w:val="Bullet1"/>
        <w:rPr>
          <w:sz w:val="19"/>
          <w:szCs w:val="19"/>
        </w:rPr>
      </w:pPr>
      <w:r w:rsidRPr="00D15E25">
        <w:rPr>
          <w:sz w:val="19"/>
          <w:szCs w:val="19"/>
        </w:rPr>
        <w:t>financial counselling support for families in crisis;</w:t>
      </w:r>
    </w:p>
    <w:p w:rsidR="00D15E25" w:rsidRPr="00D15E25" w:rsidRDefault="00D15E25" w:rsidP="00D15E25">
      <w:pPr>
        <w:pStyle w:val="Bullet1"/>
        <w:rPr>
          <w:sz w:val="19"/>
          <w:szCs w:val="19"/>
        </w:rPr>
      </w:pPr>
      <w:r w:rsidRPr="00D15E25">
        <w:rPr>
          <w:sz w:val="19"/>
          <w:szCs w:val="19"/>
        </w:rPr>
        <w:t>youth programs;</w:t>
      </w:r>
    </w:p>
    <w:p w:rsidR="00D15E25" w:rsidRPr="00D15E25" w:rsidRDefault="00D15E25" w:rsidP="00D15E25">
      <w:pPr>
        <w:pStyle w:val="Bullet1"/>
        <w:rPr>
          <w:sz w:val="19"/>
          <w:szCs w:val="19"/>
        </w:rPr>
      </w:pPr>
      <w:r w:rsidRPr="00D15E25">
        <w:rPr>
          <w:sz w:val="19"/>
          <w:szCs w:val="19"/>
        </w:rPr>
        <w:t>sport and recreation;</w:t>
      </w:r>
    </w:p>
    <w:p w:rsidR="00D15E25" w:rsidRPr="00D15E25" w:rsidRDefault="00D15E25" w:rsidP="00D15E25">
      <w:pPr>
        <w:pStyle w:val="Bullet1"/>
        <w:rPr>
          <w:sz w:val="19"/>
          <w:szCs w:val="19"/>
        </w:rPr>
      </w:pPr>
      <w:r w:rsidRPr="00D15E25">
        <w:rPr>
          <w:sz w:val="19"/>
          <w:szCs w:val="19"/>
        </w:rPr>
        <w:t xml:space="preserve">arts and tourism; </w:t>
      </w:r>
    </w:p>
    <w:p w:rsidR="00D15E25" w:rsidRPr="00D15E25" w:rsidRDefault="00D15E25" w:rsidP="00D15E25">
      <w:pPr>
        <w:pStyle w:val="Bullet1"/>
        <w:rPr>
          <w:sz w:val="19"/>
          <w:szCs w:val="19"/>
        </w:rPr>
      </w:pPr>
      <w:r w:rsidRPr="00D15E25">
        <w:rPr>
          <w:sz w:val="19"/>
          <w:szCs w:val="19"/>
        </w:rPr>
        <w:t>advancement of the community as determined by the minister; and</w:t>
      </w:r>
    </w:p>
    <w:p w:rsidR="005E29DA" w:rsidRDefault="00D15E25" w:rsidP="00D15E25">
      <w:pPr>
        <w:pStyle w:val="Bullet1"/>
      </w:pPr>
      <w:r w:rsidRPr="00D15E25">
        <w:rPr>
          <w:sz w:val="19"/>
          <w:szCs w:val="19"/>
        </w:rPr>
        <w:t>costs associated with administering the CSF.</w:t>
      </w:r>
    </w:p>
    <w:p w:rsidR="00D15E25" w:rsidRDefault="005E29DA" w:rsidP="00D15E25">
      <w:pPr>
        <w:spacing w:before="120" w:after="120"/>
      </w:pPr>
      <w:r>
        <w:br w:type="column"/>
      </w:r>
      <w:r w:rsidR="00D15E25">
        <w:lastRenderedPageBreak/>
        <w:t xml:space="preserve">In addition, on 1 September each year, the legislation allocates one day’s CSF revenue to the Veterans Fund. </w:t>
      </w:r>
    </w:p>
    <w:p w:rsidR="00D15E25" w:rsidRDefault="00D15E25" w:rsidP="00D15E25">
      <w:pPr>
        <w:spacing w:before="120" w:after="120"/>
      </w:pPr>
      <w:r>
        <w:t>The CSF invests in a wide range of community-based organisations and councils to enable and support the creation of strong and sustainable communities across a range of government portfolio areas.</w:t>
      </w:r>
    </w:p>
    <w:p w:rsidR="005E29DA" w:rsidRDefault="00D15E25" w:rsidP="00D15E25">
      <w:pPr>
        <w:spacing w:before="120" w:after="120"/>
      </w:pPr>
      <w:r>
        <w:t>Any interest on funds held in the CSF is retained and also distributed for the community purposes listed above.</w:t>
      </w:r>
    </w:p>
    <w:p w:rsidR="008902F9" w:rsidRDefault="008902F9" w:rsidP="005E29DA"/>
    <w:p w:rsidR="005E29DA" w:rsidRDefault="005E29DA" w:rsidP="008902F9">
      <w:pPr>
        <w:jc w:val="center"/>
        <w:rPr>
          <w:color w:val="333333"/>
          <w:sz w:val="14"/>
          <w:szCs w:val="16"/>
        </w:rPr>
      </w:pPr>
      <w:r>
        <w:rPr>
          <w:rFonts w:hint="eastAsia"/>
          <w:b/>
          <w:color w:val="333333"/>
          <w:sz w:val="16"/>
          <w:szCs w:val="16"/>
          <w:lang w:eastAsia="zh-CN"/>
        </w:rPr>
        <w:t>201</w:t>
      </w:r>
      <w:r w:rsidR="00D15E25">
        <w:rPr>
          <w:b/>
          <w:color w:val="333333"/>
          <w:sz w:val="16"/>
          <w:szCs w:val="16"/>
          <w:lang w:eastAsia="zh-CN"/>
        </w:rPr>
        <w:t>4</w:t>
      </w:r>
      <w:r>
        <w:rPr>
          <w:rFonts w:hint="eastAsia"/>
          <w:b/>
          <w:color w:val="333333"/>
          <w:sz w:val="16"/>
          <w:szCs w:val="16"/>
          <w:lang w:eastAsia="zh-CN"/>
        </w:rPr>
        <w:t>-1</w:t>
      </w:r>
      <w:r w:rsidR="00D15E25">
        <w:rPr>
          <w:b/>
          <w:color w:val="333333"/>
          <w:sz w:val="16"/>
          <w:szCs w:val="16"/>
          <w:lang w:eastAsia="zh-CN"/>
        </w:rPr>
        <w:t>5</w:t>
      </w:r>
      <w:r w:rsidRPr="00C963B5">
        <w:rPr>
          <w:b/>
          <w:color w:val="333333"/>
          <w:sz w:val="16"/>
          <w:szCs w:val="16"/>
        </w:rPr>
        <w:t xml:space="preserve"> CSF expenditure by portfolio</w:t>
      </w:r>
      <w:r>
        <w:rPr>
          <w:b/>
          <w:color w:val="333333"/>
          <w:sz w:val="16"/>
          <w:szCs w:val="16"/>
        </w:rPr>
        <w:br/>
      </w:r>
      <w:r w:rsidRPr="00C963B5">
        <w:rPr>
          <w:color w:val="333333"/>
          <w:sz w:val="14"/>
          <w:szCs w:val="16"/>
        </w:rPr>
        <w:t>(percentages subject to annual variation)</w:t>
      </w:r>
    </w:p>
    <w:p w:rsidR="00D15E25" w:rsidRPr="00D15E25" w:rsidRDefault="00840621" w:rsidP="008902F9">
      <w:pPr>
        <w:jc w:val="center"/>
        <w:rPr>
          <w:color w:val="333333"/>
          <w:sz w:val="16"/>
          <w:szCs w:val="16"/>
        </w:rPr>
      </w:pPr>
      <w:bookmarkStart w:id="5" w:name="_MON_1409402894"/>
      <w:bookmarkEnd w:id="5"/>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204.6pt" o:bordertopcolor="this" o:borderleftcolor="this" o:borderbottomcolor="this" o:borderrightcolor="this">
            <v:imagedata r:id="rId15" o:title="" cropleft="2341f" cropright="3676f"/>
            <w10:bordertop type="single" width="4"/>
            <w10:borderleft type="single" width="4"/>
            <w10:borderbottom type="single" width="4"/>
            <w10:borderright type="single" width="4"/>
          </v:shape>
        </w:pict>
      </w:r>
    </w:p>
    <w:bookmarkEnd w:id="0"/>
    <w:sectPr w:rsidR="00D15E25" w:rsidRPr="00D15E25" w:rsidSect="008902F9">
      <w:type w:val="continuous"/>
      <w:pgSz w:w="11906" w:h="16838" w:code="9"/>
      <w:pgMar w:top="2160" w:right="1440" w:bottom="1350" w:left="1440" w:header="706" w:footer="461"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DA" w:rsidRDefault="005E29DA" w:rsidP="002D711A">
      <w:pPr>
        <w:spacing w:after="0" w:line="240" w:lineRule="auto"/>
      </w:pPr>
      <w:r>
        <w:separator/>
      </w:r>
    </w:p>
  </w:endnote>
  <w:endnote w:type="continuationSeparator" w:id="0">
    <w:p w:rsidR="005E29DA" w:rsidRDefault="005E29D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7E" w:rsidRDefault="00840621" w:rsidP="00840621">
    <w:pPr>
      <w:pStyle w:val="Footer"/>
      <w:jc w:val="center"/>
      <w:rPr>
        <w:rFonts w:ascii="Arial" w:hAnsi="Arial" w:cs="Arial"/>
        <w:b/>
        <w:color w:val="FF0000"/>
        <w:sz w:val="29"/>
      </w:rPr>
    </w:pPr>
    <w:bookmarkStart w:id="1" w:name="aliashProtectiveMarkings1FooterEvenPages"/>
    <w:r w:rsidRPr="00840621">
      <w:rPr>
        <w:rFonts w:ascii="Arial" w:hAnsi="Arial" w:cs="Arial"/>
        <w:b/>
        <w:color w:val="FF0000"/>
        <w:sz w:val="29"/>
      </w:rPr>
      <w:t>For Official Use Only</w:t>
    </w:r>
  </w:p>
  <w:bookmarkEnd w:id="1"/>
  <w:p w:rsidR="00840621" w:rsidRDefault="0084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4" w:type="dxa"/>
      <w:tblInd w:w="-702" w:type="dxa"/>
      <w:tblLayout w:type="fixed"/>
      <w:tblLook w:val="04A0" w:firstRow="1" w:lastRow="0" w:firstColumn="1" w:lastColumn="0" w:noHBand="0" w:noVBand="1"/>
    </w:tblPr>
    <w:tblGrid>
      <w:gridCol w:w="9180"/>
      <w:gridCol w:w="1524"/>
    </w:tblGrid>
    <w:tr w:rsidR="005E29DA" w:rsidTr="005E29DA">
      <w:tc>
        <w:tcPr>
          <w:tcW w:w="9180" w:type="dxa"/>
          <w:shd w:val="clear" w:color="auto" w:fill="auto"/>
        </w:tcPr>
        <w:p w:rsidR="00840621" w:rsidRDefault="00840621" w:rsidP="00840621">
          <w:pPr>
            <w:pStyle w:val="Footer"/>
            <w:tabs>
              <w:tab w:val="left" w:pos="9214"/>
            </w:tabs>
            <w:jc w:val="center"/>
            <w:rPr>
              <w:rFonts w:ascii="Arial" w:hAnsi="Arial" w:cs="Arial"/>
              <w:b/>
              <w:color w:val="FF0000"/>
              <w:sz w:val="29"/>
            </w:rPr>
          </w:pPr>
          <w:bookmarkStart w:id="2" w:name="aliashProtectiveMarkings1FooterPrimary"/>
          <w:r w:rsidRPr="00840621">
            <w:rPr>
              <w:rFonts w:ascii="Arial" w:hAnsi="Arial" w:cs="Arial"/>
              <w:b/>
              <w:color w:val="FF0000"/>
              <w:sz w:val="29"/>
            </w:rPr>
            <w:t>For Official Use Only</w:t>
          </w:r>
        </w:p>
        <w:bookmarkEnd w:id="2"/>
        <w:p w:rsidR="005E29DA" w:rsidRPr="00B347D0" w:rsidRDefault="005E29DA" w:rsidP="00724443">
          <w:pPr>
            <w:pStyle w:val="Footer"/>
            <w:tabs>
              <w:tab w:val="left" w:pos="9214"/>
            </w:tabs>
            <w:rPr>
              <w:color w:val="1665A1"/>
              <w:sz w:val="16"/>
            </w:rPr>
          </w:pPr>
          <w:r w:rsidRPr="00041FD6">
            <w:rPr>
              <w:color w:val="1665A1"/>
              <w:sz w:val="16"/>
              <w:vertAlign w:val="superscript"/>
            </w:rPr>
            <w:t>1</w:t>
          </w:r>
          <w:r>
            <w:rPr>
              <w:color w:val="1665A1"/>
              <w:sz w:val="16"/>
            </w:rPr>
            <w:t xml:space="preserve"> </w:t>
          </w:r>
          <w:r w:rsidRPr="00B347D0">
            <w:rPr>
              <w:color w:val="1665A1"/>
              <w:sz w:val="16"/>
            </w:rPr>
            <w:t xml:space="preserve">The </w:t>
          </w:r>
          <w:r w:rsidRPr="00B347D0">
            <w:rPr>
              <w:i/>
              <w:color w:val="1665A1"/>
              <w:sz w:val="16"/>
            </w:rPr>
            <w:t>Victorian Responsible Gambling Foundation Act 2011</w:t>
          </w:r>
          <w:r w:rsidRPr="00B347D0">
            <w:rPr>
              <w:color w:val="1665A1"/>
              <w:sz w:val="16"/>
            </w:rPr>
            <w:t xml:space="preserve"> gives effect to the Government’s problem gambling</w:t>
          </w:r>
          <w:r w:rsidRPr="00B347D0">
            <w:rPr>
              <w:sz w:val="16"/>
            </w:rPr>
            <w:t xml:space="preserve"> </w:t>
          </w:r>
          <w:r w:rsidRPr="00B347D0">
            <w:rPr>
              <w:color w:val="1665A1"/>
              <w:sz w:val="16"/>
            </w:rPr>
            <w:t>legislation provides the basis on which funds are transferred from the CSF to the Responsible Gambling Fund to reduce the prevalence and severity of gambling related harm and foster responsible gambling behaviour.</w:t>
          </w:r>
        </w:p>
      </w:tc>
      <w:tc>
        <w:tcPr>
          <w:tcW w:w="1524" w:type="dxa"/>
          <w:shd w:val="clear" w:color="auto" w:fill="auto"/>
        </w:tcPr>
        <w:p w:rsidR="005E29DA" w:rsidRPr="00956214" w:rsidRDefault="005E29DA" w:rsidP="00724443">
          <w:pPr>
            <w:pStyle w:val="Footer"/>
            <w:tabs>
              <w:tab w:val="left" w:pos="9214"/>
            </w:tabs>
            <w:ind w:right="1416"/>
            <w:rPr>
              <w:color w:val="1665A1"/>
            </w:rPr>
          </w:pPr>
          <w:r>
            <w:drawing>
              <wp:inline distT="0" distB="0" distL="0" distR="0" wp14:anchorId="7CC3D4A6" wp14:editId="7FC1ECBF">
                <wp:extent cx="828040" cy="466090"/>
                <wp:effectExtent l="0" t="0" r="0" b="0"/>
                <wp:docPr id="3" name="Picture 3" descr="T:\Corpcom_CSS\COMMUNICATIONS\Logos\New logos\Vic Gov Logo - Blue - 12 Augus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Corpcom_CSS\COMMUNICATIONS\Logos\New logos\Vic Gov Logo - Blue - 12 Augus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466090"/>
                        </a:xfrm>
                        <a:prstGeom prst="rect">
                          <a:avLst/>
                        </a:prstGeom>
                        <a:noFill/>
                        <a:ln>
                          <a:noFill/>
                        </a:ln>
                      </pic:spPr>
                    </pic:pic>
                  </a:graphicData>
                </a:graphic>
              </wp:inline>
            </w:drawing>
          </w:r>
        </w:p>
      </w:tc>
    </w:tr>
  </w:tbl>
  <w:p w:rsidR="00F417C3" w:rsidRDefault="00F417C3" w:rsidP="005E29DA">
    <w:pPr>
      <w:pStyle w:val="Spac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7E" w:rsidRDefault="00840621" w:rsidP="00840621">
    <w:pPr>
      <w:pStyle w:val="Footer"/>
      <w:jc w:val="center"/>
      <w:rPr>
        <w:rFonts w:ascii="Arial" w:hAnsi="Arial" w:cs="Arial"/>
        <w:b/>
        <w:color w:val="FF0000"/>
        <w:sz w:val="29"/>
      </w:rPr>
    </w:pPr>
    <w:bookmarkStart w:id="3" w:name="aliashProtectiveMarkings1FooterFirstPage"/>
    <w:r w:rsidRPr="00840621">
      <w:rPr>
        <w:rFonts w:ascii="Arial" w:hAnsi="Arial" w:cs="Arial"/>
        <w:b/>
        <w:color w:val="FF0000"/>
        <w:sz w:val="29"/>
      </w:rPr>
      <w:t>For Official Use Only</w:t>
    </w:r>
  </w:p>
  <w:bookmarkEnd w:id="3"/>
  <w:p w:rsidR="00840621" w:rsidRDefault="00840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DA" w:rsidRDefault="005E29DA" w:rsidP="002D711A">
      <w:pPr>
        <w:spacing w:after="0" w:line="240" w:lineRule="auto"/>
      </w:pPr>
      <w:r>
        <w:separator/>
      </w:r>
    </w:p>
  </w:footnote>
  <w:footnote w:type="continuationSeparator" w:id="0">
    <w:p w:rsidR="005E29DA" w:rsidRDefault="005E29DA"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7E" w:rsidRDefault="00B53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08AC40FC" wp14:editId="5345CAF4">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3787D074" wp14:editId="7054B580">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C7E" w:rsidRDefault="00B53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DA"/>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3416C"/>
    <w:rsid w:val="00541C2F"/>
    <w:rsid w:val="00563527"/>
    <w:rsid w:val="0058124E"/>
    <w:rsid w:val="00584301"/>
    <w:rsid w:val="005875A3"/>
    <w:rsid w:val="005A3416"/>
    <w:rsid w:val="005B27FE"/>
    <w:rsid w:val="005C3E6D"/>
    <w:rsid w:val="005E29DA"/>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0621"/>
    <w:rsid w:val="008411E9"/>
    <w:rsid w:val="0084200F"/>
    <w:rsid w:val="00843B2C"/>
    <w:rsid w:val="008471C4"/>
    <w:rsid w:val="008902F9"/>
    <w:rsid w:val="008A4900"/>
    <w:rsid w:val="008D0281"/>
    <w:rsid w:val="008E2354"/>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53C7E"/>
    <w:rsid w:val="00B81B44"/>
    <w:rsid w:val="00B9053B"/>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15E25"/>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0"/>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4F81BD"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0000FF"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4F81BD"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8"/>
    <w:rsid w:val="008902F9"/>
    <w:pPr>
      <w:spacing w:after="0" w:line="300" w:lineRule="exact"/>
    </w:pPr>
    <w:rPr>
      <w:rFonts w:asciiTheme="majorHAnsi" w:eastAsia="Times New Roman" w:hAnsiTheme="majorHAnsi" w:cstheme="majorHAnsi"/>
      <w:color w:val="0063A6"/>
      <w:spacing w:val="-2"/>
      <w:sz w:val="22"/>
      <w:szCs w:val="40"/>
      <w:lang w:eastAsia="en-US"/>
    </w:rPr>
  </w:style>
  <w:style w:type="paragraph" w:styleId="Title">
    <w:name w:val="Title"/>
    <w:link w:val="TitleChar"/>
    <w:uiPriority w:val="97"/>
    <w:rsid w:val="008902F9"/>
    <w:pPr>
      <w:spacing w:after="40" w:line="252" w:lineRule="auto"/>
    </w:pPr>
    <w:rPr>
      <w:rFonts w:asciiTheme="majorHAnsi" w:eastAsia="Times New Roman" w:hAnsiTheme="majorHAnsi" w:cstheme="majorHAnsi"/>
      <w:b/>
      <w:color w:val="0063A6"/>
      <w:spacing w:val="-2"/>
      <w:sz w:val="52"/>
      <w:szCs w:val="52"/>
    </w:rPr>
  </w:style>
  <w:style w:type="character" w:customStyle="1" w:styleId="TitleChar">
    <w:name w:val="Title Char"/>
    <w:basedOn w:val="DefaultParagraphFont"/>
    <w:link w:val="Title"/>
    <w:uiPriority w:val="97"/>
    <w:rsid w:val="008902F9"/>
    <w:rPr>
      <w:rFonts w:asciiTheme="majorHAnsi" w:eastAsia="Times New Roman" w:hAnsiTheme="majorHAnsi" w:cstheme="majorHAnsi"/>
      <w:b/>
      <w:color w:val="0063A6"/>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4A442A" w:themeColor="background2" w:themeShade="40"/>
      <w:sz w:val="18"/>
      <w:szCs w:val="18"/>
    </w:rPr>
  </w:style>
  <w:style w:type="paragraph" w:customStyle="1" w:styleId="FactSheetSubtitle">
    <w:name w:val="Fact Sheet Subtitle"/>
    <w:basedOn w:val="Normal"/>
    <w:rsid w:val="005E29DA"/>
    <w:pPr>
      <w:spacing w:before="0" w:after="0" w:line="228" w:lineRule="auto"/>
    </w:pPr>
    <w:rPr>
      <w:rFonts w:ascii="Calibri" w:hAnsi="Calibri" w:cs="Calibri"/>
      <w:color w:val="4D4D4D"/>
      <w:spacing w:val="0"/>
      <w:kern w:val="28"/>
      <w:sz w:val="4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0"/>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4F81BD"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0000FF"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4F81BD"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8"/>
    <w:rsid w:val="008902F9"/>
    <w:pPr>
      <w:spacing w:after="0" w:line="300" w:lineRule="exact"/>
    </w:pPr>
    <w:rPr>
      <w:rFonts w:asciiTheme="majorHAnsi" w:eastAsia="Times New Roman" w:hAnsiTheme="majorHAnsi" w:cstheme="majorHAnsi"/>
      <w:color w:val="0063A6"/>
      <w:spacing w:val="-2"/>
      <w:sz w:val="22"/>
      <w:szCs w:val="40"/>
      <w:lang w:eastAsia="en-US"/>
    </w:rPr>
  </w:style>
  <w:style w:type="paragraph" w:styleId="Title">
    <w:name w:val="Title"/>
    <w:link w:val="TitleChar"/>
    <w:uiPriority w:val="97"/>
    <w:rsid w:val="008902F9"/>
    <w:pPr>
      <w:spacing w:after="40" w:line="252" w:lineRule="auto"/>
    </w:pPr>
    <w:rPr>
      <w:rFonts w:asciiTheme="majorHAnsi" w:eastAsia="Times New Roman" w:hAnsiTheme="majorHAnsi" w:cstheme="majorHAnsi"/>
      <w:b/>
      <w:color w:val="0063A6"/>
      <w:spacing w:val="-2"/>
      <w:sz w:val="52"/>
      <w:szCs w:val="52"/>
    </w:rPr>
  </w:style>
  <w:style w:type="character" w:customStyle="1" w:styleId="TitleChar">
    <w:name w:val="Title Char"/>
    <w:basedOn w:val="DefaultParagraphFont"/>
    <w:link w:val="Title"/>
    <w:uiPriority w:val="97"/>
    <w:rsid w:val="008902F9"/>
    <w:rPr>
      <w:rFonts w:asciiTheme="majorHAnsi" w:eastAsia="Times New Roman" w:hAnsiTheme="majorHAnsi" w:cstheme="majorHAnsi"/>
      <w:b/>
      <w:color w:val="0063A6"/>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AF1D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4A442A" w:themeColor="background2" w:themeShade="40"/>
      <w:sz w:val="18"/>
      <w:szCs w:val="18"/>
    </w:rPr>
  </w:style>
  <w:style w:type="paragraph" w:customStyle="1" w:styleId="FactSheetSubtitle">
    <w:name w:val="Fact Sheet Subtitle"/>
    <w:basedOn w:val="Normal"/>
    <w:rsid w:val="005E29DA"/>
    <w:pPr>
      <w:spacing w:before="0" w:after="0" w:line="228" w:lineRule="auto"/>
    </w:pPr>
    <w:rPr>
      <w:rFonts w:ascii="Calibri" w:hAnsi="Calibri" w:cs="Calibri"/>
      <w:color w:val="4D4D4D"/>
      <w:spacing w:val="0"/>
      <w:kern w:val="28"/>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BB1B-ED0A-4B37-8026-FAE3051B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1732</Characters>
  <Application>Microsoft Office Word</Application>
  <DocSecurity>0</DocSecurity>
  <Lines>55</Lines>
  <Paragraphs>19</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2018-05-30T06:40:00Z</dcterms:created>
  <dcterms:modified xsi:type="dcterms:W3CDTF">2018-05-30T06:40:00Z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66f68b3c-b50b-40b8-b472-89b470b8d5c2</vt:lpwstr>
  </property>
  <property fmtid="{D5CDD505-2E9C-101B-9397-08002B2CF9AE}" pid="3" name="PSPFClassification">
    <vt:lpwstr>For Official Use Only</vt:lpwstr>
  </property>
</Properties>
</file>