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96" w:rsidRPr="00422D05" w:rsidRDefault="00063926" w:rsidP="00063926">
      <w:pPr>
        <w:pStyle w:val="Title"/>
        <w:spacing w:before="3840"/>
      </w:pPr>
      <w:bookmarkStart w:id="0" w:name="_Toc442780672"/>
      <w:bookmarkStart w:id="1" w:name="_GoBack"/>
      <w:bookmarkEnd w:id="1"/>
      <w:r w:rsidRPr="00422D05">
        <w:t xml:space="preserve">Summary of changes applied to the </w:t>
      </w:r>
      <w:r w:rsidR="00DA4121" w:rsidRPr="00422D05">
        <w:t>201</w:t>
      </w:r>
      <w:r w:rsidR="00033BD7" w:rsidRPr="00422D05">
        <w:t>6</w:t>
      </w:r>
      <w:r w:rsidR="00B42DD7" w:rsidRPr="00422D05">
        <w:noBreakHyphen/>
      </w:r>
      <w:r w:rsidR="00DA4121" w:rsidRPr="00422D05">
        <w:t>1</w:t>
      </w:r>
      <w:r w:rsidR="00033BD7" w:rsidRPr="00422D05">
        <w:t>7</w:t>
      </w:r>
      <w:r w:rsidR="00DA4121" w:rsidRPr="00422D05">
        <w:t> </w:t>
      </w:r>
      <w:r w:rsidRPr="00422D05">
        <w:t>Model Report</w:t>
      </w:r>
    </w:p>
    <w:p w:rsidR="00063926" w:rsidRPr="00422D05" w:rsidRDefault="00063926" w:rsidP="00063926">
      <w:pPr>
        <w:pStyle w:val="TertiaryTitle"/>
        <w:tabs>
          <w:tab w:val="left" w:pos="2790"/>
          <w:tab w:val="left" w:pos="5040"/>
        </w:tabs>
      </w:pPr>
    </w:p>
    <w:p w:rsidR="00063926" w:rsidRPr="00422D05" w:rsidRDefault="00063926" w:rsidP="00063926">
      <w:pPr>
        <w:rPr>
          <w:lang w:eastAsia="en-US"/>
        </w:rPr>
      </w:pPr>
    </w:p>
    <w:p w:rsidR="00063926" w:rsidRPr="00422D05" w:rsidRDefault="00063926" w:rsidP="00063926">
      <w:pPr>
        <w:pStyle w:val="Heading2"/>
        <w:spacing w:after="120"/>
        <w:rPr>
          <w:b w:val="0"/>
        </w:rPr>
      </w:pPr>
      <w:r w:rsidRPr="00422D05">
        <w:rPr>
          <w:b w:val="0"/>
        </w:rPr>
        <w:t xml:space="preserve">Contact details: </w:t>
      </w:r>
      <w:r w:rsidRPr="00422D05">
        <w:rPr>
          <w:b w:val="0"/>
        </w:rPr>
        <w:tab/>
      </w:r>
    </w:p>
    <w:p w:rsidR="00045296" w:rsidRPr="00422D05" w:rsidRDefault="00DB20FA" w:rsidP="00063926">
      <w:pPr>
        <w:pStyle w:val="Heading2"/>
        <w:tabs>
          <w:tab w:val="left" w:pos="1710"/>
        </w:tabs>
        <w:spacing w:before="0"/>
        <w:rPr>
          <w:b w:val="0"/>
        </w:rPr>
      </w:pPr>
      <w:r w:rsidRPr="00422D05">
        <w:rPr>
          <w:b w:val="0"/>
        </w:rPr>
        <w:t>Daniel Jeon</w:t>
      </w:r>
      <w:r w:rsidR="00063926" w:rsidRPr="00422D05">
        <w:rPr>
          <w:b w:val="0"/>
        </w:rPr>
        <w:tab/>
        <w:t xml:space="preserve">9651 </w:t>
      </w:r>
      <w:r w:rsidRPr="00422D05">
        <w:rPr>
          <w:b w:val="0"/>
        </w:rPr>
        <w:t>2415</w:t>
      </w:r>
      <w:r w:rsidR="00063926" w:rsidRPr="00422D05">
        <w:rPr>
          <w:b w:val="0"/>
        </w:rPr>
        <w:br/>
      </w:r>
      <w:r w:rsidR="00AF2FEB" w:rsidRPr="00422D05">
        <w:rPr>
          <w:b w:val="0"/>
        </w:rPr>
        <w:t>Lee-Anne Harris</w:t>
      </w:r>
      <w:r w:rsidR="00063926" w:rsidRPr="00422D05">
        <w:rPr>
          <w:b w:val="0"/>
        </w:rPr>
        <w:tab/>
        <w:t xml:space="preserve">9651 </w:t>
      </w:r>
      <w:r w:rsidR="00AF2FEB" w:rsidRPr="00422D05">
        <w:rPr>
          <w:b w:val="0"/>
        </w:rPr>
        <w:t>5523</w:t>
      </w:r>
    </w:p>
    <w:bookmarkEnd w:id="0"/>
    <w:p w:rsidR="00F4239A" w:rsidRPr="00422D05" w:rsidRDefault="00F4239A">
      <w:pPr>
        <w:spacing w:before="0" w:after="200"/>
      </w:pPr>
      <w:r w:rsidRPr="00422D05">
        <w:br w:type="page"/>
      </w:r>
    </w:p>
    <w:p w:rsidR="00222135" w:rsidRPr="00422D05" w:rsidRDefault="00222135" w:rsidP="00222135">
      <w:pPr>
        <w:pStyle w:val="Heading1"/>
      </w:pPr>
      <w:r w:rsidRPr="00422D05">
        <w:lastRenderedPageBreak/>
        <w:t>Purpose and overview</w:t>
      </w:r>
    </w:p>
    <w:p w:rsidR="00222135" w:rsidRPr="00422D05" w:rsidRDefault="00222135" w:rsidP="00222135">
      <w:r w:rsidRPr="00422D05">
        <w:t xml:space="preserve">The purpose of this document is to provide a summary of significant changes to the </w:t>
      </w:r>
      <w:r w:rsidRPr="00422D05">
        <w:rPr>
          <w:i/>
        </w:rPr>
        <w:t>201</w:t>
      </w:r>
      <w:r w:rsidR="00D5360F" w:rsidRPr="00422D05">
        <w:rPr>
          <w:i/>
        </w:rPr>
        <w:t>6</w:t>
      </w:r>
      <w:r w:rsidR="00B42DD7" w:rsidRPr="00422D05">
        <w:rPr>
          <w:i/>
        </w:rPr>
        <w:noBreakHyphen/>
      </w:r>
      <w:r w:rsidRPr="00422D05">
        <w:rPr>
          <w:i/>
        </w:rPr>
        <w:t>1</w:t>
      </w:r>
      <w:r w:rsidR="00D5360F" w:rsidRPr="00422D05">
        <w:rPr>
          <w:i/>
        </w:rPr>
        <w:t>7</w:t>
      </w:r>
      <w:r w:rsidRPr="00422D05">
        <w:rPr>
          <w:i/>
        </w:rPr>
        <w:t> Model Report</w:t>
      </w:r>
      <w:r w:rsidRPr="00422D05">
        <w:t xml:space="preserve">, since the </w:t>
      </w:r>
      <w:r w:rsidRPr="00422D05">
        <w:rPr>
          <w:i/>
        </w:rPr>
        <w:t>201</w:t>
      </w:r>
      <w:r w:rsidR="00D5360F" w:rsidRPr="00422D05">
        <w:rPr>
          <w:i/>
        </w:rPr>
        <w:t>5</w:t>
      </w:r>
      <w:r w:rsidR="00B42DD7" w:rsidRPr="00422D05">
        <w:rPr>
          <w:i/>
        </w:rPr>
        <w:noBreakHyphen/>
      </w:r>
      <w:r w:rsidRPr="00422D05">
        <w:rPr>
          <w:i/>
        </w:rPr>
        <w:t>1</w:t>
      </w:r>
      <w:r w:rsidR="00D5360F" w:rsidRPr="00422D05">
        <w:rPr>
          <w:i/>
        </w:rPr>
        <w:t>6</w:t>
      </w:r>
      <w:r w:rsidRPr="00422D05">
        <w:rPr>
          <w:i/>
        </w:rPr>
        <w:t> Model Report</w:t>
      </w:r>
      <w:r w:rsidRPr="00422D05">
        <w:t xml:space="preserve">. </w:t>
      </w:r>
    </w:p>
    <w:p w:rsidR="00222135" w:rsidRPr="00422D05" w:rsidRDefault="00222135" w:rsidP="00222135">
      <w:r w:rsidRPr="00422D05">
        <w:t>The changes incorporate a combination of revisions, enhancements and government endorsed recommendation</w:t>
      </w:r>
      <w:r w:rsidR="00ED3976" w:rsidRPr="00422D05">
        <w:t>s</w:t>
      </w:r>
      <w:r w:rsidRPr="00422D05">
        <w:t xml:space="preserve"> from the Public Accounts and Estimates Committee (PAEC).</w:t>
      </w:r>
    </w:p>
    <w:p w:rsidR="00222135" w:rsidRPr="00422D05" w:rsidRDefault="00222135" w:rsidP="00222135">
      <w:r w:rsidRPr="00422D05">
        <w:t>The main changes include:</w:t>
      </w:r>
    </w:p>
    <w:p w:rsidR="00222135" w:rsidRPr="00422D05" w:rsidRDefault="004567DF" w:rsidP="00ED3976">
      <w:pPr>
        <w:pStyle w:val="Bullet1"/>
        <w:spacing w:line="276" w:lineRule="auto"/>
      </w:pPr>
      <w:r w:rsidRPr="00422D05">
        <w:t xml:space="preserve">streamlining of the Model; </w:t>
      </w:r>
    </w:p>
    <w:p w:rsidR="004567DF" w:rsidRPr="00422D05" w:rsidRDefault="004567DF" w:rsidP="00ED3976">
      <w:pPr>
        <w:pStyle w:val="Bullet1"/>
        <w:spacing w:line="276" w:lineRule="auto"/>
      </w:pPr>
      <w:r w:rsidRPr="00422D05">
        <w:t xml:space="preserve">updated references and requirements in </w:t>
      </w:r>
      <w:r w:rsidRPr="00422D05">
        <w:rPr>
          <w:i/>
        </w:rPr>
        <w:t>Standing Directions of the Minister for Finance 2016;</w:t>
      </w:r>
    </w:p>
    <w:p w:rsidR="004567DF" w:rsidRPr="00422D05" w:rsidRDefault="004567DF" w:rsidP="00ED3976">
      <w:pPr>
        <w:pStyle w:val="Bullet1"/>
        <w:spacing w:line="276" w:lineRule="auto"/>
      </w:pPr>
      <w:r w:rsidRPr="00422D05">
        <w:t xml:space="preserve">implementation of AASB 124 </w:t>
      </w:r>
      <w:r w:rsidRPr="00422D05">
        <w:rPr>
          <w:i/>
        </w:rPr>
        <w:t>Related Party Disclosures</w:t>
      </w:r>
      <w:r w:rsidRPr="00422D05">
        <w:t xml:space="preserve">; </w:t>
      </w:r>
    </w:p>
    <w:p w:rsidR="004567DF" w:rsidRPr="00422D05" w:rsidRDefault="004567DF" w:rsidP="00ED3976">
      <w:pPr>
        <w:pStyle w:val="Bullet1"/>
        <w:spacing w:line="276" w:lineRule="auto"/>
      </w:pPr>
      <w:r w:rsidRPr="00422D05">
        <w:t xml:space="preserve">amendments to executive officer data and workforce data tables to reflect the amendments made in FRD 15D </w:t>
      </w:r>
      <w:r w:rsidRPr="00422D05">
        <w:rPr>
          <w:i/>
        </w:rPr>
        <w:t>Executive officer disclosures in the report of operations</w:t>
      </w:r>
      <w:r w:rsidRPr="00422D05">
        <w:t xml:space="preserve"> and FRD 29B </w:t>
      </w:r>
      <w:r w:rsidRPr="00422D05">
        <w:rPr>
          <w:i/>
        </w:rPr>
        <w:t>Workforce data disclosures in the report of operations</w:t>
      </w:r>
      <w:r w:rsidRPr="00422D05">
        <w:t xml:space="preserve"> following the VPSC policy changes for improved transparency in reporting on executive officer and h</w:t>
      </w:r>
      <w:r w:rsidR="00ED3976" w:rsidRPr="00422D05">
        <w:t>ighly paid non-executive staff</w:t>
      </w:r>
      <w:r w:rsidRPr="00422D05">
        <w:t>;</w:t>
      </w:r>
    </w:p>
    <w:p w:rsidR="004567DF" w:rsidRPr="00422D05" w:rsidRDefault="004567DF" w:rsidP="00ED3976">
      <w:pPr>
        <w:pStyle w:val="Bullet1"/>
        <w:spacing w:line="276" w:lineRule="auto"/>
      </w:pPr>
      <w:r w:rsidRPr="00422D05">
        <w:t xml:space="preserve">disclosure on entities that are consolidated into departments’ annual reports under section 53(1)(b) of the </w:t>
      </w:r>
      <w:r w:rsidRPr="00422D05">
        <w:rPr>
          <w:i/>
        </w:rPr>
        <w:t>Financial Management Act 1994</w:t>
      </w:r>
      <w:r w:rsidRPr="00422D05">
        <w:t>;</w:t>
      </w:r>
    </w:p>
    <w:p w:rsidR="004567DF" w:rsidRPr="00422D05" w:rsidRDefault="004567DF" w:rsidP="00ED3976">
      <w:pPr>
        <w:pStyle w:val="Bullet1"/>
        <w:spacing w:line="276" w:lineRule="auto"/>
      </w:pPr>
      <w:r w:rsidRPr="00422D05">
        <w:t xml:space="preserve">implementation of previous PAEC recommendations for departments to: </w:t>
      </w:r>
    </w:p>
    <w:p w:rsidR="004567DF" w:rsidRPr="00422D05" w:rsidRDefault="004567DF" w:rsidP="00ED3976">
      <w:pPr>
        <w:pStyle w:val="Bullet1"/>
        <w:numPr>
          <w:ilvl w:val="0"/>
          <w:numId w:val="27"/>
        </w:numPr>
        <w:spacing w:line="276" w:lineRule="auto"/>
      </w:pPr>
      <w:r w:rsidRPr="00422D05">
        <w:t xml:space="preserve">include the published budget along with the revised budget with adjustments for machinery of government changes; </w:t>
      </w:r>
    </w:p>
    <w:p w:rsidR="004567DF" w:rsidRPr="00422D05" w:rsidRDefault="004567DF" w:rsidP="00ED3976">
      <w:pPr>
        <w:pStyle w:val="Bullet1"/>
        <w:numPr>
          <w:ilvl w:val="0"/>
          <w:numId w:val="27"/>
        </w:numPr>
        <w:spacing w:line="276" w:lineRule="auto"/>
      </w:pPr>
      <w:r w:rsidRPr="00422D05">
        <w:t>report against the key initiatives listed in the 2017-21 corporate plans from 2017-18; and</w:t>
      </w:r>
    </w:p>
    <w:p w:rsidR="004567DF" w:rsidRPr="00422D05" w:rsidRDefault="004567DF" w:rsidP="00ED3976">
      <w:pPr>
        <w:pStyle w:val="Bullet1"/>
        <w:numPr>
          <w:ilvl w:val="0"/>
          <w:numId w:val="27"/>
        </w:numPr>
        <w:spacing w:line="276" w:lineRule="auto"/>
      </w:pPr>
      <w:r w:rsidRPr="00422D05">
        <w:t xml:space="preserve">include a public attestation against all Standing Directions from 2017-18. </w:t>
      </w:r>
    </w:p>
    <w:p w:rsidR="00236203" w:rsidRPr="00422D05" w:rsidRDefault="00222135" w:rsidP="00ED3976">
      <w:r w:rsidRPr="00422D05">
        <w:t xml:space="preserve">For a comprehensive list of new or revised requirements, please refer to the source reference column of the Model where </w:t>
      </w:r>
      <w:r w:rsidRPr="00422D05">
        <w:rPr>
          <w:color w:val="FF0000"/>
        </w:rPr>
        <w:t>New</w:t>
      </w:r>
      <w:r w:rsidRPr="00422D05">
        <w:t xml:space="preserve"> or </w:t>
      </w:r>
      <w:r w:rsidRPr="00422D05">
        <w:rPr>
          <w:color w:val="FF0000"/>
        </w:rPr>
        <w:t>Revised</w:t>
      </w:r>
      <w:r w:rsidRPr="00422D05">
        <w:t xml:space="preserve"> is noted.</w:t>
      </w:r>
    </w:p>
    <w:p w:rsidR="005E6AE4" w:rsidRPr="00422D05" w:rsidRDefault="005E6AE4">
      <w:pPr>
        <w:spacing w:before="0" w:after="200"/>
      </w:pPr>
      <w:r w:rsidRPr="00422D05">
        <w:br w:type="page"/>
      </w:r>
    </w:p>
    <w:tbl>
      <w:tblPr>
        <w:tblStyle w:val="DTFtexttable"/>
        <w:tblW w:w="5000" w:type="pct"/>
        <w:tblLayout w:type="fixed"/>
        <w:tblLook w:val="04A0" w:firstRow="1" w:lastRow="0" w:firstColumn="1" w:lastColumn="0" w:noHBand="0" w:noVBand="1"/>
      </w:tblPr>
      <w:tblGrid>
        <w:gridCol w:w="1586"/>
        <w:gridCol w:w="1801"/>
        <w:gridCol w:w="4590"/>
        <w:gridCol w:w="1163"/>
      </w:tblGrid>
      <w:tr w:rsidR="005E6AE4" w:rsidRPr="00422D05" w:rsidTr="003E1F2A">
        <w:trPr>
          <w:cnfStyle w:val="100000000000" w:firstRow="1" w:lastRow="0" w:firstColumn="0" w:lastColumn="0" w:oddVBand="0" w:evenVBand="0" w:oddHBand="0" w:evenHBand="0" w:firstRowFirstColumn="0" w:firstRowLastColumn="0" w:lastRowFirstColumn="0" w:lastRowLastColumn="0"/>
          <w:trHeight w:val="70"/>
          <w:tblHeader/>
        </w:trPr>
        <w:tc>
          <w:tcPr>
            <w:cnfStyle w:val="001000000100" w:firstRow="0" w:lastRow="0" w:firstColumn="1" w:lastColumn="0" w:oddVBand="0" w:evenVBand="0" w:oddHBand="0" w:evenHBand="0" w:firstRowFirstColumn="1" w:firstRowLastColumn="0" w:lastRowFirstColumn="0" w:lastRowLastColumn="0"/>
            <w:tcW w:w="5000" w:type="pct"/>
            <w:gridSpan w:val="4"/>
          </w:tcPr>
          <w:p w:rsidR="005E6AE4" w:rsidRPr="00422D05" w:rsidRDefault="005E6AE4" w:rsidP="00B36D8E">
            <w:pPr>
              <w:pStyle w:val="Tableheader"/>
            </w:pPr>
            <w:r w:rsidRPr="00422D05">
              <w:lastRenderedPageBreak/>
              <w:t xml:space="preserve">General changes throughout the </w:t>
            </w:r>
            <w:r w:rsidR="00DA4121" w:rsidRPr="00422D05">
              <w:rPr>
                <w:i/>
              </w:rPr>
              <w:t>201</w:t>
            </w:r>
            <w:r w:rsidR="00B36D8E" w:rsidRPr="00422D05">
              <w:rPr>
                <w:i/>
              </w:rPr>
              <w:t>6</w:t>
            </w:r>
            <w:r w:rsidR="00B42DD7" w:rsidRPr="00422D05">
              <w:rPr>
                <w:i/>
              </w:rPr>
              <w:noBreakHyphen/>
            </w:r>
            <w:r w:rsidR="00B36D8E" w:rsidRPr="00422D05">
              <w:rPr>
                <w:i/>
              </w:rPr>
              <w:t>17</w:t>
            </w:r>
            <w:r w:rsidR="00DA4121" w:rsidRPr="00422D05">
              <w:rPr>
                <w:i/>
              </w:rPr>
              <w:t> </w:t>
            </w:r>
            <w:r w:rsidRPr="00422D05">
              <w:rPr>
                <w:i/>
              </w:rPr>
              <w:t>Model Report</w:t>
            </w:r>
            <w:r w:rsidRPr="00422D05">
              <w:t xml:space="preserve"> </w:t>
            </w:r>
          </w:p>
        </w:tc>
      </w:tr>
      <w:tr w:rsidR="005E6AE4" w:rsidRPr="00422D05" w:rsidTr="003E1F2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68" w:type="pct"/>
            <w:shd w:val="clear" w:color="auto" w:fill="749CC9" w:themeFill="accent3"/>
          </w:tcPr>
          <w:p w:rsidR="005E6AE4" w:rsidRPr="00422D05" w:rsidRDefault="005E6AE4" w:rsidP="00A21D12">
            <w:pPr>
              <w:pStyle w:val="Tableheader"/>
              <w:rPr>
                <w:sz w:val="18"/>
                <w:szCs w:val="18"/>
              </w:rPr>
            </w:pPr>
            <w:r w:rsidRPr="00422D05">
              <w:rPr>
                <w:sz w:val="18"/>
                <w:szCs w:val="18"/>
              </w:rPr>
              <w:t xml:space="preserve">Subject matter </w:t>
            </w:r>
          </w:p>
        </w:tc>
        <w:tc>
          <w:tcPr>
            <w:tcW w:w="985" w:type="pct"/>
            <w:shd w:val="clear" w:color="auto" w:fill="749CC9" w:themeFill="accent3"/>
          </w:tcPr>
          <w:p w:rsidR="005E6AE4" w:rsidRPr="00422D05" w:rsidRDefault="005E6AE4" w:rsidP="00A21D12">
            <w:pPr>
              <w:pStyle w:val="Tableheader"/>
              <w:cnfStyle w:val="100000000000" w:firstRow="1" w:lastRow="0" w:firstColumn="0" w:lastColumn="0" w:oddVBand="0" w:evenVBand="0" w:oddHBand="0" w:evenHBand="0" w:firstRowFirstColumn="0" w:firstRowLastColumn="0" w:lastRowFirstColumn="0" w:lastRowLastColumn="0"/>
              <w:rPr>
                <w:sz w:val="18"/>
                <w:szCs w:val="18"/>
              </w:rPr>
            </w:pPr>
            <w:r w:rsidRPr="00422D05">
              <w:rPr>
                <w:sz w:val="18"/>
                <w:szCs w:val="18"/>
              </w:rPr>
              <w:t>Reason</w:t>
            </w:r>
          </w:p>
        </w:tc>
        <w:tc>
          <w:tcPr>
            <w:tcW w:w="2511" w:type="pct"/>
            <w:shd w:val="clear" w:color="auto" w:fill="749CC9" w:themeFill="accent3"/>
          </w:tcPr>
          <w:p w:rsidR="005E6AE4" w:rsidRPr="00422D05" w:rsidRDefault="005E6AE4" w:rsidP="00A21D12">
            <w:pPr>
              <w:pStyle w:val="Tableheader"/>
              <w:cnfStyle w:val="100000000000" w:firstRow="1" w:lastRow="0" w:firstColumn="0" w:lastColumn="0" w:oddVBand="0" w:evenVBand="0" w:oddHBand="0" w:evenHBand="0" w:firstRowFirstColumn="0" w:firstRowLastColumn="0" w:lastRowFirstColumn="0" w:lastRowLastColumn="0"/>
              <w:rPr>
                <w:sz w:val="18"/>
                <w:szCs w:val="18"/>
              </w:rPr>
            </w:pPr>
            <w:r w:rsidRPr="00422D05">
              <w:rPr>
                <w:sz w:val="18"/>
                <w:szCs w:val="18"/>
              </w:rPr>
              <w:t xml:space="preserve">Summary of changes throughout the </w:t>
            </w:r>
            <w:r w:rsidR="00ED3976" w:rsidRPr="00422D05">
              <w:rPr>
                <w:i/>
                <w:sz w:val="18"/>
                <w:szCs w:val="18"/>
              </w:rPr>
              <w:t>2016</w:t>
            </w:r>
            <w:r w:rsidR="00B42DD7" w:rsidRPr="00422D05">
              <w:rPr>
                <w:i/>
                <w:sz w:val="18"/>
                <w:szCs w:val="18"/>
              </w:rPr>
              <w:noBreakHyphen/>
            </w:r>
            <w:r w:rsidR="00ED3976" w:rsidRPr="00422D05">
              <w:rPr>
                <w:i/>
                <w:sz w:val="18"/>
                <w:szCs w:val="18"/>
              </w:rPr>
              <w:t>17</w:t>
            </w:r>
            <w:r w:rsidR="00DA4121" w:rsidRPr="00422D05">
              <w:rPr>
                <w:i/>
                <w:sz w:val="18"/>
                <w:szCs w:val="18"/>
              </w:rPr>
              <w:t> </w:t>
            </w:r>
            <w:r w:rsidRPr="00422D05">
              <w:rPr>
                <w:i/>
                <w:sz w:val="18"/>
                <w:szCs w:val="18"/>
              </w:rPr>
              <w:t>Model Report</w:t>
            </w:r>
          </w:p>
        </w:tc>
        <w:tc>
          <w:tcPr>
            <w:tcW w:w="636" w:type="pct"/>
            <w:shd w:val="clear" w:color="auto" w:fill="749CC9" w:themeFill="accent3"/>
          </w:tcPr>
          <w:p w:rsidR="005E6AE4" w:rsidRPr="00422D05" w:rsidRDefault="005E6AE4" w:rsidP="00531A8A">
            <w:pPr>
              <w:pStyle w:val="Tableheader"/>
              <w:cnfStyle w:val="100000000000" w:firstRow="1" w:lastRow="0" w:firstColumn="0" w:lastColumn="0" w:oddVBand="0" w:evenVBand="0" w:oddHBand="0" w:evenHBand="0" w:firstRowFirstColumn="0" w:firstRowLastColumn="0" w:lastRowFirstColumn="0" w:lastRowLastColumn="0"/>
              <w:rPr>
                <w:sz w:val="18"/>
                <w:szCs w:val="18"/>
              </w:rPr>
            </w:pPr>
            <w:r w:rsidRPr="00422D05">
              <w:rPr>
                <w:sz w:val="18"/>
                <w:szCs w:val="18"/>
              </w:rPr>
              <w:t>Page reference</w:t>
            </w:r>
          </w:p>
        </w:tc>
      </w:tr>
      <w:tr w:rsidR="005E6AE4" w:rsidRPr="00422D05" w:rsidTr="003E1F2A">
        <w:trPr>
          <w:trHeight w:val="416"/>
        </w:trPr>
        <w:tc>
          <w:tcPr>
            <w:cnfStyle w:val="001000000000" w:firstRow="0" w:lastRow="0" w:firstColumn="1" w:lastColumn="0" w:oddVBand="0" w:evenVBand="0" w:oddHBand="0" w:evenHBand="0" w:firstRowFirstColumn="0" w:firstRowLastColumn="0" w:lastRowFirstColumn="0" w:lastRowLastColumn="0"/>
            <w:tcW w:w="868" w:type="pct"/>
            <w:vMerge w:val="restart"/>
          </w:tcPr>
          <w:p w:rsidR="005E6AE4" w:rsidRPr="00422D05" w:rsidRDefault="005E6AE4" w:rsidP="001C4C3D">
            <w:pPr>
              <w:pStyle w:val="Tabletext"/>
            </w:pPr>
            <w:r w:rsidRPr="00422D05">
              <w:t>General improvements to the Model</w:t>
            </w:r>
          </w:p>
        </w:tc>
        <w:tc>
          <w:tcPr>
            <w:tcW w:w="985" w:type="pct"/>
          </w:tcPr>
          <w:p w:rsidR="005E6AE4" w:rsidRPr="00422D05" w:rsidRDefault="005E6AE4" w:rsidP="005E6AE4">
            <w:pPr>
              <w:pStyle w:val="Tabletext"/>
              <w:cnfStyle w:val="000000000000" w:firstRow="0" w:lastRow="0" w:firstColumn="0" w:lastColumn="0" w:oddVBand="0" w:evenVBand="0" w:oddHBand="0" w:evenHBand="0" w:firstRowFirstColumn="0" w:firstRowLastColumn="0" w:lastRowFirstColumn="0" w:lastRowLastColumn="0"/>
            </w:pPr>
            <w:r w:rsidRPr="00422D05">
              <w:t>Roll</w:t>
            </w:r>
            <w:r w:rsidR="00B42DD7" w:rsidRPr="00422D05">
              <w:noBreakHyphen/>
            </w:r>
            <w:r w:rsidRPr="00422D05">
              <w:t>over dates</w:t>
            </w:r>
          </w:p>
        </w:tc>
        <w:tc>
          <w:tcPr>
            <w:tcW w:w="2511" w:type="pct"/>
          </w:tcPr>
          <w:p w:rsidR="005E6AE4" w:rsidRPr="00422D05" w:rsidRDefault="005E6AE4" w:rsidP="005E6AE4">
            <w:pPr>
              <w:pStyle w:val="Tabletext"/>
              <w:cnfStyle w:val="000000000000" w:firstRow="0" w:lastRow="0" w:firstColumn="0" w:lastColumn="0" w:oddVBand="0" w:evenVBand="0" w:oddHBand="0" w:evenHBand="0" w:firstRowFirstColumn="0" w:firstRowLastColumn="0" w:lastRowFirstColumn="0" w:lastRowLastColumn="0"/>
            </w:pPr>
            <w:r w:rsidRPr="00422D05">
              <w:t>All relevant dates and years within the Model have been updated as part of the roll</w:t>
            </w:r>
            <w:r w:rsidR="00B42DD7" w:rsidRPr="00422D05">
              <w:noBreakHyphen/>
            </w:r>
            <w:r w:rsidRPr="00422D05">
              <w:t>over process from the previous Model.</w:t>
            </w:r>
          </w:p>
        </w:tc>
        <w:tc>
          <w:tcPr>
            <w:tcW w:w="636" w:type="pct"/>
          </w:tcPr>
          <w:p w:rsidR="005E6AE4" w:rsidRPr="00422D05" w:rsidRDefault="005E6AE4" w:rsidP="001C4C3D">
            <w:pPr>
              <w:pStyle w:val="Tabletextcentred"/>
              <w:cnfStyle w:val="000000000000" w:firstRow="0" w:lastRow="0" w:firstColumn="0" w:lastColumn="0" w:oddVBand="0" w:evenVBand="0" w:oddHBand="0" w:evenHBand="0" w:firstRowFirstColumn="0" w:firstRowLastColumn="0" w:lastRowFirstColumn="0" w:lastRowLastColumn="0"/>
            </w:pPr>
            <w:r w:rsidRPr="00422D05">
              <w:t>Whole Model</w:t>
            </w:r>
          </w:p>
        </w:tc>
      </w:tr>
      <w:tr w:rsidR="005E6AE4" w:rsidRPr="00422D05" w:rsidTr="003E1F2A">
        <w:trPr>
          <w:cnfStyle w:val="000000010000" w:firstRow="0" w:lastRow="0" w:firstColumn="0" w:lastColumn="0" w:oddVBand="0" w:evenVBand="0" w:oddHBand="0" w:evenHBand="1"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868" w:type="pct"/>
            <w:vMerge/>
          </w:tcPr>
          <w:p w:rsidR="005E6AE4" w:rsidRPr="00422D05" w:rsidRDefault="005E6AE4" w:rsidP="005E6AE4">
            <w:pPr>
              <w:pStyle w:val="Tabletext"/>
            </w:pPr>
          </w:p>
        </w:tc>
        <w:tc>
          <w:tcPr>
            <w:tcW w:w="985" w:type="pct"/>
          </w:tcPr>
          <w:p w:rsidR="005E6AE4" w:rsidRPr="00422D05" w:rsidRDefault="005E6AE4" w:rsidP="005E6AE4">
            <w:pPr>
              <w:pStyle w:val="Tabletext"/>
              <w:cnfStyle w:val="000000010000" w:firstRow="0" w:lastRow="0" w:firstColumn="0" w:lastColumn="0" w:oddVBand="0" w:evenVBand="0" w:oddHBand="0" w:evenHBand="1" w:firstRowFirstColumn="0" w:firstRowLastColumn="0" w:lastRowFirstColumn="0" w:lastRowLastColumn="0"/>
            </w:pPr>
            <w:r w:rsidRPr="00422D05">
              <w:t>To improve readability</w:t>
            </w:r>
          </w:p>
        </w:tc>
        <w:tc>
          <w:tcPr>
            <w:tcW w:w="2511" w:type="pct"/>
          </w:tcPr>
          <w:p w:rsidR="005E6AE4" w:rsidRPr="00422D05" w:rsidRDefault="005E6AE4" w:rsidP="005E6AE4">
            <w:pPr>
              <w:pStyle w:val="Tabletext"/>
              <w:cnfStyle w:val="000000010000" w:firstRow="0" w:lastRow="0" w:firstColumn="0" w:lastColumn="0" w:oddVBand="0" w:evenVBand="0" w:oddHBand="0" w:evenHBand="1" w:firstRowFirstColumn="0" w:firstRowLastColumn="0" w:lastRowFirstColumn="0" w:lastRowLastColumn="0"/>
            </w:pPr>
            <w:r w:rsidRPr="00422D05">
              <w:t>Minor editorial updates/changes to wordings and placements of sentences/paragraphs.</w:t>
            </w:r>
          </w:p>
        </w:tc>
        <w:tc>
          <w:tcPr>
            <w:tcW w:w="636" w:type="pct"/>
          </w:tcPr>
          <w:p w:rsidR="005E6AE4" w:rsidRPr="00422D05" w:rsidRDefault="005E6AE4" w:rsidP="001C4C3D">
            <w:pPr>
              <w:pStyle w:val="Tabletextcentred"/>
              <w:cnfStyle w:val="000000010000" w:firstRow="0" w:lastRow="0" w:firstColumn="0" w:lastColumn="0" w:oddVBand="0" w:evenVBand="0" w:oddHBand="0" w:evenHBand="1" w:firstRowFirstColumn="0" w:firstRowLastColumn="0" w:lastRowFirstColumn="0" w:lastRowLastColumn="0"/>
            </w:pPr>
            <w:r w:rsidRPr="00422D05">
              <w:t>Whole Model</w:t>
            </w:r>
          </w:p>
        </w:tc>
      </w:tr>
      <w:tr w:rsidR="005E6AE4" w:rsidRPr="00422D05" w:rsidTr="003E1F2A">
        <w:trPr>
          <w:trHeight w:val="910"/>
        </w:trPr>
        <w:tc>
          <w:tcPr>
            <w:cnfStyle w:val="001000000000" w:firstRow="0" w:lastRow="0" w:firstColumn="1" w:lastColumn="0" w:oddVBand="0" w:evenVBand="0" w:oddHBand="0" w:evenHBand="0" w:firstRowFirstColumn="0" w:firstRowLastColumn="0" w:lastRowFirstColumn="0" w:lastRowLastColumn="0"/>
            <w:tcW w:w="868" w:type="pct"/>
          </w:tcPr>
          <w:p w:rsidR="005E6AE4" w:rsidRPr="00422D05" w:rsidRDefault="005E6AE4" w:rsidP="005E6AE4">
            <w:pPr>
              <w:pStyle w:val="Tabletext"/>
            </w:pPr>
          </w:p>
        </w:tc>
        <w:tc>
          <w:tcPr>
            <w:tcW w:w="985" w:type="pct"/>
          </w:tcPr>
          <w:p w:rsidR="005E6AE4" w:rsidRPr="00422D05" w:rsidRDefault="005E6AE4" w:rsidP="005E6AE4">
            <w:pPr>
              <w:pStyle w:val="Tabletext"/>
              <w:cnfStyle w:val="000000000000" w:firstRow="0" w:lastRow="0" w:firstColumn="0" w:lastColumn="0" w:oddVBand="0" w:evenVBand="0" w:oddHBand="0" w:evenHBand="0" w:firstRowFirstColumn="0" w:firstRowLastColumn="0" w:lastRowFirstColumn="0" w:lastRowLastColumn="0"/>
            </w:pPr>
            <w:r w:rsidRPr="00422D05">
              <w:t>To update source references</w:t>
            </w:r>
            <w:r w:rsidR="00B25DAB" w:rsidRPr="00422D05">
              <w:t xml:space="preserve"> </w:t>
            </w:r>
          </w:p>
        </w:tc>
        <w:tc>
          <w:tcPr>
            <w:tcW w:w="2511" w:type="pct"/>
          </w:tcPr>
          <w:p w:rsidR="00CE77C7" w:rsidRPr="00422D05" w:rsidRDefault="005E6AE4" w:rsidP="00430D2E">
            <w:pPr>
              <w:pStyle w:val="Tabletext"/>
              <w:numPr>
                <w:ilvl w:val="0"/>
                <w:numId w:val="22"/>
              </w:numPr>
              <w:cnfStyle w:val="000000000000" w:firstRow="0" w:lastRow="0" w:firstColumn="0" w:lastColumn="0" w:oddVBand="0" w:evenVBand="0" w:oddHBand="0" w:evenHBand="0" w:firstRowFirstColumn="0" w:firstRowLastColumn="0" w:lastRowFirstColumn="0" w:lastRowLastColumn="0"/>
            </w:pPr>
            <w:r w:rsidRPr="00422D05">
              <w:t>Changes to source references resulting from changes in reporting requirements effective since 1</w:t>
            </w:r>
            <w:r w:rsidR="005B39AF" w:rsidRPr="00422D05">
              <w:t> </w:t>
            </w:r>
            <w:r w:rsidRPr="00422D05">
              <w:t>July 201</w:t>
            </w:r>
            <w:r w:rsidR="00CE77C7" w:rsidRPr="00422D05">
              <w:t>6</w:t>
            </w:r>
            <w:r w:rsidR="00430D2E" w:rsidRPr="00422D05">
              <w:t>,</w:t>
            </w:r>
            <w:r w:rsidRPr="00422D05">
              <w:t xml:space="preserve"> as well as an overall update of the relevant AASB/FRD source referencing.</w:t>
            </w:r>
            <w:r w:rsidR="00CE77C7" w:rsidRPr="00422D05">
              <w:t xml:space="preserve"> </w:t>
            </w:r>
          </w:p>
          <w:p w:rsidR="005E6AE4" w:rsidRPr="00422D05" w:rsidRDefault="00430D2E" w:rsidP="00430D2E">
            <w:pPr>
              <w:pStyle w:val="Tabletext"/>
              <w:numPr>
                <w:ilvl w:val="0"/>
                <w:numId w:val="22"/>
              </w:numPr>
              <w:cnfStyle w:val="000000000000" w:firstRow="0" w:lastRow="0" w:firstColumn="0" w:lastColumn="0" w:oddVBand="0" w:evenVBand="0" w:oddHBand="0" w:evenHBand="0" w:firstRowFirstColumn="0" w:firstRowLastColumn="0" w:lastRowFirstColumn="0" w:lastRowLastColumn="0"/>
            </w:pPr>
            <w:r w:rsidRPr="00422D05">
              <w:t>R</w:t>
            </w:r>
            <w:r w:rsidR="00CE77C7" w:rsidRPr="00422D05">
              <w:t xml:space="preserve">eferences to Standing Directions </w:t>
            </w:r>
            <w:r w:rsidR="00ED3976" w:rsidRPr="00422D05">
              <w:t>of the Minister for</w:t>
            </w:r>
            <w:r w:rsidR="00CE77C7" w:rsidRPr="00422D05">
              <w:t xml:space="preserve"> Finance 2003 have been updated to Standing Directions </w:t>
            </w:r>
            <w:r w:rsidR="00ED3976" w:rsidRPr="00422D05">
              <w:t>of the Minister for</w:t>
            </w:r>
            <w:r w:rsidR="00CE77C7" w:rsidRPr="00422D05">
              <w:t xml:space="preserve"> Finance 2016</w:t>
            </w:r>
            <w:r w:rsidR="00AC7330" w:rsidRPr="00422D05">
              <w:t xml:space="preserve">. </w:t>
            </w:r>
          </w:p>
          <w:p w:rsidR="00430D2E" w:rsidRPr="00422D05" w:rsidRDefault="00430D2E" w:rsidP="00531A8A">
            <w:pPr>
              <w:pStyle w:val="Tabletext"/>
              <w:numPr>
                <w:ilvl w:val="0"/>
                <w:numId w:val="22"/>
              </w:numPr>
              <w:cnfStyle w:val="000000000000" w:firstRow="0" w:lastRow="0" w:firstColumn="0" w:lastColumn="0" w:oddVBand="0" w:evenVBand="0" w:oddHBand="0" w:evenHBand="0" w:firstRowFirstColumn="0" w:firstRowLastColumn="0" w:lastRowFirstColumn="0" w:lastRowLastColumn="0"/>
            </w:pPr>
            <w:r w:rsidRPr="00422D05">
              <w:t>References to Budget and Financial Management Guidances have been replaced by</w:t>
            </w:r>
            <w:r w:rsidR="00531A8A" w:rsidRPr="00422D05">
              <w:t xml:space="preserve"> corresponding</w:t>
            </w:r>
            <w:r w:rsidRPr="00422D05">
              <w:t xml:space="preserve"> Financial Reporting Operations Framework, Budget Operations Framework and Performance Management Framework</w:t>
            </w:r>
            <w:r w:rsidR="00531A8A" w:rsidRPr="00422D05">
              <w:t xml:space="preserve"> references.</w:t>
            </w:r>
            <w:r w:rsidRPr="00422D05">
              <w:t xml:space="preserve"> </w:t>
            </w:r>
          </w:p>
        </w:tc>
        <w:tc>
          <w:tcPr>
            <w:tcW w:w="636" w:type="pct"/>
          </w:tcPr>
          <w:p w:rsidR="005E6AE4" w:rsidRPr="00422D05" w:rsidRDefault="005E6AE4" w:rsidP="001C4C3D">
            <w:pPr>
              <w:pStyle w:val="Tabletextcentred"/>
              <w:cnfStyle w:val="000000000000" w:firstRow="0" w:lastRow="0" w:firstColumn="0" w:lastColumn="0" w:oddVBand="0" w:evenVBand="0" w:oddHBand="0" w:evenHBand="0" w:firstRowFirstColumn="0" w:firstRowLastColumn="0" w:lastRowFirstColumn="0" w:lastRowLastColumn="0"/>
            </w:pPr>
            <w:r w:rsidRPr="00422D05">
              <w:t>Whole Model</w:t>
            </w:r>
          </w:p>
        </w:tc>
      </w:tr>
      <w:tr w:rsidR="00FD6797" w:rsidRPr="00422D05" w:rsidTr="003E1F2A">
        <w:trPr>
          <w:cnfStyle w:val="000000010000" w:firstRow="0" w:lastRow="0" w:firstColumn="0" w:lastColumn="0" w:oddVBand="0" w:evenVBand="0" w:oddHBand="0" w:evenHBand="1"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868" w:type="pct"/>
          </w:tcPr>
          <w:p w:rsidR="00FD6797" w:rsidRPr="00422D05" w:rsidRDefault="00FD6797" w:rsidP="005E6AE4">
            <w:pPr>
              <w:pStyle w:val="Tabletext"/>
            </w:pPr>
          </w:p>
        </w:tc>
        <w:tc>
          <w:tcPr>
            <w:tcW w:w="985" w:type="pct"/>
            <w:vMerge w:val="restart"/>
          </w:tcPr>
          <w:p w:rsidR="00FD6797" w:rsidRPr="00422D05" w:rsidRDefault="00FD6797" w:rsidP="00D75E0C">
            <w:pPr>
              <w:pStyle w:val="Tabletext"/>
              <w:cnfStyle w:val="000000010000" w:firstRow="0" w:lastRow="0" w:firstColumn="0" w:lastColumn="0" w:oddVBand="0" w:evenVBand="0" w:oddHBand="0" w:evenHBand="1" w:firstRowFirstColumn="0" w:firstRowLastColumn="0" w:lastRowFirstColumn="0" w:lastRowLastColumn="0"/>
            </w:pPr>
            <w:r w:rsidRPr="00422D05">
              <w:t>To make existing terminologies used consistent with terminologies used in Standing Directions of the Minister for Finance 2016</w:t>
            </w:r>
          </w:p>
        </w:tc>
        <w:tc>
          <w:tcPr>
            <w:tcW w:w="2511" w:type="pct"/>
          </w:tcPr>
          <w:p w:rsidR="00FD6797" w:rsidRPr="00422D05" w:rsidRDefault="00ED3976" w:rsidP="00AC505F">
            <w:pPr>
              <w:pStyle w:val="Tabletext"/>
              <w:cnfStyle w:val="000000010000" w:firstRow="0" w:lastRow="0" w:firstColumn="0" w:lastColumn="0" w:oddVBand="0" w:evenVBand="0" w:oddHBand="0" w:evenHBand="1" w:firstRowFirstColumn="0" w:firstRowLastColumn="0" w:lastRowFirstColumn="0" w:lastRowLastColumn="0"/>
            </w:pPr>
            <w:r w:rsidRPr="00422D05">
              <w:t>The terminology</w:t>
            </w:r>
            <w:r w:rsidR="00FD6797" w:rsidRPr="00422D05">
              <w:t xml:space="preserve"> ‘</w:t>
            </w:r>
            <w:r w:rsidR="00AC505F" w:rsidRPr="00422D05">
              <w:t>Public S</w:t>
            </w:r>
            <w:r w:rsidR="00FD6797" w:rsidRPr="00422D05">
              <w:t xml:space="preserve">ector </w:t>
            </w:r>
            <w:r w:rsidR="00AC505F" w:rsidRPr="00422D05">
              <w:t>A</w:t>
            </w:r>
            <w:r w:rsidR="00FD6797" w:rsidRPr="00422D05">
              <w:t>gency’ has been updated to ‘agencies’.</w:t>
            </w:r>
          </w:p>
        </w:tc>
        <w:tc>
          <w:tcPr>
            <w:tcW w:w="636" w:type="pct"/>
          </w:tcPr>
          <w:p w:rsidR="00FD6797" w:rsidRPr="00422D05" w:rsidRDefault="00FD6797" w:rsidP="00D73467">
            <w:pPr>
              <w:pStyle w:val="Tabletextcentred"/>
              <w:jc w:val="left"/>
              <w:cnfStyle w:val="000000010000" w:firstRow="0" w:lastRow="0" w:firstColumn="0" w:lastColumn="0" w:oddVBand="0" w:evenVBand="0" w:oddHBand="0" w:evenHBand="1" w:firstRowFirstColumn="0" w:firstRowLastColumn="0" w:lastRowFirstColumn="0" w:lastRowLastColumn="0"/>
            </w:pPr>
            <w:r w:rsidRPr="00422D05">
              <w:t>1,</w:t>
            </w:r>
            <w:r w:rsidR="00D73467" w:rsidRPr="00422D05">
              <w:t>3</w:t>
            </w:r>
            <w:r w:rsidRPr="00422D05">
              <w:t xml:space="preserve"> &amp; </w:t>
            </w:r>
            <w:r w:rsidR="00D73467" w:rsidRPr="00422D05">
              <w:t>65</w:t>
            </w:r>
          </w:p>
        </w:tc>
      </w:tr>
      <w:tr w:rsidR="00FD6797" w:rsidRPr="00422D05" w:rsidTr="003E1F2A">
        <w:trPr>
          <w:trHeight w:val="910"/>
        </w:trPr>
        <w:tc>
          <w:tcPr>
            <w:cnfStyle w:val="001000000000" w:firstRow="0" w:lastRow="0" w:firstColumn="1" w:lastColumn="0" w:oddVBand="0" w:evenVBand="0" w:oddHBand="0" w:evenHBand="0" w:firstRowFirstColumn="0" w:firstRowLastColumn="0" w:lastRowFirstColumn="0" w:lastRowLastColumn="0"/>
            <w:tcW w:w="868" w:type="pct"/>
          </w:tcPr>
          <w:p w:rsidR="00FD6797" w:rsidRPr="00422D05" w:rsidRDefault="00FD6797" w:rsidP="005E6AE4">
            <w:pPr>
              <w:pStyle w:val="Tabletext"/>
            </w:pPr>
          </w:p>
        </w:tc>
        <w:tc>
          <w:tcPr>
            <w:tcW w:w="985" w:type="pct"/>
            <w:vMerge/>
          </w:tcPr>
          <w:p w:rsidR="00FD6797" w:rsidRPr="00422D05" w:rsidRDefault="00FD6797" w:rsidP="00D75E0C">
            <w:pPr>
              <w:pStyle w:val="Tabletext"/>
              <w:cnfStyle w:val="000000000000" w:firstRow="0" w:lastRow="0" w:firstColumn="0" w:lastColumn="0" w:oddVBand="0" w:evenVBand="0" w:oddHBand="0" w:evenHBand="0" w:firstRowFirstColumn="0" w:firstRowLastColumn="0" w:lastRowFirstColumn="0" w:lastRowLastColumn="0"/>
            </w:pPr>
          </w:p>
        </w:tc>
        <w:tc>
          <w:tcPr>
            <w:tcW w:w="2511" w:type="pct"/>
          </w:tcPr>
          <w:p w:rsidR="00FD6797" w:rsidRPr="00422D05" w:rsidRDefault="00ED3976" w:rsidP="0080429B">
            <w:pPr>
              <w:pStyle w:val="Tabletext"/>
              <w:cnfStyle w:val="000000000000" w:firstRow="0" w:lastRow="0" w:firstColumn="0" w:lastColumn="0" w:oddVBand="0" w:evenVBand="0" w:oddHBand="0" w:evenHBand="0" w:firstRowFirstColumn="0" w:firstRowLastColumn="0" w:lastRowFirstColumn="0" w:lastRowLastColumn="0"/>
            </w:pPr>
            <w:r w:rsidRPr="00422D05">
              <w:t>The terminology</w:t>
            </w:r>
            <w:r w:rsidR="00FD6797" w:rsidRPr="00422D05">
              <w:t xml:space="preserve"> ‘</w:t>
            </w:r>
            <w:r w:rsidR="00AC505F" w:rsidRPr="00422D05">
              <w:t>A</w:t>
            </w:r>
            <w:r w:rsidR="00FD6797" w:rsidRPr="00422D05">
              <w:t>ccounta</w:t>
            </w:r>
            <w:r w:rsidR="00AC505F" w:rsidRPr="00422D05">
              <w:t>ble O</w:t>
            </w:r>
            <w:r w:rsidR="00FD6797" w:rsidRPr="00422D05">
              <w:t>fficer’ has be</w:t>
            </w:r>
            <w:r w:rsidR="002B49F3" w:rsidRPr="00422D05">
              <w:t>en updated to ‘responsible body’ in the attestation and declaration sections in the report of operations.</w:t>
            </w:r>
          </w:p>
        </w:tc>
        <w:tc>
          <w:tcPr>
            <w:tcW w:w="636" w:type="pct"/>
          </w:tcPr>
          <w:p w:rsidR="00FD6797" w:rsidRPr="00422D05" w:rsidRDefault="002B49F3" w:rsidP="004F66BF">
            <w:pPr>
              <w:pStyle w:val="Tabletextcentred"/>
              <w:jc w:val="left"/>
              <w:cnfStyle w:val="000000000000" w:firstRow="0" w:lastRow="0" w:firstColumn="0" w:lastColumn="0" w:oddVBand="0" w:evenVBand="0" w:oddHBand="0" w:evenHBand="0" w:firstRowFirstColumn="0" w:firstRowLastColumn="0" w:lastRowFirstColumn="0" w:lastRowLastColumn="0"/>
            </w:pPr>
            <w:r w:rsidRPr="00422D05">
              <w:t>12</w:t>
            </w:r>
          </w:p>
        </w:tc>
      </w:tr>
      <w:tr w:rsidR="00FD6797" w:rsidRPr="00422D05" w:rsidTr="003E1F2A">
        <w:trPr>
          <w:cnfStyle w:val="000000010000" w:firstRow="0" w:lastRow="0" w:firstColumn="0" w:lastColumn="0" w:oddVBand="0" w:evenVBand="0" w:oddHBand="0" w:evenHBand="1"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868" w:type="pct"/>
          </w:tcPr>
          <w:p w:rsidR="00FD6797" w:rsidRPr="00422D05" w:rsidRDefault="00FD6797" w:rsidP="005E6AE4">
            <w:pPr>
              <w:pStyle w:val="Tabletext"/>
            </w:pPr>
          </w:p>
        </w:tc>
        <w:tc>
          <w:tcPr>
            <w:tcW w:w="985" w:type="pct"/>
            <w:vMerge/>
          </w:tcPr>
          <w:p w:rsidR="00FD6797" w:rsidRPr="00422D05" w:rsidRDefault="00FD6797" w:rsidP="00D75E0C">
            <w:pPr>
              <w:pStyle w:val="Tabletext"/>
              <w:cnfStyle w:val="000000010000" w:firstRow="0" w:lastRow="0" w:firstColumn="0" w:lastColumn="0" w:oddVBand="0" w:evenVBand="0" w:oddHBand="0" w:evenHBand="1" w:firstRowFirstColumn="0" w:firstRowLastColumn="0" w:lastRowFirstColumn="0" w:lastRowLastColumn="0"/>
            </w:pPr>
          </w:p>
        </w:tc>
        <w:tc>
          <w:tcPr>
            <w:tcW w:w="2511" w:type="pct"/>
          </w:tcPr>
          <w:p w:rsidR="00FD6797" w:rsidRPr="00422D05" w:rsidRDefault="00ED3976" w:rsidP="0080429B">
            <w:pPr>
              <w:pStyle w:val="Tabletext"/>
              <w:cnfStyle w:val="000000010000" w:firstRow="0" w:lastRow="0" w:firstColumn="0" w:lastColumn="0" w:oddVBand="0" w:evenVBand="0" w:oddHBand="0" w:evenHBand="1" w:firstRowFirstColumn="0" w:firstRowLastColumn="0" w:lastRowFirstColumn="0" w:lastRowLastColumn="0"/>
            </w:pPr>
            <w:r w:rsidRPr="00422D05">
              <w:t>The terminology</w:t>
            </w:r>
            <w:r w:rsidR="00AC505F" w:rsidRPr="00422D05">
              <w:t xml:space="preserve"> ‘Chief Finance and Accounting Officer’ has been updated to ‘Chief Finance Officer’. </w:t>
            </w:r>
          </w:p>
        </w:tc>
        <w:tc>
          <w:tcPr>
            <w:tcW w:w="636" w:type="pct"/>
          </w:tcPr>
          <w:p w:rsidR="00FD6797" w:rsidRPr="00422D05" w:rsidRDefault="002B49F3" w:rsidP="00AC505F">
            <w:pPr>
              <w:pStyle w:val="Tabletextcentred"/>
              <w:jc w:val="left"/>
              <w:cnfStyle w:val="000000010000" w:firstRow="0" w:lastRow="0" w:firstColumn="0" w:lastColumn="0" w:oddVBand="0" w:evenVBand="0" w:oddHBand="0" w:evenHBand="1" w:firstRowFirstColumn="0" w:firstRowLastColumn="0" w:lastRowFirstColumn="0" w:lastRowLastColumn="0"/>
            </w:pPr>
            <w:r w:rsidRPr="00422D05">
              <w:t>33,</w:t>
            </w:r>
            <w:r w:rsidR="00903248" w:rsidRPr="00422D05">
              <w:t>72 &amp; 73</w:t>
            </w:r>
          </w:p>
        </w:tc>
      </w:tr>
    </w:tbl>
    <w:p w:rsidR="004C5B67" w:rsidRDefault="004C5B67" w:rsidP="005E6AE4">
      <w:pPr>
        <w:pStyle w:val="Tabletext"/>
      </w:pPr>
    </w:p>
    <w:p w:rsidR="004C5B67" w:rsidRDefault="004C5B67">
      <w:pPr>
        <w:spacing w:before="0" w:after="200"/>
        <w:rPr>
          <w:sz w:val="17"/>
        </w:rPr>
      </w:pPr>
      <w:r>
        <w:br w:type="page"/>
      </w:r>
    </w:p>
    <w:p w:rsidR="005E6AE4" w:rsidRPr="00422D05" w:rsidRDefault="005E6AE4" w:rsidP="005E6AE4">
      <w:pPr>
        <w:pStyle w:val="Tabletext"/>
      </w:pPr>
    </w:p>
    <w:p w:rsidR="00DB0E25" w:rsidRPr="00422D05" w:rsidRDefault="00DB0E25" w:rsidP="005E6AE4">
      <w:pPr>
        <w:pStyle w:val="Tabletext"/>
      </w:pPr>
    </w:p>
    <w:tbl>
      <w:tblPr>
        <w:tblStyle w:val="DTFtexttable"/>
        <w:tblW w:w="5000" w:type="pct"/>
        <w:tblLayout w:type="fixed"/>
        <w:tblLook w:val="01A0" w:firstRow="1" w:lastRow="0" w:firstColumn="1" w:lastColumn="1" w:noHBand="0" w:noVBand="0"/>
      </w:tblPr>
      <w:tblGrid>
        <w:gridCol w:w="1586"/>
        <w:gridCol w:w="1801"/>
        <w:gridCol w:w="4590"/>
        <w:gridCol w:w="1163"/>
      </w:tblGrid>
      <w:tr w:rsidR="00955547" w:rsidRPr="00422D05" w:rsidTr="00A21D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000" w:type="pct"/>
            <w:gridSpan w:val="4"/>
          </w:tcPr>
          <w:p w:rsidR="00955547" w:rsidRPr="00422D05" w:rsidRDefault="00955547" w:rsidP="00955547">
            <w:pPr>
              <w:pStyle w:val="Tableheader"/>
            </w:pPr>
            <w:r w:rsidRPr="00422D05">
              <w:t xml:space="preserve">Summary of changes – Introduction </w:t>
            </w:r>
          </w:p>
        </w:tc>
      </w:tr>
      <w:tr w:rsidR="00955547" w:rsidRPr="00422D05" w:rsidTr="00A21D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68" w:type="pct"/>
            <w:shd w:val="clear" w:color="auto" w:fill="749CC9" w:themeFill="accent3"/>
          </w:tcPr>
          <w:p w:rsidR="00955547" w:rsidRPr="00422D05" w:rsidRDefault="00955547" w:rsidP="00955547">
            <w:pPr>
              <w:pStyle w:val="Tableheader"/>
              <w:rPr>
                <w:sz w:val="18"/>
                <w:szCs w:val="18"/>
              </w:rPr>
            </w:pPr>
            <w:r w:rsidRPr="00422D05">
              <w:rPr>
                <w:sz w:val="18"/>
                <w:szCs w:val="18"/>
              </w:rPr>
              <w:t xml:space="preserve">Subject matter </w:t>
            </w:r>
          </w:p>
        </w:tc>
        <w:tc>
          <w:tcPr>
            <w:cnfStyle w:val="000010000000" w:firstRow="0" w:lastRow="0" w:firstColumn="0" w:lastColumn="0" w:oddVBand="1" w:evenVBand="0" w:oddHBand="0" w:evenHBand="0" w:firstRowFirstColumn="0" w:firstRowLastColumn="0" w:lastRowFirstColumn="0" w:lastRowLastColumn="0"/>
            <w:tcW w:w="985" w:type="pct"/>
            <w:shd w:val="clear" w:color="auto" w:fill="749CC9" w:themeFill="accent3"/>
          </w:tcPr>
          <w:p w:rsidR="00955547" w:rsidRPr="00422D05" w:rsidRDefault="00955547" w:rsidP="00955547">
            <w:pPr>
              <w:pStyle w:val="Tableheader"/>
              <w:rPr>
                <w:sz w:val="18"/>
                <w:szCs w:val="18"/>
              </w:rPr>
            </w:pPr>
            <w:r w:rsidRPr="00422D05">
              <w:rPr>
                <w:sz w:val="18"/>
                <w:szCs w:val="18"/>
              </w:rPr>
              <w:t>Reason</w:t>
            </w:r>
          </w:p>
        </w:tc>
        <w:tc>
          <w:tcPr>
            <w:cnfStyle w:val="000001000000" w:firstRow="0" w:lastRow="0" w:firstColumn="0" w:lastColumn="0" w:oddVBand="0" w:evenVBand="1" w:oddHBand="0" w:evenHBand="0" w:firstRowFirstColumn="0" w:firstRowLastColumn="0" w:lastRowFirstColumn="0" w:lastRowLastColumn="0"/>
            <w:tcW w:w="2511" w:type="pct"/>
            <w:shd w:val="clear" w:color="auto" w:fill="749CC9" w:themeFill="accent3"/>
          </w:tcPr>
          <w:p w:rsidR="00955547" w:rsidRPr="00422D05" w:rsidRDefault="00955547" w:rsidP="007800B3">
            <w:pPr>
              <w:pStyle w:val="Tableheader"/>
              <w:rPr>
                <w:sz w:val="18"/>
                <w:szCs w:val="18"/>
              </w:rPr>
            </w:pPr>
            <w:r w:rsidRPr="00422D05">
              <w:rPr>
                <w:sz w:val="18"/>
                <w:szCs w:val="18"/>
              </w:rPr>
              <w:t>Summary of changes applied to the relevant sections in the Introduction</w:t>
            </w:r>
          </w:p>
        </w:tc>
        <w:tc>
          <w:tcPr>
            <w:cnfStyle w:val="000100001000" w:firstRow="0" w:lastRow="0" w:firstColumn="0" w:lastColumn="1" w:oddVBand="0" w:evenVBand="0" w:oddHBand="0" w:evenHBand="0" w:firstRowFirstColumn="0" w:firstRowLastColumn="1" w:lastRowFirstColumn="0" w:lastRowLastColumn="0"/>
            <w:tcW w:w="636" w:type="pct"/>
            <w:shd w:val="clear" w:color="auto" w:fill="749CC9" w:themeFill="accent3"/>
          </w:tcPr>
          <w:p w:rsidR="00955547" w:rsidRPr="00422D05" w:rsidRDefault="00955547" w:rsidP="00531A8A">
            <w:pPr>
              <w:pStyle w:val="Tableheader"/>
              <w:rPr>
                <w:sz w:val="18"/>
                <w:szCs w:val="18"/>
              </w:rPr>
            </w:pPr>
            <w:r w:rsidRPr="00422D05">
              <w:rPr>
                <w:sz w:val="18"/>
                <w:szCs w:val="18"/>
              </w:rPr>
              <w:t>Page reference</w:t>
            </w:r>
          </w:p>
        </w:tc>
      </w:tr>
      <w:tr w:rsidR="00AC7330" w:rsidRPr="00422D05" w:rsidTr="007800B3">
        <w:tc>
          <w:tcPr>
            <w:cnfStyle w:val="001000000000" w:firstRow="0" w:lastRow="0" w:firstColumn="1" w:lastColumn="0" w:oddVBand="0" w:evenVBand="0" w:oddHBand="0" w:evenHBand="0" w:firstRowFirstColumn="0" w:firstRowLastColumn="0" w:lastRowFirstColumn="0" w:lastRowLastColumn="0"/>
            <w:tcW w:w="868" w:type="pct"/>
          </w:tcPr>
          <w:p w:rsidR="00AC7330" w:rsidRPr="00422D05" w:rsidRDefault="00AC7330" w:rsidP="00955547">
            <w:pPr>
              <w:pStyle w:val="Tabletext"/>
            </w:pPr>
            <w:r w:rsidRPr="00422D05">
              <w:t xml:space="preserve">Revised Standing Directions </w:t>
            </w:r>
          </w:p>
        </w:tc>
        <w:tc>
          <w:tcPr>
            <w:cnfStyle w:val="000010000000" w:firstRow="0" w:lastRow="0" w:firstColumn="0" w:lastColumn="0" w:oddVBand="1" w:evenVBand="0" w:oddHBand="0" w:evenHBand="0" w:firstRowFirstColumn="0" w:firstRowLastColumn="0" w:lastRowFirstColumn="0" w:lastRowLastColumn="0"/>
            <w:tcW w:w="985" w:type="pct"/>
          </w:tcPr>
          <w:p w:rsidR="00AC7330" w:rsidRPr="00422D05" w:rsidRDefault="00531A8A" w:rsidP="00741DB8">
            <w:pPr>
              <w:pStyle w:val="Tabletext"/>
            </w:pPr>
            <w:r w:rsidRPr="00422D05">
              <w:t>Revised Standing Directions</w:t>
            </w:r>
          </w:p>
        </w:tc>
        <w:tc>
          <w:tcPr>
            <w:cnfStyle w:val="000001000000" w:firstRow="0" w:lastRow="0" w:firstColumn="0" w:lastColumn="0" w:oddVBand="0" w:evenVBand="1" w:oddHBand="0" w:evenHBand="0" w:firstRowFirstColumn="0" w:firstRowLastColumn="0" w:lastRowFirstColumn="0" w:lastRowLastColumn="0"/>
            <w:tcW w:w="2511" w:type="pct"/>
          </w:tcPr>
          <w:p w:rsidR="00AC7330" w:rsidRPr="00422D05" w:rsidRDefault="00AC7330" w:rsidP="00D07042">
            <w:pPr>
              <w:pStyle w:val="Tabletext"/>
            </w:pPr>
            <w:r w:rsidRPr="00422D05">
              <w:t xml:space="preserve">A note has been included to advise preparers that the revised Standing Directions have been incorporated into the 2016-17 Model Report. </w:t>
            </w:r>
          </w:p>
        </w:tc>
        <w:tc>
          <w:tcPr>
            <w:cnfStyle w:val="000100000000" w:firstRow="0" w:lastRow="0" w:firstColumn="0" w:lastColumn="1" w:oddVBand="0" w:evenVBand="0" w:oddHBand="0" w:evenHBand="0" w:firstRowFirstColumn="0" w:firstRowLastColumn="0" w:lastRowFirstColumn="0" w:lastRowLastColumn="0"/>
            <w:tcW w:w="636" w:type="pct"/>
          </w:tcPr>
          <w:p w:rsidR="00AC7330" w:rsidRPr="00422D05" w:rsidRDefault="00903248" w:rsidP="00531A8A">
            <w:pPr>
              <w:pStyle w:val="Tabletextcentred"/>
              <w:jc w:val="left"/>
            </w:pPr>
            <w:r w:rsidRPr="00422D05">
              <w:t>2</w:t>
            </w:r>
          </w:p>
        </w:tc>
      </w:tr>
      <w:tr w:rsidR="00955547" w:rsidRPr="00422D05" w:rsidTr="00780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955547" w:rsidRPr="00422D05" w:rsidRDefault="00D07042" w:rsidP="00955547">
            <w:pPr>
              <w:pStyle w:val="Tabletext"/>
            </w:pPr>
            <w:r w:rsidRPr="00422D05">
              <w:t>Diagram 3: Publication coverage and project indicative timelines</w:t>
            </w:r>
          </w:p>
        </w:tc>
        <w:tc>
          <w:tcPr>
            <w:cnfStyle w:val="000010000000" w:firstRow="0" w:lastRow="0" w:firstColumn="0" w:lastColumn="0" w:oddVBand="1" w:evenVBand="0" w:oddHBand="0" w:evenHBand="0" w:firstRowFirstColumn="0" w:firstRowLastColumn="0" w:lastRowFirstColumn="0" w:lastRowLastColumn="0"/>
            <w:tcW w:w="985" w:type="pct"/>
          </w:tcPr>
          <w:p w:rsidR="00955547" w:rsidRPr="00422D05" w:rsidRDefault="00D07042" w:rsidP="00741DB8">
            <w:pPr>
              <w:pStyle w:val="Tabletext"/>
            </w:pPr>
            <w:r w:rsidRPr="00422D05">
              <w:t>Annual update</w:t>
            </w:r>
          </w:p>
        </w:tc>
        <w:tc>
          <w:tcPr>
            <w:cnfStyle w:val="000001000000" w:firstRow="0" w:lastRow="0" w:firstColumn="0" w:lastColumn="0" w:oddVBand="0" w:evenVBand="1" w:oddHBand="0" w:evenHBand="0" w:firstRowFirstColumn="0" w:firstRowLastColumn="0" w:lastRowFirstColumn="0" w:lastRowLastColumn="0"/>
            <w:tcW w:w="2511" w:type="pct"/>
          </w:tcPr>
          <w:p w:rsidR="00955547" w:rsidRPr="00422D05" w:rsidRDefault="00D07042" w:rsidP="00531A8A">
            <w:pPr>
              <w:pStyle w:val="Tabletext"/>
            </w:pPr>
            <w:r w:rsidRPr="00422D05">
              <w:t>Annual update</w:t>
            </w:r>
            <w:r w:rsidR="00531A8A" w:rsidRPr="00422D05">
              <w:t xml:space="preserve"> on the public coverage and project indicative timelines.</w:t>
            </w:r>
          </w:p>
        </w:tc>
        <w:tc>
          <w:tcPr>
            <w:cnfStyle w:val="000100000000" w:firstRow="0" w:lastRow="0" w:firstColumn="0" w:lastColumn="1" w:oddVBand="0" w:evenVBand="0" w:oddHBand="0" w:evenHBand="0" w:firstRowFirstColumn="0" w:firstRowLastColumn="0" w:lastRowFirstColumn="0" w:lastRowLastColumn="0"/>
            <w:tcW w:w="636" w:type="pct"/>
          </w:tcPr>
          <w:p w:rsidR="00955547" w:rsidRPr="00422D05" w:rsidRDefault="00903248" w:rsidP="00531A8A">
            <w:pPr>
              <w:pStyle w:val="Tabletextcentred"/>
              <w:jc w:val="left"/>
            </w:pPr>
            <w:r w:rsidRPr="00422D05">
              <w:t>4</w:t>
            </w:r>
          </w:p>
        </w:tc>
      </w:tr>
      <w:tr w:rsidR="00D07042" w:rsidRPr="00422D05" w:rsidTr="007800B3">
        <w:tc>
          <w:tcPr>
            <w:cnfStyle w:val="001000000000" w:firstRow="0" w:lastRow="0" w:firstColumn="1" w:lastColumn="0" w:oddVBand="0" w:evenVBand="0" w:oddHBand="0" w:evenHBand="0" w:firstRowFirstColumn="0" w:firstRowLastColumn="0" w:lastRowFirstColumn="0" w:lastRowLastColumn="0"/>
            <w:tcW w:w="868" w:type="pct"/>
          </w:tcPr>
          <w:p w:rsidR="00D07042" w:rsidRPr="00422D05" w:rsidRDefault="00D07042" w:rsidP="00955547">
            <w:pPr>
              <w:pStyle w:val="Tabletext"/>
            </w:pPr>
            <w:r w:rsidRPr="00422D05">
              <w:t>Annual report tabling policy</w:t>
            </w:r>
          </w:p>
        </w:tc>
        <w:tc>
          <w:tcPr>
            <w:cnfStyle w:val="000010000000" w:firstRow="0" w:lastRow="0" w:firstColumn="0" w:lastColumn="0" w:oddVBand="1" w:evenVBand="0" w:oddHBand="0" w:evenHBand="0" w:firstRowFirstColumn="0" w:firstRowLastColumn="0" w:lastRowFirstColumn="0" w:lastRowLastColumn="0"/>
            <w:tcW w:w="985" w:type="pct"/>
          </w:tcPr>
          <w:p w:rsidR="00D07042" w:rsidRPr="00422D05" w:rsidRDefault="00531A8A" w:rsidP="00531A8A">
            <w:pPr>
              <w:pStyle w:val="Tabletext"/>
            </w:pPr>
            <w:r w:rsidRPr="00422D05">
              <w:t>Revoked Premier’s Circular No.2012/01</w:t>
            </w:r>
          </w:p>
        </w:tc>
        <w:tc>
          <w:tcPr>
            <w:cnfStyle w:val="000001000000" w:firstRow="0" w:lastRow="0" w:firstColumn="0" w:lastColumn="0" w:oddVBand="0" w:evenVBand="1" w:oddHBand="0" w:evenHBand="0" w:firstRowFirstColumn="0" w:firstRowLastColumn="0" w:lastRowFirstColumn="0" w:lastRowLastColumn="0"/>
            <w:tcW w:w="2511" w:type="pct"/>
          </w:tcPr>
          <w:p w:rsidR="00D07042" w:rsidRPr="00422D05" w:rsidRDefault="00D07042" w:rsidP="00536AE7">
            <w:pPr>
              <w:pStyle w:val="Tabletext"/>
            </w:pPr>
            <w:r w:rsidRPr="00422D05">
              <w:t xml:space="preserve">The tabling requirement has been updated to align with the tabling requirement in section 46(1) of the </w:t>
            </w:r>
            <w:r w:rsidRPr="00422D05">
              <w:rPr>
                <w:i/>
              </w:rPr>
              <w:t>Financial Management Act 1994</w:t>
            </w:r>
            <w:r w:rsidRPr="00422D05">
              <w:t>.</w:t>
            </w:r>
          </w:p>
        </w:tc>
        <w:tc>
          <w:tcPr>
            <w:cnfStyle w:val="000100000000" w:firstRow="0" w:lastRow="0" w:firstColumn="0" w:lastColumn="1" w:oddVBand="0" w:evenVBand="0" w:oddHBand="0" w:evenHBand="0" w:firstRowFirstColumn="0" w:firstRowLastColumn="0" w:lastRowFirstColumn="0" w:lastRowLastColumn="0"/>
            <w:tcW w:w="636" w:type="pct"/>
          </w:tcPr>
          <w:p w:rsidR="00D07042" w:rsidRPr="00422D05" w:rsidRDefault="00903248" w:rsidP="00531A8A">
            <w:pPr>
              <w:pStyle w:val="Tabletextcentred"/>
              <w:jc w:val="left"/>
            </w:pPr>
            <w:r w:rsidRPr="00422D05">
              <w:t>5</w:t>
            </w:r>
          </w:p>
        </w:tc>
      </w:tr>
      <w:tr w:rsidR="004C5B67" w:rsidRPr="00422D05" w:rsidTr="00780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4C5B67" w:rsidRPr="00422D05" w:rsidRDefault="004C5B67" w:rsidP="009F37C2">
            <w:pPr>
              <w:pStyle w:val="Tabletext"/>
              <w:rPr>
                <w:color w:val="FF0000"/>
              </w:rPr>
            </w:pPr>
            <w:r w:rsidRPr="00422D05">
              <w:rPr>
                <w:color w:val="FF0000"/>
              </w:rPr>
              <w:t>[New]</w:t>
            </w:r>
            <w:r w:rsidRPr="00422D05">
              <w:t xml:space="preserve"> </w:t>
            </w:r>
            <w:r>
              <w:t>Setting the scene</w:t>
            </w:r>
          </w:p>
        </w:tc>
        <w:tc>
          <w:tcPr>
            <w:cnfStyle w:val="000010000000" w:firstRow="0" w:lastRow="0" w:firstColumn="0" w:lastColumn="0" w:oddVBand="1" w:evenVBand="0" w:oddHBand="0" w:evenHBand="0" w:firstRowFirstColumn="0" w:firstRowLastColumn="0" w:lastRowFirstColumn="0" w:lastRowLastColumn="0"/>
            <w:tcW w:w="985" w:type="pct"/>
          </w:tcPr>
          <w:p w:rsidR="004C5B67" w:rsidRPr="00422D05" w:rsidRDefault="004C5B67" w:rsidP="009F37C2">
            <w:pPr>
              <w:pStyle w:val="Tabletext"/>
            </w:pPr>
            <w:r>
              <w:t>Streamlining</w:t>
            </w:r>
          </w:p>
        </w:tc>
        <w:tc>
          <w:tcPr>
            <w:cnfStyle w:val="000001000000" w:firstRow="0" w:lastRow="0" w:firstColumn="0" w:lastColumn="0" w:oddVBand="0" w:evenVBand="1" w:oddHBand="0" w:evenHBand="0" w:firstRowFirstColumn="0" w:firstRowLastColumn="0" w:lastRowFirstColumn="0" w:lastRowLastColumn="0"/>
            <w:tcW w:w="2511" w:type="pct"/>
          </w:tcPr>
          <w:p w:rsidR="004C5B67" w:rsidRPr="00422D05" w:rsidRDefault="004C5B67" w:rsidP="009F37C2">
            <w:pPr>
              <w:pStyle w:val="Tabletext"/>
            </w:pPr>
            <w:r>
              <w:t xml:space="preserve">Information on the new streamlined model financial statements and its guidance notes have been added to the introduction section. </w:t>
            </w:r>
          </w:p>
        </w:tc>
        <w:tc>
          <w:tcPr>
            <w:cnfStyle w:val="000100000000" w:firstRow="0" w:lastRow="0" w:firstColumn="0" w:lastColumn="1" w:oddVBand="0" w:evenVBand="0" w:oddHBand="0" w:evenHBand="0" w:firstRowFirstColumn="0" w:firstRowLastColumn="0" w:lastRowFirstColumn="0" w:lastRowLastColumn="0"/>
            <w:tcW w:w="636" w:type="pct"/>
          </w:tcPr>
          <w:p w:rsidR="004C5B67" w:rsidRPr="00422D05" w:rsidRDefault="004C5B67" w:rsidP="009F37C2">
            <w:pPr>
              <w:pStyle w:val="Tabletextcentred"/>
              <w:jc w:val="left"/>
            </w:pPr>
            <w:r>
              <w:t>6-7</w:t>
            </w:r>
          </w:p>
        </w:tc>
      </w:tr>
    </w:tbl>
    <w:p w:rsidR="007800B3" w:rsidRPr="00422D05" w:rsidRDefault="007800B3">
      <w:pPr>
        <w:spacing w:before="0" w:after="200"/>
        <w:rPr>
          <w:sz w:val="17"/>
        </w:rPr>
      </w:pPr>
      <w:r w:rsidRPr="00422D05">
        <w:br w:type="page"/>
      </w:r>
    </w:p>
    <w:tbl>
      <w:tblPr>
        <w:tblStyle w:val="DTFtexttable"/>
        <w:tblW w:w="5000" w:type="pct"/>
        <w:tblLook w:val="01A0" w:firstRow="1" w:lastRow="0" w:firstColumn="1" w:lastColumn="1" w:noHBand="0" w:noVBand="0"/>
      </w:tblPr>
      <w:tblGrid>
        <w:gridCol w:w="1586"/>
        <w:gridCol w:w="1821"/>
        <w:gridCol w:w="4570"/>
        <w:gridCol w:w="1163"/>
      </w:tblGrid>
      <w:tr w:rsidR="007800B3" w:rsidRPr="00422D05" w:rsidTr="00A21D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000" w:type="pct"/>
            <w:gridSpan w:val="4"/>
          </w:tcPr>
          <w:p w:rsidR="007800B3" w:rsidRPr="00422D05" w:rsidRDefault="007800B3" w:rsidP="007800B3">
            <w:pPr>
              <w:pStyle w:val="Tableheader"/>
            </w:pPr>
            <w:r w:rsidRPr="00422D05">
              <w:lastRenderedPageBreak/>
              <w:t>Summary of changes – Model Report of Operations</w:t>
            </w:r>
          </w:p>
        </w:tc>
      </w:tr>
      <w:tr w:rsidR="007800B3" w:rsidRPr="00422D05" w:rsidTr="00A21D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68" w:type="pct"/>
            <w:shd w:val="clear" w:color="auto" w:fill="749CC9" w:themeFill="accent3"/>
          </w:tcPr>
          <w:p w:rsidR="007800B3" w:rsidRPr="00422D05" w:rsidRDefault="007800B3" w:rsidP="007800B3">
            <w:pPr>
              <w:pStyle w:val="Tableheader"/>
              <w:rPr>
                <w:sz w:val="18"/>
                <w:szCs w:val="18"/>
              </w:rPr>
            </w:pPr>
            <w:r w:rsidRPr="00422D05">
              <w:rPr>
                <w:sz w:val="18"/>
                <w:szCs w:val="18"/>
              </w:rPr>
              <w:t>Subject matter</w:t>
            </w:r>
          </w:p>
        </w:tc>
        <w:tc>
          <w:tcPr>
            <w:cnfStyle w:val="000010000000" w:firstRow="0" w:lastRow="0" w:firstColumn="0" w:lastColumn="0" w:oddVBand="1" w:evenVBand="0" w:oddHBand="0" w:evenHBand="0" w:firstRowFirstColumn="0" w:firstRowLastColumn="0" w:lastRowFirstColumn="0" w:lastRowLastColumn="0"/>
            <w:tcW w:w="996" w:type="pct"/>
            <w:shd w:val="clear" w:color="auto" w:fill="749CC9" w:themeFill="accent3"/>
          </w:tcPr>
          <w:p w:rsidR="007800B3" w:rsidRPr="00422D05" w:rsidRDefault="007800B3" w:rsidP="007800B3">
            <w:pPr>
              <w:pStyle w:val="Tableheader"/>
              <w:rPr>
                <w:sz w:val="18"/>
                <w:szCs w:val="18"/>
              </w:rPr>
            </w:pPr>
            <w:r w:rsidRPr="00422D05">
              <w:rPr>
                <w:sz w:val="18"/>
                <w:szCs w:val="18"/>
              </w:rPr>
              <w:t>Source of change</w:t>
            </w:r>
          </w:p>
        </w:tc>
        <w:tc>
          <w:tcPr>
            <w:cnfStyle w:val="000001000000" w:firstRow="0" w:lastRow="0" w:firstColumn="0" w:lastColumn="0" w:oddVBand="0" w:evenVBand="1" w:oddHBand="0" w:evenHBand="0" w:firstRowFirstColumn="0" w:firstRowLastColumn="0" w:lastRowFirstColumn="0" w:lastRowLastColumn="0"/>
            <w:tcW w:w="2500" w:type="pct"/>
            <w:shd w:val="clear" w:color="auto" w:fill="749CC9" w:themeFill="accent3"/>
          </w:tcPr>
          <w:p w:rsidR="007800B3" w:rsidRPr="00422D05" w:rsidRDefault="007800B3" w:rsidP="007800B3">
            <w:pPr>
              <w:pStyle w:val="Tableheader"/>
              <w:rPr>
                <w:sz w:val="18"/>
                <w:szCs w:val="18"/>
              </w:rPr>
            </w:pPr>
            <w:r w:rsidRPr="00422D05">
              <w:rPr>
                <w:sz w:val="18"/>
                <w:szCs w:val="18"/>
              </w:rPr>
              <w:t>Summary of changes applied to the relevant sections in the Model Report of Operations</w:t>
            </w:r>
          </w:p>
        </w:tc>
        <w:tc>
          <w:tcPr>
            <w:cnfStyle w:val="000100001000" w:firstRow="0" w:lastRow="0" w:firstColumn="0" w:lastColumn="1" w:oddVBand="0" w:evenVBand="0" w:oddHBand="0" w:evenHBand="0" w:firstRowFirstColumn="0" w:firstRowLastColumn="1" w:lastRowFirstColumn="0" w:lastRowLastColumn="0"/>
            <w:tcW w:w="636" w:type="pct"/>
            <w:shd w:val="clear" w:color="auto" w:fill="749CC9" w:themeFill="accent3"/>
          </w:tcPr>
          <w:p w:rsidR="007800B3" w:rsidRPr="00422D05" w:rsidRDefault="007800B3" w:rsidP="00531A8A">
            <w:pPr>
              <w:pStyle w:val="Tableheader"/>
              <w:rPr>
                <w:sz w:val="18"/>
                <w:szCs w:val="18"/>
              </w:rPr>
            </w:pPr>
            <w:r w:rsidRPr="00422D05">
              <w:rPr>
                <w:sz w:val="18"/>
                <w:szCs w:val="18"/>
              </w:rPr>
              <w:t>Page reference</w:t>
            </w:r>
          </w:p>
        </w:tc>
      </w:tr>
      <w:tr w:rsidR="007800B3" w:rsidRPr="00422D05" w:rsidTr="007800B3">
        <w:tc>
          <w:tcPr>
            <w:cnfStyle w:val="001000000000" w:firstRow="0" w:lastRow="0" w:firstColumn="1" w:lastColumn="0" w:oddVBand="0" w:evenVBand="0" w:oddHBand="0" w:evenHBand="0" w:firstRowFirstColumn="0" w:firstRowLastColumn="0" w:lastRowFirstColumn="0" w:lastRowLastColumn="0"/>
            <w:tcW w:w="868" w:type="pct"/>
          </w:tcPr>
          <w:p w:rsidR="007800B3" w:rsidRPr="00422D05" w:rsidRDefault="007800B3" w:rsidP="00717BB6">
            <w:pPr>
              <w:pStyle w:val="Tabletext"/>
              <w:rPr>
                <w:color w:val="FF0000"/>
              </w:rPr>
            </w:pPr>
            <w:r w:rsidRPr="00422D05">
              <w:rPr>
                <w:color w:val="FF0000"/>
              </w:rPr>
              <w:t>[Revised]</w:t>
            </w:r>
            <w:r w:rsidR="00A571DD" w:rsidRPr="00422D05">
              <w:rPr>
                <w:color w:val="FF0000"/>
              </w:rPr>
              <w:t xml:space="preserve"> </w:t>
            </w:r>
            <w:r w:rsidR="00A571DD" w:rsidRPr="00422D05">
              <w:t>Specific requirements under Standing Direction 5.2</w:t>
            </w:r>
          </w:p>
        </w:tc>
        <w:tc>
          <w:tcPr>
            <w:cnfStyle w:val="000010000000" w:firstRow="0" w:lastRow="0" w:firstColumn="0" w:lastColumn="0" w:oddVBand="1" w:evenVBand="0" w:oddHBand="0" w:evenHBand="0" w:firstRowFirstColumn="0" w:firstRowLastColumn="0" w:lastRowFirstColumn="0" w:lastRowLastColumn="0"/>
            <w:tcW w:w="996" w:type="pct"/>
          </w:tcPr>
          <w:p w:rsidR="007800B3" w:rsidRPr="00422D05" w:rsidDel="000B3FB9" w:rsidRDefault="004C51DE" w:rsidP="007800B3">
            <w:pPr>
              <w:pStyle w:val="Tabletext"/>
            </w:pPr>
            <w:r w:rsidRPr="00422D05">
              <w:t>SD 5.2</w:t>
            </w:r>
            <w:r w:rsidR="00D07042" w:rsidRPr="00422D05">
              <w:t xml:space="preserve"> </w:t>
            </w:r>
            <w:r w:rsidR="00984D24" w:rsidRPr="00422D05">
              <w:rPr>
                <w:i/>
              </w:rPr>
              <w:t>Annual Reporting</w:t>
            </w:r>
          </w:p>
        </w:tc>
        <w:tc>
          <w:tcPr>
            <w:cnfStyle w:val="000001000000" w:firstRow="0" w:lastRow="0" w:firstColumn="0" w:lastColumn="0" w:oddVBand="0" w:evenVBand="1" w:oddHBand="0" w:evenHBand="0" w:firstRowFirstColumn="0" w:firstRowLastColumn="0" w:lastRowFirstColumn="0" w:lastRowLastColumn="0"/>
            <w:tcW w:w="2500" w:type="pct"/>
          </w:tcPr>
          <w:p w:rsidR="007800B3" w:rsidRPr="00422D05" w:rsidRDefault="0013473D" w:rsidP="00B11A1C">
            <w:pPr>
              <w:pStyle w:val="Tabletext"/>
            </w:pPr>
            <w:r w:rsidRPr="00422D05">
              <w:t>The</w:t>
            </w:r>
            <w:r w:rsidR="004C51DE" w:rsidRPr="00422D05">
              <w:t xml:space="preserve"> section has been amended to </w:t>
            </w:r>
            <w:r w:rsidR="00B11A1C" w:rsidRPr="00422D05">
              <w:t xml:space="preserve">reflect the annual </w:t>
            </w:r>
            <w:r w:rsidRPr="00422D05">
              <w:t xml:space="preserve">reporting </w:t>
            </w:r>
            <w:r w:rsidR="004C51DE" w:rsidRPr="00422D05">
              <w:t xml:space="preserve">requirements in SD 5.2. </w:t>
            </w:r>
          </w:p>
        </w:tc>
        <w:tc>
          <w:tcPr>
            <w:cnfStyle w:val="000100000000" w:firstRow="0" w:lastRow="0" w:firstColumn="0" w:lastColumn="1" w:oddVBand="0" w:evenVBand="0" w:oddHBand="0" w:evenHBand="0" w:firstRowFirstColumn="0" w:firstRowLastColumn="0" w:lastRowFirstColumn="0" w:lastRowLastColumn="0"/>
            <w:tcW w:w="636" w:type="pct"/>
          </w:tcPr>
          <w:p w:rsidR="007800B3" w:rsidRPr="00422D05" w:rsidRDefault="00903248" w:rsidP="00531A8A">
            <w:pPr>
              <w:pStyle w:val="Tabletextcentred"/>
              <w:jc w:val="left"/>
            </w:pPr>
            <w:r w:rsidRPr="00422D05">
              <w:t>11</w:t>
            </w:r>
          </w:p>
        </w:tc>
      </w:tr>
      <w:tr w:rsidR="0013473D" w:rsidRPr="00422D05" w:rsidTr="00780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13473D" w:rsidRPr="00422D05" w:rsidRDefault="0013473D" w:rsidP="00EF6ACE">
            <w:pPr>
              <w:pStyle w:val="Tabletext"/>
              <w:rPr>
                <w:color w:val="FF0000"/>
              </w:rPr>
            </w:pPr>
            <w:r w:rsidRPr="00422D05">
              <w:rPr>
                <w:color w:val="FF0000"/>
              </w:rPr>
              <w:t xml:space="preserve">[Revised] </w:t>
            </w:r>
            <w:r w:rsidR="00EF6ACE" w:rsidRPr="00422D05">
              <w:t>Guidance</w:t>
            </w:r>
            <w:r w:rsidRPr="00422D05">
              <w:t xml:space="preserve"> – Responsible Body’s declaration</w:t>
            </w:r>
          </w:p>
        </w:tc>
        <w:tc>
          <w:tcPr>
            <w:cnfStyle w:val="000010000000" w:firstRow="0" w:lastRow="0" w:firstColumn="0" w:lastColumn="0" w:oddVBand="1" w:evenVBand="0" w:oddHBand="0" w:evenHBand="0" w:firstRowFirstColumn="0" w:firstRowLastColumn="0" w:lastRowFirstColumn="0" w:lastRowLastColumn="0"/>
            <w:tcW w:w="996" w:type="pct"/>
          </w:tcPr>
          <w:p w:rsidR="0013473D" w:rsidRPr="00422D05" w:rsidRDefault="0013473D" w:rsidP="007800B3">
            <w:pPr>
              <w:pStyle w:val="Tabletext"/>
            </w:pPr>
            <w:r w:rsidRPr="00422D05">
              <w:t xml:space="preserve">SD 5.2.3 </w:t>
            </w:r>
            <w:r w:rsidRPr="00422D05">
              <w:rPr>
                <w:i/>
              </w:rPr>
              <w:t>Declaration in report of operations</w:t>
            </w:r>
          </w:p>
        </w:tc>
        <w:tc>
          <w:tcPr>
            <w:cnfStyle w:val="000001000000" w:firstRow="0" w:lastRow="0" w:firstColumn="0" w:lastColumn="0" w:oddVBand="0" w:evenVBand="1" w:oddHBand="0" w:evenHBand="0" w:firstRowFirstColumn="0" w:firstRowLastColumn="0" w:lastRowFirstColumn="0" w:lastRowLastColumn="0"/>
            <w:tcW w:w="2500" w:type="pct"/>
          </w:tcPr>
          <w:p w:rsidR="0013473D" w:rsidRPr="00422D05" w:rsidRDefault="0013473D" w:rsidP="0013473D">
            <w:pPr>
              <w:pStyle w:val="Tabletext"/>
            </w:pPr>
            <w:r w:rsidRPr="00422D05">
              <w:t xml:space="preserve">The section has been amended to reflect the revised reporting requirements in SD 5.2.3 in relation to declaration in report of operations. </w:t>
            </w:r>
          </w:p>
        </w:tc>
        <w:tc>
          <w:tcPr>
            <w:cnfStyle w:val="000100000000" w:firstRow="0" w:lastRow="0" w:firstColumn="0" w:lastColumn="1" w:oddVBand="0" w:evenVBand="0" w:oddHBand="0" w:evenHBand="0" w:firstRowFirstColumn="0" w:firstRowLastColumn="0" w:lastRowFirstColumn="0" w:lastRowLastColumn="0"/>
            <w:tcW w:w="636" w:type="pct"/>
          </w:tcPr>
          <w:p w:rsidR="0013473D" w:rsidRPr="00422D05" w:rsidRDefault="00903248" w:rsidP="00531A8A">
            <w:pPr>
              <w:pStyle w:val="Tabletextcentred"/>
              <w:jc w:val="left"/>
            </w:pPr>
            <w:r w:rsidRPr="00422D05">
              <w:t>12</w:t>
            </w:r>
          </w:p>
        </w:tc>
      </w:tr>
      <w:tr w:rsidR="007800B3" w:rsidRPr="00422D05" w:rsidTr="007800B3">
        <w:tc>
          <w:tcPr>
            <w:cnfStyle w:val="001000000000" w:firstRow="0" w:lastRow="0" w:firstColumn="1" w:lastColumn="0" w:oddVBand="0" w:evenVBand="0" w:oddHBand="0" w:evenHBand="0" w:firstRowFirstColumn="0" w:firstRowLastColumn="0" w:lastRowFirstColumn="0" w:lastRowLastColumn="0"/>
            <w:tcW w:w="868" w:type="pct"/>
          </w:tcPr>
          <w:p w:rsidR="007800B3" w:rsidRPr="00422D05" w:rsidRDefault="00AC7330" w:rsidP="00B96C9B">
            <w:pPr>
              <w:pStyle w:val="Tabletext"/>
            </w:pPr>
            <w:r w:rsidRPr="00422D05">
              <w:rPr>
                <w:color w:val="FF0000"/>
              </w:rPr>
              <w:t>[New]</w:t>
            </w:r>
            <w:r w:rsidR="00A571DD" w:rsidRPr="00422D05">
              <w:t xml:space="preserve"> </w:t>
            </w:r>
            <w:r w:rsidR="00EF6ACE" w:rsidRPr="00422D05">
              <w:t xml:space="preserve">Guidance </w:t>
            </w:r>
            <w:r w:rsidR="006255AF" w:rsidRPr="00422D05">
              <w:t>– Changes to a department during 2016-17</w:t>
            </w:r>
          </w:p>
        </w:tc>
        <w:tc>
          <w:tcPr>
            <w:cnfStyle w:val="000010000000" w:firstRow="0" w:lastRow="0" w:firstColumn="0" w:lastColumn="0" w:oddVBand="1" w:evenVBand="0" w:oddHBand="0" w:evenHBand="0" w:firstRowFirstColumn="0" w:firstRowLastColumn="0" w:lastRowFirstColumn="0" w:lastRowLastColumn="0"/>
            <w:tcW w:w="996" w:type="pct"/>
          </w:tcPr>
          <w:p w:rsidR="007800B3" w:rsidRPr="00422D05" w:rsidRDefault="001E5BC2" w:rsidP="007800B3">
            <w:pPr>
              <w:pStyle w:val="Tabletext"/>
            </w:pPr>
            <w:r w:rsidRPr="00422D05">
              <w:t>VPS operating manual on machinery of government changes</w:t>
            </w:r>
          </w:p>
        </w:tc>
        <w:tc>
          <w:tcPr>
            <w:cnfStyle w:val="000001000000" w:firstRow="0" w:lastRow="0" w:firstColumn="0" w:lastColumn="0" w:oddVBand="0" w:evenVBand="1" w:oddHBand="0" w:evenHBand="0" w:firstRowFirstColumn="0" w:firstRowLastColumn="0" w:lastRowFirstColumn="0" w:lastRowLastColumn="0"/>
            <w:tcW w:w="2500" w:type="pct"/>
          </w:tcPr>
          <w:p w:rsidR="007800B3" w:rsidRPr="00422D05" w:rsidRDefault="001E5BC2" w:rsidP="00422F66">
            <w:pPr>
              <w:pStyle w:val="Tabletext"/>
            </w:pPr>
            <w:r w:rsidRPr="00422D05">
              <w:t xml:space="preserve">A reference to VPS operating manual on machinery of government changes </w:t>
            </w:r>
            <w:r w:rsidR="00422F66" w:rsidRPr="00422D05">
              <w:t>has been</w:t>
            </w:r>
            <w:r w:rsidRPr="00422D05">
              <w:t xml:space="preserve"> added.</w:t>
            </w:r>
          </w:p>
        </w:tc>
        <w:tc>
          <w:tcPr>
            <w:cnfStyle w:val="000100000000" w:firstRow="0" w:lastRow="0" w:firstColumn="0" w:lastColumn="1" w:oddVBand="0" w:evenVBand="0" w:oddHBand="0" w:evenHBand="0" w:firstRowFirstColumn="0" w:firstRowLastColumn="0" w:lastRowFirstColumn="0" w:lastRowLastColumn="0"/>
            <w:tcW w:w="636" w:type="pct"/>
          </w:tcPr>
          <w:p w:rsidR="007800B3" w:rsidRPr="00422D05" w:rsidRDefault="00903248" w:rsidP="00531A8A">
            <w:pPr>
              <w:pStyle w:val="Tabletextcentred"/>
              <w:jc w:val="left"/>
            </w:pPr>
            <w:r w:rsidRPr="00422D05">
              <w:t>15</w:t>
            </w:r>
          </w:p>
        </w:tc>
      </w:tr>
      <w:tr w:rsidR="00B11A1C" w:rsidRPr="00422D05" w:rsidTr="00780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B11A1C" w:rsidRPr="00422D05" w:rsidRDefault="00B11A1C" w:rsidP="00B11A1C">
            <w:pPr>
              <w:pStyle w:val="Tabletext"/>
            </w:pPr>
            <w:r w:rsidRPr="00422D05">
              <w:rPr>
                <w:color w:val="FF0000"/>
              </w:rPr>
              <w:t xml:space="preserve">[New] </w:t>
            </w:r>
            <w:r w:rsidRPr="00422D05">
              <w:t>Direct costs attributable to machinery of government changes</w:t>
            </w:r>
          </w:p>
        </w:tc>
        <w:tc>
          <w:tcPr>
            <w:cnfStyle w:val="000010000000" w:firstRow="0" w:lastRow="0" w:firstColumn="0" w:lastColumn="0" w:oddVBand="1" w:evenVBand="0" w:oddHBand="0" w:evenHBand="0" w:firstRowFirstColumn="0" w:firstRowLastColumn="0" w:lastRowFirstColumn="0" w:lastRowLastColumn="0"/>
            <w:tcW w:w="996" w:type="pct"/>
          </w:tcPr>
          <w:p w:rsidR="00B11A1C" w:rsidRPr="00422D05" w:rsidRDefault="00B11A1C" w:rsidP="00536AE7">
            <w:pPr>
              <w:pStyle w:val="Tabletext"/>
            </w:pPr>
            <w:r w:rsidRPr="00422D05">
              <w:t>Recommendation 39, PAEC Report on the 2015-16 Budget Estimates</w:t>
            </w:r>
          </w:p>
        </w:tc>
        <w:tc>
          <w:tcPr>
            <w:cnfStyle w:val="000001000000" w:firstRow="0" w:lastRow="0" w:firstColumn="0" w:lastColumn="0" w:oddVBand="0" w:evenVBand="1" w:oddHBand="0" w:evenHBand="0" w:firstRowFirstColumn="0" w:firstRowLastColumn="0" w:lastRowFirstColumn="0" w:lastRowLastColumn="0"/>
            <w:tcW w:w="2500" w:type="pct"/>
          </w:tcPr>
          <w:p w:rsidR="00B11A1C" w:rsidRPr="00422D05" w:rsidDel="00802E5F" w:rsidRDefault="00B11A1C" w:rsidP="008C4531">
            <w:pPr>
              <w:pStyle w:val="Tabletext"/>
            </w:pPr>
            <w:r w:rsidRPr="00422D05">
              <w:t>A disclosure on direct costs attributable to MoG changes has been added in accordance with the Government’s response to the PAEC recommendation.</w:t>
            </w:r>
          </w:p>
        </w:tc>
        <w:tc>
          <w:tcPr>
            <w:cnfStyle w:val="000100000000" w:firstRow="0" w:lastRow="0" w:firstColumn="0" w:lastColumn="1" w:oddVBand="0" w:evenVBand="0" w:oddHBand="0" w:evenHBand="0" w:firstRowFirstColumn="0" w:firstRowLastColumn="0" w:lastRowFirstColumn="0" w:lastRowLastColumn="0"/>
            <w:tcW w:w="636" w:type="pct"/>
          </w:tcPr>
          <w:p w:rsidR="00B11A1C" w:rsidRPr="00422D05" w:rsidRDefault="00903248" w:rsidP="00531A8A">
            <w:pPr>
              <w:pStyle w:val="Tabletextcentred"/>
              <w:jc w:val="left"/>
            </w:pPr>
            <w:r w:rsidRPr="00422D05">
              <w:t>16</w:t>
            </w:r>
          </w:p>
        </w:tc>
      </w:tr>
      <w:tr w:rsidR="00B11A1C" w:rsidRPr="00422D05" w:rsidTr="007800B3">
        <w:tc>
          <w:tcPr>
            <w:cnfStyle w:val="001000000000" w:firstRow="0" w:lastRow="0" w:firstColumn="1" w:lastColumn="0" w:oddVBand="0" w:evenVBand="0" w:oddHBand="0" w:evenHBand="0" w:firstRowFirstColumn="0" w:firstRowLastColumn="0" w:lastRowFirstColumn="0" w:lastRowLastColumn="0"/>
            <w:tcW w:w="868" w:type="pct"/>
          </w:tcPr>
          <w:p w:rsidR="00B11A1C" w:rsidRPr="00422D05" w:rsidRDefault="00B11A1C" w:rsidP="00D73467">
            <w:pPr>
              <w:pStyle w:val="Tabletext"/>
            </w:pPr>
            <w:r w:rsidRPr="00422D05">
              <w:rPr>
                <w:color w:val="FF0000"/>
              </w:rPr>
              <w:t>[</w:t>
            </w:r>
            <w:r w:rsidR="00D73467" w:rsidRPr="00422D05">
              <w:rPr>
                <w:color w:val="FF0000"/>
              </w:rPr>
              <w:t>New</w:t>
            </w:r>
            <w:r w:rsidRPr="00422D05">
              <w:rPr>
                <w:color w:val="FF0000"/>
              </w:rPr>
              <w:t xml:space="preserve">] </w:t>
            </w:r>
            <w:r w:rsidRPr="00422D05">
              <w:t>Reporting progress towards achieving departmental objectives in the report of operations</w:t>
            </w:r>
          </w:p>
        </w:tc>
        <w:tc>
          <w:tcPr>
            <w:cnfStyle w:val="000010000000" w:firstRow="0" w:lastRow="0" w:firstColumn="0" w:lastColumn="0" w:oddVBand="1" w:evenVBand="0" w:oddHBand="0" w:evenHBand="0" w:firstRowFirstColumn="0" w:firstRowLastColumn="0" w:lastRowFirstColumn="0" w:lastRowLastColumn="0"/>
            <w:tcW w:w="996" w:type="pct"/>
          </w:tcPr>
          <w:p w:rsidR="00B11A1C" w:rsidRPr="00422D05" w:rsidRDefault="008C4531" w:rsidP="00ED3976">
            <w:pPr>
              <w:pStyle w:val="Tabletext"/>
            </w:pPr>
            <w:r w:rsidRPr="00422D05">
              <w:t xml:space="preserve">2013-14 Budget </w:t>
            </w:r>
            <w:r w:rsidR="00ED3976" w:rsidRPr="00422D05">
              <w:t>Paper</w:t>
            </w:r>
            <w:r w:rsidRPr="00422D05">
              <w:t xml:space="preserve"> No.3 Service Delivery (BP3)</w:t>
            </w:r>
          </w:p>
        </w:tc>
        <w:tc>
          <w:tcPr>
            <w:cnfStyle w:val="000001000000" w:firstRow="0" w:lastRow="0" w:firstColumn="0" w:lastColumn="0" w:oddVBand="0" w:evenVBand="1" w:oddHBand="0" w:evenHBand="0" w:firstRowFirstColumn="0" w:firstRowLastColumn="0" w:lastRowFirstColumn="0" w:lastRowLastColumn="0"/>
            <w:tcW w:w="2500" w:type="pct"/>
          </w:tcPr>
          <w:p w:rsidR="00B11A1C" w:rsidRPr="00422D05" w:rsidRDefault="005B3E8B" w:rsidP="00ED3976">
            <w:pPr>
              <w:pStyle w:val="Tabletext"/>
            </w:pPr>
            <w:r>
              <w:t>Tables</w:t>
            </w:r>
            <w:r w:rsidR="00B11A1C" w:rsidRPr="00422D05">
              <w:t xml:space="preserve"> 2 and 3 have been </w:t>
            </w:r>
            <w:r w:rsidR="00ED3976" w:rsidRPr="00422D05">
              <w:t>updated</w:t>
            </w:r>
            <w:r w:rsidR="00B11A1C" w:rsidRPr="00422D05">
              <w:t xml:space="preserve"> to include four financial years (i.e. from 2013-14 to 2016-17) as per the objective indicators</w:t>
            </w:r>
            <w:r w:rsidR="008C4531" w:rsidRPr="00422D05">
              <w:t xml:space="preserve"> </w:t>
            </w:r>
            <w:r w:rsidR="00B11A1C" w:rsidRPr="00422D05">
              <w:t xml:space="preserve">introduced in the 2013-14 Budget Paper No.3 </w:t>
            </w:r>
            <w:r w:rsidR="00B11A1C" w:rsidRPr="00422D05">
              <w:rPr>
                <w:i/>
              </w:rPr>
              <w:t>Service Delivery</w:t>
            </w:r>
            <w:r w:rsidR="00B11A1C" w:rsidRPr="00422D05">
              <w:t>.</w:t>
            </w:r>
          </w:p>
        </w:tc>
        <w:tc>
          <w:tcPr>
            <w:cnfStyle w:val="000100000000" w:firstRow="0" w:lastRow="0" w:firstColumn="0" w:lastColumn="1" w:oddVBand="0" w:evenVBand="0" w:oddHBand="0" w:evenHBand="0" w:firstRowFirstColumn="0" w:firstRowLastColumn="0" w:lastRowFirstColumn="0" w:lastRowLastColumn="0"/>
            <w:tcW w:w="636" w:type="pct"/>
          </w:tcPr>
          <w:p w:rsidR="00B11A1C" w:rsidRPr="00422D05" w:rsidRDefault="00903248" w:rsidP="00531A8A">
            <w:pPr>
              <w:pStyle w:val="Tabletextcentred"/>
              <w:jc w:val="left"/>
            </w:pPr>
            <w:r w:rsidRPr="00422D05">
              <w:t>17-18</w:t>
            </w:r>
          </w:p>
        </w:tc>
      </w:tr>
      <w:tr w:rsidR="00B11A1C" w:rsidRPr="00422D05" w:rsidTr="00780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B11A1C" w:rsidRPr="00422D05" w:rsidRDefault="00B11A1C" w:rsidP="00B96C9B">
            <w:pPr>
              <w:pStyle w:val="Tabletext"/>
            </w:pPr>
            <w:r w:rsidRPr="00422D05">
              <w:rPr>
                <w:color w:val="FF0000"/>
              </w:rPr>
              <w:t xml:space="preserve">[New] </w:t>
            </w:r>
            <w:r w:rsidR="00EF6ACE" w:rsidRPr="00422D05">
              <w:t xml:space="preserve">Guidance </w:t>
            </w:r>
            <w:r w:rsidRPr="00422D05">
              <w:t>– Reporting progress towards achieving departmental objectives in the report of operations</w:t>
            </w:r>
          </w:p>
        </w:tc>
        <w:tc>
          <w:tcPr>
            <w:cnfStyle w:val="000010000000" w:firstRow="0" w:lastRow="0" w:firstColumn="0" w:lastColumn="0" w:oddVBand="1" w:evenVBand="0" w:oddHBand="0" w:evenHBand="0" w:firstRowFirstColumn="0" w:firstRowLastColumn="0" w:lastRowFirstColumn="0" w:lastRowLastColumn="0"/>
            <w:tcW w:w="996" w:type="pct"/>
          </w:tcPr>
          <w:p w:rsidR="00B11A1C" w:rsidRPr="00422D05" w:rsidDel="000B3FB9" w:rsidRDefault="00B11A1C" w:rsidP="007800B3">
            <w:pPr>
              <w:pStyle w:val="Tabletext"/>
            </w:pPr>
            <w:r w:rsidRPr="00422D05">
              <w:t>Recommendation 17, PAEC Report on 2013-14 and 2014-15 Financial and Performance Outcomes</w:t>
            </w:r>
          </w:p>
        </w:tc>
        <w:tc>
          <w:tcPr>
            <w:cnfStyle w:val="000001000000" w:firstRow="0" w:lastRow="0" w:firstColumn="0" w:lastColumn="0" w:oddVBand="0" w:evenVBand="1" w:oddHBand="0" w:evenHBand="0" w:firstRowFirstColumn="0" w:firstRowLastColumn="0" w:lastRowFirstColumn="0" w:lastRowLastColumn="0"/>
            <w:tcW w:w="2500" w:type="pct"/>
          </w:tcPr>
          <w:p w:rsidR="00B11A1C" w:rsidRPr="00422D05" w:rsidRDefault="00B11A1C" w:rsidP="005B3E8B">
            <w:pPr>
              <w:pStyle w:val="Tabletext"/>
            </w:pPr>
            <w:r w:rsidRPr="00422D05">
              <w:t xml:space="preserve">A note has been added to advise preparers </w:t>
            </w:r>
            <w:r w:rsidR="00ED3976" w:rsidRPr="00422D05">
              <w:t xml:space="preserve">that departments are required to report against the key initiatives </w:t>
            </w:r>
            <w:r w:rsidR="005B3E8B">
              <w:t>from their</w:t>
            </w:r>
            <w:r w:rsidR="00ED3976" w:rsidRPr="00422D05">
              <w:t xml:space="preserve"> 2017-18 corporate plan in their annual report </w:t>
            </w:r>
            <w:r w:rsidRPr="00422D05">
              <w:t>from 2017-18.</w:t>
            </w:r>
          </w:p>
        </w:tc>
        <w:tc>
          <w:tcPr>
            <w:cnfStyle w:val="000100000000" w:firstRow="0" w:lastRow="0" w:firstColumn="0" w:lastColumn="1" w:oddVBand="0" w:evenVBand="0" w:oddHBand="0" w:evenHBand="0" w:firstRowFirstColumn="0" w:firstRowLastColumn="0" w:lastRowFirstColumn="0" w:lastRowLastColumn="0"/>
            <w:tcW w:w="636" w:type="pct"/>
          </w:tcPr>
          <w:p w:rsidR="00B11A1C" w:rsidRPr="00422D05" w:rsidDel="000B3FB9" w:rsidRDefault="00903248" w:rsidP="00531A8A">
            <w:pPr>
              <w:pStyle w:val="Tabletextcentred"/>
              <w:jc w:val="left"/>
            </w:pPr>
            <w:r w:rsidRPr="00422D05">
              <w:t>18</w:t>
            </w:r>
          </w:p>
        </w:tc>
      </w:tr>
      <w:tr w:rsidR="00B11A1C" w:rsidRPr="00422D05" w:rsidTr="007800B3">
        <w:tc>
          <w:tcPr>
            <w:cnfStyle w:val="001000000000" w:firstRow="0" w:lastRow="0" w:firstColumn="1" w:lastColumn="0" w:oddVBand="0" w:evenVBand="0" w:oddHBand="0" w:evenHBand="0" w:firstRowFirstColumn="0" w:firstRowLastColumn="0" w:lastRowFirstColumn="0" w:lastRowLastColumn="0"/>
            <w:tcW w:w="868" w:type="pct"/>
          </w:tcPr>
          <w:p w:rsidR="00B11A1C" w:rsidRPr="00422D05" w:rsidRDefault="00B11A1C" w:rsidP="007D2167">
            <w:pPr>
              <w:pStyle w:val="Tabletext"/>
            </w:pPr>
            <w:r w:rsidRPr="00422D05">
              <w:rPr>
                <w:color w:val="FF0000"/>
              </w:rPr>
              <w:t xml:space="preserve">[New] </w:t>
            </w:r>
            <w:r w:rsidR="007D2167" w:rsidRPr="00422D05">
              <w:t>Guidance</w:t>
            </w:r>
            <w:r w:rsidRPr="00422D05">
              <w:t xml:space="preserve"> – Performance against output performance measures</w:t>
            </w:r>
          </w:p>
        </w:tc>
        <w:tc>
          <w:tcPr>
            <w:cnfStyle w:val="000010000000" w:firstRow="0" w:lastRow="0" w:firstColumn="0" w:lastColumn="0" w:oddVBand="1" w:evenVBand="0" w:oddHBand="0" w:evenHBand="0" w:firstRowFirstColumn="0" w:firstRowLastColumn="0" w:lastRowFirstColumn="0" w:lastRowLastColumn="0"/>
            <w:tcW w:w="996" w:type="pct"/>
          </w:tcPr>
          <w:p w:rsidR="00B11A1C" w:rsidRPr="00422D05" w:rsidDel="000B3FB9" w:rsidRDefault="00B11A1C" w:rsidP="007800B3">
            <w:pPr>
              <w:pStyle w:val="Tabletext"/>
            </w:pPr>
            <w:r w:rsidRPr="00422D05">
              <w:t>General improvements</w:t>
            </w:r>
          </w:p>
        </w:tc>
        <w:tc>
          <w:tcPr>
            <w:cnfStyle w:val="000001000000" w:firstRow="0" w:lastRow="0" w:firstColumn="0" w:lastColumn="0" w:oddVBand="0" w:evenVBand="1" w:oddHBand="0" w:evenHBand="0" w:firstRowFirstColumn="0" w:firstRowLastColumn="0" w:lastRowFirstColumn="0" w:lastRowLastColumn="0"/>
            <w:tcW w:w="2500" w:type="pct"/>
          </w:tcPr>
          <w:p w:rsidR="00B11A1C" w:rsidRPr="00422D05" w:rsidRDefault="00B11A1C" w:rsidP="00422F66">
            <w:pPr>
              <w:pStyle w:val="Tabletext"/>
            </w:pPr>
            <w:r w:rsidRPr="00422D05">
              <w:t>A note has been added to provide guidance on the requirements in relation to discontinued output performance measures.</w:t>
            </w:r>
          </w:p>
        </w:tc>
        <w:tc>
          <w:tcPr>
            <w:cnfStyle w:val="000100000000" w:firstRow="0" w:lastRow="0" w:firstColumn="0" w:lastColumn="1" w:oddVBand="0" w:evenVBand="0" w:oddHBand="0" w:evenHBand="0" w:firstRowFirstColumn="0" w:firstRowLastColumn="0" w:lastRowFirstColumn="0" w:lastRowLastColumn="0"/>
            <w:tcW w:w="636" w:type="pct"/>
          </w:tcPr>
          <w:p w:rsidR="00B11A1C" w:rsidRPr="00422D05" w:rsidDel="000B3FB9" w:rsidRDefault="00903248" w:rsidP="00531A8A">
            <w:pPr>
              <w:pStyle w:val="Tabletextcentred"/>
              <w:jc w:val="left"/>
            </w:pPr>
            <w:r w:rsidRPr="00422D05">
              <w:t>24</w:t>
            </w:r>
          </w:p>
        </w:tc>
      </w:tr>
      <w:tr w:rsidR="00B11A1C" w:rsidRPr="00422D05" w:rsidTr="00780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B11A1C" w:rsidRPr="00422D05" w:rsidRDefault="00B11A1C" w:rsidP="00B96C9B">
            <w:pPr>
              <w:pStyle w:val="Tabletext"/>
            </w:pPr>
            <w:r w:rsidRPr="00422D05">
              <w:rPr>
                <w:color w:val="FF0000"/>
              </w:rPr>
              <w:t xml:space="preserve">[New] </w:t>
            </w:r>
            <w:r w:rsidR="00EF6ACE" w:rsidRPr="00422D05">
              <w:t xml:space="preserve">Guidance </w:t>
            </w:r>
            <w:r w:rsidRPr="00422D05">
              <w:t>– Budget portfolio outcomes</w:t>
            </w:r>
          </w:p>
        </w:tc>
        <w:tc>
          <w:tcPr>
            <w:cnfStyle w:val="000010000000" w:firstRow="0" w:lastRow="0" w:firstColumn="0" w:lastColumn="0" w:oddVBand="1" w:evenVBand="0" w:oddHBand="0" w:evenHBand="0" w:firstRowFirstColumn="0" w:firstRowLastColumn="0" w:lastRowFirstColumn="0" w:lastRowLastColumn="0"/>
            <w:tcW w:w="996" w:type="pct"/>
          </w:tcPr>
          <w:p w:rsidR="00B11A1C" w:rsidRPr="00422D05" w:rsidDel="000B3FB9" w:rsidRDefault="00B11A1C" w:rsidP="007800B3">
            <w:pPr>
              <w:pStyle w:val="Tabletext"/>
            </w:pPr>
            <w:r w:rsidRPr="00422D05">
              <w:t>Recommendation 15, PAEC Report on 2013-14 and 2014-15 Financial and Performance Outcomes</w:t>
            </w:r>
          </w:p>
        </w:tc>
        <w:tc>
          <w:tcPr>
            <w:cnfStyle w:val="000001000000" w:firstRow="0" w:lastRow="0" w:firstColumn="0" w:lastColumn="0" w:oddVBand="0" w:evenVBand="1" w:oddHBand="0" w:evenHBand="0" w:firstRowFirstColumn="0" w:firstRowLastColumn="0" w:lastRowFirstColumn="0" w:lastRowLastColumn="0"/>
            <w:tcW w:w="2500" w:type="pct"/>
          </w:tcPr>
          <w:p w:rsidR="00B11A1C" w:rsidRPr="00422D05" w:rsidRDefault="00B11A1C" w:rsidP="00422F66">
            <w:pPr>
              <w:pStyle w:val="Tabletext"/>
            </w:pPr>
            <w:r w:rsidRPr="00422D05">
              <w:t xml:space="preserve">A note has been added to advise preparers that departments need to include published budget and the revised budget including adjustments for the machinery of government changes.  </w:t>
            </w:r>
          </w:p>
        </w:tc>
        <w:tc>
          <w:tcPr>
            <w:cnfStyle w:val="000100000000" w:firstRow="0" w:lastRow="0" w:firstColumn="0" w:lastColumn="1" w:oddVBand="0" w:evenVBand="0" w:oddHBand="0" w:evenHBand="0" w:firstRowFirstColumn="0" w:firstRowLastColumn="0" w:lastRowFirstColumn="0" w:lastRowLastColumn="0"/>
            <w:tcW w:w="636" w:type="pct"/>
          </w:tcPr>
          <w:p w:rsidR="00B11A1C" w:rsidRPr="00422D05" w:rsidDel="000B3FB9" w:rsidRDefault="00903248" w:rsidP="00531A8A">
            <w:pPr>
              <w:pStyle w:val="Tabletextcentred"/>
              <w:jc w:val="left"/>
            </w:pPr>
            <w:r w:rsidRPr="00422D05">
              <w:t>26</w:t>
            </w:r>
          </w:p>
        </w:tc>
      </w:tr>
      <w:tr w:rsidR="008C4531" w:rsidRPr="00422D05" w:rsidTr="007800B3">
        <w:tc>
          <w:tcPr>
            <w:cnfStyle w:val="001000000000" w:firstRow="0" w:lastRow="0" w:firstColumn="1" w:lastColumn="0" w:oddVBand="0" w:evenVBand="0" w:oddHBand="0" w:evenHBand="0" w:firstRowFirstColumn="0" w:firstRowLastColumn="0" w:lastRowFirstColumn="0" w:lastRowLastColumn="0"/>
            <w:tcW w:w="868" w:type="pct"/>
          </w:tcPr>
          <w:p w:rsidR="008C4531" w:rsidRPr="00422D05" w:rsidRDefault="008C4531" w:rsidP="008C4531">
            <w:pPr>
              <w:pStyle w:val="Tabletext"/>
              <w:rPr>
                <w:color w:val="FF0000"/>
              </w:rPr>
            </w:pPr>
            <w:r w:rsidRPr="00422D05">
              <w:rPr>
                <w:color w:val="FF0000"/>
              </w:rPr>
              <w:t xml:space="preserve">[Revised] </w:t>
            </w:r>
            <w:r w:rsidRPr="00422D05">
              <w:t>Capital projects/asset investment programs</w:t>
            </w:r>
            <w:r w:rsidR="00EF6ACE" w:rsidRPr="00422D05">
              <w:t xml:space="preserve"> and its guidance</w:t>
            </w:r>
          </w:p>
        </w:tc>
        <w:tc>
          <w:tcPr>
            <w:cnfStyle w:val="000010000000" w:firstRow="0" w:lastRow="0" w:firstColumn="0" w:lastColumn="0" w:oddVBand="1" w:evenVBand="0" w:oddHBand="0" w:evenHBand="0" w:firstRowFirstColumn="0" w:firstRowLastColumn="0" w:lastRowFirstColumn="0" w:lastRowLastColumn="0"/>
            <w:tcW w:w="996" w:type="pct"/>
          </w:tcPr>
          <w:p w:rsidR="008C4531" w:rsidRPr="00422D05" w:rsidRDefault="008C4531" w:rsidP="007800B3">
            <w:pPr>
              <w:pStyle w:val="Tabletext"/>
            </w:pPr>
            <w:r w:rsidRPr="00422D05">
              <w:t>General improvements</w:t>
            </w:r>
          </w:p>
        </w:tc>
        <w:tc>
          <w:tcPr>
            <w:cnfStyle w:val="000001000000" w:firstRow="0" w:lastRow="0" w:firstColumn="0" w:lastColumn="0" w:oddVBand="0" w:evenVBand="1" w:oddHBand="0" w:evenHBand="0" w:firstRowFirstColumn="0" w:firstRowLastColumn="0" w:lastRowFirstColumn="0" w:lastRowLastColumn="0"/>
            <w:tcW w:w="2500" w:type="pct"/>
          </w:tcPr>
          <w:p w:rsidR="008C4531" w:rsidRPr="00422D05" w:rsidRDefault="00EF6ACE" w:rsidP="00EF6ACE">
            <w:pPr>
              <w:pStyle w:val="Tabletext"/>
            </w:pPr>
            <w:r w:rsidRPr="00422D05">
              <w:t xml:space="preserve">In table 1, the header, ‘actual completion date’ has been updated to ‘practical/actual completion date’ and the definition of practical completion date has been added to the guidance for clarification of the requirements.   </w:t>
            </w:r>
          </w:p>
        </w:tc>
        <w:tc>
          <w:tcPr>
            <w:cnfStyle w:val="000100000000" w:firstRow="0" w:lastRow="0" w:firstColumn="0" w:lastColumn="1" w:oddVBand="0" w:evenVBand="0" w:oddHBand="0" w:evenHBand="0" w:firstRowFirstColumn="0" w:firstRowLastColumn="0" w:lastRowFirstColumn="0" w:lastRowLastColumn="0"/>
            <w:tcW w:w="636" w:type="pct"/>
          </w:tcPr>
          <w:p w:rsidR="008C4531" w:rsidRPr="00422D05" w:rsidRDefault="00903248" w:rsidP="00531A8A">
            <w:pPr>
              <w:pStyle w:val="Tabletextcentred"/>
              <w:jc w:val="left"/>
            </w:pPr>
            <w:r w:rsidRPr="00422D05">
              <w:t>28-29</w:t>
            </w:r>
          </w:p>
        </w:tc>
      </w:tr>
      <w:tr w:rsidR="00B11A1C" w:rsidRPr="00422D05" w:rsidTr="00780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B11A1C" w:rsidRPr="00422D05" w:rsidRDefault="00B11A1C" w:rsidP="00B96C9B">
            <w:pPr>
              <w:pStyle w:val="Tabletext"/>
            </w:pPr>
            <w:r w:rsidRPr="00422D05">
              <w:rPr>
                <w:color w:val="FF0000"/>
              </w:rPr>
              <w:t xml:space="preserve">[Revised] </w:t>
            </w:r>
            <w:r w:rsidRPr="00422D05">
              <w:t xml:space="preserve">Audit Committee membership and </w:t>
            </w:r>
            <w:r w:rsidRPr="00422D05">
              <w:lastRenderedPageBreak/>
              <w:t>roles</w:t>
            </w:r>
          </w:p>
        </w:tc>
        <w:tc>
          <w:tcPr>
            <w:cnfStyle w:val="000010000000" w:firstRow="0" w:lastRow="0" w:firstColumn="0" w:lastColumn="0" w:oddVBand="1" w:evenVBand="0" w:oddHBand="0" w:evenHBand="0" w:firstRowFirstColumn="0" w:firstRowLastColumn="0" w:lastRowFirstColumn="0" w:lastRowLastColumn="0"/>
            <w:tcW w:w="996" w:type="pct"/>
          </w:tcPr>
          <w:p w:rsidR="00B11A1C" w:rsidRPr="00422D05" w:rsidDel="000B3FB9" w:rsidRDefault="00B11A1C" w:rsidP="007800B3">
            <w:pPr>
              <w:pStyle w:val="Tabletext"/>
            </w:pPr>
            <w:r w:rsidRPr="00422D05">
              <w:lastRenderedPageBreak/>
              <w:t>SD 3.2.1.3(f)</w:t>
            </w:r>
          </w:p>
        </w:tc>
        <w:tc>
          <w:tcPr>
            <w:cnfStyle w:val="000001000000" w:firstRow="0" w:lastRow="0" w:firstColumn="0" w:lastColumn="0" w:oddVBand="0" w:evenVBand="1" w:oddHBand="0" w:evenHBand="0" w:firstRowFirstColumn="0" w:firstRowLastColumn="0" w:lastRowFirstColumn="0" w:lastRowLastColumn="0"/>
            <w:tcW w:w="2500" w:type="pct"/>
          </w:tcPr>
          <w:p w:rsidR="00B11A1C" w:rsidRPr="00422D05" w:rsidRDefault="00B11A1C" w:rsidP="00422F66">
            <w:pPr>
              <w:pStyle w:val="Tabletext"/>
            </w:pPr>
            <w:r w:rsidRPr="00422D05">
              <w:t xml:space="preserve">The section has been amended to meet the revised requirements in relation to minimum number of independent members in the Audit committee in SD </w:t>
            </w:r>
            <w:r w:rsidRPr="00422D05">
              <w:lastRenderedPageBreak/>
              <w:t>3.2.1.3(f).</w:t>
            </w:r>
          </w:p>
        </w:tc>
        <w:tc>
          <w:tcPr>
            <w:cnfStyle w:val="000100000000" w:firstRow="0" w:lastRow="0" w:firstColumn="0" w:lastColumn="1" w:oddVBand="0" w:evenVBand="0" w:oddHBand="0" w:evenHBand="0" w:firstRowFirstColumn="0" w:firstRowLastColumn="0" w:lastRowFirstColumn="0" w:lastRowLastColumn="0"/>
            <w:tcW w:w="636" w:type="pct"/>
          </w:tcPr>
          <w:p w:rsidR="00B11A1C" w:rsidRPr="00422D05" w:rsidDel="000B3FB9" w:rsidRDefault="00903248" w:rsidP="00531A8A">
            <w:pPr>
              <w:pStyle w:val="Tabletextcentred"/>
              <w:jc w:val="left"/>
            </w:pPr>
            <w:r w:rsidRPr="00422D05">
              <w:lastRenderedPageBreak/>
              <w:t>34</w:t>
            </w:r>
          </w:p>
        </w:tc>
      </w:tr>
      <w:tr w:rsidR="007D2167" w:rsidRPr="00422D05" w:rsidTr="007800B3">
        <w:tc>
          <w:tcPr>
            <w:cnfStyle w:val="001000000000" w:firstRow="0" w:lastRow="0" w:firstColumn="1" w:lastColumn="0" w:oddVBand="0" w:evenVBand="0" w:oddHBand="0" w:evenHBand="0" w:firstRowFirstColumn="0" w:firstRowLastColumn="0" w:lastRowFirstColumn="0" w:lastRowLastColumn="0"/>
            <w:tcW w:w="868" w:type="pct"/>
          </w:tcPr>
          <w:p w:rsidR="007D2167" w:rsidRPr="00422D05" w:rsidRDefault="007D2167" w:rsidP="007D2167">
            <w:pPr>
              <w:pStyle w:val="Tabletext"/>
              <w:rPr>
                <w:color w:val="FF0000"/>
              </w:rPr>
            </w:pPr>
            <w:r w:rsidRPr="00422D05">
              <w:rPr>
                <w:color w:val="FF0000"/>
              </w:rPr>
              <w:lastRenderedPageBreak/>
              <w:t>[Revised]</w:t>
            </w:r>
            <w:r w:rsidRPr="00422D05">
              <w:t xml:space="preserve"> Public sector values and employment principles and its guidance</w:t>
            </w:r>
          </w:p>
        </w:tc>
        <w:tc>
          <w:tcPr>
            <w:cnfStyle w:val="000010000000" w:firstRow="0" w:lastRow="0" w:firstColumn="0" w:lastColumn="0" w:oddVBand="1" w:evenVBand="0" w:oddHBand="0" w:evenHBand="0" w:firstRowFirstColumn="0" w:firstRowLastColumn="0" w:lastRowFirstColumn="0" w:lastRowLastColumn="0"/>
            <w:tcW w:w="996" w:type="pct"/>
          </w:tcPr>
          <w:p w:rsidR="007D2167" w:rsidRPr="00422D05" w:rsidRDefault="007D2167" w:rsidP="007800B3">
            <w:pPr>
              <w:pStyle w:val="Tabletext"/>
            </w:pPr>
            <w:r w:rsidRPr="00422D05">
              <w:t>General improvements</w:t>
            </w:r>
          </w:p>
        </w:tc>
        <w:tc>
          <w:tcPr>
            <w:cnfStyle w:val="000001000000" w:firstRow="0" w:lastRow="0" w:firstColumn="0" w:lastColumn="0" w:oddVBand="0" w:evenVBand="1" w:oddHBand="0" w:evenHBand="0" w:firstRowFirstColumn="0" w:firstRowLastColumn="0" w:lastRowFirstColumn="0" w:lastRowLastColumn="0"/>
            <w:tcW w:w="2500" w:type="pct"/>
          </w:tcPr>
          <w:p w:rsidR="007D2167" w:rsidRPr="00422D05" w:rsidRDefault="007D2167" w:rsidP="007D2167">
            <w:pPr>
              <w:pStyle w:val="Tabletext"/>
            </w:pPr>
            <w:r w:rsidRPr="00422D05">
              <w:t xml:space="preserve">The reference to former State Service Authority has been removed and clarification and improvements have been made to the information on the responsibilities of </w:t>
            </w:r>
            <w:r w:rsidR="00ED3976" w:rsidRPr="00422D05">
              <w:t xml:space="preserve">the </w:t>
            </w:r>
            <w:r w:rsidRPr="00422D05">
              <w:t>Victorian Public Sector Commission.</w:t>
            </w:r>
          </w:p>
        </w:tc>
        <w:tc>
          <w:tcPr>
            <w:cnfStyle w:val="000100000000" w:firstRow="0" w:lastRow="0" w:firstColumn="0" w:lastColumn="1" w:oddVBand="0" w:evenVBand="0" w:oddHBand="0" w:evenHBand="0" w:firstRowFirstColumn="0" w:firstRowLastColumn="0" w:lastRowFirstColumn="0" w:lastRowLastColumn="0"/>
            <w:tcW w:w="636" w:type="pct"/>
          </w:tcPr>
          <w:p w:rsidR="007D2167" w:rsidRPr="00422D05" w:rsidRDefault="00903248" w:rsidP="00EF6ACE">
            <w:pPr>
              <w:pStyle w:val="Tabletextcentred"/>
              <w:jc w:val="left"/>
            </w:pPr>
            <w:r w:rsidRPr="00422D05">
              <w:t>40</w:t>
            </w:r>
          </w:p>
        </w:tc>
      </w:tr>
      <w:tr w:rsidR="00B11A1C" w:rsidRPr="00422D05" w:rsidTr="00780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B11A1C" w:rsidRPr="00422D05" w:rsidRDefault="00B11A1C" w:rsidP="00B96C9B">
            <w:pPr>
              <w:pStyle w:val="Tabletext"/>
            </w:pPr>
            <w:r w:rsidRPr="00422D05">
              <w:rPr>
                <w:color w:val="FF0000"/>
              </w:rPr>
              <w:t>[</w:t>
            </w:r>
            <w:r w:rsidR="00266E25">
              <w:rPr>
                <w:color w:val="FF0000"/>
              </w:rPr>
              <w:t xml:space="preserve">New &amp; </w:t>
            </w:r>
            <w:r w:rsidRPr="00422D05">
              <w:rPr>
                <w:color w:val="FF0000"/>
              </w:rPr>
              <w:t xml:space="preserve">Revised] </w:t>
            </w:r>
            <w:r w:rsidRPr="00422D05">
              <w:t>Comparative workforce data</w:t>
            </w:r>
          </w:p>
        </w:tc>
        <w:tc>
          <w:tcPr>
            <w:cnfStyle w:val="000010000000" w:firstRow="0" w:lastRow="0" w:firstColumn="0" w:lastColumn="0" w:oddVBand="1" w:evenVBand="0" w:oddHBand="0" w:evenHBand="0" w:firstRowFirstColumn="0" w:firstRowLastColumn="0" w:lastRowFirstColumn="0" w:lastRowLastColumn="0"/>
            <w:tcW w:w="996" w:type="pct"/>
          </w:tcPr>
          <w:p w:rsidR="00B11A1C" w:rsidRPr="00422D05" w:rsidDel="000B3FB9" w:rsidRDefault="00B11A1C" w:rsidP="007800B3">
            <w:pPr>
              <w:pStyle w:val="Tabletext"/>
            </w:pPr>
            <w:r w:rsidRPr="00422D05">
              <w:t xml:space="preserve">FRD 29B </w:t>
            </w:r>
            <w:r w:rsidRPr="00422D05">
              <w:rPr>
                <w:i/>
              </w:rPr>
              <w:t>Workforce Data Disclosures in the Report of Operations – Public Service Employees</w:t>
            </w:r>
          </w:p>
        </w:tc>
        <w:tc>
          <w:tcPr>
            <w:cnfStyle w:val="000001000000" w:firstRow="0" w:lastRow="0" w:firstColumn="0" w:lastColumn="0" w:oddVBand="0" w:evenVBand="1" w:oddHBand="0" w:evenHBand="0" w:firstRowFirstColumn="0" w:firstRowLastColumn="0" w:lastRowFirstColumn="0" w:lastRowLastColumn="0"/>
            <w:tcW w:w="2500" w:type="pct"/>
          </w:tcPr>
          <w:p w:rsidR="00B11A1C" w:rsidRPr="00422D05" w:rsidRDefault="00B11A1C" w:rsidP="00ED3976">
            <w:pPr>
              <w:pStyle w:val="Tabletext"/>
            </w:pPr>
            <w:r w:rsidRPr="00422D05">
              <w:t xml:space="preserve">The tables and information in the </w:t>
            </w:r>
            <w:r w:rsidR="007D2167" w:rsidRPr="00422D05">
              <w:t>guidance</w:t>
            </w:r>
            <w:r w:rsidRPr="00422D05">
              <w:t xml:space="preserve"> section have been amended to reflect the revised disclosure requirements in FRD 29B which have been amended to </w:t>
            </w:r>
            <w:r w:rsidRPr="00422D05">
              <w:rPr>
                <w:rFonts w:ascii="Arial" w:hAnsi="Arial"/>
              </w:rPr>
              <w:t>extend the reporting requirements to include senior non</w:t>
            </w:r>
            <w:r w:rsidR="007D2167" w:rsidRPr="00422D05">
              <w:rPr>
                <w:rFonts w:ascii="Arial" w:hAnsi="Arial"/>
              </w:rPr>
              <w:noBreakHyphen/>
            </w:r>
            <w:r w:rsidRPr="00422D05">
              <w:rPr>
                <w:rFonts w:ascii="Arial" w:hAnsi="Arial"/>
              </w:rPr>
              <w:t xml:space="preserve">executive staff, and </w:t>
            </w:r>
            <w:r w:rsidR="00ED3976" w:rsidRPr="00422D05">
              <w:rPr>
                <w:rFonts w:ascii="Arial" w:hAnsi="Arial"/>
              </w:rPr>
              <w:t xml:space="preserve">to </w:t>
            </w:r>
            <w:r w:rsidRPr="00422D05">
              <w:rPr>
                <w:rFonts w:ascii="Arial" w:hAnsi="Arial"/>
              </w:rPr>
              <w:t>improve reporting of remuneration for senior staff, following recommendations from a Victorian Public Sector Commission (VPSC) review of the Executive Officer Employment and Remuneration Framework.</w:t>
            </w:r>
          </w:p>
        </w:tc>
        <w:tc>
          <w:tcPr>
            <w:cnfStyle w:val="000100000000" w:firstRow="0" w:lastRow="0" w:firstColumn="0" w:lastColumn="1" w:oddVBand="0" w:evenVBand="0" w:oddHBand="0" w:evenHBand="0" w:firstRowFirstColumn="0" w:firstRowLastColumn="0" w:lastRowFirstColumn="0" w:lastRowLastColumn="0"/>
            <w:tcW w:w="636" w:type="pct"/>
          </w:tcPr>
          <w:p w:rsidR="00B11A1C" w:rsidRPr="00422D05" w:rsidDel="000B3FB9" w:rsidRDefault="00903248" w:rsidP="00EF6ACE">
            <w:pPr>
              <w:pStyle w:val="Tabletextcentred"/>
              <w:jc w:val="left"/>
            </w:pPr>
            <w:r w:rsidRPr="00422D05">
              <w:t>41-43</w:t>
            </w:r>
          </w:p>
        </w:tc>
      </w:tr>
      <w:tr w:rsidR="00B11A1C" w:rsidRPr="00422D05" w:rsidTr="007800B3">
        <w:tc>
          <w:tcPr>
            <w:cnfStyle w:val="001000000000" w:firstRow="0" w:lastRow="0" w:firstColumn="1" w:lastColumn="0" w:oddVBand="0" w:evenVBand="0" w:oddHBand="0" w:evenHBand="0" w:firstRowFirstColumn="0" w:firstRowLastColumn="0" w:lastRowFirstColumn="0" w:lastRowLastColumn="0"/>
            <w:tcW w:w="868" w:type="pct"/>
          </w:tcPr>
          <w:p w:rsidR="00B11A1C" w:rsidRPr="00422D05" w:rsidRDefault="00B11A1C" w:rsidP="00B96C9B">
            <w:pPr>
              <w:pStyle w:val="Tabletext"/>
            </w:pPr>
            <w:r w:rsidRPr="00422D05">
              <w:rPr>
                <w:color w:val="FF0000"/>
              </w:rPr>
              <w:t xml:space="preserve">[Revised] </w:t>
            </w:r>
            <w:r w:rsidRPr="00422D05">
              <w:t>Executive officer data</w:t>
            </w:r>
          </w:p>
        </w:tc>
        <w:tc>
          <w:tcPr>
            <w:cnfStyle w:val="000010000000" w:firstRow="0" w:lastRow="0" w:firstColumn="0" w:lastColumn="0" w:oddVBand="1" w:evenVBand="0" w:oddHBand="0" w:evenHBand="0" w:firstRowFirstColumn="0" w:firstRowLastColumn="0" w:lastRowFirstColumn="0" w:lastRowLastColumn="0"/>
            <w:tcW w:w="996" w:type="pct"/>
          </w:tcPr>
          <w:p w:rsidR="00B11A1C" w:rsidRPr="00422D05" w:rsidDel="000B3FB9" w:rsidRDefault="00B11A1C" w:rsidP="007800B3">
            <w:pPr>
              <w:pStyle w:val="Tabletext"/>
            </w:pPr>
            <w:r w:rsidRPr="00422D05">
              <w:t xml:space="preserve">FRD 15D </w:t>
            </w:r>
            <w:r w:rsidRPr="00422D05">
              <w:rPr>
                <w:i/>
              </w:rPr>
              <w:t>Executive officer disclosure in the report of operations</w:t>
            </w:r>
          </w:p>
        </w:tc>
        <w:tc>
          <w:tcPr>
            <w:cnfStyle w:val="000001000000" w:firstRow="0" w:lastRow="0" w:firstColumn="0" w:lastColumn="0" w:oddVBand="0" w:evenVBand="1" w:oddHBand="0" w:evenHBand="0" w:firstRowFirstColumn="0" w:firstRowLastColumn="0" w:lastRowFirstColumn="0" w:lastRowLastColumn="0"/>
            <w:tcW w:w="2500" w:type="pct"/>
          </w:tcPr>
          <w:p w:rsidR="00B11A1C" w:rsidRPr="00422D05" w:rsidRDefault="00B11A1C" w:rsidP="00ED3976">
            <w:pPr>
              <w:pStyle w:val="Tabletext"/>
            </w:pPr>
            <w:r w:rsidRPr="00422D05">
              <w:t xml:space="preserve">The executive officer data section including its tables were amended to reflect the revised disclosure requirements in FRD 15D </w:t>
            </w:r>
            <w:r w:rsidRPr="00422D05">
              <w:rPr>
                <w:rFonts w:ascii="Arial" w:hAnsi="Arial"/>
              </w:rPr>
              <w:t>to align the reporting requirements with the proposed changes in FRD</w:t>
            </w:r>
            <w:r w:rsidR="005B3E8B">
              <w:rPr>
                <w:rFonts w:ascii="Arial" w:hAnsi="Arial"/>
              </w:rPr>
              <w:t>s</w:t>
            </w:r>
            <w:r w:rsidRPr="00422D05">
              <w:rPr>
                <w:rFonts w:ascii="Arial" w:hAnsi="Arial"/>
              </w:rPr>
              <w:t xml:space="preserve"> 21C and 29B, improve clarity of the definition of accountable officer and executive officer, and to simplify the reporting requirements.</w:t>
            </w:r>
          </w:p>
        </w:tc>
        <w:tc>
          <w:tcPr>
            <w:cnfStyle w:val="000100000000" w:firstRow="0" w:lastRow="0" w:firstColumn="0" w:lastColumn="1" w:oddVBand="0" w:evenVBand="0" w:oddHBand="0" w:evenHBand="0" w:firstRowFirstColumn="0" w:firstRowLastColumn="0" w:lastRowFirstColumn="0" w:lastRowLastColumn="0"/>
            <w:tcW w:w="636" w:type="pct"/>
          </w:tcPr>
          <w:p w:rsidR="00B11A1C" w:rsidRPr="00422D05" w:rsidDel="000B3FB9" w:rsidRDefault="00903248" w:rsidP="00EF6ACE">
            <w:pPr>
              <w:pStyle w:val="Tabletextcentred"/>
              <w:jc w:val="left"/>
            </w:pPr>
            <w:r w:rsidRPr="00422D05">
              <w:t>44-45</w:t>
            </w:r>
          </w:p>
        </w:tc>
      </w:tr>
      <w:tr w:rsidR="00B11A1C" w:rsidRPr="00422D05" w:rsidTr="00780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B11A1C" w:rsidRPr="00422D05" w:rsidRDefault="00B11A1C" w:rsidP="006255AF">
            <w:pPr>
              <w:pStyle w:val="Tabletext"/>
            </w:pPr>
            <w:r w:rsidRPr="00422D05">
              <w:rPr>
                <w:color w:val="FF0000"/>
              </w:rPr>
              <w:t xml:space="preserve">[Revised] </w:t>
            </w:r>
            <w:r w:rsidRPr="00422D05">
              <w:t xml:space="preserve">Section 4: </w:t>
            </w:r>
            <w:r w:rsidRPr="00422D05">
              <w:rPr>
                <w:i/>
              </w:rPr>
              <w:t>Other disclosures</w:t>
            </w:r>
          </w:p>
        </w:tc>
        <w:tc>
          <w:tcPr>
            <w:cnfStyle w:val="000010000000" w:firstRow="0" w:lastRow="0" w:firstColumn="0" w:lastColumn="0" w:oddVBand="1" w:evenVBand="0" w:oddHBand="0" w:evenHBand="0" w:firstRowFirstColumn="0" w:firstRowLastColumn="0" w:lastRowFirstColumn="0" w:lastRowLastColumn="0"/>
            <w:tcW w:w="996" w:type="pct"/>
          </w:tcPr>
          <w:p w:rsidR="00B11A1C" w:rsidRPr="00422D05" w:rsidDel="000B3FB9" w:rsidRDefault="00B11A1C" w:rsidP="007800B3">
            <w:pPr>
              <w:pStyle w:val="Tabletext"/>
            </w:pPr>
            <w:r w:rsidRPr="00422D05">
              <w:t xml:space="preserve">FRD 25C </w:t>
            </w:r>
            <w:r w:rsidRPr="00422D05">
              <w:rPr>
                <w:i/>
              </w:rPr>
              <w:t>Local Jobs First – Victorian Industry Participation Policy</w:t>
            </w:r>
          </w:p>
        </w:tc>
        <w:tc>
          <w:tcPr>
            <w:cnfStyle w:val="000001000000" w:firstRow="0" w:lastRow="0" w:firstColumn="0" w:lastColumn="0" w:oddVBand="0" w:evenVBand="1" w:oddHBand="0" w:evenHBand="0" w:firstRowFirstColumn="0" w:firstRowLastColumn="0" w:lastRowFirstColumn="0" w:lastRowLastColumn="0"/>
            <w:tcW w:w="2500" w:type="pct"/>
          </w:tcPr>
          <w:p w:rsidR="00B11A1C" w:rsidRPr="00422D05" w:rsidRDefault="00B11A1C" w:rsidP="00542B38">
            <w:pPr>
              <w:pStyle w:val="Tabletext"/>
            </w:pPr>
            <w:r w:rsidRPr="00422D05">
              <w:t>The Victorian Industry Participation Policy (VIPP) section has been amended to reflect the reporting outcomes endorsed by Cabinet in July 2016.</w:t>
            </w:r>
          </w:p>
        </w:tc>
        <w:tc>
          <w:tcPr>
            <w:cnfStyle w:val="000100000000" w:firstRow="0" w:lastRow="0" w:firstColumn="0" w:lastColumn="1" w:oddVBand="0" w:evenVBand="0" w:oddHBand="0" w:evenHBand="0" w:firstRowFirstColumn="0" w:firstRowLastColumn="0" w:lastRowFirstColumn="0" w:lastRowLastColumn="0"/>
            <w:tcW w:w="636" w:type="pct"/>
          </w:tcPr>
          <w:p w:rsidR="00B11A1C" w:rsidRPr="00422D05" w:rsidDel="000B3FB9" w:rsidRDefault="00903248" w:rsidP="00EF6ACE">
            <w:pPr>
              <w:pStyle w:val="Tabletextcentred"/>
              <w:jc w:val="left"/>
            </w:pPr>
            <w:r w:rsidRPr="00422D05">
              <w:t>46-47</w:t>
            </w:r>
          </w:p>
        </w:tc>
      </w:tr>
      <w:tr w:rsidR="0051229A" w:rsidRPr="00422D05" w:rsidTr="007800B3">
        <w:tc>
          <w:tcPr>
            <w:cnfStyle w:val="001000000000" w:firstRow="0" w:lastRow="0" w:firstColumn="1" w:lastColumn="0" w:oddVBand="0" w:evenVBand="0" w:oddHBand="0" w:evenHBand="0" w:firstRowFirstColumn="0" w:firstRowLastColumn="0" w:lastRowFirstColumn="0" w:lastRowLastColumn="0"/>
            <w:tcW w:w="868" w:type="pct"/>
          </w:tcPr>
          <w:p w:rsidR="0051229A" w:rsidRPr="00422D05" w:rsidRDefault="0051229A" w:rsidP="0051229A">
            <w:pPr>
              <w:pStyle w:val="Tabletext"/>
              <w:rPr>
                <w:color w:val="FF0000"/>
              </w:rPr>
            </w:pPr>
            <w:r w:rsidRPr="00422D05">
              <w:rPr>
                <w:color w:val="FF0000"/>
              </w:rPr>
              <w:t xml:space="preserve">[Revised] </w:t>
            </w:r>
            <w:r w:rsidRPr="00422D05">
              <w:t>Details of information and communication technology (ICT) expenditure and its guidance</w:t>
            </w:r>
          </w:p>
        </w:tc>
        <w:tc>
          <w:tcPr>
            <w:cnfStyle w:val="000010000000" w:firstRow="0" w:lastRow="0" w:firstColumn="0" w:lastColumn="0" w:oddVBand="1" w:evenVBand="0" w:oddHBand="0" w:evenHBand="0" w:firstRowFirstColumn="0" w:firstRowLastColumn="0" w:lastRowFirstColumn="0" w:lastRowLastColumn="0"/>
            <w:tcW w:w="996" w:type="pct"/>
          </w:tcPr>
          <w:p w:rsidR="0051229A" w:rsidRPr="00422D05" w:rsidRDefault="0051229A" w:rsidP="007800B3">
            <w:pPr>
              <w:pStyle w:val="Tabletext"/>
            </w:pPr>
            <w:r w:rsidRPr="00422D05">
              <w:t>General improvement</w:t>
            </w:r>
          </w:p>
        </w:tc>
        <w:tc>
          <w:tcPr>
            <w:cnfStyle w:val="000001000000" w:firstRow="0" w:lastRow="0" w:firstColumn="0" w:lastColumn="0" w:oddVBand="0" w:evenVBand="1" w:oddHBand="0" w:evenHBand="0" w:firstRowFirstColumn="0" w:firstRowLastColumn="0" w:lastRowFirstColumn="0" w:lastRowLastColumn="0"/>
            <w:tcW w:w="2500" w:type="pct"/>
          </w:tcPr>
          <w:p w:rsidR="0051229A" w:rsidRPr="00422D05" w:rsidRDefault="0051229A" w:rsidP="0051229A">
            <w:pPr>
              <w:pStyle w:val="Tabletext"/>
            </w:pPr>
            <w:r w:rsidRPr="00422D05">
              <w:t xml:space="preserve">New headers have been added to the table and additional information has been added to the guidance for clarification on the expenditure categories and what they include.   </w:t>
            </w:r>
          </w:p>
        </w:tc>
        <w:tc>
          <w:tcPr>
            <w:cnfStyle w:val="000100000000" w:firstRow="0" w:lastRow="0" w:firstColumn="0" w:lastColumn="1" w:oddVBand="0" w:evenVBand="0" w:oddHBand="0" w:evenHBand="0" w:firstRowFirstColumn="0" w:firstRowLastColumn="0" w:lastRowFirstColumn="0" w:lastRowLastColumn="0"/>
            <w:tcW w:w="636" w:type="pct"/>
          </w:tcPr>
          <w:p w:rsidR="0051229A" w:rsidRPr="00422D05" w:rsidRDefault="00903248" w:rsidP="00EF6ACE">
            <w:pPr>
              <w:pStyle w:val="Tabletextcentred"/>
              <w:jc w:val="left"/>
            </w:pPr>
            <w:r w:rsidRPr="00422D05">
              <w:t>50</w:t>
            </w:r>
          </w:p>
        </w:tc>
      </w:tr>
      <w:tr w:rsidR="0051229A" w:rsidRPr="00422D05" w:rsidTr="00780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B11A1C" w:rsidRPr="00422D05" w:rsidRDefault="00B11A1C" w:rsidP="00B96C9B">
            <w:pPr>
              <w:pStyle w:val="Tabletext"/>
            </w:pPr>
            <w:r w:rsidRPr="00422D05">
              <w:rPr>
                <w:color w:val="FF0000"/>
              </w:rPr>
              <w:t xml:space="preserve">[Revised] </w:t>
            </w:r>
            <w:r w:rsidRPr="00422D05">
              <w:t xml:space="preserve">Compliance with the </w:t>
            </w:r>
            <w:r w:rsidRPr="00422D05">
              <w:rPr>
                <w:i/>
              </w:rPr>
              <w:t>Building Act 1993</w:t>
            </w:r>
          </w:p>
        </w:tc>
        <w:tc>
          <w:tcPr>
            <w:cnfStyle w:val="000010000000" w:firstRow="0" w:lastRow="0" w:firstColumn="0" w:lastColumn="0" w:oddVBand="1" w:evenVBand="0" w:oddHBand="0" w:evenHBand="0" w:firstRowFirstColumn="0" w:firstRowLastColumn="0" w:lastRowFirstColumn="0" w:lastRowLastColumn="0"/>
            <w:tcW w:w="996" w:type="pct"/>
          </w:tcPr>
          <w:p w:rsidR="00B11A1C" w:rsidRPr="00422D05" w:rsidDel="000B3FB9" w:rsidRDefault="00B11A1C" w:rsidP="007800B3">
            <w:pPr>
              <w:pStyle w:val="Tabletext"/>
            </w:pPr>
            <w:r w:rsidRPr="00422D05">
              <w:t>General improvements</w:t>
            </w:r>
          </w:p>
        </w:tc>
        <w:tc>
          <w:tcPr>
            <w:cnfStyle w:val="000001000000" w:firstRow="0" w:lastRow="0" w:firstColumn="0" w:lastColumn="0" w:oddVBand="0" w:evenVBand="1" w:oddHBand="0" w:evenHBand="0" w:firstRowFirstColumn="0" w:firstRowLastColumn="0" w:lastRowFirstColumn="0" w:lastRowLastColumn="0"/>
            <w:tcW w:w="2500" w:type="pct"/>
          </w:tcPr>
          <w:p w:rsidR="00B11A1C" w:rsidRPr="00422D05" w:rsidRDefault="00B11A1C" w:rsidP="00ED3976">
            <w:pPr>
              <w:pStyle w:val="Tabletext"/>
            </w:pPr>
            <w:r w:rsidRPr="00422D05">
              <w:t xml:space="preserve">The guidance note in the compliance with the </w:t>
            </w:r>
            <w:r w:rsidRPr="00422D05">
              <w:rPr>
                <w:i/>
              </w:rPr>
              <w:t>Building Act 1993</w:t>
            </w:r>
            <w:r w:rsidRPr="00422D05">
              <w:t xml:space="preserve"> section has been amended to </w:t>
            </w:r>
            <w:r w:rsidR="0051229A" w:rsidRPr="00422D05">
              <w:t xml:space="preserve">align </w:t>
            </w:r>
            <w:r w:rsidR="00ED3976" w:rsidRPr="00422D05">
              <w:t xml:space="preserve">with </w:t>
            </w:r>
            <w:r w:rsidR="0051229A" w:rsidRPr="00422D05">
              <w:t xml:space="preserve">the requirements </w:t>
            </w:r>
            <w:r w:rsidR="00ED3976" w:rsidRPr="00422D05">
              <w:t>of</w:t>
            </w:r>
            <w:r w:rsidRPr="00422D05">
              <w:t xml:space="preserve"> the </w:t>
            </w:r>
            <w:r w:rsidRPr="00422D05">
              <w:rPr>
                <w:i/>
              </w:rPr>
              <w:t>Building Act 1993</w:t>
            </w:r>
            <w:r w:rsidRPr="00422D05">
              <w:t>.</w:t>
            </w:r>
          </w:p>
        </w:tc>
        <w:tc>
          <w:tcPr>
            <w:cnfStyle w:val="000100000000" w:firstRow="0" w:lastRow="0" w:firstColumn="0" w:lastColumn="1" w:oddVBand="0" w:evenVBand="0" w:oddHBand="0" w:evenHBand="0" w:firstRowFirstColumn="0" w:firstRowLastColumn="0" w:lastRowFirstColumn="0" w:lastRowLastColumn="0"/>
            <w:tcW w:w="636" w:type="pct"/>
          </w:tcPr>
          <w:p w:rsidR="00B11A1C" w:rsidRPr="00422D05" w:rsidDel="000B3FB9" w:rsidRDefault="00903248" w:rsidP="00EF6ACE">
            <w:pPr>
              <w:pStyle w:val="Tabletextcentred"/>
              <w:jc w:val="left"/>
            </w:pPr>
            <w:r w:rsidRPr="00422D05">
              <w:t>53</w:t>
            </w:r>
          </w:p>
        </w:tc>
      </w:tr>
      <w:tr w:rsidR="0051229A" w:rsidRPr="00422D05" w:rsidTr="007800B3">
        <w:tc>
          <w:tcPr>
            <w:cnfStyle w:val="001000000000" w:firstRow="0" w:lastRow="0" w:firstColumn="1" w:lastColumn="0" w:oddVBand="0" w:evenVBand="0" w:oddHBand="0" w:evenHBand="0" w:firstRowFirstColumn="0" w:firstRowLastColumn="0" w:lastRowFirstColumn="0" w:lastRowLastColumn="0"/>
            <w:tcW w:w="868" w:type="pct"/>
          </w:tcPr>
          <w:p w:rsidR="00903248" w:rsidRPr="00422D05" w:rsidRDefault="00B11A1C" w:rsidP="00B96C9B">
            <w:pPr>
              <w:pStyle w:val="Tabletext"/>
              <w:rPr>
                <w:color w:val="FF0000"/>
              </w:rPr>
            </w:pPr>
            <w:r w:rsidRPr="00422D05">
              <w:rPr>
                <w:color w:val="FF0000"/>
              </w:rPr>
              <w:t xml:space="preserve">[Revised] </w:t>
            </w:r>
          </w:p>
          <w:p w:rsidR="00B11A1C" w:rsidRPr="00422D05" w:rsidRDefault="00903248" w:rsidP="00B96C9B">
            <w:pPr>
              <w:pStyle w:val="Tabletext"/>
            </w:pPr>
            <w:r w:rsidRPr="00422D05">
              <w:rPr>
                <w:color w:val="000000" w:themeColor="text1"/>
              </w:rPr>
              <w:t xml:space="preserve">Guidance - </w:t>
            </w:r>
            <w:r w:rsidR="00B11A1C" w:rsidRPr="00422D05">
              <w:t>National Competition Policy</w:t>
            </w:r>
            <w:r w:rsidR="00064906" w:rsidRPr="00422D05">
              <w:t xml:space="preserve"> and its guidance</w:t>
            </w:r>
          </w:p>
        </w:tc>
        <w:tc>
          <w:tcPr>
            <w:cnfStyle w:val="000010000000" w:firstRow="0" w:lastRow="0" w:firstColumn="0" w:lastColumn="0" w:oddVBand="1" w:evenVBand="0" w:oddHBand="0" w:evenHBand="0" w:firstRowFirstColumn="0" w:firstRowLastColumn="0" w:lastRowFirstColumn="0" w:lastRowLastColumn="0"/>
            <w:tcW w:w="996" w:type="pct"/>
          </w:tcPr>
          <w:p w:rsidR="00B11A1C" w:rsidRPr="00422D05" w:rsidDel="000B3FB9" w:rsidRDefault="00B11A1C" w:rsidP="007800B3">
            <w:pPr>
              <w:pStyle w:val="Tabletext"/>
            </w:pPr>
            <w:r w:rsidRPr="00422D05">
              <w:t>General improvements</w:t>
            </w:r>
          </w:p>
        </w:tc>
        <w:tc>
          <w:tcPr>
            <w:cnfStyle w:val="000001000000" w:firstRow="0" w:lastRow="0" w:firstColumn="0" w:lastColumn="0" w:oddVBand="0" w:evenVBand="1" w:oddHBand="0" w:evenHBand="0" w:firstRowFirstColumn="0" w:firstRowLastColumn="0" w:lastRowFirstColumn="0" w:lastRowLastColumn="0"/>
            <w:tcW w:w="2500" w:type="pct"/>
          </w:tcPr>
          <w:p w:rsidR="00B11A1C" w:rsidRPr="00422D05" w:rsidRDefault="00903248" w:rsidP="00064906">
            <w:pPr>
              <w:pStyle w:val="Tabletext"/>
            </w:pPr>
            <w:r w:rsidRPr="00422D05">
              <w:t>A</w:t>
            </w:r>
            <w:r w:rsidR="00064906" w:rsidRPr="00422D05">
              <w:t xml:space="preserve">dditional information has been added to its guidance </w:t>
            </w:r>
            <w:r w:rsidR="00B11A1C" w:rsidRPr="00422D05">
              <w:t xml:space="preserve">for improved understanding and clarification on the purpose and requirements of </w:t>
            </w:r>
            <w:r w:rsidR="00064906" w:rsidRPr="00422D05">
              <w:t>National Competition Policy</w:t>
            </w:r>
            <w:r w:rsidR="00B11A1C" w:rsidRPr="00422D05">
              <w:t xml:space="preserve">. </w:t>
            </w:r>
          </w:p>
        </w:tc>
        <w:tc>
          <w:tcPr>
            <w:cnfStyle w:val="000100000000" w:firstRow="0" w:lastRow="0" w:firstColumn="0" w:lastColumn="1" w:oddVBand="0" w:evenVBand="0" w:oddHBand="0" w:evenHBand="0" w:firstRowFirstColumn="0" w:firstRowLastColumn="0" w:lastRowFirstColumn="0" w:lastRowLastColumn="0"/>
            <w:tcW w:w="636" w:type="pct"/>
          </w:tcPr>
          <w:p w:rsidR="00B11A1C" w:rsidRPr="00422D05" w:rsidDel="000B3FB9" w:rsidRDefault="00903248" w:rsidP="00EF6ACE">
            <w:pPr>
              <w:pStyle w:val="Tabletextcentred"/>
              <w:jc w:val="left"/>
            </w:pPr>
            <w:r w:rsidRPr="00422D05">
              <w:t>54</w:t>
            </w:r>
          </w:p>
        </w:tc>
      </w:tr>
      <w:tr w:rsidR="00064906" w:rsidRPr="00422D05" w:rsidTr="00780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064906" w:rsidRPr="00422D05" w:rsidRDefault="00064906" w:rsidP="00064906">
            <w:pPr>
              <w:pStyle w:val="Tabletext"/>
              <w:rPr>
                <w:color w:val="FF0000"/>
              </w:rPr>
            </w:pPr>
            <w:r w:rsidRPr="00422D05">
              <w:rPr>
                <w:color w:val="FF0000"/>
              </w:rPr>
              <w:t xml:space="preserve">[Revised] </w:t>
            </w:r>
            <w:r w:rsidRPr="00422D05">
              <w:t>Office based environmental impacts</w:t>
            </w:r>
          </w:p>
        </w:tc>
        <w:tc>
          <w:tcPr>
            <w:cnfStyle w:val="000010000000" w:firstRow="0" w:lastRow="0" w:firstColumn="0" w:lastColumn="0" w:oddVBand="1" w:evenVBand="0" w:oddHBand="0" w:evenHBand="0" w:firstRowFirstColumn="0" w:firstRowLastColumn="0" w:lastRowFirstColumn="0" w:lastRowLastColumn="0"/>
            <w:tcW w:w="996" w:type="pct"/>
          </w:tcPr>
          <w:p w:rsidR="00064906" w:rsidRPr="00422D05" w:rsidRDefault="00064906" w:rsidP="007800B3">
            <w:pPr>
              <w:pStyle w:val="Tabletext"/>
            </w:pPr>
            <w:r w:rsidRPr="00422D05">
              <w:t>General improvements</w:t>
            </w:r>
          </w:p>
        </w:tc>
        <w:tc>
          <w:tcPr>
            <w:cnfStyle w:val="000001000000" w:firstRow="0" w:lastRow="0" w:firstColumn="0" w:lastColumn="0" w:oddVBand="0" w:evenVBand="1" w:oddHBand="0" w:evenHBand="0" w:firstRowFirstColumn="0" w:firstRowLastColumn="0" w:lastRowFirstColumn="0" w:lastRowLastColumn="0"/>
            <w:tcW w:w="2500" w:type="pct"/>
          </w:tcPr>
          <w:p w:rsidR="00064906" w:rsidRPr="00422D05" w:rsidRDefault="00064906" w:rsidP="00064906">
            <w:pPr>
              <w:pStyle w:val="Tabletext"/>
            </w:pPr>
            <w:r w:rsidRPr="00422D05">
              <w:t xml:space="preserve">A totals column has been added to disclosure tables (i.e. energy, waste and transport) to better align the disclosures with the requirements in FRD 24 </w:t>
            </w:r>
            <w:r w:rsidRPr="00422D05">
              <w:rPr>
                <w:i/>
              </w:rPr>
              <w:t>Environmental reporting</w:t>
            </w:r>
            <w:r w:rsidRPr="00422D05">
              <w:t xml:space="preserve">. </w:t>
            </w:r>
          </w:p>
        </w:tc>
        <w:tc>
          <w:tcPr>
            <w:cnfStyle w:val="000100000000" w:firstRow="0" w:lastRow="0" w:firstColumn="0" w:lastColumn="1" w:oddVBand="0" w:evenVBand="0" w:oddHBand="0" w:evenHBand="0" w:firstRowFirstColumn="0" w:firstRowLastColumn="0" w:lastRowFirstColumn="0" w:lastRowLastColumn="0"/>
            <w:tcW w:w="636" w:type="pct"/>
          </w:tcPr>
          <w:p w:rsidR="00064906" w:rsidRPr="00422D05" w:rsidRDefault="00903248" w:rsidP="00EF6ACE">
            <w:pPr>
              <w:pStyle w:val="Tabletextcentred"/>
              <w:jc w:val="left"/>
            </w:pPr>
            <w:r w:rsidRPr="00422D05">
              <w:t>57,58 &amp; 60</w:t>
            </w:r>
          </w:p>
        </w:tc>
      </w:tr>
      <w:tr w:rsidR="00064906" w:rsidRPr="00422D05" w:rsidTr="007800B3">
        <w:tc>
          <w:tcPr>
            <w:cnfStyle w:val="001000000000" w:firstRow="0" w:lastRow="0" w:firstColumn="1" w:lastColumn="0" w:oddVBand="0" w:evenVBand="0" w:oddHBand="0" w:evenHBand="0" w:firstRowFirstColumn="0" w:firstRowLastColumn="0" w:lastRowFirstColumn="0" w:lastRowLastColumn="0"/>
            <w:tcW w:w="868" w:type="pct"/>
          </w:tcPr>
          <w:p w:rsidR="00064906" w:rsidRPr="00422D05" w:rsidRDefault="00064906" w:rsidP="00064906">
            <w:pPr>
              <w:pStyle w:val="Tabletext"/>
              <w:rPr>
                <w:color w:val="FF0000"/>
              </w:rPr>
            </w:pPr>
            <w:r w:rsidRPr="00422D05">
              <w:rPr>
                <w:color w:val="FF0000"/>
              </w:rPr>
              <w:t xml:space="preserve">[Revised] </w:t>
            </w:r>
            <w:r w:rsidRPr="00422D05">
              <w:t xml:space="preserve">Attestation for compliance with Ministerial Standing Direction 3.7.1 and its </w:t>
            </w:r>
            <w:r w:rsidRPr="00422D05">
              <w:lastRenderedPageBreak/>
              <w:t>guidance</w:t>
            </w:r>
          </w:p>
        </w:tc>
        <w:tc>
          <w:tcPr>
            <w:cnfStyle w:val="000010000000" w:firstRow="0" w:lastRow="0" w:firstColumn="0" w:lastColumn="0" w:oddVBand="1" w:evenVBand="0" w:oddHBand="0" w:evenHBand="0" w:firstRowFirstColumn="0" w:firstRowLastColumn="0" w:lastRowFirstColumn="0" w:lastRowLastColumn="0"/>
            <w:tcW w:w="996" w:type="pct"/>
          </w:tcPr>
          <w:p w:rsidR="00064906" w:rsidRPr="00422D05" w:rsidRDefault="00064906" w:rsidP="007800B3">
            <w:pPr>
              <w:pStyle w:val="Tabletext"/>
            </w:pPr>
            <w:r w:rsidRPr="00422D05">
              <w:lastRenderedPageBreak/>
              <w:t>SD 3.7.1 Risk management framework and processes</w:t>
            </w:r>
          </w:p>
        </w:tc>
        <w:tc>
          <w:tcPr>
            <w:cnfStyle w:val="000001000000" w:firstRow="0" w:lastRow="0" w:firstColumn="0" w:lastColumn="0" w:oddVBand="0" w:evenVBand="1" w:oddHBand="0" w:evenHBand="0" w:firstRowFirstColumn="0" w:firstRowLastColumn="0" w:lastRowFirstColumn="0" w:lastRowLastColumn="0"/>
            <w:tcW w:w="2500" w:type="pct"/>
          </w:tcPr>
          <w:p w:rsidR="00064906" w:rsidRPr="00422D05" w:rsidRDefault="002039CD" w:rsidP="002039CD">
            <w:pPr>
              <w:pStyle w:val="Tabletext"/>
            </w:pPr>
            <w:r w:rsidRPr="00422D05">
              <w:t xml:space="preserve">New SD references have been added to the section. </w:t>
            </w:r>
            <w:r w:rsidR="00064906" w:rsidRPr="00422D05">
              <w:t xml:space="preserve">  </w:t>
            </w:r>
          </w:p>
        </w:tc>
        <w:tc>
          <w:tcPr>
            <w:cnfStyle w:val="000100000000" w:firstRow="0" w:lastRow="0" w:firstColumn="0" w:lastColumn="1" w:oddVBand="0" w:evenVBand="0" w:oddHBand="0" w:evenHBand="0" w:firstRowFirstColumn="0" w:firstRowLastColumn="0" w:lastRowFirstColumn="0" w:lastRowLastColumn="0"/>
            <w:tcW w:w="636" w:type="pct"/>
          </w:tcPr>
          <w:p w:rsidR="00064906" w:rsidRPr="00422D05" w:rsidRDefault="00903248" w:rsidP="00EF6ACE">
            <w:pPr>
              <w:pStyle w:val="Tabletextcentred"/>
              <w:jc w:val="left"/>
            </w:pPr>
            <w:r w:rsidRPr="00422D05">
              <w:t>64-65</w:t>
            </w:r>
          </w:p>
        </w:tc>
      </w:tr>
      <w:tr w:rsidR="0051229A" w:rsidRPr="00422D05" w:rsidTr="00780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B11A1C" w:rsidRPr="00422D05" w:rsidRDefault="00B11A1C" w:rsidP="007D2167">
            <w:pPr>
              <w:pStyle w:val="Tabletext"/>
            </w:pPr>
            <w:r w:rsidRPr="00422D05">
              <w:rPr>
                <w:color w:val="FF0000"/>
              </w:rPr>
              <w:lastRenderedPageBreak/>
              <w:t xml:space="preserve">[New] </w:t>
            </w:r>
            <w:r w:rsidR="007D2167" w:rsidRPr="00422D05">
              <w:t>Guidance</w:t>
            </w:r>
            <w:r w:rsidRPr="00422D05">
              <w:t xml:space="preserve"> – Attestation for compliance with Ministerial Standing Direction 3.7.1 – Victorian Government Risk Management Framework</w:t>
            </w:r>
          </w:p>
        </w:tc>
        <w:tc>
          <w:tcPr>
            <w:cnfStyle w:val="000010000000" w:firstRow="0" w:lastRow="0" w:firstColumn="0" w:lastColumn="0" w:oddVBand="1" w:evenVBand="0" w:oddHBand="0" w:evenHBand="0" w:firstRowFirstColumn="0" w:firstRowLastColumn="0" w:lastRowFirstColumn="0" w:lastRowLastColumn="0"/>
            <w:tcW w:w="996" w:type="pct"/>
          </w:tcPr>
          <w:p w:rsidR="00B11A1C" w:rsidRPr="00422D05" w:rsidDel="000B3FB9" w:rsidRDefault="00B11A1C" w:rsidP="007800B3">
            <w:pPr>
              <w:pStyle w:val="Tabletext"/>
            </w:pPr>
            <w:r w:rsidRPr="00422D05">
              <w:t>Recommendation 17, PAEC Report on 2013-14 and 2014-15 Financial and Performance Outcomes</w:t>
            </w:r>
          </w:p>
        </w:tc>
        <w:tc>
          <w:tcPr>
            <w:cnfStyle w:val="000001000000" w:firstRow="0" w:lastRow="0" w:firstColumn="0" w:lastColumn="0" w:oddVBand="0" w:evenVBand="1" w:oddHBand="0" w:evenHBand="0" w:firstRowFirstColumn="0" w:firstRowLastColumn="0" w:lastRowFirstColumn="0" w:lastRowLastColumn="0"/>
            <w:tcW w:w="2500" w:type="pct"/>
          </w:tcPr>
          <w:p w:rsidR="00B11A1C" w:rsidRPr="00422D05" w:rsidRDefault="00B11A1C" w:rsidP="00422F66">
            <w:pPr>
              <w:pStyle w:val="Tabletext"/>
            </w:pPr>
            <w:r w:rsidRPr="00422D05">
              <w:t>A note has been added to advise preparers that a public attestation against all Standing Directions will be required in each agency’s annual report from 2017-18.</w:t>
            </w:r>
          </w:p>
        </w:tc>
        <w:tc>
          <w:tcPr>
            <w:cnfStyle w:val="000100000000" w:firstRow="0" w:lastRow="0" w:firstColumn="0" w:lastColumn="1" w:oddVBand="0" w:evenVBand="0" w:oddHBand="0" w:evenHBand="0" w:firstRowFirstColumn="0" w:firstRowLastColumn="0" w:lastRowFirstColumn="0" w:lastRowLastColumn="0"/>
            <w:tcW w:w="636" w:type="pct"/>
          </w:tcPr>
          <w:p w:rsidR="00B11A1C" w:rsidRPr="00422D05" w:rsidDel="000B3FB9" w:rsidRDefault="00903248" w:rsidP="00EF6ACE">
            <w:pPr>
              <w:pStyle w:val="Tabletextcentred"/>
              <w:jc w:val="left"/>
            </w:pPr>
            <w:r w:rsidRPr="00422D05">
              <w:t>65</w:t>
            </w:r>
          </w:p>
        </w:tc>
      </w:tr>
    </w:tbl>
    <w:p w:rsidR="00955547" w:rsidRPr="00422D05" w:rsidRDefault="00955547" w:rsidP="005E6AE4">
      <w:pPr>
        <w:pStyle w:val="Tabletext"/>
      </w:pPr>
    </w:p>
    <w:p w:rsidR="00F04E7E" w:rsidRPr="00422D05" w:rsidRDefault="00F04E7E">
      <w:pPr>
        <w:spacing w:before="0" w:after="200"/>
        <w:rPr>
          <w:sz w:val="17"/>
        </w:rPr>
      </w:pPr>
      <w:r w:rsidRPr="00422D05">
        <w:br w:type="page"/>
      </w:r>
    </w:p>
    <w:tbl>
      <w:tblPr>
        <w:tblStyle w:val="DTFtexttable"/>
        <w:tblW w:w="5000" w:type="pct"/>
        <w:tblLook w:val="01A0" w:firstRow="1" w:lastRow="0" w:firstColumn="1" w:lastColumn="1" w:noHBand="0" w:noVBand="0"/>
      </w:tblPr>
      <w:tblGrid>
        <w:gridCol w:w="1586"/>
        <w:gridCol w:w="1819"/>
        <w:gridCol w:w="4572"/>
        <w:gridCol w:w="1163"/>
      </w:tblGrid>
      <w:tr w:rsidR="00F04E7E" w:rsidRPr="00422D05" w:rsidTr="00A21D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000" w:type="pct"/>
            <w:gridSpan w:val="4"/>
          </w:tcPr>
          <w:p w:rsidR="00F04E7E" w:rsidRPr="00422D05" w:rsidRDefault="00F04E7E" w:rsidP="00F04E7E">
            <w:pPr>
              <w:pStyle w:val="Tableheader"/>
            </w:pPr>
            <w:r w:rsidRPr="00422D05">
              <w:lastRenderedPageBreak/>
              <w:br w:type="page"/>
              <w:t>Summary of changes – Model financial statements</w:t>
            </w:r>
          </w:p>
        </w:tc>
      </w:tr>
      <w:tr w:rsidR="00F04E7E" w:rsidRPr="00422D05" w:rsidTr="00A21D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68" w:type="pct"/>
            <w:shd w:val="clear" w:color="auto" w:fill="749CC9" w:themeFill="accent3"/>
          </w:tcPr>
          <w:p w:rsidR="00F04E7E" w:rsidRPr="00422D05" w:rsidRDefault="00F04E7E" w:rsidP="00F04E7E">
            <w:pPr>
              <w:pStyle w:val="Tableheader"/>
              <w:rPr>
                <w:sz w:val="18"/>
                <w:szCs w:val="18"/>
              </w:rPr>
            </w:pPr>
            <w:r w:rsidRPr="00422D05">
              <w:rPr>
                <w:sz w:val="18"/>
                <w:szCs w:val="18"/>
              </w:rPr>
              <w:t xml:space="preserve">Subject matter </w:t>
            </w:r>
          </w:p>
        </w:tc>
        <w:tc>
          <w:tcPr>
            <w:cnfStyle w:val="000010000000" w:firstRow="0" w:lastRow="0" w:firstColumn="0" w:lastColumn="0" w:oddVBand="1" w:evenVBand="0" w:oddHBand="0" w:evenHBand="0" w:firstRowFirstColumn="0" w:firstRowLastColumn="0" w:lastRowFirstColumn="0" w:lastRowLastColumn="0"/>
            <w:tcW w:w="995" w:type="pct"/>
            <w:shd w:val="clear" w:color="auto" w:fill="749CC9" w:themeFill="accent3"/>
          </w:tcPr>
          <w:p w:rsidR="00F04E7E" w:rsidRPr="00422D05" w:rsidRDefault="00F04E7E" w:rsidP="00F04E7E">
            <w:pPr>
              <w:pStyle w:val="Tableheader"/>
              <w:rPr>
                <w:sz w:val="18"/>
                <w:szCs w:val="18"/>
              </w:rPr>
            </w:pPr>
            <w:r w:rsidRPr="00422D05">
              <w:rPr>
                <w:sz w:val="18"/>
                <w:szCs w:val="18"/>
              </w:rPr>
              <w:t>Source of change</w:t>
            </w:r>
          </w:p>
        </w:tc>
        <w:tc>
          <w:tcPr>
            <w:cnfStyle w:val="000001000000" w:firstRow="0" w:lastRow="0" w:firstColumn="0" w:lastColumn="0" w:oddVBand="0" w:evenVBand="1" w:oddHBand="0" w:evenHBand="0" w:firstRowFirstColumn="0" w:firstRowLastColumn="0" w:lastRowFirstColumn="0" w:lastRowLastColumn="0"/>
            <w:tcW w:w="2501" w:type="pct"/>
            <w:shd w:val="clear" w:color="auto" w:fill="749CC9" w:themeFill="accent3"/>
          </w:tcPr>
          <w:p w:rsidR="00F04E7E" w:rsidRPr="00422D05" w:rsidRDefault="00F04E7E" w:rsidP="00F04E7E">
            <w:pPr>
              <w:pStyle w:val="Tableheader"/>
              <w:rPr>
                <w:sz w:val="18"/>
                <w:szCs w:val="18"/>
              </w:rPr>
            </w:pPr>
            <w:r w:rsidRPr="00422D05">
              <w:rPr>
                <w:sz w:val="18"/>
                <w:szCs w:val="18"/>
              </w:rPr>
              <w:t>Summary of changes applied to the relevant sections in the Model Financial Statements</w:t>
            </w:r>
          </w:p>
        </w:tc>
        <w:tc>
          <w:tcPr>
            <w:cnfStyle w:val="000100001000" w:firstRow="0" w:lastRow="0" w:firstColumn="0" w:lastColumn="1" w:oddVBand="0" w:evenVBand="0" w:oddHBand="0" w:evenHBand="0" w:firstRowFirstColumn="0" w:firstRowLastColumn="1" w:lastRowFirstColumn="0" w:lastRowLastColumn="0"/>
            <w:tcW w:w="636" w:type="pct"/>
            <w:shd w:val="clear" w:color="auto" w:fill="749CC9" w:themeFill="accent3"/>
          </w:tcPr>
          <w:p w:rsidR="00F04E7E" w:rsidRPr="00422D05" w:rsidRDefault="00F04E7E" w:rsidP="001C4C3D">
            <w:pPr>
              <w:pStyle w:val="Tableheader"/>
              <w:jc w:val="center"/>
              <w:rPr>
                <w:sz w:val="18"/>
                <w:szCs w:val="18"/>
              </w:rPr>
            </w:pPr>
            <w:r w:rsidRPr="00422D05">
              <w:rPr>
                <w:sz w:val="18"/>
                <w:szCs w:val="18"/>
              </w:rPr>
              <w:t>Page reference</w:t>
            </w:r>
          </w:p>
        </w:tc>
      </w:tr>
      <w:tr w:rsidR="00F04E7E" w:rsidRPr="00422D05" w:rsidTr="00F04E7E">
        <w:tc>
          <w:tcPr>
            <w:cnfStyle w:val="001000000000" w:firstRow="0" w:lastRow="0" w:firstColumn="1" w:lastColumn="0" w:oddVBand="0" w:evenVBand="0" w:oddHBand="0" w:evenHBand="0" w:firstRowFirstColumn="0" w:firstRowLastColumn="0" w:lastRowFirstColumn="0" w:lastRowLastColumn="0"/>
            <w:tcW w:w="868" w:type="pct"/>
          </w:tcPr>
          <w:p w:rsidR="00F04E7E" w:rsidRPr="00422D05" w:rsidRDefault="005B39AF" w:rsidP="00EF7A04">
            <w:pPr>
              <w:pStyle w:val="Tabletext"/>
            </w:pPr>
            <w:r w:rsidRPr="00422D05">
              <w:rPr>
                <w:color w:val="FF0000"/>
              </w:rPr>
              <w:t>[</w:t>
            </w:r>
            <w:r w:rsidR="00EF7A04" w:rsidRPr="00422D05">
              <w:rPr>
                <w:color w:val="FF0000"/>
              </w:rPr>
              <w:t>Revised</w:t>
            </w:r>
            <w:r w:rsidRPr="00422D05">
              <w:rPr>
                <w:color w:val="FF0000"/>
              </w:rPr>
              <w:t>]</w:t>
            </w:r>
          </w:p>
        </w:tc>
        <w:tc>
          <w:tcPr>
            <w:cnfStyle w:val="000010000000" w:firstRow="0" w:lastRow="0" w:firstColumn="0" w:lastColumn="0" w:oddVBand="1" w:evenVBand="0" w:oddHBand="0" w:evenHBand="0" w:firstRowFirstColumn="0" w:firstRowLastColumn="0" w:lastRowFirstColumn="0" w:lastRowLastColumn="0"/>
            <w:tcW w:w="995" w:type="pct"/>
          </w:tcPr>
          <w:p w:rsidR="00F04E7E" w:rsidRPr="00422D05" w:rsidRDefault="00EF7A04" w:rsidP="00F04E7E">
            <w:pPr>
              <w:pStyle w:val="Tabletext"/>
            </w:pPr>
            <w:r w:rsidRPr="00422D05">
              <w:t>Streamlining</w:t>
            </w:r>
          </w:p>
        </w:tc>
        <w:tc>
          <w:tcPr>
            <w:cnfStyle w:val="000001000000" w:firstRow="0" w:lastRow="0" w:firstColumn="0" w:lastColumn="0" w:oddVBand="0" w:evenVBand="1" w:oddHBand="0" w:evenHBand="0" w:firstRowFirstColumn="0" w:firstRowLastColumn="0" w:lastRowFirstColumn="0" w:lastRowLastColumn="0"/>
            <w:tcW w:w="2501" w:type="pct"/>
          </w:tcPr>
          <w:p w:rsidR="00EF7A04" w:rsidRPr="00422D05" w:rsidRDefault="00EF7A04" w:rsidP="00EF7A04">
            <w:pPr>
              <w:pStyle w:val="Tabletext"/>
            </w:pPr>
            <w:r w:rsidRPr="00422D05">
              <w:t xml:space="preserve">The Model Financial Statements have been streamlined by: </w:t>
            </w:r>
          </w:p>
          <w:p w:rsidR="00EF7A04" w:rsidRPr="00422D05" w:rsidRDefault="00EF7A04" w:rsidP="00EF7A04">
            <w:pPr>
              <w:pStyle w:val="Tabletext"/>
              <w:numPr>
                <w:ilvl w:val="0"/>
                <w:numId w:val="24"/>
              </w:numPr>
            </w:pPr>
            <w:r w:rsidRPr="00422D05">
              <w:t>presenting relevant information together;</w:t>
            </w:r>
          </w:p>
          <w:p w:rsidR="00EF7A04" w:rsidRPr="00422D05" w:rsidRDefault="00EF7A04" w:rsidP="00EF7A04">
            <w:pPr>
              <w:pStyle w:val="Tabletext"/>
              <w:numPr>
                <w:ilvl w:val="0"/>
                <w:numId w:val="24"/>
              </w:numPr>
            </w:pPr>
            <w:r w:rsidRPr="00422D05">
              <w:t>removing clutter, immaterial and duplicate disclosures;</w:t>
            </w:r>
          </w:p>
          <w:p w:rsidR="00EF7A04" w:rsidRPr="00422D05" w:rsidRDefault="00EF7A04" w:rsidP="00EF7A04">
            <w:pPr>
              <w:pStyle w:val="Tabletext"/>
              <w:numPr>
                <w:ilvl w:val="0"/>
                <w:numId w:val="24"/>
              </w:numPr>
            </w:pPr>
            <w:r w:rsidRPr="00422D05">
              <w:t>improving the readability of financial information by incorporating financial information into different sections; and</w:t>
            </w:r>
          </w:p>
          <w:p w:rsidR="003345A4" w:rsidRPr="00BE58C8" w:rsidRDefault="00EF7A04" w:rsidP="003345A4">
            <w:pPr>
              <w:pStyle w:val="Tabletext"/>
              <w:numPr>
                <w:ilvl w:val="0"/>
                <w:numId w:val="24"/>
              </w:numPr>
            </w:pPr>
            <w:r w:rsidRPr="00422D05">
              <w:t>removing technical jargon to the extent possible.</w:t>
            </w:r>
          </w:p>
          <w:p w:rsidR="00F04E7E" w:rsidRPr="00422D05" w:rsidRDefault="00B75062" w:rsidP="00B75062">
            <w:pPr>
              <w:pStyle w:val="Tabletext"/>
            </w:pPr>
            <w:r w:rsidRPr="00B75062">
              <w:t xml:space="preserve">As a result of streamlining process, existing notes have been reordered and grouped into sections that better reflect the key financial measures of departments and focus on the areas of most relevance. For more information on where the existing notes are located in the new streamlined Model financial statements, please refer to the </w:t>
            </w:r>
            <w:r w:rsidRPr="00422D05">
              <w:t>next table, ‘Summary of changes – Notes in the Model financial statements’.</w:t>
            </w:r>
          </w:p>
        </w:tc>
        <w:tc>
          <w:tcPr>
            <w:cnfStyle w:val="000100000000" w:firstRow="0" w:lastRow="0" w:firstColumn="0" w:lastColumn="1" w:oddVBand="0" w:evenVBand="0" w:oddHBand="0" w:evenHBand="0" w:firstRowFirstColumn="0" w:firstRowLastColumn="0" w:lastRowFirstColumn="0" w:lastRowLastColumn="0"/>
            <w:tcW w:w="636" w:type="pct"/>
          </w:tcPr>
          <w:p w:rsidR="00F04E7E" w:rsidRPr="00422D05" w:rsidRDefault="005B39AF" w:rsidP="001C4C3D">
            <w:pPr>
              <w:pStyle w:val="Tabletextcentred"/>
            </w:pPr>
            <w:r w:rsidRPr="00422D05">
              <w:t>Whole Model Financial Statements</w:t>
            </w:r>
          </w:p>
        </w:tc>
      </w:tr>
      <w:tr w:rsidR="004F66BF" w:rsidRPr="00422D05" w:rsidTr="00F04E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4F66BF" w:rsidRPr="00422D05" w:rsidRDefault="004F66BF" w:rsidP="004F66BF">
            <w:pPr>
              <w:pStyle w:val="Tabletext"/>
              <w:rPr>
                <w:color w:val="FF0000"/>
              </w:rPr>
            </w:pPr>
            <w:r w:rsidRPr="00422D05">
              <w:rPr>
                <w:color w:val="FF0000"/>
              </w:rPr>
              <w:t xml:space="preserve">[New] </w:t>
            </w:r>
            <w:r>
              <w:t>Independent auditor’s report</w:t>
            </w:r>
          </w:p>
        </w:tc>
        <w:tc>
          <w:tcPr>
            <w:cnfStyle w:val="000010000000" w:firstRow="0" w:lastRow="0" w:firstColumn="0" w:lastColumn="0" w:oddVBand="1" w:evenVBand="0" w:oddHBand="0" w:evenHBand="0" w:firstRowFirstColumn="0" w:firstRowLastColumn="0" w:lastRowFirstColumn="0" w:lastRowLastColumn="0"/>
            <w:tcW w:w="995" w:type="pct"/>
          </w:tcPr>
          <w:p w:rsidR="004F66BF" w:rsidRPr="00422D05" w:rsidRDefault="004F66BF" w:rsidP="009F37C2">
            <w:pPr>
              <w:pStyle w:val="Tabletext"/>
            </w:pPr>
            <w:r w:rsidRPr="00422D05">
              <w:t>Revised auditor’s report</w:t>
            </w:r>
          </w:p>
        </w:tc>
        <w:tc>
          <w:tcPr>
            <w:cnfStyle w:val="000001000000" w:firstRow="0" w:lastRow="0" w:firstColumn="0" w:lastColumn="0" w:oddVBand="0" w:evenVBand="1" w:oddHBand="0" w:evenHBand="0" w:firstRowFirstColumn="0" w:firstRowLastColumn="0" w:lastRowFirstColumn="0" w:lastRowLastColumn="0"/>
            <w:tcW w:w="2501" w:type="pct"/>
          </w:tcPr>
          <w:p w:rsidR="004F66BF" w:rsidRPr="00422D05" w:rsidRDefault="004F66BF" w:rsidP="004F66BF">
            <w:pPr>
              <w:pStyle w:val="Tabletext"/>
            </w:pPr>
            <w:r>
              <w:t>Sample independent auditor’s report and i</w:t>
            </w:r>
            <w:r w:rsidRPr="00422D05">
              <w:t xml:space="preserve">nformation on the changes to the auditor’s report </w:t>
            </w:r>
            <w:r>
              <w:t>have</w:t>
            </w:r>
            <w:r w:rsidRPr="00422D05">
              <w:t xml:space="preserve"> been added.</w:t>
            </w:r>
          </w:p>
        </w:tc>
        <w:tc>
          <w:tcPr>
            <w:cnfStyle w:val="000100000000" w:firstRow="0" w:lastRow="0" w:firstColumn="0" w:lastColumn="1" w:oddVBand="0" w:evenVBand="0" w:oddHBand="0" w:evenHBand="0" w:firstRowFirstColumn="0" w:firstRowLastColumn="0" w:lastRowFirstColumn="0" w:lastRowLastColumn="0"/>
            <w:tcW w:w="636" w:type="pct"/>
          </w:tcPr>
          <w:p w:rsidR="004F66BF" w:rsidRPr="00422D05" w:rsidRDefault="004F66BF" w:rsidP="009F37C2">
            <w:pPr>
              <w:pStyle w:val="Tabletextcentred"/>
            </w:pPr>
            <w:r>
              <w:t>74-75</w:t>
            </w:r>
          </w:p>
        </w:tc>
      </w:tr>
      <w:tr w:rsidR="00BE58C8" w:rsidRPr="00422D05" w:rsidTr="00F04E7E">
        <w:tc>
          <w:tcPr>
            <w:cnfStyle w:val="001000000000" w:firstRow="0" w:lastRow="0" w:firstColumn="1" w:lastColumn="0" w:oddVBand="0" w:evenVBand="0" w:oddHBand="0" w:evenHBand="0" w:firstRowFirstColumn="0" w:firstRowLastColumn="0" w:lastRowFirstColumn="0" w:lastRowLastColumn="0"/>
            <w:tcW w:w="868" w:type="pct"/>
          </w:tcPr>
          <w:p w:rsidR="00BE58C8" w:rsidRPr="00422D05" w:rsidRDefault="00BE58C8" w:rsidP="009F37C2">
            <w:pPr>
              <w:pStyle w:val="Tabletext"/>
              <w:rPr>
                <w:color w:val="FF0000"/>
              </w:rPr>
            </w:pPr>
            <w:r w:rsidRPr="00422D05">
              <w:rPr>
                <w:color w:val="FF0000"/>
              </w:rPr>
              <w:t xml:space="preserve">[New] </w:t>
            </w:r>
            <w:r w:rsidRPr="00422D05">
              <w:t>Note 2.1 Summary of income that funds the delivery of our services</w:t>
            </w:r>
          </w:p>
        </w:tc>
        <w:tc>
          <w:tcPr>
            <w:cnfStyle w:val="000010000000" w:firstRow="0" w:lastRow="0" w:firstColumn="0" w:lastColumn="0" w:oddVBand="1" w:evenVBand="0" w:oddHBand="0" w:evenHBand="0" w:firstRowFirstColumn="0" w:firstRowLastColumn="0" w:lastRowFirstColumn="0" w:lastRowLastColumn="0"/>
            <w:tcW w:w="995" w:type="pct"/>
          </w:tcPr>
          <w:p w:rsidR="00BE58C8" w:rsidRPr="00422D05" w:rsidRDefault="00BE58C8" w:rsidP="009F37C2">
            <w:pPr>
              <w:pStyle w:val="Tabletext"/>
            </w:pPr>
            <w:r w:rsidRPr="00422D05">
              <w:t>General improvement</w:t>
            </w:r>
          </w:p>
        </w:tc>
        <w:tc>
          <w:tcPr>
            <w:cnfStyle w:val="000001000000" w:firstRow="0" w:lastRow="0" w:firstColumn="0" w:lastColumn="0" w:oddVBand="0" w:evenVBand="1" w:oddHBand="0" w:evenHBand="0" w:firstRowFirstColumn="0" w:firstRowLastColumn="0" w:lastRowFirstColumn="0" w:lastRowLastColumn="0"/>
            <w:tcW w:w="2501" w:type="pct"/>
          </w:tcPr>
          <w:p w:rsidR="00BE58C8" w:rsidRPr="00422D05" w:rsidRDefault="00BE58C8" w:rsidP="009F37C2">
            <w:pPr>
              <w:pStyle w:val="Tabletext"/>
            </w:pPr>
            <w:r w:rsidRPr="00422D05">
              <w:t xml:space="preserve">A new summary table which contains types of income that funds the delivery of departments’ services has been added. </w:t>
            </w:r>
          </w:p>
        </w:tc>
        <w:tc>
          <w:tcPr>
            <w:cnfStyle w:val="000100000000" w:firstRow="0" w:lastRow="0" w:firstColumn="0" w:lastColumn="1" w:oddVBand="0" w:evenVBand="0" w:oddHBand="0" w:evenHBand="0" w:firstRowFirstColumn="0" w:firstRowLastColumn="0" w:lastRowFirstColumn="0" w:lastRowLastColumn="0"/>
            <w:tcW w:w="636" w:type="pct"/>
          </w:tcPr>
          <w:p w:rsidR="00BE58C8" w:rsidRPr="00422D05" w:rsidRDefault="00BE58C8" w:rsidP="009F37C2">
            <w:pPr>
              <w:pStyle w:val="Tabletextcentred"/>
            </w:pPr>
            <w:r w:rsidRPr="00422D05">
              <w:t>88</w:t>
            </w:r>
          </w:p>
        </w:tc>
      </w:tr>
      <w:tr w:rsidR="008E1D73" w:rsidRPr="00422D05" w:rsidTr="00F04E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8E1D73" w:rsidRPr="00422D05" w:rsidRDefault="008E1D73" w:rsidP="009F37C2">
            <w:pPr>
              <w:pStyle w:val="Tabletext"/>
            </w:pPr>
            <w:r w:rsidRPr="00422D05">
              <w:rPr>
                <w:color w:val="FF0000"/>
              </w:rPr>
              <w:t xml:space="preserve">[Revised] </w:t>
            </w:r>
            <w:r w:rsidRPr="00422D05">
              <w:t>Note 2.3</w:t>
            </w:r>
            <w:r w:rsidRPr="00422D05">
              <w:rPr>
                <w:color w:val="FF0000"/>
              </w:rPr>
              <w:t xml:space="preserve"> </w:t>
            </w:r>
            <w:r w:rsidRPr="00422D05">
              <w:t>Guidance – Summary of compliance with annual parliamentary and special appropriations</w:t>
            </w:r>
          </w:p>
        </w:tc>
        <w:tc>
          <w:tcPr>
            <w:cnfStyle w:val="000010000000" w:firstRow="0" w:lastRow="0" w:firstColumn="0" w:lastColumn="0" w:oddVBand="1" w:evenVBand="0" w:oddHBand="0" w:evenHBand="0" w:firstRowFirstColumn="0" w:firstRowLastColumn="0" w:lastRowFirstColumn="0" w:lastRowLastColumn="0"/>
            <w:tcW w:w="995" w:type="pct"/>
          </w:tcPr>
          <w:p w:rsidR="008E1D73" w:rsidRPr="00422D05" w:rsidRDefault="008E1D73" w:rsidP="009F37C2">
            <w:pPr>
              <w:pStyle w:val="Tabletext"/>
            </w:pPr>
            <w:r w:rsidRPr="00422D05">
              <w:t>Recommendation 5, PAEC Report on 2013-14 and 2014-15 Financial and Performance Outcomes</w:t>
            </w:r>
          </w:p>
        </w:tc>
        <w:tc>
          <w:tcPr>
            <w:cnfStyle w:val="000001000000" w:firstRow="0" w:lastRow="0" w:firstColumn="0" w:lastColumn="0" w:oddVBand="0" w:evenVBand="1" w:oddHBand="0" w:evenHBand="0" w:firstRowFirstColumn="0" w:firstRowLastColumn="0" w:lastRowFirstColumn="0" w:lastRowLastColumn="0"/>
            <w:tcW w:w="2501" w:type="pct"/>
          </w:tcPr>
          <w:p w:rsidR="008E1D73" w:rsidRPr="00422D05" w:rsidRDefault="008E1D73" w:rsidP="009F37C2">
            <w:pPr>
              <w:pStyle w:val="Tabletext"/>
            </w:pPr>
            <w:r w:rsidRPr="00422D05">
              <w:t xml:space="preserve">A disclosure requirement has been added in accordance with the government’s response to the PAEC recommendation. </w:t>
            </w:r>
          </w:p>
        </w:tc>
        <w:tc>
          <w:tcPr>
            <w:cnfStyle w:val="000100000000" w:firstRow="0" w:lastRow="0" w:firstColumn="0" w:lastColumn="1" w:oddVBand="0" w:evenVBand="0" w:oddHBand="0" w:evenHBand="0" w:firstRowFirstColumn="0" w:firstRowLastColumn="0" w:lastRowFirstColumn="0" w:lastRowLastColumn="0"/>
            <w:tcW w:w="636" w:type="pct"/>
          </w:tcPr>
          <w:p w:rsidR="008E1D73" w:rsidRPr="00422D05" w:rsidRDefault="008E1D73" w:rsidP="009F37C2">
            <w:pPr>
              <w:pStyle w:val="Tabletextcentred"/>
            </w:pPr>
            <w:r>
              <w:t>90</w:t>
            </w:r>
          </w:p>
        </w:tc>
      </w:tr>
      <w:tr w:rsidR="008E1D73" w:rsidRPr="00422D05" w:rsidTr="00F04E7E">
        <w:tc>
          <w:tcPr>
            <w:cnfStyle w:val="001000000000" w:firstRow="0" w:lastRow="0" w:firstColumn="1" w:lastColumn="0" w:oddVBand="0" w:evenVBand="0" w:oddHBand="0" w:evenHBand="0" w:firstRowFirstColumn="0" w:firstRowLastColumn="0" w:lastRowFirstColumn="0" w:lastRowLastColumn="0"/>
            <w:tcW w:w="868" w:type="pct"/>
          </w:tcPr>
          <w:p w:rsidR="008E1D73" w:rsidRPr="00422D05" w:rsidRDefault="008E1D73" w:rsidP="009F37C2">
            <w:pPr>
              <w:pStyle w:val="Tabletext"/>
              <w:rPr>
                <w:color w:val="FF0000"/>
              </w:rPr>
            </w:pPr>
            <w:r w:rsidRPr="00422D05">
              <w:rPr>
                <w:color w:val="FF0000"/>
              </w:rPr>
              <w:t xml:space="preserve">[New] </w:t>
            </w:r>
            <w:r w:rsidRPr="00422D05">
              <w:t>Note 3.1 Expenses incurred in delivery of services</w:t>
            </w:r>
          </w:p>
        </w:tc>
        <w:tc>
          <w:tcPr>
            <w:cnfStyle w:val="000010000000" w:firstRow="0" w:lastRow="0" w:firstColumn="0" w:lastColumn="0" w:oddVBand="1" w:evenVBand="0" w:oddHBand="0" w:evenHBand="0" w:firstRowFirstColumn="0" w:firstRowLastColumn="0" w:lastRowFirstColumn="0" w:lastRowLastColumn="0"/>
            <w:tcW w:w="995" w:type="pct"/>
          </w:tcPr>
          <w:p w:rsidR="008E1D73" w:rsidRPr="00422D05" w:rsidRDefault="008E1D73" w:rsidP="009F37C2">
            <w:pPr>
              <w:pStyle w:val="Tabletext"/>
            </w:pPr>
            <w:r w:rsidRPr="00422D05">
              <w:t>General improvement</w:t>
            </w:r>
          </w:p>
        </w:tc>
        <w:tc>
          <w:tcPr>
            <w:cnfStyle w:val="000001000000" w:firstRow="0" w:lastRow="0" w:firstColumn="0" w:lastColumn="0" w:oddVBand="0" w:evenVBand="1" w:oddHBand="0" w:evenHBand="0" w:firstRowFirstColumn="0" w:firstRowLastColumn="0" w:lastRowFirstColumn="0" w:lastRowLastColumn="0"/>
            <w:tcW w:w="2501" w:type="pct"/>
          </w:tcPr>
          <w:p w:rsidR="008E1D73" w:rsidRPr="00422D05" w:rsidRDefault="008E1D73" w:rsidP="009F37C2">
            <w:pPr>
              <w:pStyle w:val="Tabletext"/>
            </w:pPr>
            <w:r w:rsidRPr="00422D05">
              <w:t>A new summary table which contains types of expenses incurred in delivery of services.</w:t>
            </w:r>
          </w:p>
        </w:tc>
        <w:tc>
          <w:tcPr>
            <w:cnfStyle w:val="000100000000" w:firstRow="0" w:lastRow="0" w:firstColumn="0" w:lastColumn="1" w:oddVBand="0" w:evenVBand="0" w:oddHBand="0" w:evenHBand="0" w:firstRowFirstColumn="0" w:firstRowLastColumn="0" w:lastRowFirstColumn="0" w:lastRowLastColumn="0"/>
            <w:tcW w:w="636" w:type="pct"/>
          </w:tcPr>
          <w:p w:rsidR="008E1D73" w:rsidRPr="00422D05" w:rsidRDefault="008E1D73" w:rsidP="009F37C2">
            <w:pPr>
              <w:pStyle w:val="Tabletextcentred"/>
            </w:pPr>
            <w:r w:rsidRPr="00422D05">
              <w:t>95</w:t>
            </w:r>
          </w:p>
        </w:tc>
      </w:tr>
      <w:tr w:rsidR="008E1D73" w:rsidRPr="00422D05" w:rsidTr="00F04E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8E1D73" w:rsidRPr="00422D05" w:rsidRDefault="008E1D73" w:rsidP="009F37C2">
            <w:pPr>
              <w:pStyle w:val="Tabletext"/>
            </w:pPr>
            <w:r w:rsidRPr="00422D05">
              <w:rPr>
                <w:color w:val="FF0000"/>
              </w:rPr>
              <w:t xml:space="preserve">[New] </w:t>
            </w:r>
            <w:r w:rsidRPr="00422D05">
              <w:t xml:space="preserve">Note 9.5 </w:t>
            </w:r>
            <w:r w:rsidRPr="00422D05">
              <w:rPr>
                <w:i/>
              </w:rPr>
              <w:t>Entities consolidated pursuant to section 53(1)(b) of the</w:t>
            </w:r>
            <w:r w:rsidRPr="00422D05">
              <w:t xml:space="preserve"> </w:t>
            </w:r>
            <w:r w:rsidRPr="00422D05">
              <w:rPr>
                <w:i/>
              </w:rPr>
              <w:t>Financial Management Act 1994</w:t>
            </w:r>
          </w:p>
        </w:tc>
        <w:tc>
          <w:tcPr>
            <w:cnfStyle w:val="000010000000" w:firstRow="0" w:lastRow="0" w:firstColumn="0" w:lastColumn="0" w:oddVBand="1" w:evenVBand="0" w:oddHBand="0" w:evenHBand="0" w:firstRowFirstColumn="0" w:firstRowLastColumn="0" w:lastRowFirstColumn="0" w:lastRowLastColumn="0"/>
            <w:tcW w:w="995" w:type="pct"/>
          </w:tcPr>
          <w:p w:rsidR="008E1D73" w:rsidRPr="00422D05" w:rsidRDefault="008E1D73" w:rsidP="009F37C2">
            <w:pPr>
              <w:pStyle w:val="Tabletext"/>
            </w:pPr>
            <w:r w:rsidRPr="00422D05">
              <w:t>VAGO recommendation</w:t>
            </w:r>
          </w:p>
        </w:tc>
        <w:tc>
          <w:tcPr>
            <w:cnfStyle w:val="000001000000" w:firstRow="0" w:lastRow="0" w:firstColumn="0" w:lastColumn="0" w:oddVBand="0" w:evenVBand="1" w:oddHBand="0" w:evenHBand="0" w:firstRowFirstColumn="0" w:firstRowLastColumn="0" w:lastRowFirstColumn="0" w:lastRowLastColumn="0"/>
            <w:tcW w:w="2501" w:type="pct"/>
          </w:tcPr>
          <w:p w:rsidR="008E1D73" w:rsidRPr="00422D05" w:rsidRDefault="008E1D73" w:rsidP="009F37C2">
            <w:pPr>
              <w:pStyle w:val="Tabletext"/>
            </w:pPr>
            <w:r w:rsidRPr="00422D05">
              <w:t xml:space="preserve">A new disclosure has been added for entities that are consolidated into department’s annual reports pursuant to section 53(1)(b) of the </w:t>
            </w:r>
            <w:r w:rsidRPr="00422D05">
              <w:rPr>
                <w:i/>
              </w:rPr>
              <w:t>Financial Management Act 1994</w:t>
            </w:r>
            <w:r w:rsidRPr="00422D05">
              <w:t xml:space="preserve">. </w:t>
            </w:r>
          </w:p>
        </w:tc>
        <w:tc>
          <w:tcPr>
            <w:cnfStyle w:val="000100000000" w:firstRow="0" w:lastRow="0" w:firstColumn="0" w:lastColumn="1" w:oddVBand="0" w:evenVBand="0" w:oddHBand="0" w:evenHBand="0" w:firstRowFirstColumn="0" w:firstRowLastColumn="0" w:lastRowFirstColumn="0" w:lastRowLastColumn="0"/>
            <w:tcW w:w="636" w:type="pct"/>
          </w:tcPr>
          <w:p w:rsidR="008E1D73" w:rsidRPr="00422D05" w:rsidRDefault="008E1D73" w:rsidP="009F37C2">
            <w:pPr>
              <w:pStyle w:val="Tabletextcentred"/>
            </w:pPr>
            <w:r w:rsidRPr="00422D05">
              <w:t>200</w:t>
            </w:r>
          </w:p>
        </w:tc>
      </w:tr>
      <w:tr w:rsidR="008E1D73" w:rsidRPr="00422D05" w:rsidTr="00F04E7E">
        <w:tc>
          <w:tcPr>
            <w:cnfStyle w:val="001000000000" w:firstRow="0" w:lastRow="0" w:firstColumn="1" w:lastColumn="0" w:oddVBand="0" w:evenVBand="0" w:oddHBand="0" w:evenHBand="0" w:firstRowFirstColumn="0" w:firstRowLastColumn="0" w:lastRowFirstColumn="0" w:lastRowLastColumn="0"/>
            <w:tcW w:w="868" w:type="pct"/>
          </w:tcPr>
          <w:p w:rsidR="008E1D73" w:rsidRPr="00422D05" w:rsidRDefault="008E1D73" w:rsidP="009F37C2">
            <w:pPr>
              <w:pStyle w:val="Tabletext"/>
              <w:rPr>
                <w:color w:val="FF0000"/>
              </w:rPr>
            </w:pPr>
            <w:r w:rsidRPr="00422D05">
              <w:rPr>
                <w:color w:val="FF0000"/>
              </w:rPr>
              <w:t>[Revised]</w:t>
            </w:r>
            <w:r w:rsidRPr="00422D05">
              <w:rPr>
                <w:i/>
              </w:rPr>
              <w:t xml:space="preserve"> </w:t>
            </w:r>
            <w:r w:rsidRPr="00422D05">
              <w:t>Note 9.8 Remuneration of executives</w:t>
            </w:r>
          </w:p>
        </w:tc>
        <w:tc>
          <w:tcPr>
            <w:cnfStyle w:val="000010000000" w:firstRow="0" w:lastRow="0" w:firstColumn="0" w:lastColumn="0" w:oddVBand="1" w:evenVBand="0" w:oddHBand="0" w:evenHBand="0" w:firstRowFirstColumn="0" w:firstRowLastColumn="0" w:lastRowFirstColumn="0" w:lastRowLastColumn="0"/>
            <w:tcW w:w="995" w:type="pct"/>
          </w:tcPr>
          <w:p w:rsidR="008E1D73" w:rsidRPr="00422D05" w:rsidRDefault="008E1D73" w:rsidP="009F37C2">
            <w:pPr>
              <w:pStyle w:val="Tabletext"/>
            </w:pPr>
            <w:r w:rsidRPr="00422D05">
              <w:t xml:space="preserve">FRD 21C </w:t>
            </w:r>
            <w:r w:rsidRPr="00422D05">
              <w:rPr>
                <w:i/>
              </w:rPr>
              <w:t>Disclosure of responsible persons, executive officers and other personnel</w:t>
            </w:r>
          </w:p>
        </w:tc>
        <w:tc>
          <w:tcPr>
            <w:cnfStyle w:val="000001000000" w:firstRow="0" w:lastRow="0" w:firstColumn="0" w:lastColumn="0" w:oddVBand="0" w:evenVBand="1" w:oddHBand="0" w:evenHBand="0" w:firstRowFirstColumn="0" w:firstRowLastColumn="0" w:lastRowFirstColumn="0" w:lastRowLastColumn="0"/>
            <w:tcW w:w="2501" w:type="pct"/>
          </w:tcPr>
          <w:p w:rsidR="008E1D73" w:rsidRPr="00422D05" w:rsidRDefault="008E1D73" w:rsidP="009F37C2">
            <w:pPr>
              <w:pStyle w:val="Tabletext"/>
            </w:pPr>
            <w:r w:rsidRPr="00422D05">
              <w:t xml:space="preserve">Information and disclosure requirements have been amended to reflect the changes made in FRD 21C which was amended </w:t>
            </w:r>
            <w:r w:rsidRPr="00422D05">
              <w:rPr>
                <w:rFonts w:ascii="Arial" w:hAnsi="Arial"/>
              </w:rPr>
              <w:t xml:space="preserve">to align the reporting requirements with AASB 124 </w:t>
            </w:r>
            <w:r w:rsidRPr="00422D05">
              <w:rPr>
                <w:rFonts w:ascii="Arial" w:hAnsi="Arial"/>
                <w:i/>
              </w:rPr>
              <w:t xml:space="preserve">Related Party Disclosures </w:t>
            </w:r>
            <w:r w:rsidRPr="00422D05">
              <w:rPr>
                <w:rFonts w:ascii="Arial" w:hAnsi="Arial"/>
              </w:rPr>
              <w:t>which is effective for all not-for-profit entities from 1 July 2016.</w:t>
            </w:r>
          </w:p>
        </w:tc>
        <w:tc>
          <w:tcPr>
            <w:cnfStyle w:val="000100000000" w:firstRow="0" w:lastRow="0" w:firstColumn="0" w:lastColumn="1" w:oddVBand="0" w:evenVBand="0" w:oddHBand="0" w:evenHBand="0" w:firstRowFirstColumn="0" w:firstRowLastColumn="0" w:lastRowFirstColumn="0" w:lastRowLastColumn="0"/>
            <w:tcW w:w="636" w:type="pct"/>
          </w:tcPr>
          <w:p w:rsidR="008E1D73" w:rsidRPr="00422D05" w:rsidRDefault="008E1D73" w:rsidP="009F37C2">
            <w:pPr>
              <w:pStyle w:val="Tabletextcentred"/>
            </w:pPr>
            <w:r w:rsidRPr="00422D05">
              <w:t>206-207</w:t>
            </w:r>
          </w:p>
        </w:tc>
      </w:tr>
      <w:tr w:rsidR="008E1D73" w:rsidRPr="00422D05" w:rsidTr="00F04E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8E1D73" w:rsidRPr="00422D05" w:rsidRDefault="008E1D73" w:rsidP="00A44D92">
            <w:pPr>
              <w:pStyle w:val="Tabletext"/>
            </w:pPr>
            <w:r w:rsidRPr="00422D05">
              <w:rPr>
                <w:color w:val="FF0000"/>
              </w:rPr>
              <w:t xml:space="preserve">[New] </w:t>
            </w:r>
            <w:r w:rsidRPr="00422D05">
              <w:t xml:space="preserve">Note 9.9 </w:t>
            </w:r>
            <w:r w:rsidRPr="00422D05">
              <w:rPr>
                <w:i/>
              </w:rPr>
              <w:lastRenderedPageBreak/>
              <w:t>Related parties</w:t>
            </w:r>
          </w:p>
        </w:tc>
        <w:tc>
          <w:tcPr>
            <w:cnfStyle w:val="000010000000" w:firstRow="0" w:lastRow="0" w:firstColumn="0" w:lastColumn="0" w:oddVBand="1" w:evenVBand="0" w:oddHBand="0" w:evenHBand="0" w:firstRowFirstColumn="0" w:firstRowLastColumn="0" w:lastRowFirstColumn="0" w:lastRowLastColumn="0"/>
            <w:tcW w:w="995" w:type="pct"/>
          </w:tcPr>
          <w:p w:rsidR="008E1D73" w:rsidRPr="00422D05" w:rsidRDefault="008E1D73" w:rsidP="00A44D92">
            <w:pPr>
              <w:pStyle w:val="Tabletext"/>
            </w:pPr>
            <w:r w:rsidRPr="00422D05">
              <w:lastRenderedPageBreak/>
              <w:t xml:space="preserve">AASB 124 </w:t>
            </w:r>
            <w:r w:rsidRPr="00422D05">
              <w:rPr>
                <w:i/>
              </w:rPr>
              <w:t xml:space="preserve">Related </w:t>
            </w:r>
            <w:r w:rsidRPr="00422D05">
              <w:rPr>
                <w:i/>
              </w:rPr>
              <w:lastRenderedPageBreak/>
              <w:t>Party Disclosures</w:t>
            </w:r>
          </w:p>
        </w:tc>
        <w:tc>
          <w:tcPr>
            <w:cnfStyle w:val="000001000000" w:firstRow="0" w:lastRow="0" w:firstColumn="0" w:lastColumn="0" w:oddVBand="0" w:evenVBand="1" w:oddHBand="0" w:evenHBand="0" w:firstRowFirstColumn="0" w:firstRowLastColumn="0" w:lastRowFirstColumn="0" w:lastRowLastColumn="0"/>
            <w:tcW w:w="2501" w:type="pct"/>
          </w:tcPr>
          <w:p w:rsidR="008E1D73" w:rsidRPr="00422D05" w:rsidRDefault="008E1D73" w:rsidP="00A44D92">
            <w:pPr>
              <w:pStyle w:val="Tabletext"/>
            </w:pPr>
            <w:r w:rsidRPr="00422D05">
              <w:lastRenderedPageBreak/>
              <w:t xml:space="preserve">Information and illustrations on the related party disclosure requirements on related party transactions </w:t>
            </w:r>
            <w:r w:rsidRPr="00422D05">
              <w:lastRenderedPageBreak/>
              <w:t>have been added to reflect the new requirements of AASB 124.</w:t>
            </w:r>
          </w:p>
        </w:tc>
        <w:tc>
          <w:tcPr>
            <w:cnfStyle w:val="000100000000" w:firstRow="0" w:lastRow="0" w:firstColumn="0" w:lastColumn="1" w:oddVBand="0" w:evenVBand="0" w:oddHBand="0" w:evenHBand="0" w:firstRowFirstColumn="0" w:firstRowLastColumn="0" w:lastRowFirstColumn="0" w:lastRowLastColumn="0"/>
            <w:tcW w:w="636" w:type="pct"/>
          </w:tcPr>
          <w:p w:rsidR="008E1D73" w:rsidRPr="00422D05" w:rsidRDefault="008E1D73" w:rsidP="00A44D92">
            <w:pPr>
              <w:pStyle w:val="Tabletextcentred"/>
            </w:pPr>
            <w:r w:rsidRPr="00422D05">
              <w:lastRenderedPageBreak/>
              <w:t>208-211</w:t>
            </w:r>
          </w:p>
        </w:tc>
      </w:tr>
      <w:tr w:rsidR="008E1D73" w:rsidRPr="00422D05" w:rsidTr="00F04E7E">
        <w:tc>
          <w:tcPr>
            <w:cnfStyle w:val="001000000000" w:firstRow="0" w:lastRow="0" w:firstColumn="1" w:lastColumn="0" w:oddVBand="0" w:evenVBand="0" w:oddHBand="0" w:evenHBand="0" w:firstRowFirstColumn="0" w:firstRowLastColumn="0" w:lastRowFirstColumn="0" w:lastRowLastColumn="0"/>
            <w:tcW w:w="868" w:type="pct"/>
          </w:tcPr>
          <w:p w:rsidR="008E1D73" w:rsidRPr="00422D05" w:rsidRDefault="008E1D73" w:rsidP="009F37C2">
            <w:pPr>
              <w:pStyle w:val="Tabletext"/>
            </w:pPr>
            <w:r w:rsidRPr="00422D05">
              <w:rPr>
                <w:color w:val="FF0000"/>
              </w:rPr>
              <w:lastRenderedPageBreak/>
              <w:t xml:space="preserve">[New] </w:t>
            </w:r>
            <w:r w:rsidRPr="00422D05">
              <w:t>Guidance notes</w:t>
            </w:r>
          </w:p>
        </w:tc>
        <w:tc>
          <w:tcPr>
            <w:cnfStyle w:val="000010000000" w:firstRow="0" w:lastRow="0" w:firstColumn="0" w:lastColumn="0" w:oddVBand="1" w:evenVBand="0" w:oddHBand="0" w:evenHBand="0" w:firstRowFirstColumn="0" w:firstRowLastColumn="0" w:lastRowFirstColumn="0" w:lastRowLastColumn="0"/>
            <w:tcW w:w="995" w:type="pct"/>
          </w:tcPr>
          <w:p w:rsidR="008E1D73" w:rsidRPr="00422D05" w:rsidRDefault="008E1D73" w:rsidP="009F37C2">
            <w:pPr>
              <w:pStyle w:val="Tabletext"/>
            </w:pPr>
            <w:r w:rsidRPr="00422D05">
              <w:t>Streamlining</w:t>
            </w:r>
          </w:p>
        </w:tc>
        <w:tc>
          <w:tcPr>
            <w:cnfStyle w:val="000001000000" w:firstRow="0" w:lastRow="0" w:firstColumn="0" w:lastColumn="0" w:oddVBand="0" w:evenVBand="1" w:oddHBand="0" w:evenHBand="0" w:firstRowFirstColumn="0" w:firstRowLastColumn="0" w:lastRowFirstColumn="0" w:lastRowLastColumn="0"/>
            <w:tcW w:w="2501" w:type="pct"/>
          </w:tcPr>
          <w:p w:rsidR="008E1D73" w:rsidRPr="00422D05" w:rsidRDefault="008E1D73" w:rsidP="009F37C2">
            <w:pPr>
              <w:pStyle w:val="Tabletext"/>
            </w:pPr>
            <w:r w:rsidRPr="00422D05">
              <w:t xml:space="preserve">New guidance notes including the “How to” guide on streamlining have been added. </w:t>
            </w:r>
          </w:p>
        </w:tc>
        <w:tc>
          <w:tcPr>
            <w:cnfStyle w:val="000100000000" w:firstRow="0" w:lastRow="0" w:firstColumn="0" w:lastColumn="1" w:oddVBand="0" w:evenVBand="0" w:oddHBand="0" w:evenHBand="0" w:firstRowFirstColumn="0" w:firstRowLastColumn="0" w:lastRowFirstColumn="0" w:lastRowLastColumn="0"/>
            <w:tcW w:w="636" w:type="pct"/>
          </w:tcPr>
          <w:p w:rsidR="008E1D73" w:rsidRPr="00422D05" w:rsidRDefault="005B3E8B" w:rsidP="009F37C2">
            <w:pPr>
              <w:pStyle w:val="Tabletextcentred"/>
            </w:pPr>
            <w:r>
              <w:t>218</w:t>
            </w:r>
          </w:p>
        </w:tc>
      </w:tr>
    </w:tbl>
    <w:p w:rsidR="00536AE7" w:rsidRPr="00422D05" w:rsidRDefault="00536AE7">
      <w:pPr>
        <w:spacing w:before="0" w:after="200"/>
        <w:rPr>
          <w:sz w:val="17"/>
        </w:rPr>
      </w:pPr>
    </w:p>
    <w:tbl>
      <w:tblPr>
        <w:tblStyle w:val="DTFtexttable"/>
        <w:tblW w:w="5073" w:type="pct"/>
        <w:tblLayout w:type="fixed"/>
        <w:tblLook w:val="01A0" w:firstRow="1" w:lastRow="0" w:firstColumn="1" w:lastColumn="1" w:noHBand="0" w:noVBand="0"/>
      </w:tblPr>
      <w:tblGrid>
        <w:gridCol w:w="1049"/>
        <w:gridCol w:w="568"/>
        <w:gridCol w:w="3394"/>
        <w:gridCol w:w="990"/>
        <w:gridCol w:w="3272"/>
      </w:tblGrid>
      <w:tr w:rsidR="004C3740" w:rsidRPr="00422D05" w:rsidTr="004C374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000" w:type="pct"/>
            <w:gridSpan w:val="5"/>
          </w:tcPr>
          <w:p w:rsidR="004C3740" w:rsidRPr="00422D05" w:rsidRDefault="004C3740" w:rsidP="004C3740">
            <w:pPr>
              <w:pStyle w:val="Tableheader"/>
            </w:pPr>
            <w:r w:rsidRPr="00422D05">
              <w:br w:type="page"/>
              <w:t>Summary of changes – Notes in the Model financial statements</w:t>
            </w:r>
          </w:p>
        </w:tc>
      </w:tr>
      <w:tr w:rsidR="00536AE7" w:rsidRPr="00422D05" w:rsidTr="00392E2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6" w:type="pct"/>
            <w:shd w:val="clear" w:color="auto" w:fill="749CC9" w:themeFill="accent3"/>
          </w:tcPr>
          <w:p w:rsidR="00536AE7" w:rsidRPr="00422D05" w:rsidRDefault="00536AE7" w:rsidP="00536AE7">
            <w:pPr>
              <w:pStyle w:val="Tableheader"/>
              <w:rPr>
                <w:sz w:val="18"/>
                <w:szCs w:val="18"/>
              </w:rPr>
            </w:pPr>
          </w:p>
        </w:tc>
        <w:tc>
          <w:tcPr>
            <w:cnfStyle w:val="000010000000" w:firstRow="0" w:lastRow="0" w:firstColumn="0" w:lastColumn="0" w:oddVBand="1" w:evenVBand="0" w:oddHBand="0" w:evenHBand="0" w:firstRowFirstColumn="0" w:firstRowLastColumn="0" w:lastRowFirstColumn="0" w:lastRowLastColumn="0"/>
            <w:tcW w:w="2136" w:type="pct"/>
            <w:gridSpan w:val="2"/>
            <w:shd w:val="clear" w:color="auto" w:fill="749CC9" w:themeFill="accent3"/>
          </w:tcPr>
          <w:p w:rsidR="00536AE7" w:rsidRPr="00422D05" w:rsidRDefault="00536AE7" w:rsidP="00536AE7">
            <w:pPr>
              <w:pStyle w:val="Tableheader"/>
              <w:jc w:val="center"/>
              <w:rPr>
                <w:sz w:val="18"/>
                <w:szCs w:val="18"/>
              </w:rPr>
            </w:pPr>
            <w:r w:rsidRPr="00422D05">
              <w:rPr>
                <w:sz w:val="18"/>
                <w:szCs w:val="18"/>
              </w:rPr>
              <w:t>Existing notes</w:t>
            </w:r>
          </w:p>
        </w:tc>
        <w:tc>
          <w:tcPr>
            <w:cnfStyle w:val="000100001000" w:firstRow="0" w:lastRow="0" w:firstColumn="0" w:lastColumn="1" w:oddVBand="0" w:evenVBand="0" w:oddHBand="0" w:evenHBand="0" w:firstRowFirstColumn="0" w:firstRowLastColumn="1" w:lastRowFirstColumn="0" w:lastRowLastColumn="0"/>
            <w:tcW w:w="2298" w:type="pct"/>
            <w:gridSpan w:val="2"/>
            <w:shd w:val="clear" w:color="auto" w:fill="749CC9" w:themeFill="accent3"/>
          </w:tcPr>
          <w:p w:rsidR="00536AE7" w:rsidRPr="00422D05" w:rsidRDefault="00536AE7" w:rsidP="00536AE7">
            <w:pPr>
              <w:pStyle w:val="Tableheader"/>
              <w:jc w:val="center"/>
              <w:rPr>
                <w:sz w:val="18"/>
                <w:szCs w:val="18"/>
              </w:rPr>
            </w:pPr>
            <w:r w:rsidRPr="00422D05">
              <w:rPr>
                <w:sz w:val="18"/>
                <w:szCs w:val="18"/>
              </w:rPr>
              <w:t>New notes</w:t>
            </w:r>
          </w:p>
        </w:tc>
      </w:tr>
      <w:tr w:rsidR="00392E2C" w:rsidRPr="00422D05" w:rsidTr="00392E2C">
        <w:tc>
          <w:tcPr>
            <w:cnfStyle w:val="001000000000" w:firstRow="0" w:lastRow="0" w:firstColumn="1" w:lastColumn="0" w:oddVBand="0" w:evenVBand="0" w:oddHBand="0" w:evenHBand="0" w:firstRowFirstColumn="0" w:firstRowLastColumn="0" w:lastRowFirstColumn="0" w:lastRowLastColumn="0"/>
            <w:tcW w:w="566" w:type="pct"/>
          </w:tcPr>
          <w:p w:rsidR="00392E2C" w:rsidRPr="00422D05" w:rsidRDefault="00392E2C" w:rsidP="00536AE7">
            <w:pPr>
              <w:pStyle w:val="Tabletext"/>
            </w:pPr>
            <w:r w:rsidRPr="00422D05">
              <w:rPr>
                <w:color w:val="FF0000"/>
              </w:rPr>
              <w:t>[Revised]</w:t>
            </w:r>
            <w:r w:rsidRPr="00422D05">
              <w:t xml:space="preserve"> Reordering of notes</w:t>
            </w: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392E2C" w:rsidRPr="00422D05" w:rsidRDefault="00392E2C" w:rsidP="00A44D92">
            <w:pPr>
              <w:rPr>
                <w:rFonts w:cstheme="minorHAnsi"/>
                <w:color w:val="000000"/>
                <w:sz w:val="16"/>
                <w:szCs w:val="16"/>
              </w:rPr>
            </w:pPr>
            <w:r w:rsidRPr="00422D05">
              <w:rPr>
                <w:rFonts w:cstheme="minorHAnsi"/>
                <w:color w:val="000000"/>
                <w:sz w:val="16"/>
                <w:szCs w:val="16"/>
              </w:rPr>
              <w:t>1</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392E2C" w:rsidRPr="00422D05" w:rsidRDefault="00392E2C">
            <w:pPr>
              <w:rPr>
                <w:rFonts w:cstheme="minorHAnsi"/>
                <w:color w:val="000000"/>
                <w:sz w:val="16"/>
                <w:szCs w:val="16"/>
              </w:rPr>
            </w:pPr>
            <w:r w:rsidRPr="00422D05">
              <w:rPr>
                <w:rFonts w:cstheme="minorHAnsi"/>
                <w:color w:val="000000"/>
                <w:sz w:val="16"/>
                <w:szCs w:val="16"/>
              </w:rPr>
              <w:t>Summary of significant accounting policies</w:t>
            </w:r>
          </w:p>
        </w:tc>
        <w:tc>
          <w:tcPr>
            <w:cnfStyle w:val="000100000000" w:firstRow="0" w:lastRow="0" w:firstColumn="0" w:lastColumn="1" w:oddVBand="0" w:evenVBand="0" w:oddHBand="0" w:evenHBand="0" w:firstRowFirstColumn="0" w:firstRowLastColumn="0" w:lastRowFirstColumn="0" w:lastRowLastColumn="0"/>
            <w:tcW w:w="2298" w:type="pct"/>
            <w:gridSpan w:val="2"/>
            <w:vAlign w:val="center"/>
          </w:tcPr>
          <w:p w:rsidR="00392E2C" w:rsidRPr="00422D05" w:rsidRDefault="00392E2C" w:rsidP="00392E2C">
            <w:pPr>
              <w:pStyle w:val="Tabletextcentred"/>
              <w:jc w:val="left"/>
            </w:pPr>
            <w:r w:rsidRPr="00422D05">
              <w:t xml:space="preserve">Each of significant accounting policies contained in Note 1 has been included in the relevant notes. </w:t>
            </w:r>
          </w:p>
        </w:tc>
      </w:tr>
      <w:tr w:rsidR="00392E2C" w:rsidRPr="00422D05" w:rsidTr="00392E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2</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Departmental (controlled) outputs</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4.1</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Departmental outputs – Descriptions and objectives</w:t>
            </w:r>
          </w:p>
        </w:tc>
      </w:tr>
      <w:tr w:rsidR="007806D3" w:rsidRPr="00422D05" w:rsidTr="00392E2C">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3</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F059E">
            <w:pPr>
              <w:rPr>
                <w:rFonts w:cstheme="minorHAnsi"/>
                <w:color w:val="000000"/>
                <w:sz w:val="16"/>
                <w:szCs w:val="16"/>
              </w:rPr>
            </w:pPr>
            <w:r w:rsidRPr="00422D05">
              <w:rPr>
                <w:rFonts w:cstheme="minorHAnsi"/>
                <w:color w:val="000000"/>
                <w:sz w:val="16"/>
                <w:szCs w:val="16"/>
              </w:rPr>
              <w:t>Administered (non-</w:t>
            </w:r>
            <w:r w:rsidR="007806D3" w:rsidRPr="00422D05">
              <w:rPr>
                <w:rFonts w:cstheme="minorHAnsi"/>
                <w:color w:val="000000"/>
                <w:sz w:val="16"/>
                <w:szCs w:val="16"/>
              </w:rPr>
              <w:t>controlled) items</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4.2</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Administered items</w:t>
            </w:r>
          </w:p>
        </w:tc>
      </w:tr>
      <w:tr w:rsidR="00392E2C" w:rsidRPr="00422D05" w:rsidTr="00392E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 xml:space="preserve">4 </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Income from transactions</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2</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Income from transactions</w:t>
            </w:r>
          </w:p>
        </w:tc>
      </w:tr>
      <w:tr w:rsidR="007806D3" w:rsidRPr="00422D05" w:rsidTr="00392E2C">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5</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Expenses from transactions</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3</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Expenses incurred in delivery of services</w:t>
            </w:r>
          </w:p>
        </w:tc>
      </w:tr>
      <w:tr w:rsidR="00392E2C" w:rsidRPr="00422D05" w:rsidTr="00392E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6</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Other economic flows included in net result</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9.2</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Other economic flows included in net result</w:t>
            </w:r>
          </w:p>
        </w:tc>
      </w:tr>
      <w:tr w:rsidR="007806D3" w:rsidRPr="00422D05" w:rsidTr="00392E2C">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7</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Revision of accounting estimates</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27329E" w:rsidP="007806D3">
            <w:pPr>
              <w:rPr>
                <w:rFonts w:cstheme="minorHAnsi"/>
                <w:color w:val="000000"/>
                <w:sz w:val="16"/>
                <w:szCs w:val="16"/>
              </w:rPr>
            </w:pPr>
            <w:r w:rsidRPr="00422D05">
              <w:rPr>
                <w:rFonts w:cstheme="minorHAnsi"/>
                <w:color w:val="000000"/>
                <w:sz w:val="16"/>
                <w:szCs w:val="16"/>
              </w:rPr>
              <w:t>9.6</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Correction of a prior period error</w:t>
            </w:r>
          </w:p>
        </w:tc>
      </w:tr>
      <w:tr w:rsidR="00392E2C" w:rsidRPr="00422D05" w:rsidTr="00392E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8</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Correction of a prior period error</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27329E" w:rsidP="007806D3">
            <w:pPr>
              <w:rPr>
                <w:rFonts w:cstheme="minorHAnsi"/>
                <w:color w:val="000000"/>
                <w:sz w:val="16"/>
                <w:szCs w:val="16"/>
              </w:rPr>
            </w:pPr>
            <w:r w:rsidRPr="00422D05">
              <w:rPr>
                <w:rFonts w:cstheme="minorHAnsi"/>
                <w:color w:val="000000"/>
                <w:sz w:val="16"/>
                <w:szCs w:val="16"/>
              </w:rPr>
              <w:t>9.6</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Correction of a prior period error</w:t>
            </w:r>
          </w:p>
        </w:tc>
      </w:tr>
      <w:tr w:rsidR="007806D3" w:rsidRPr="00422D05" w:rsidTr="00392E2C">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9</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Restructuring of administrative arrangements</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4.3</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Restructuring of administrative arrangements</w:t>
            </w:r>
          </w:p>
        </w:tc>
      </w:tr>
      <w:tr w:rsidR="00392E2C" w:rsidRPr="00422D05" w:rsidTr="00392E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10</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Discontinued operations</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27329E" w:rsidP="007806D3">
            <w:pPr>
              <w:rPr>
                <w:rFonts w:cstheme="minorHAnsi"/>
                <w:color w:val="000000"/>
                <w:sz w:val="16"/>
                <w:szCs w:val="16"/>
              </w:rPr>
            </w:pPr>
            <w:r w:rsidRPr="00422D05">
              <w:rPr>
                <w:rFonts w:cstheme="minorHAnsi"/>
                <w:color w:val="000000"/>
                <w:sz w:val="16"/>
                <w:szCs w:val="16"/>
              </w:rPr>
              <w:t>9.3</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Discontinued operations and non-current assets held for sale</w:t>
            </w:r>
          </w:p>
        </w:tc>
      </w:tr>
      <w:tr w:rsidR="007806D3" w:rsidRPr="00422D05" w:rsidTr="00392E2C">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11</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Receivables</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6.1</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Receivables (and guidance on derecognition of financial assets)</w:t>
            </w:r>
          </w:p>
        </w:tc>
      </w:tr>
      <w:tr w:rsidR="00392E2C" w:rsidRPr="00422D05" w:rsidTr="00392E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12</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Investments and other financial assets</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5.6</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Investments and other financial assets</w:t>
            </w:r>
          </w:p>
        </w:tc>
      </w:tr>
      <w:tr w:rsidR="007806D3" w:rsidRPr="00422D05" w:rsidTr="00392E2C">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13</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Investments accounted for using the equity method</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5.5</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Investments accounted for using the equity method</w:t>
            </w:r>
          </w:p>
        </w:tc>
      </w:tr>
      <w:tr w:rsidR="00392E2C" w:rsidRPr="00422D05" w:rsidTr="002732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14</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Interests in subsidiary and unconsolidated structured entities</w:t>
            </w:r>
          </w:p>
        </w:tc>
        <w:tc>
          <w:tcPr>
            <w:cnfStyle w:val="000010000000" w:firstRow="0" w:lastRow="0" w:firstColumn="0" w:lastColumn="0" w:oddVBand="1" w:evenVBand="0" w:oddHBand="0" w:evenHBand="0" w:firstRowFirstColumn="0" w:firstRowLastColumn="0" w:lastRowFirstColumn="0" w:lastRowLastColumn="0"/>
            <w:tcW w:w="534" w:type="pct"/>
          </w:tcPr>
          <w:p w:rsidR="0027329E" w:rsidRPr="00422D05" w:rsidRDefault="0027329E" w:rsidP="0027329E">
            <w:pPr>
              <w:rPr>
                <w:rFonts w:cstheme="minorHAnsi"/>
                <w:sz w:val="16"/>
                <w:szCs w:val="16"/>
              </w:rPr>
            </w:pPr>
            <w:r w:rsidRPr="00422D05">
              <w:rPr>
                <w:rFonts w:cstheme="minorHAnsi"/>
                <w:sz w:val="16"/>
                <w:szCs w:val="16"/>
              </w:rPr>
              <w:t xml:space="preserve">5.5 </w:t>
            </w:r>
          </w:p>
          <w:p w:rsidR="0027329E" w:rsidRPr="00422D05" w:rsidRDefault="0027329E" w:rsidP="0027329E">
            <w:pPr>
              <w:rPr>
                <w:rFonts w:cstheme="minorHAnsi"/>
                <w:sz w:val="16"/>
                <w:szCs w:val="16"/>
              </w:rPr>
            </w:pPr>
          </w:p>
          <w:p w:rsidR="007806D3" w:rsidRPr="00422D05" w:rsidRDefault="0027329E" w:rsidP="0027329E">
            <w:pPr>
              <w:rPr>
                <w:rFonts w:cstheme="minorHAnsi"/>
                <w:sz w:val="16"/>
                <w:szCs w:val="16"/>
              </w:rPr>
            </w:pPr>
            <w:r w:rsidRPr="00422D05">
              <w:rPr>
                <w:rFonts w:cstheme="minorHAnsi"/>
                <w:sz w:val="16"/>
                <w:szCs w:val="16"/>
              </w:rPr>
              <w:t xml:space="preserve">Appendix 5 </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27329E" w:rsidRPr="00422D05" w:rsidRDefault="0027329E" w:rsidP="0027329E">
            <w:pPr>
              <w:rPr>
                <w:rFonts w:cstheme="minorHAnsi"/>
                <w:color w:val="000000"/>
                <w:sz w:val="16"/>
                <w:szCs w:val="16"/>
              </w:rPr>
            </w:pPr>
            <w:r w:rsidRPr="00422D05">
              <w:rPr>
                <w:rFonts w:cstheme="minorHAnsi"/>
                <w:color w:val="000000"/>
                <w:sz w:val="16"/>
                <w:szCs w:val="16"/>
              </w:rPr>
              <w:t xml:space="preserve">Investments accounted for using the equity method </w:t>
            </w:r>
          </w:p>
          <w:p w:rsidR="007806D3" w:rsidRPr="00422D05" w:rsidRDefault="0027329E" w:rsidP="0027329E">
            <w:pPr>
              <w:rPr>
                <w:rFonts w:cstheme="minorHAnsi"/>
                <w:color w:val="000000"/>
                <w:sz w:val="16"/>
                <w:szCs w:val="16"/>
              </w:rPr>
            </w:pPr>
            <w:r w:rsidRPr="00422D05">
              <w:rPr>
                <w:rFonts w:cstheme="minorHAnsi"/>
                <w:color w:val="000000"/>
                <w:sz w:val="16"/>
                <w:szCs w:val="16"/>
              </w:rPr>
              <w:t xml:space="preserve">Interests in subsidiary and unconsolidated structured entities. </w:t>
            </w:r>
          </w:p>
        </w:tc>
      </w:tr>
      <w:tr w:rsidR="007806D3" w:rsidRPr="00422D05" w:rsidTr="00392E2C">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15</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rsidP="00EB5585">
            <w:pPr>
              <w:rPr>
                <w:rFonts w:cstheme="minorHAnsi"/>
                <w:color w:val="000000"/>
                <w:sz w:val="16"/>
                <w:szCs w:val="16"/>
              </w:rPr>
            </w:pPr>
            <w:r w:rsidRPr="00422D05">
              <w:rPr>
                <w:rFonts w:cstheme="minorHAnsi"/>
                <w:color w:val="000000"/>
                <w:sz w:val="16"/>
                <w:szCs w:val="16"/>
              </w:rPr>
              <w:t>Non</w:t>
            </w:r>
            <w:r w:rsidR="00EB5585" w:rsidRPr="00422D05">
              <w:rPr>
                <w:rFonts w:cstheme="minorHAnsi"/>
                <w:color w:val="000000"/>
                <w:sz w:val="16"/>
                <w:szCs w:val="16"/>
              </w:rPr>
              <w:t>-</w:t>
            </w:r>
            <w:r w:rsidRPr="00422D05">
              <w:rPr>
                <w:rFonts w:cstheme="minorHAnsi"/>
                <w:color w:val="000000"/>
                <w:sz w:val="16"/>
                <w:szCs w:val="16"/>
              </w:rPr>
              <w:t>financial physical assets classified as held for sale including disposal group and directly associated liabilities</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27329E" w:rsidP="007806D3">
            <w:pPr>
              <w:rPr>
                <w:rFonts w:cstheme="minorHAnsi"/>
                <w:color w:val="000000"/>
                <w:sz w:val="16"/>
                <w:szCs w:val="16"/>
              </w:rPr>
            </w:pPr>
            <w:r w:rsidRPr="00422D05">
              <w:rPr>
                <w:rFonts w:cstheme="minorHAnsi"/>
                <w:color w:val="000000"/>
                <w:sz w:val="16"/>
                <w:szCs w:val="16"/>
              </w:rPr>
              <w:t>9.3</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Discontinued operations and non-current assets held for sale</w:t>
            </w:r>
          </w:p>
        </w:tc>
      </w:tr>
      <w:tr w:rsidR="007806D3" w:rsidRPr="00422D05" w:rsidTr="00392E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16</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Inventories</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6.3</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Inventories</w:t>
            </w:r>
          </w:p>
        </w:tc>
      </w:tr>
      <w:tr w:rsidR="007806D3" w:rsidRPr="00422D05" w:rsidTr="00392E2C">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17</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Property, plant and equipment</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5.1</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Property, plant and equipment: Carrying amount</w:t>
            </w:r>
          </w:p>
        </w:tc>
      </w:tr>
      <w:tr w:rsidR="007806D3" w:rsidRPr="00422D05" w:rsidTr="00392E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18</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Biological assets</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5.3</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Biological assets</w:t>
            </w:r>
          </w:p>
        </w:tc>
      </w:tr>
      <w:tr w:rsidR="007806D3" w:rsidRPr="00422D05" w:rsidTr="00392E2C">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19</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Investment properties</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5.2</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Investment properties</w:t>
            </w:r>
          </w:p>
        </w:tc>
      </w:tr>
      <w:tr w:rsidR="007806D3" w:rsidRPr="00422D05" w:rsidTr="00392E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20</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Intangible assets</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5.4</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Intangible assets</w:t>
            </w:r>
          </w:p>
        </w:tc>
      </w:tr>
      <w:tr w:rsidR="007806D3" w:rsidRPr="00422D05" w:rsidTr="00392E2C">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21</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 xml:space="preserve">Other </w:t>
            </w:r>
            <w:r w:rsidR="00F50F2C" w:rsidRPr="00422D05">
              <w:rPr>
                <w:rFonts w:cstheme="minorHAnsi"/>
                <w:color w:val="000000"/>
                <w:sz w:val="16"/>
                <w:szCs w:val="16"/>
              </w:rPr>
              <w:t>non-financial</w:t>
            </w:r>
            <w:r w:rsidRPr="00422D05">
              <w:rPr>
                <w:rFonts w:cstheme="minorHAnsi"/>
                <w:color w:val="000000"/>
                <w:sz w:val="16"/>
                <w:szCs w:val="16"/>
              </w:rPr>
              <w:t xml:space="preserve"> assets</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6.4</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Other non-financial assets</w:t>
            </w:r>
          </w:p>
        </w:tc>
      </w:tr>
      <w:tr w:rsidR="007806D3" w:rsidRPr="00422D05" w:rsidTr="00392E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22</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Payables</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6.2</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Payables</w:t>
            </w:r>
          </w:p>
        </w:tc>
      </w:tr>
      <w:tr w:rsidR="007806D3" w:rsidRPr="00422D05" w:rsidTr="00392E2C">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23</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Borrowings</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7.1</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Borrowings</w:t>
            </w:r>
          </w:p>
        </w:tc>
      </w:tr>
      <w:tr w:rsidR="007806D3" w:rsidRPr="00422D05" w:rsidTr="00392E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24</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Provisions</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6.5</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Other provisions</w:t>
            </w:r>
          </w:p>
        </w:tc>
      </w:tr>
      <w:tr w:rsidR="007806D3" w:rsidRPr="00422D05" w:rsidTr="00392E2C">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25</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Assets received as collateral</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940979" w:rsidP="007806D3">
            <w:pPr>
              <w:rPr>
                <w:rFonts w:cstheme="minorHAnsi"/>
                <w:color w:val="000000"/>
                <w:sz w:val="16"/>
                <w:szCs w:val="16"/>
              </w:rPr>
            </w:pPr>
            <w:r w:rsidRPr="00422D05">
              <w:rPr>
                <w:rFonts w:cstheme="minorHAnsi"/>
                <w:color w:val="000000"/>
                <w:sz w:val="16"/>
                <w:szCs w:val="16"/>
              </w:rPr>
              <w:t>8.1.3</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940979" w:rsidP="007806D3">
            <w:pPr>
              <w:rPr>
                <w:rFonts w:cstheme="minorHAnsi"/>
                <w:color w:val="000000"/>
                <w:sz w:val="16"/>
                <w:szCs w:val="16"/>
              </w:rPr>
            </w:pPr>
            <w:r w:rsidRPr="00422D05">
              <w:rPr>
                <w:rFonts w:cstheme="minorHAnsi"/>
                <w:color w:val="000000"/>
                <w:sz w:val="16"/>
                <w:szCs w:val="16"/>
              </w:rPr>
              <w:t>Financial risk management objectives and policies</w:t>
            </w:r>
          </w:p>
        </w:tc>
      </w:tr>
      <w:tr w:rsidR="007806D3" w:rsidRPr="00422D05" w:rsidTr="00392E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26</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Assets pledged as security</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7.6</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Assets pledged as security</w:t>
            </w:r>
          </w:p>
        </w:tc>
      </w:tr>
      <w:tr w:rsidR="007806D3" w:rsidRPr="00422D05" w:rsidTr="00392E2C">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27</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Derecognition of financial assets</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6.1</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Receivables (and guidance on derecognition of financial assets)</w:t>
            </w:r>
          </w:p>
        </w:tc>
      </w:tr>
      <w:tr w:rsidR="007806D3" w:rsidRPr="00422D05" w:rsidTr="00392E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28</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Superannuation</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3.1.3</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Superannuation contributions</w:t>
            </w:r>
          </w:p>
        </w:tc>
      </w:tr>
      <w:tr w:rsidR="007806D3" w:rsidRPr="00422D05" w:rsidTr="00392E2C">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29</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Other asset and liability disclosures</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6</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Other assets and liabilities</w:t>
            </w:r>
          </w:p>
        </w:tc>
      </w:tr>
      <w:tr w:rsidR="007806D3" w:rsidRPr="00422D05" w:rsidTr="00392E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30</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Leases</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7.2</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Leases</w:t>
            </w:r>
          </w:p>
        </w:tc>
      </w:tr>
      <w:tr w:rsidR="007806D3" w:rsidRPr="00422D05" w:rsidTr="00392E2C">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31</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Commitments for expenditure</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7.5</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Commitments for expenditure</w:t>
            </w:r>
          </w:p>
        </w:tc>
      </w:tr>
      <w:tr w:rsidR="007806D3" w:rsidRPr="00422D05" w:rsidTr="00392E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32</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Contingent assets and contingent liabilities</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8.2</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Contingent assets and contingent liabilities</w:t>
            </w:r>
          </w:p>
        </w:tc>
      </w:tr>
      <w:tr w:rsidR="007806D3" w:rsidRPr="00422D05" w:rsidTr="00392E2C">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33</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Financial instruments</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8.1</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Financial instruments specific disclosures</w:t>
            </w:r>
          </w:p>
        </w:tc>
      </w:tr>
      <w:tr w:rsidR="007806D3" w:rsidRPr="00422D05" w:rsidTr="00392E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 xml:space="preserve">34 </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Cash flow information</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7.3</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Cash flow information</w:t>
            </w:r>
          </w:p>
        </w:tc>
      </w:tr>
      <w:tr w:rsidR="007806D3" w:rsidRPr="00422D05" w:rsidTr="00392E2C">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35</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Reserves</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27329E" w:rsidP="007806D3">
            <w:pPr>
              <w:rPr>
                <w:rFonts w:cstheme="minorHAnsi"/>
                <w:color w:val="000000"/>
                <w:sz w:val="16"/>
                <w:szCs w:val="16"/>
              </w:rPr>
            </w:pPr>
            <w:r w:rsidRPr="00422D05">
              <w:rPr>
                <w:rFonts w:cstheme="minorHAnsi"/>
                <w:color w:val="000000"/>
                <w:sz w:val="16"/>
                <w:szCs w:val="16"/>
              </w:rPr>
              <w:t>9.4</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Reserves</w:t>
            </w:r>
          </w:p>
        </w:tc>
      </w:tr>
      <w:tr w:rsidR="007806D3" w:rsidRPr="00422D05" w:rsidTr="00392E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36</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Summary of compliance with annual Parliamentary and special appropriations</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2.2</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Appropriations</w:t>
            </w:r>
          </w:p>
        </w:tc>
      </w:tr>
      <w:tr w:rsidR="007806D3" w:rsidRPr="00422D05" w:rsidTr="00392E2C">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37</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F50F2C">
            <w:pPr>
              <w:rPr>
                <w:rFonts w:cstheme="minorHAnsi"/>
                <w:color w:val="000000"/>
                <w:sz w:val="16"/>
                <w:szCs w:val="16"/>
              </w:rPr>
            </w:pPr>
            <w:r w:rsidRPr="00422D05">
              <w:rPr>
                <w:rFonts w:cstheme="minorHAnsi"/>
                <w:color w:val="000000"/>
                <w:sz w:val="16"/>
                <w:szCs w:val="16"/>
              </w:rPr>
              <w:t>Ex-</w:t>
            </w:r>
            <w:r w:rsidR="007806D3" w:rsidRPr="00422D05">
              <w:rPr>
                <w:rFonts w:cstheme="minorHAnsi"/>
                <w:color w:val="000000"/>
                <w:sz w:val="16"/>
                <w:szCs w:val="16"/>
              </w:rPr>
              <w:t>gratia expenses</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27329E" w:rsidP="00940979">
            <w:pPr>
              <w:rPr>
                <w:rFonts w:cstheme="minorHAnsi"/>
                <w:color w:val="000000"/>
                <w:sz w:val="16"/>
                <w:szCs w:val="16"/>
              </w:rPr>
            </w:pPr>
            <w:r w:rsidRPr="00422D05">
              <w:rPr>
                <w:rFonts w:cstheme="minorHAnsi"/>
                <w:color w:val="000000"/>
                <w:sz w:val="16"/>
                <w:szCs w:val="16"/>
              </w:rPr>
              <w:t>9.1</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Ex-gratia expenses</w:t>
            </w:r>
          </w:p>
        </w:tc>
      </w:tr>
      <w:tr w:rsidR="007806D3" w:rsidRPr="00422D05" w:rsidTr="00392E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38</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Annotated income agreements</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2.5</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Annotated income agreements</w:t>
            </w:r>
          </w:p>
        </w:tc>
      </w:tr>
      <w:tr w:rsidR="007806D3" w:rsidRPr="00422D05" w:rsidTr="00392E2C">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39</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Trust account balances</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7.4</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Trust account balance</w:t>
            </w:r>
          </w:p>
        </w:tc>
      </w:tr>
      <w:tr w:rsidR="007806D3" w:rsidRPr="00422D05" w:rsidTr="00392E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40</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Responsible persons</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27329E" w:rsidP="007806D3">
            <w:pPr>
              <w:rPr>
                <w:rFonts w:cstheme="minorHAnsi"/>
                <w:color w:val="000000"/>
                <w:sz w:val="16"/>
                <w:szCs w:val="16"/>
              </w:rPr>
            </w:pPr>
            <w:r w:rsidRPr="00422D05">
              <w:rPr>
                <w:rFonts w:cstheme="minorHAnsi"/>
                <w:color w:val="000000"/>
                <w:sz w:val="16"/>
                <w:szCs w:val="16"/>
              </w:rPr>
              <w:t>9.7</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Responsible persons</w:t>
            </w:r>
          </w:p>
        </w:tc>
      </w:tr>
      <w:tr w:rsidR="007806D3" w:rsidRPr="00422D05" w:rsidTr="00392E2C">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41</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 xml:space="preserve">Remuneration of executives and payments </w:t>
            </w:r>
            <w:r w:rsidRPr="00422D05">
              <w:rPr>
                <w:rFonts w:cstheme="minorHAnsi"/>
                <w:color w:val="000000"/>
                <w:sz w:val="16"/>
                <w:szCs w:val="16"/>
              </w:rPr>
              <w:lastRenderedPageBreak/>
              <w:t>to other personnel (i.e. contractors with significant management responsibilities)</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27329E" w:rsidP="007806D3">
            <w:pPr>
              <w:rPr>
                <w:rFonts w:cstheme="minorHAnsi"/>
                <w:color w:val="000000"/>
                <w:sz w:val="16"/>
                <w:szCs w:val="16"/>
              </w:rPr>
            </w:pPr>
            <w:r w:rsidRPr="00422D05">
              <w:rPr>
                <w:rFonts w:cstheme="minorHAnsi"/>
                <w:color w:val="000000"/>
                <w:sz w:val="16"/>
                <w:szCs w:val="16"/>
              </w:rPr>
              <w:lastRenderedPageBreak/>
              <w:t>9.8</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Remuneration of executives</w:t>
            </w:r>
          </w:p>
        </w:tc>
      </w:tr>
      <w:tr w:rsidR="007806D3" w:rsidRPr="00422D05" w:rsidTr="00392E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42</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Remuneration of auditors</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27329E" w:rsidP="007806D3">
            <w:pPr>
              <w:rPr>
                <w:rFonts w:cstheme="minorHAnsi"/>
                <w:color w:val="000000"/>
                <w:sz w:val="16"/>
                <w:szCs w:val="16"/>
              </w:rPr>
            </w:pPr>
            <w:r w:rsidRPr="00422D05">
              <w:rPr>
                <w:rFonts w:cstheme="minorHAnsi"/>
                <w:color w:val="000000"/>
                <w:sz w:val="16"/>
                <w:szCs w:val="16"/>
              </w:rPr>
              <w:t>9.10</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Remuneration of auditors</w:t>
            </w:r>
          </w:p>
        </w:tc>
      </w:tr>
      <w:tr w:rsidR="007806D3" w:rsidRPr="00422D05" w:rsidTr="00392E2C">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43</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Subsequent events</w:t>
            </w:r>
          </w:p>
        </w:tc>
        <w:tc>
          <w:tcPr>
            <w:cnfStyle w:val="000010000000" w:firstRow="0" w:lastRow="0" w:firstColumn="0" w:lastColumn="0" w:oddVBand="1" w:evenVBand="0" w:oddHBand="0" w:evenHBand="0" w:firstRowFirstColumn="0" w:firstRowLastColumn="0" w:lastRowFirstColumn="0" w:lastRowLastColumn="0"/>
            <w:tcW w:w="534" w:type="pct"/>
            <w:vAlign w:val="center"/>
          </w:tcPr>
          <w:p w:rsidR="007806D3" w:rsidRPr="00422D05" w:rsidRDefault="0027329E" w:rsidP="007806D3">
            <w:pPr>
              <w:rPr>
                <w:rFonts w:cstheme="minorHAnsi"/>
                <w:color w:val="000000"/>
                <w:sz w:val="16"/>
                <w:szCs w:val="16"/>
              </w:rPr>
            </w:pPr>
            <w:r w:rsidRPr="00422D05">
              <w:rPr>
                <w:rFonts w:cstheme="minorHAnsi"/>
                <w:color w:val="000000"/>
                <w:sz w:val="16"/>
                <w:szCs w:val="16"/>
              </w:rPr>
              <w:t>9.11</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7806D3" w:rsidRPr="00422D05" w:rsidRDefault="007806D3" w:rsidP="007806D3">
            <w:pPr>
              <w:rPr>
                <w:rFonts w:cstheme="minorHAnsi"/>
                <w:color w:val="000000"/>
                <w:sz w:val="16"/>
                <w:szCs w:val="16"/>
              </w:rPr>
            </w:pPr>
            <w:r w:rsidRPr="00422D05">
              <w:rPr>
                <w:rFonts w:cstheme="minorHAnsi"/>
                <w:color w:val="000000"/>
                <w:sz w:val="16"/>
                <w:szCs w:val="16"/>
              </w:rPr>
              <w:t>Subsequent events</w:t>
            </w:r>
          </w:p>
        </w:tc>
      </w:tr>
      <w:tr w:rsidR="007806D3" w:rsidRPr="00422D05" w:rsidTr="002732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pct"/>
          </w:tcPr>
          <w:p w:rsidR="007806D3" w:rsidRPr="00422D05" w:rsidRDefault="007806D3" w:rsidP="00536AE7">
            <w:pPr>
              <w:pStyle w:val="Tabletext"/>
              <w:rPr>
                <w:color w:val="FF0000"/>
              </w:rPr>
            </w:pPr>
          </w:p>
        </w:tc>
        <w:tc>
          <w:tcPr>
            <w:cnfStyle w:val="000010000000" w:firstRow="0" w:lastRow="0" w:firstColumn="0" w:lastColumn="0" w:oddVBand="1" w:evenVBand="0" w:oddHBand="0" w:evenHBand="0" w:firstRowFirstColumn="0" w:firstRowLastColumn="0" w:lastRowFirstColumn="0" w:lastRowLastColumn="0"/>
            <w:tcW w:w="306" w:type="pct"/>
            <w:vAlign w:val="center"/>
          </w:tcPr>
          <w:p w:rsidR="007806D3" w:rsidRPr="00422D05" w:rsidRDefault="007806D3" w:rsidP="00A44D92">
            <w:pPr>
              <w:rPr>
                <w:rFonts w:cstheme="minorHAnsi"/>
                <w:color w:val="000000"/>
                <w:sz w:val="16"/>
                <w:szCs w:val="16"/>
              </w:rPr>
            </w:pPr>
            <w:r w:rsidRPr="00422D05">
              <w:rPr>
                <w:rFonts w:cstheme="minorHAnsi"/>
                <w:color w:val="000000"/>
                <w:sz w:val="16"/>
                <w:szCs w:val="16"/>
              </w:rPr>
              <w:t>44</w:t>
            </w:r>
          </w:p>
        </w:tc>
        <w:tc>
          <w:tcPr>
            <w:cnfStyle w:val="000001000000" w:firstRow="0" w:lastRow="0" w:firstColumn="0" w:lastColumn="0" w:oddVBand="0" w:evenVBand="1" w:oddHBand="0" w:evenHBand="0" w:firstRowFirstColumn="0" w:firstRowLastColumn="0" w:lastRowFirstColumn="0" w:lastRowLastColumn="0"/>
            <w:tcW w:w="1830" w:type="pct"/>
            <w:vAlign w:val="center"/>
          </w:tcPr>
          <w:p w:rsidR="007806D3" w:rsidRPr="00422D05" w:rsidRDefault="007806D3">
            <w:pPr>
              <w:rPr>
                <w:rFonts w:cstheme="minorHAnsi"/>
                <w:color w:val="000000"/>
                <w:sz w:val="16"/>
                <w:szCs w:val="16"/>
              </w:rPr>
            </w:pPr>
            <w:r w:rsidRPr="00422D05">
              <w:rPr>
                <w:rFonts w:cstheme="minorHAnsi"/>
                <w:color w:val="000000"/>
                <w:sz w:val="16"/>
                <w:szCs w:val="16"/>
              </w:rPr>
              <w:t>Glossary of terms and style conventions</w:t>
            </w:r>
          </w:p>
        </w:tc>
        <w:tc>
          <w:tcPr>
            <w:cnfStyle w:val="000010000000" w:firstRow="0" w:lastRow="0" w:firstColumn="0" w:lastColumn="0" w:oddVBand="1" w:evenVBand="0" w:oddHBand="0" w:evenHBand="0" w:firstRowFirstColumn="0" w:firstRowLastColumn="0" w:lastRowFirstColumn="0" w:lastRowLastColumn="0"/>
            <w:tcW w:w="534" w:type="pct"/>
          </w:tcPr>
          <w:p w:rsidR="0027329E" w:rsidRPr="00422D05" w:rsidRDefault="0027329E" w:rsidP="0027329E">
            <w:pPr>
              <w:rPr>
                <w:rFonts w:cstheme="minorHAnsi"/>
                <w:color w:val="000000"/>
                <w:sz w:val="16"/>
                <w:szCs w:val="16"/>
              </w:rPr>
            </w:pPr>
            <w:r w:rsidRPr="00422D05">
              <w:rPr>
                <w:rFonts w:cstheme="minorHAnsi"/>
                <w:color w:val="000000"/>
                <w:sz w:val="16"/>
                <w:szCs w:val="16"/>
              </w:rPr>
              <w:t xml:space="preserve">9.14  </w:t>
            </w:r>
          </w:p>
          <w:p w:rsidR="007806D3" w:rsidRPr="00422D05" w:rsidRDefault="0027329E" w:rsidP="0027329E">
            <w:pPr>
              <w:rPr>
                <w:rFonts w:cstheme="minorHAnsi"/>
                <w:color w:val="000000"/>
                <w:sz w:val="16"/>
                <w:szCs w:val="16"/>
              </w:rPr>
            </w:pPr>
            <w:r w:rsidRPr="00422D05">
              <w:rPr>
                <w:rFonts w:cstheme="minorHAnsi"/>
                <w:color w:val="000000"/>
                <w:sz w:val="16"/>
                <w:szCs w:val="16"/>
              </w:rPr>
              <w:t>9.15</w:t>
            </w:r>
          </w:p>
        </w:tc>
        <w:tc>
          <w:tcPr>
            <w:cnfStyle w:val="000100000000" w:firstRow="0" w:lastRow="0" w:firstColumn="0" w:lastColumn="1" w:oddVBand="0" w:evenVBand="0" w:oddHBand="0" w:evenHBand="0" w:firstRowFirstColumn="0" w:firstRowLastColumn="0" w:lastRowFirstColumn="0" w:lastRowLastColumn="0"/>
            <w:tcW w:w="1764" w:type="pct"/>
            <w:vAlign w:val="center"/>
          </w:tcPr>
          <w:p w:rsidR="0027329E" w:rsidRPr="00422D05" w:rsidRDefault="0027329E" w:rsidP="007806D3">
            <w:pPr>
              <w:rPr>
                <w:rFonts w:cstheme="minorHAnsi"/>
                <w:color w:val="000000"/>
                <w:sz w:val="16"/>
                <w:szCs w:val="16"/>
              </w:rPr>
            </w:pPr>
            <w:r w:rsidRPr="00422D05">
              <w:rPr>
                <w:rFonts w:cstheme="minorHAnsi"/>
                <w:color w:val="000000"/>
                <w:sz w:val="16"/>
                <w:szCs w:val="16"/>
              </w:rPr>
              <w:t xml:space="preserve">Glossary of technical terms </w:t>
            </w:r>
          </w:p>
          <w:p w:rsidR="007806D3" w:rsidRPr="00422D05" w:rsidRDefault="0027329E" w:rsidP="007806D3">
            <w:pPr>
              <w:rPr>
                <w:rFonts w:cstheme="minorHAnsi"/>
                <w:color w:val="000000"/>
                <w:sz w:val="16"/>
                <w:szCs w:val="16"/>
              </w:rPr>
            </w:pPr>
            <w:r w:rsidRPr="00422D05">
              <w:rPr>
                <w:rFonts w:cstheme="minorHAnsi"/>
                <w:color w:val="000000"/>
                <w:sz w:val="16"/>
                <w:szCs w:val="16"/>
              </w:rPr>
              <w:t>Style conventions</w:t>
            </w:r>
          </w:p>
        </w:tc>
      </w:tr>
    </w:tbl>
    <w:p w:rsidR="00536AE7" w:rsidRPr="00422D05" w:rsidRDefault="00536AE7">
      <w:pPr>
        <w:spacing w:before="0" w:after="200"/>
        <w:rPr>
          <w:sz w:val="17"/>
        </w:rPr>
      </w:pPr>
      <w:r w:rsidRPr="00422D05">
        <w:rPr>
          <w:sz w:val="17"/>
        </w:rPr>
        <w:br w:type="page"/>
      </w:r>
    </w:p>
    <w:tbl>
      <w:tblPr>
        <w:tblStyle w:val="DTFtexttable"/>
        <w:tblW w:w="5000" w:type="pct"/>
        <w:tblLook w:val="01A0" w:firstRow="1" w:lastRow="0" w:firstColumn="1" w:lastColumn="1" w:noHBand="0" w:noVBand="0"/>
      </w:tblPr>
      <w:tblGrid>
        <w:gridCol w:w="1587"/>
        <w:gridCol w:w="1819"/>
        <w:gridCol w:w="4570"/>
        <w:gridCol w:w="1164"/>
      </w:tblGrid>
      <w:tr w:rsidR="005B3B9F" w:rsidRPr="00422D05" w:rsidTr="00A21D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000" w:type="pct"/>
            <w:gridSpan w:val="4"/>
          </w:tcPr>
          <w:p w:rsidR="005B3B9F" w:rsidRPr="00422D05" w:rsidRDefault="005B3B9F" w:rsidP="005B3B9F">
            <w:pPr>
              <w:pStyle w:val="Tableheader"/>
            </w:pPr>
            <w:r w:rsidRPr="00422D05">
              <w:lastRenderedPageBreak/>
              <w:br w:type="page"/>
              <w:t>Summary of changes – Appendices</w:t>
            </w:r>
          </w:p>
        </w:tc>
      </w:tr>
      <w:tr w:rsidR="005B3B9F" w:rsidRPr="00422D05" w:rsidTr="00A21D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68" w:type="pct"/>
            <w:shd w:val="clear" w:color="auto" w:fill="749CC9" w:themeFill="accent3"/>
          </w:tcPr>
          <w:p w:rsidR="005B3B9F" w:rsidRPr="00422D05" w:rsidRDefault="005B3B9F" w:rsidP="005B3B9F">
            <w:pPr>
              <w:pStyle w:val="Tableheader"/>
              <w:rPr>
                <w:sz w:val="18"/>
                <w:szCs w:val="18"/>
              </w:rPr>
            </w:pPr>
            <w:r w:rsidRPr="00422D05">
              <w:rPr>
                <w:sz w:val="18"/>
                <w:szCs w:val="18"/>
              </w:rPr>
              <w:t xml:space="preserve">Subject matter </w:t>
            </w:r>
          </w:p>
        </w:tc>
        <w:tc>
          <w:tcPr>
            <w:cnfStyle w:val="000010000000" w:firstRow="0" w:lastRow="0" w:firstColumn="0" w:lastColumn="0" w:oddVBand="1" w:evenVBand="0" w:oddHBand="0" w:evenHBand="0" w:firstRowFirstColumn="0" w:firstRowLastColumn="0" w:lastRowFirstColumn="0" w:lastRowLastColumn="0"/>
            <w:tcW w:w="995" w:type="pct"/>
            <w:shd w:val="clear" w:color="auto" w:fill="749CC9" w:themeFill="accent3"/>
          </w:tcPr>
          <w:p w:rsidR="005B3B9F" w:rsidRPr="00422D05" w:rsidRDefault="005B3B9F" w:rsidP="005B3B9F">
            <w:pPr>
              <w:pStyle w:val="Tableheader"/>
              <w:rPr>
                <w:sz w:val="18"/>
                <w:szCs w:val="18"/>
              </w:rPr>
            </w:pPr>
            <w:r w:rsidRPr="00422D05">
              <w:rPr>
                <w:sz w:val="18"/>
                <w:szCs w:val="18"/>
              </w:rPr>
              <w:t>Source of change</w:t>
            </w:r>
          </w:p>
        </w:tc>
        <w:tc>
          <w:tcPr>
            <w:cnfStyle w:val="000001000000" w:firstRow="0" w:lastRow="0" w:firstColumn="0" w:lastColumn="0" w:oddVBand="0" w:evenVBand="1" w:oddHBand="0" w:evenHBand="0" w:firstRowFirstColumn="0" w:firstRowLastColumn="0" w:lastRowFirstColumn="0" w:lastRowLastColumn="0"/>
            <w:tcW w:w="2500" w:type="pct"/>
            <w:shd w:val="clear" w:color="auto" w:fill="749CC9" w:themeFill="accent3"/>
          </w:tcPr>
          <w:p w:rsidR="005B3B9F" w:rsidRPr="00422D05" w:rsidRDefault="005B3B9F" w:rsidP="005B3B9F">
            <w:pPr>
              <w:pStyle w:val="Tableheader"/>
              <w:rPr>
                <w:sz w:val="18"/>
                <w:szCs w:val="18"/>
              </w:rPr>
            </w:pPr>
            <w:r w:rsidRPr="00422D05">
              <w:rPr>
                <w:sz w:val="18"/>
                <w:szCs w:val="18"/>
              </w:rPr>
              <w:t>Summary of changes applied to the relevant sections in the Appendices</w:t>
            </w:r>
          </w:p>
        </w:tc>
        <w:tc>
          <w:tcPr>
            <w:cnfStyle w:val="000100001000" w:firstRow="0" w:lastRow="0" w:firstColumn="0" w:lastColumn="1" w:oddVBand="0" w:evenVBand="0" w:oddHBand="0" w:evenHBand="0" w:firstRowFirstColumn="0" w:firstRowLastColumn="1" w:lastRowFirstColumn="0" w:lastRowLastColumn="0"/>
            <w:tcW w:w="637" w:type="pct"/>
            <w:shd w:val="clear" w:color="auto" w:fill="749CC9" w:themeFill="accent3"/>
          </w:tcPr>
          <w:p w:rsidR="005B3B9F" w:rsidRPr="00422D05" w:rsidRDefault="005B3B9F" w:rsidP="001C4C3D">
            <w:pPr>
              <w:pStyle w:val="Tableheader"/>
              <w:jc w:val="center"/>
              <w:rPr>
                <w:sz w:val="18"/>
                <w:szCs w:val="18"/>
              </w:rPr>
            </w:pPr>
            <w:r w:rsidRPr="00422D05">
              <w:rPr>
                <w:sz w:val="18"/>
                <w:szCs w:val="18"/>
              </w:rPr>
              <w:t>Page reference</w:t>
            </w:r>
          </w:p>
        </w:tc>
      </w:tr>
      <w:tr w:rsidR="005B3B9F" w:rsidRPr="00422D05" w:rsidTr="00A21D12">
        <w:tc>
          <w:tcPr>
            <w:cnfStyle w:val="001000000000" w:firstRow="0" w:lastRow="0" w:firstColumn="1" w:lastColumn="0" w:oddVBand="0" w:evenVBand="0" w:oddHBand="0" w:evenHBand="0" w:firstRowFirstColumn="0" w:firstRowLastColumn="0" w:lastRowFirstColumn="0" w:lastRowLastColumn="0"/>
            <w:tcW w:w="868" w:type="pct"/>
          </w:tcPr>
          <w:p w:rsidR="005B3B9F" w:rsidRPr="00422D05" w:rsidRDefault="007323CF" w:rsidP="00A21D12">
            <w:pPr>
              <w:pStyle w:val="Tabletext"/>
            </w:pPr>
            <w:r w:rsidRPr="00422D05">
              <w:rPr>
                <w:color w:val="FF0000"/>
              </w:rPr>
              <w:t xml:space="preserve">[Revised] </w:t>
            </w:r>
            <w:r w:rsidR="005C5ECA" w:rsidRPr="00422D05">
              <w:t xml:space="preserve">Appendix 1 – </w:t>
            </w:r>
            <w:r w:rsidR="005C5ECA" w:rsidRPr="00422D05">
              <w:rPr>
                <w:i/>
              </w:rPr>
              <w:t>Extracts of whole of government financial statements and analysis of disclosures</w:t>
            </w:r>
          </w:p>
        </w:tc>
        <w:tc>
          <w:tcPr>
            <w:cnfStyle w:val="000010000000" w:firstRow="0" w:lastRow="0" w:firstColumn="0" w:lastColumn="0" w:oddVBand="1" w:evenVBand="0" w:oddHBand="0" w:evenHBand="0" w:firstRowFirstColumn="0" w:firstRowLastColumn="0" w:lastRowFirstColumn="0" w:lastRowLastColumn="0"/>
            <w:tcW w:w="995" w:type="pct"/>
          </w:tcPr>
          <w:p w:rsidR="005B3B9F" w:rsidRPr="00422D05" w:rsidRDefault="007323CF" w:rsidP="00A21D12">
            <w:pPr>
              <w:pStyle w:val="Tabletext"/>
            </w:pPr>
            <w:r w:rsidRPr="00422D05">
              <w:t>General update</w:t>
            </w:r>
          </w:p>
        </w:tc>
        <w:tc>
          <w:tcPr>
            <w:cnfStyle w:val="000001000000" w:firstRow="0" w:lastRow="0" w:firstColumn="0" w:lastColumn="0" w:oddVBand="0" w:evenVBand="1" w:oddHBand="0" w:evenHBand="0" w:firstRowFirstColumn="0" w:firstRowLastColumn="0" w:lastRowFirstColumn="0" w:lastRowLastColumn="0"/>
            <w:tcW w:w="2500" w:type="pct"/>
          </w:tcPr>
          <w:p w:rsidR="005B3B9F" w:rsidRPr="00422D05" w:rsidRDefault="007323CF" w:rsidP="00A21D12">
            <w:pPr>
              <w:pStyle w:val="Tabletext"/>
            </w:pPr>
            <w:r w:rsidRPr="00422D05">
              <w:t>The financial statements for the Victorian general government sector have been updated to the latest versions.</w:t>
            </w:r>
          </w:p>
        </w:tc>
        <w:tc>
          <w:tcPr>
            <w:cnfStyle w:val="000100000000" w:firstRow="0" w:lastRow="0" w:firstColumn="0" w:lastColumn="1" w:oddVBand="0" w:evenVBand="0" w:oddHBand="0" w:evenHBand="0" w:firstRowFirstColumn="0" w:firstRowLastColumn="0" w:lastRowFirstColumn="0" w:lastRowLastColumn="0"/>
            <w:tcW w:w="637" w:type="pct"/>
          </w:tcPr>
          <w:p w:rsidR="005B3B9F" w:rsidRPr="00422D05" w:rsidDel="00802E5F" w:rsidRDefault="00F42974" w:rsidP="001C4C3D">
            <w:pPr>
              <w:pStyle w:val="Tabletextcentred"/>
            </w:pPr>
            <w:r w:rsidRPr="00422D05">
              <w:t>237</w:t>
            </w:r>
          </w:p>
        </w:tc>
      </w:tr>
      <w:tr w:rsidR="00C61CC7" w:rsidRPr="00422D05" w:rsidDel="007D7B44" w:rsidTr="00A21D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C61CC7" w:rsidRPr="00422D05" w:rsidRDefault="00C61CC7" w:rsidP="00B96C9B">
            <w:pPr>
              <w:pStyle w:val="Tabletext"/>
              <w:rPr>
                <w:rFonts w:ascii="Arial" w:eastAsia="Arial" w:hAnsi="Arial" w:cs="Times New Roman"/>
                <w:color w:val="000000" w:themeColor="text1"/>
              </w:rPr>
            </w:pPr>
            <w:r w:rsidRPr="00422D05">
              <w:rPr>
                <w:color w:val="FF0000"/>
              </w:rPr>
              <w:t xml:space="preserve">[Revised] </w:t>
            </w:r>
            <w:r w:rsidRPr="00422D05">
              <w:t xml:space="preserve">Appendix 2 – </w:t>
            </w:r>
            <w:r w:rsidRPr="00422D05">
              <w:rPr>
                <w:i/>
              </w:rPr>
              <w:t>Budgetary reporting: Explanation of material variances between budget and actual outcomes</w:t>
            </w:r>
          </w:p>
        </w:tc>
        <w:tc>
          <w:tcPr>
            <w:cnfStyle w:val="000010000000" w:firstRow="0" w:lastRow="0" w:firstColumn="0" w:lastColumn="0" w:oddVBand="1" w:evenVBand="0" w:oddHBand="0" w:evenHBand="0" w:firstRowFirstColumn="0" w:firstRowLastColumn="0" w:lastRowFirstColumn="0" w:lastRowLastColumn="0"/>
            <w:tcW w:w="995" w:type="pct"/>
          </w:tcPr>
          <w:p w:rsidR="00C61CC7" w:rsidRPr="00422D05" w:rsidRDefault="00C61CC7" w:rsidP="00C61CC7">
            <w:pPr>
              <w:pStyle w:val="Tabletext"/>
              <w:rPr>
                <w:rFonts w:ascii="Arial" w:eastAsia="Arial" w:hAnsi="Arial" w:cs="Times New Roman"/>
              </w:rPr>
            </w:pPr>
            <w:r w:rsidRPr="00422D05">
              <w:t>General improvement</w:t>
            </w:r>
            <w:r w:rsidR="00F42974" w:rsidRPr="00422D05">
              <w:t>s</w:t>
            </w:r>
          </w:p>
        </w:tc>
        <w:tc>
          <w:tcPr>
            <w:cnfStyle w:val="000001000000" w:firstRow="0" w:lastRow="0" w:firstColumn="0" w:lastColumn="0" w:oddVBand="0" w:evenVBand="1" w:oddHBand="0" w:evenHBand="0" w:firstRowFirstColumn="0" w:firstRowLastColumn="0" w:lastRowFirstColumn="0" w:lastRowLastColumn="0"/>
            <w:tcW w:w="2500" w:type="pct"/>
          </w:tcPr>
          <w:p w:rsidR="00C61CC7" w:rsidRPr="00422D05" w:rsidRDefault="00C61CC7" w:rsidP="00C61CC7">
            <w:pPr>
              <w:spacing w:before="60" w:after="60"/>
              <w:rPr>
                <w:rFonts w:ascii="Arial" w:eastAsia="Arial" w:hAnsi="Arial" w:cs="Times New Roman"/>
                <w:sz w:val="17"/>
              </w:rPr>
            </w:pPr>
            <w:r w:rsidRPr="00422D05">
              <w:rPr>
                <w:sz w:val="17"/>
              </w:rPr>
              <w:t xml:space="preserve">The previous Appendix 6 </w:t>
            </w:r>
            <w:r w:rsidRPr="00422D05">
              <w:rPr>
                <w:i/>
                <w:sz w:val="17"/>
              </w:rPr>
              <w:t>Budgetary reporting: explanation of material variances between budget and actual outcomes</w:t>
            </w:r>
            <w:r w:rsidRPr="00422D05">
              <w:rPr>
                <w:sz w:val="17"/>
              </w:rPr>
              <w:t xml:space="preserve"> has been re-numbered to Appendix 2 </w:t>
            </w:r>
            <w:r w:rsidRPr="00422D05">
              <w:rPr>
                <w:i/>
                <w:sz w:val="17"/>
              </w:rPr>
              <w:t>Budgetary reporting: explanation of material variances between budget and actual outcomes.</w:t>
            </w:r>
          </w:p>
        </w:tc>
        <w:tc>
          <w:tcPr>
            <w:cnfStyle w:val="000100000000" w:firstRow="0" w:lastRow="0" w:firstColumn="0" w:lastColumn="1" w:oddVBand="0" w:evenVBand="0" w:oddHBand="0" w:evenHBand="0" w:firstRowFirstColumn="0" w:firstRowLastColumn="0" w:lastRowFirstColumn="0" w:lastRowLastColumn="0"/>
            <w:tcW w:w="637" w:type="pct"/>
          </w:tcPr>
          <w:p w:rsidR="00C61CC7" w:rsidRPr="00422D05" w:rsidRDefault="00F42974" w:rsidP="001C4C3D">
            <w:pPr>
              <w:pStyle w:val="Tabletextcentred"/>
            </w:pPr>
            <w:r w:rsidRPr="00422D05">
              <w:t>252</w:t>
            </w:r>
          </w:p>
        </w:tc>
      </w:tr>
      <w:tr w:rsidR="00C61CC7" w:rsidRPr="00422D05" w:rsidDel="007D7B44" w:rsidTr="00A21D12">
        <w:tc>
          <w:tcPr>
            <w:cnfStyle w:val="001000000000" w:firstRow="0" w:lastRow="0" w:firstColumn="1" w:lastColumn="0" w:oddVBand="0" w:evenVBand="0" w:oddHBand="0" w:evenHBand="0" w:firstRowFirstColumn="0" w:firstRowLastColumn="0" w:lastRowFirstColumn="0" w:lastRowLastColumn="0"/>
            <w:tcW w:w="868" w:type="pct"/>
          </w:tcPr>
          <w:p w:rsidR="00C61CC7" w:rsidRPr="00422D05" w:rsidRDefault="00C61CC7" w:rsidP="00C61CC7">
            <w:pPr>
              <w:pStyle w:val="Tabletext"/>
              <w:rPr>
                <w:rFonts w:ascii="Arial" w:eastAsia="Arial" w:hAnsi="Arial" w:cs="Times New Roman"/>
                <w:color w:val="FF0000"/>
              </w:rPr>
            </w:pPr>
            <w:r w:rsidRPr="00422D05">
              <w:rPr>
                <w:color w:val="FF0000"/>
              </w:rPr>
              <w:t xml:space="preserve">[New] </w:t>
            </w:r>
            <w:r w:rsidRPr="00422D05">
              <w:t xml:space="preserve">Appendix 3 – </w:t>
            </w:r>
            <w:r w:rsidRPr="00422D05">
              <w:rPr>
                <w:i/>
              </w:rPr>
              <w:t>Understanding the new independent auditor’s report</w:t>
            </w:r>
          </w:p>
        </w:tc>
        <w:tc>
          <w:tcPr>
            <w:cnfStyle w:val="000010000000" w:firstRow="0" w:lastRow="0" w:firstColumn="0" w:lastColumn="0" w:oddVBand="1" w:evenVBand="0" w:oddHBand="0" w:evenHBand="0" w:firstRowFirstColumn="0" w:firstRowLastColumn="0" w:lastRowFirstColumn="0" w:lastRowLastColumn="0"/>
            <w:tcW w:w="995" w:type="pct"/>
          </w:tcPr>
          <w:p w:rsidR="00C61CC7" w:rsidRPr="00422D05" w:rsidRDefault="00C61CC7" w:rsidP="00536AE7">
            <w:pPr>
              <w:spacing w:before="60" w:after="60"/>
              <w:rPr>
                <w:sz w:val="17"/>
              </w:rPr>
            </w:pPr>
            <w:r w:rsidRPr="00422D05">
              <w:rPr>
                <w:sz w:val="17"/>
              </w:rPr>
              <w:t>Revised auditor’s report</w:t>
            </w:r>
          </w:p>
        </w:tc>
        <w:tc>
          <w:tcPr>
            <w:cnfStyle w:val="000001000000" w:firstRow="0" w:lastRow="0" w:firstColumn="0" w:lastColumn="0" w:oddVBand="0" w:evenVBand="1" w:oddHBand="0" w:evenHBand="0" w:firstRowFirstColumn="0" w:firstRowLastColumn="0" w:lastRowFirstColumn="0" w:lastRowLastColumn="0"/>
            <w:tcW w:w="2500" w:type="pct"/>
          </w:tcPr>
          <w:p w:rsidR="00C61CC7" w:rsidRPr="00422D05" w:rsidRDefault="00C61CC7" w:rsidP="00536AE7">
            <w:pPr>
              <w:spacing w:before="60" w:after="60"/>
              <w:rPr>
                <w:sz w:val="17"/>
              </w:rPr>
            </w:pPr>
            <w:r w:rsidRPr="00422D05">
              <w:rPr>
                <w:sz w:val="17"/>
              </w:rPr>
              <w:t>Information on the changes to the independent auditor’s report has been added.</w:t>
            </w:r>
          </w:p>
        </w:tc>
        <w:tc>
          <w:tcPr>
            <w:cnfStyle w:val="000100000000" w:firstRow="0" w:lastRow="0" w:firstColumn="0" w:lastColumn="1" w:oddVBand="0" w:evenVBand="0" w:oddHBand="0" w:evenHBand="0" w:firstRowFirstColumn="0" w:firstRowLastColumn="0" w:lastRowFirstColumn="0" w:lastRowLastColumn="0"/>
            <w:tcW w:w="637" w:type="pct"/>
          </w:tcPr>
          <w:p w:rsidR="00C61CC7" w:rsidRPr="00422D05" w:rsidRDefault="00874730" w:rsidP="001C4C3D">
            <w:pPr>
              <w:pStyle w:val="Tabletextcentred"/>
            </w:pPr>
            <w:r>
              <w:t>258</w:t>
            </w:r>
          </w:p>
        </w:tc>
      </w:tr>
      <w:tr w:rsidR="00C61CC7" w:rsidRPr="00422D05" w:rsidDel="007D7B44" w:rsidTr="00A21D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C61CC7" w:rsidRPr="00422D05" w:rsidRDefault="00C61CC7" w:rsidP="00B96C9B">
            <w:pPr>
              <w:pStyle w:val="Tabletext"/>
              <w:rPr>
                <w:rFonts w:ascii="Arial" w:eastAsia="Arial" w:hAnsi="Arial" w:cs="Times New Roman"/>
                <w:color w:val="FF0000"/>
              </w:rPr>
            </w:pPr>
            <w:r w:rsidRPr="00422D05">
              <w:rPr>
                <w:color w:val="FF0000"/>
              </w:rPr>
              <w:t xml:space="preserve">[Revised] </w:t>
            </w:r>
            <w:r w:rsidRPr="00422D05">
              <w:t xml:space="preserve">Appendix 4 – </w:t>
            </w:r>
            <w:r w:rsidRPr="00422D05">
              <w:rPr>
                <w:i/>
              </w:rPr>
              <w:t>AASB 10 Consolidated Financial Statements checklist – Control analysis for Victorian public sector entities</w:t>
            </w:r>
          </w:p>
        </w:tc>
        <w:tc>
          <w:tcPr>
            <w:cnfStyle w:val="000010000000" w:firstRow="0" w:lastRow="0" w:firstColumn="0" w:lastColumn="0" w:oddVBand="1" w:evenVBand="0" w:oddHBand="0" w:evenHBand="0" w:firstRowFirstColumn="0" w:firstRowLastColumn="0" w:lastRowFirstColumn="0" w:lastRowLastColumn="0"/>
            <w:tcW w:w="995" w:type="pct"/>
          </w:tcPr>
          <w:p w:rsidR="00C61CC7" w:rsidRPr="00422D05" w:rsidRDefault="00C61CC7" w:rsidP="00536AE7">
            <w:pPr>
              <w:spacing w:before="60" w:after="60"/>
              <w:rPr>
                <w:rFonts w:ascii="Arial" w:eastAsia="Arial" w:hAnsi="Arial" w:cs="Times New Roman"/>
                <w:sz w:val="17"/>
              </w:rPr>
            </w:pPr>
            <w:r w:rsidRPr="00422D05">
              <w:rPr>
                <w:rFonts w:ascii="Arial" w:eastAsia="Arial" w:hAnsi="Arial" w:cs="Times New Roman"/>
                <w:sz w:val="17"/>
              </w:rPr>
              <w:t>General improvement</w:t>
            </w:r>
            <w:r w:rsidR="00F42974" w:rsidRPr="00422D05">
              <w:rPr>
                <w:rFonts w:ascii="Arial" w:eastAsia="Arial" w:hAnsi="Arial" w:cs="Times New Roman"/>
                <w:sz w:val="17"/>
              </w:rPr>
              <w:t>s</w:t>
            </w:r>
          </w:p>
        </w:tc>
        <w:tc>
          <w:tcPr>
            <w:cnfStyle w:val="000001000000" w:firstRow="0" w:lastRow="0" w:firstColumn="0" w:lastColumn="0" w:oddVBand="0" w:evenVBand="1" w:oddHBand="0" w:evenHBand="0" w:firstRowFirstColumn="0" w:firstRowLastColumn="0" w:lastRowFirstColumn="0" w:lastRowLastColumn="0"/>
            <w:tcW w:w="2500" w:type="pct"/>
          </w:tcPr>
          <w:p w:rsidR="00C61CC7" w:rsidRPr="00422D05" w:rsidRDefault="00C61CC7" w:rsidP="00C61CC7">
            <w:pPr>
              <w:spacing w:before="60" w:after="60"/>
              <w:rPr>
                <w:rFonts w:ascii="Arial" w:eastAsia="Arial" w:hAnsi="Arial" w:cs="Times New Roman"/>
                <w:sz w:val="17"/>
              </w:rPr>
            </w:pPr>
            <w:r w:rsidRPr="00422D05">
              <w:rPr>
                <w:rFonts w:ascii="Arial" w:eastAsia="Arial" w:hAnsi="Arial" w:cs="Times New Roman"/>
                <w:sz w:val="17"/>
              </w:rPr>
              <w:t xml:space="preserve">The previous Appendix 7 </w:t>
            </w:r>
            <w:r w:rsidRPr="00422D05">
              <w:rPr>
                <w:rFonts w:ascii="Arial" w:eastAsia="Arial" w:hAnsi="Arial" w:cs="Times New Roman"/>
                <w:i/>
                <w:sz w:val="17"/>
              </w:rPr>
              <w:t>AASB 10</w:t>
            </w:r>
            <w:r w:rsidRPr="00422D05">
              <w:rPr>
                <w:rFonts w:ascii="Arial" w:eastAsia="Arial" w:hAnsi="Arial" w:cs="Times New Roman"/>
                <w:sz w:val="17"/>
              </w:rPr>
              <w:t xml:space="preserve"> </w:t>
            </w:r>
            <w:r w:rsidRPr="00422D05">
              <w:rPr>
                <w:rFonts w:ascii="Arial" w:eastAsia="Arial" w:hAnsi="Arial" w:cs="Times New Roman"/>
                <w:i/>
                <w:sz w:val="17"/>
              </w:rPr>
              <w:t>Consolidated Financial Statements checklist – Control analysis for Victorian public sector entities</w:t>
            </w:r>
            <w:r w:rsidRPr="00422D05">
              <w:rPr>
                <w:rFonts w:ascii="Arial" w:eastAsia="Arial" w:hAnsi="Arial" w:cs="Times New Roman"/>
                <w:sz w:val="17"/>
              </w:rPr>
              <w:t xml:space="preserve"> has been re-numbered to Appendix 4 </w:t>
            </w:r>
            <w:r w:rsidRPr="00422D05">
              <w:rPr>
                <w:rFonts w:ascii="Arial" w:eastAsia="Arial" w:hAnsi="Arial" w:cs="Times New Roman"/>
                <w:i/>
                <w:sz w:val="17"/>
              </w:rPr>
              <w:t>AASB 10 Consolidated Financial Statements checklist – Control analysis for Victorian public sector entities</w:t>
            </w:r>
            <w:r w:rsidRPr="00422D05">
              <w:rPr>
                <w:rFonts w:ascii="Arial" w:eastAsia="Arial" w:hAnsi="Arial" w:cs="Times New Roman"/>
                <w:sz w:val="17"/>
              </w:rPr>
              <w:t>.</w:t>
            </w:r>
          </w:p>
        </w:tc>
        <w:tc>
          <w:tcPr>
            <w:cnfStyle w:val="000100000000" w:firstRow="0" w:lastRow="0" w:firstColumn="0" w:lastColumn="1" w:oddVBand="0" w:evenVBand="0" w:oddHBand="0" w:evenHBand="0" w:firstRowFirstColumn="0" w:firstRowLastColumn="0" w:lastRowFirstColumn="0" w:lastRowLastColumn="0"/>
            <w:tcW w:w="637" w:type="pct"/>
          </w:tcPr>
          <w:p w:rsidR="00C61CC7" w:rsidRPr="00422D05" w:rsidRDefault="00874730" w:rsidP="001C4C3D">
            <w:pPr>
              <w:pStyle w:val="Tabletextcentred"/>
            </w:pPr>
            <w:r>
              <w:t>260</w:t>
            </w:r>
          </w:p>
        </w:tc>
      </w:tr>
      <w:tr w:rsidR="00C61CC7" w:rsidRPr="00422D05" w:rsidDel="007D7B44" w:rsidTr="00A21D12">
        <w:tc>
          <w:tcPr>
            <w:cnfStyle w:val="001000000000" w:firstRow="0" w:lastRow="0" w:firstColumn="1" w:lastColumn="0" w:oddVBand="0" w:evenVBand="0" w:oddHBand="0" w:evenHBand="0" w:firstRowFirstColumn="0" w:firstRowLastColumn="0" w:lastRowFirstColumn="0" w:lastRowLastColumn="0"/>
            <w:tcW w:w="868" w:type="pct"/>
          </w:tcPr>
          <w:p w:rsidR="00C61CC7" w:rsidRPr="00422D05" w:rsidRDefault="00C61CC7" w:rsidP="00C61CC7">
            <w:pPr>
              <w:pStyle w:val="Tabletext"/>
              <w:rPr>
                <w:rFonts w:ascii="Arial" w:eastAsia="Arial" w:hAnsi="Arial" w:cs="Times New Roman"/>
                <w:color w:val="FF0000"/>
              </w:rPr>
            </w:pPr>
            <w:r w:rsidRPr="00422D05">
              <w:rPr>
                <w:color w:val="FF0000"/>
              </w:rPr>
              <w:t xml:space="preserve">[New] </w:t>
            </w:r>
            <w:r w:rsidRPr="00422D05">
              <w:t xml:space="preserve">Appendix 5 – </w:t>
            </w:r>
            <w:r w:rsidRPr="00422D05">
              <w:rPr>
                <w:i/>
              </w:rPr>
              <w:t>Interests in subsidiary and unconsolidated structured entities</w:t>
            </w:r>
          </w:p>
        </w:tc>
        <w:tc>
          <w:tcPr>
            <w:cnfStyle w:val="000010000000" w:firstRow="0" w:lastRow="0" w:firstColumn="0" w:lastColumn="0" w:oddVBand="1" w:evenVBand="0" w:oddHBand="0" w:evenHBand="0" w:firstRowFirstColumn="0" w:firstRowLastColumn="0" w:lastRowFirstColumn="0" w:lastRowLastColumn="0"/>
            <w:tcW w:w="995" w:type="pct"/>
          </w:tcPr>
          <w:p w:rsidR="00C61CC7" w:rsidRPr="00422D05" w:rsidRDefault="00C61CC7" w:rsidP="00536AE7">
            <w:pPr>
              <w:spacing w:before="60" w:after="60"/>
              <w:rPr>
                <w:rFonts w:ascii="Arial" w:eastAsia="Arial" w:hAnsi="Arial" w:cs="Times New Roman"/>
                <w:sz w:val="17"/>
              </w:rPr>
            </w:pPr>
            <w:r w:rsidRPr="00422D05">
              <w:rPr>
                <w:rFonts w:ascii="Arial" w:eastAsia="Arial" w:hAnsi="Arial" w:cs="Times New Roman"/>
                <w:sz w:val="17"/>
              </w:rPr>
              <w:t>Re-location of guidance information</w:t>
            </w:r>
          </w:p>
        </w:tc>
        <w:tc>
          <w:tcPr>
            <w:cnfStyle w:val="000001000000" w:firstRow="0" w:lastRow="0" w:firstColumn="0" w:lastColumn="0" w:oddVBand="0" w:evenVBand="1" w:oddHBand="0" w:evenHBand="0" w:firstRowFirstColumn="0" w:firstRowLastColumn="0" w:lastRowFirstColumn="0" w:lastRowLastColumn="0"/>
            <w:tcW w:w="2500" w:type="pct"/>
          </w:tcPr>
          <w:p w:rsidR="00C61CC7" w:rsidRPr="00422D05" w:rsidRDefault="00C61CC7" w:rsidP="00536AE7">
            <w:pPr>
              <w:spacing w:before="60" w:after="60"/>
              <w:rPr>
                <w:rFonts w:ascii="Arial" w:eastAsia="Arial" w:hAnsi="Arial" w:cs="Times New Roman"/>
                <w:sz w:val="17"/>
              </w:rPr>
            </w:pPr>
            <w:r w:rsidRPr="00422D05">
              <w:rPr>
                <w:rFonts w:ascii="Arial" w:eastAsia="Arial" w:hAnsi="Arial" w:cs="Times New Roman"/>
                <w:sz w:val="17"/>
              </w:rPr>
              <w:t xml:space="preserve">Information previously included in a guidance note to Note 14 in the 2015-16 Model has been re-located to Appendix 5 – </w:t>
            </w:r>
            <w:r w:rsidRPr="00422D05">
              <w:rPr>
                <w:rFonts w:ascii="Arial" w:eastAsia="Arial" w:hAnsi="Arial" w:cs="Times New Roman"/>
                <w:i/>
                <w:sz w:val="17"/>
              </w:rPr>
              <w:t>Interests in subsidiary and unconsolidated structured entities</w:t>
            </w:r>
            <w:r w:rsidRPr="00422D05">
              <w:rPr>
                <w:rFonts w:ascii="Arial" w:eastAsia="Arial" w:hAnsi="Arial" w:cs="Times New Roman"/>
                <w:sz w:val="17"/>
              </w:rPr>
              <w:t>.</w:t>
            </w:r>
          </w:p>
        </w:tc>
        <w:tc>
          <w:tcPr>
            <w:cnfStyle w:val="000100000000" w:firstRow="0" w:lastRow="0" w:firstColumn="0" w:lastColumn="1" w:oddVBand="0" w:evenVBand="0" w:oddHBand="0" w:evenHBand="0" w:firstRowFirstColumn="0" w:firstRowLastColumn="0" w:lastRowFirstColumn="0" w:lastRowLastColumn="0"/>
            <w:tcW w:w="637" w:type="pct"/>
          </w:tcPr>
          <w:p w:rsidR="00C61CC7" w:rsidRPr="00422D05" w:rsidRDefault="00874730" w:rsidP="001C4C3D">
            <w:pPr>
              <w:pStyle w:val="Tabletextcentred"/>
            </w:pPr>
            <w:r>
              <w:t>270</w:t>
            </w:r>
          </w:p>
        </w:tc>
      </w:tr>
      <w:tr w:rsidR="00B02856" w:rsidRPr="00422D05" w:rsidDel="007D7B44" w:rsidTr="00A21D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B02856" w:rsidRPr="00422D05" w:rsidRDefault="00B02856" w:rsidP="00B02856">
            <w:pPr>
              <w:pStyle w:val="Tabletext"/>
              <w:rPr>
                <w:rFonts w:ascii="Arial" w:eastAsia="Arial" w:hAnsi="Arial" w:cs="Times New Roman"/>
                <w:color w:val="FF0000"/>
              </w:rPr>
            </w:pPr>
            <w:r w:rsidRPr="00422D05">
              <w:rPr>
                <w:color w:val="FF0000"/>
              </w:rPr>
              <w:t xml:space="preserve">[Revised] </w:t>
            </w:r>
            <w:r w:rsidRPr="00422D05">
              <w:t xml:space="preserve">Appendix 6 – </w:t>
            </w:r>
            <w:r w:rsidRPr="00422D05">
              <w:rPr>
                <w:i/>
              </w:rPr>
              <w:t>Annual leave provisions</w:t>
            </w:r>
          </w:p>
        </w:tc>
        <w:tc>
          <w:tcPr>
            <w:cnfStyle w:val="000010000000" w:firstRow="0" w:lastRow="0" w:firstColumn="0" w:lastColumn="0" w:oddVBand="1" w:evenVBand="0" w:oddHBand="0" w:evenHBand="0" w:firstRowFirstColumn="0" w:firstRowLastColumn="0" w:lastRowFirstColumn="0" w:lastRowLastColumn="0"/>
            <w:tcW w:w="995" w:type="pct"/>
          </w:tcPr>
          <w:p w:rsidR="00B02856" w:rsidRPr="00422D05" w:rsidRDefault="00B02856" w:rsidP="00536AE7">
            <w:pPr>
              <w:spacing w:before="60" w:after="60"/>
              <w:rPr>
                <w:rFonts w:ascii="Arial" w:eastAsia="Arial" w:hAnsi="Arial" w:cs="Times New Roman"/>
                <w:sz w:val="17"/>
              </w:rPr>
            </w:pPr>
            <w:r w:rsidRPr="00422D05">
              <w:rPr>
                <w:rFonts w:ascii="Arial" w:eastAsia="Arial" w:hAnsi="Arial" w:cs="Times New Roman"/>
                <w:sz w:val="17"/>
              </w:rPr>
              <w:t>General improvement</w:t>
            </w:r>
            <w:r w:rsidR="00F42974" w:rsidRPr="00422D05">
              <w:rPr>
                <w:rFonts w:ascii="Arial" w:eastAsia="Arial" w:hAnsi="Arial" w:cs="Times New Roman"/>
                <w:sz w:val="17"/>
              </w:rPr>
              <w:t>s</w:t>
            </w:r>
          </w:p>
        </w:tc>
        <w:tc>
          <w:tcPr>
            <w:cnfStyle w:val="000001000000" w:firstRow="0" w:lastRow="0" w:firstColumn="0" w:lastColumn="0" w:oddVBand="0" w:evenVBand="1" w:oddHBand="0" w:evenHBand="0" w:firstRowFirstColumn="0" w:firstRowLastColumn="0" w:lastRowFirstColumn="0" w:lastRowLastColumn="0"/>
            <w:tcW w:w="2500" w:type="pct"/>
          </w:tcPr>
          <w:p w:rsidR="00B02856" w:rsidRPr="00422D05" w:rsidRDefault="00B02856" w:rsidP="00B02856">
            <w:pPr>
              <w:spacing w:before="60" w:after="60"/>
              <w:rPr>
                <w:rFonts w:ascii="Arial" w:eastAsia="Arial" w:hAnsi="Arial" w:cs="Times New Roman"/>
                <w:sz w:val="17"/>
              </w:rPr>
            </w:pPr>
            <w:r w:rsidRPr="00422D05">
              <w:rPr>
                <w:rFonts w:ascii="Arial" w:eastAsia="Arial" w:hAnsi="Arial" w:cs="Times New Roman"/>
                <w:sz w:val="17"/>
              </w:rPr>
              <w:t xml:space="preserve">The previous Appendix 4 </w:t>
            </w:r>
            <w:r w:rsidRPr="00422D05">
              <w:rPr>
                <w:rFonts w:ascii="Arial" w:eastAsia="Arial" w:hAnsi="Arial" w:cs="Times New Roman"/>
                <w:i/>
                <w:sz w:val="17"/>
              </w:rPr>
              <w:t>Annual leave provisions</w:t>
            </w:r>
            <w:r w:rsidRPr="00422D05">
              <w:rPr>
                <w:rFonts w:ascii="Arial" w:eastAsia="Arial" w:hAnsi="Arial" w:cs="Times New Roman"/>
                <w:sz w:val="17"/>
              </w:rPr>
              <w:t xml:space="preserve"> has been re-numbered to Appendix 6 </w:t>
            </w:r>
            <w:r w:rsidRPr="00422D05">
              <w:rPr>
                <w:rFonts w:ascii="Arial" w:eastAsia="Arial" w:hAnsi="Arial" w:cs="Times New Roman"/>
                <w:i/>
                <w:sz w:val="17"/>
              </w:rPr>
              <w:t>Annual leave provisions.</w:t>
            </w:r>
          </w:p>
        </w:tc>
        <w:tc>
          <w:tcPr>
            <w:cnfStyle w:val="000100000000" w:firstRow="0" w:lastRow="0" w:firstColumn="0" w:lastColumn="1" w:oddVBand="0" w:evenVBand="0" w:oddHBand="0" w:evenHBand="0" w:firstRowFirstColumn="0" w:firstRowLastColumn="0" w:lastRowFirstColumn="0" w:lastRowLastColumn="0"/>
            <w:tcW w:w="637" w:type="pct"/>
          </w:tcPr>
          <w:p w:rsidR="00B02856" w:rsidRPr="00422D05" w:rsidRDefault="00874730" w:rsidP="001C4C3D">
            <w:pPr>
              <w:pStyle w:val="Tabletextcentred"/>
            </w:pPr>
            <w:r>
              <w:t>273</w:t>
            </w:r>
          </w:p>
        </w:tc>
      </w:tr>
      <w:tr w:rsidR="00B02856" w:rsidRPr="00422D05" w:rsidDel="007D7B44" w:rsidTr="00A21D12">
        <w:tc>
          <w:tcPr>
            <w:cnfStyle w:val="001000000000" w:firstRow="0" w:lastRow="0" w:firstColumn="1" w:lastColumn="0" w:oddVBand="0" w:evenVBand="0" w:oddHBand="0" w:evenHBand="0" w:firstRowFirstColumn="0" w:firstRowLastColumn="0" w:lastRowFirstColumn="0" w:lastRowLastColumn="0"/>
            <w:tcW w:w="868" w:type="pct"/>
          </w:tcPr>
          <w:p w:rsidR="00B02856" w:rsidRPr="00422D05" w:rsidRDefault="00B02856" w:rsidP="00B02856">
            <w:pPr>
              <w:pStyle w:val="Tabletext"/>
              <w:rPr>
                <w:rFonts w:ascii="Arial" w:eastAsia="Arial" w:hAnsi="Arial" w:cs="Times New Roman"/>
                <w:color w:val="FF0000"/>
              </w:rPr>
            </w:pPr>
            <w:r w:rsidRPr="00422D05">
              <w:rPr>
                <w:color w:val="FF0000"/>
              </w:rPr>
              <w:t xml:space="preserve">[Revised] </w:t>
            </w:r>
            <w:r w:rsidRPr="00422D05">
              <w:t xml:space="preserve">Appendix 7 – </w:t>
            </w:r>
            <w:r w:rsidRPr="00422D05">
              <w:rPr>
                <w:i/>
              </w:rPr>
              <w:t>Fair value measurement indicative expectations</w:t>
            </w:r>
          </w:p>
        </w:tc>
        <w:tc>
          <w:tcPr>
            <w:cnfStyle w:val="000010000000" w:firstRow="0" w:lastRow="0" w:firstColumn="0" w:lastColumn="0" w:oddVBand="1" w:evenVBand="0" w:oddHBand="0" w:evenHBand="0" w:firstRowFirstColumn="0" w:firstRowLastColumn="0" w:lastRowFirstColumn="0" w:lastRowLastColumn="0"/>
            <w:tcW w:w="995" w:type="pct"/>
          </w:tcPr>
          <w:p w:rsidR="00B02856" w:rsidRPr="00422D05" w:rsidRDefault="00B02856" w:rsidP="00536AE7">
            <w:pPr>
              <w:spacing w:before="60" w:after="60"/>
              <w:rPr>
                <w:rFonts w:ascii="Arial" w:eastAsia="Arial" w:hAnsi="Arial" w:cs="Times New Roman"/>
                <w:sz w:val="17"/>
              </w:rPr>
            </w:pPr>
            <w:r w:rsidRPr="00422D05">
              <w:rPr>
                <w:rFonts w:ascii="Arial" w:eastAsia="Arial" w:hAnsi="Arial" w:cs="Times New Roman"/>
                <w:sz w:val="17"/>
              </w:rPr>
              <w:t>General improvement</w:t>
            </w:r>
            <w:r w:rsidR="00F42974" w:rsidRPr="00422D05">
              <w:rPr>
                <w:rFonts w:ascii="Arial" w:eastAsia="Arial" w:hAnsi="Arial" w:cs="Times New Roman"/>
                <w:sz w:val="17"/>
              </w:rPr>
              <w:t>s</w:t>
            </w:r>
          </w:p>
        </w:tc>
        <w:tc>
          <w:tcPr>
            <w:cnfStyle w:val="000001000000" w:firstRow="0" w:lastRow="0" w:firstColumn="0" w:lastColumn="0" w:oddVBand="0" w:evenVBand="1" w:oddHBand="0" w:evenHBand="0" w:firstRowFirstColumn="0" w:firstRowLastColumn="0" w:lastRowFirstColumn="0" w:lastRowLastColumn="0"/>
            <w:tcW w:w="2500" w:type="pct"/>
          </w:tcPr>
          <w:p w:rsidR="00B02856" w:rsidRPr="00422D05" w:rsidRDefault="00B02856" w:rsidP="00B02856">
            <w:pPr>
              <w:spacing w:before="60" w:after="60"/>
              <w:rPr>
                <w:rFonts w:ascii="Arial" w:eastAsia="Arial" w:hAnsi="Arial" w:cs="Times New Roman"/>
                <w:sz w:val="17"/>
              </w:rPr>
            </w:pPr>
            <w:r w:rsidRPr="00422D05">
              <w:rPr>
                <w:rFonts w:ascii="Arial" w:eastAsia="Arial" w:hAnsi="Arial" w:cs="Times New Roman"/>
                <w:sz w:val="17"/>
              </w:rPr>
              <w:t xml:space="preserve">The previous Appendix 3 </w:t>
            </w:r>
            <w:r w:rsidRPr="00422D05">
              <w:rPr>
                <w:rFonts w:ascii="Arial" w:eastAsia="Arial" w:hAnsi="Arial" w:cs="Times New Roman"/>
                <w:i/>
                <w:sz w:val="17"/>
              </w:rPr>
              <w:t>Fair value measurement indicative expectations</w:t>
            </w:r>
            <w:r w:rsidRPr="00422D05">
              <w:rPr>
                <w:rFonts w:ascii="Arial" w:eastAsia="Arial" w:hAnsi="Arial" w:cs="Times New Roman"/>
                <w:sz w:val="17"/>
              </w:rPr>
              <w:t xml:space="preserve"> has been re-numbered to Appendix 7 </w:t>
            </w:r>
            <w:r w:rsidRPr="00422D05">
              <w:rPr>
                <w:rFonts w:ascii="Arial" w:eastAsia="Arial" w:hAnsi="Arial" w:cs="Times New Roman"/>
                <w:i/>
                <w:sz w:val="17"/>
              </w:rPr>
              <w:t>Fair value measurement indicative expectations.</w:t>
            </w:r>
          </w:p>
        </w:tc>
        <w:tc>
          <w:tcPr>
            <w:cnfStyle w:val="000100000000" w:firstRow="0" w:lastRow="0" w:firstColumn="0" w:lastColumn="1" w:oddVBand="0" w:evenVBand="0" w:oddHBand="0" w:evenHBand="0" w:firstRowFirstColumn="0" w:firstRowLastColumn="0" w:lastRowFirstColumn="0" w:lastRowLastColumn="0"/>
            <w:tcW w:w="637" w:type="pct"/>
          </w:tcPr>
          <w:p w:rsidR="00B02856" w:rsidRPr="00422D05" w:rsidRDefault="00874730" w:rsidP="001C4C3D">
            <w:pPr>
              <w:pStyle w:val="Tabletextcentred"/>
            </w:pPr>
            <w:r>
              <w:t>276</w:t>
            </w:r>
          </w:p>
        </w:tc>
      </w:tr>
      <w:tr w:rsidR="00B02856" w:rsidRPr="00422D05" w:rsidDel="007D7B44" w:rsidTr="00A21D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B02856" w:rsidRPr="00422D05" w:rsidRDefault="00B02856" w:rsidP="00B02856">
            <w:pPr>
              <w:pStyle w:val="Tabletext"/>
              <w:rPr>
                <w:rFonts w:ascii="Arial" w:eastAsia="Arial" w:hAnsi="Arial" w:cs="Times New Roman"/>
                <w:color w:val="FF0000"/>
              </w:rPr>
            </w:pPr>
            <w:r w:rsidRPr="00422D05">
              <w:rPr>
                <w:color w:val="FF0000"/>
              </w:rPr>
              <w:t xml:space="preserve">[Revised] </w:t>
            </w:r>
            <w:r w:rsidRPr="00422D05">
              <w:t xml:space="preserve">Appendix 8 – </w:t>
            </w:r>
            <w:r w:rsidRPr="00422D05">
              <w:rPr>
                <w:i/>
              </w:rPr>
              <w:t xml:space="preserve">Practical classification guide between </w:t>
            </w:r>
            <w:r w:rsidRPr="00422D05">
              <w:rPr>
                <w:i/>
              </w:rPr>
              <w:lastRenderedPageBreak/>
              <w:t>transactions and other economic flows</w:t>
            </w:r>
          </w:p>
        </w:tc>
        <w:tc>
          <w:tcPr>
            <w:cnfStyle w:val="000010000000" w:firstRow="0" w:lastRow="0" w:firstColumn="0" w:lastColumn="0" w:oddVBand="1" w:evenVBand="0" w:oddHBand="0" w:evenHBand="0" w:firstRowFirstColumn="0" w:firstRowLastColumn="0" w:lastRowFirstColumn="0" w:lastRowLastColumn="0"/>
            <w:tcW w:w="995" w:type="pct"/>
          </w:tcPr>
          <w:p w:rsidR="00B02856" w:rsidRPr="00422D05" w:rsidRDefault="00B02856" w:rsidP="00536AE7">
            <w:pPr>
              <w:spacing w:before="60" w:after="60"/>
              <w:rPr>
                <w:rFonts w:ascii="Arial" w:eastAsia="Arial" w:hAnsi="Arial" w:cs="Times New Roman"/>
                <w:sz w:val="17"/>
              </w:rPr>
            </w:pPr>
            <w:r w:rsidRPr="00422D05">
              <w:rPr>
                <w:rFonts w:ascii="Arial" w:eastAsia="Arial" w:hAnsi="Arial" w:cs="Times New Roman"/>
                <w:sz w:val="17"/>
              </w:rPr>
              <w:lastRenderedPageBreak/>
              <w:t>General improvement</w:t>
            </w:r>
            <w:r w:rsidR="00F42974" w:rsidRPr="00422D05">
              <w:rPr>
                <w:rFonts w:ascii="Arial" w:eastAsia="Arial" w:hAnsi="Arial" w:cs="Times New Roman"/>
                <w:sz w:val="17"/>
              </w:rPr>
              <w:t>s</w:t>
            </w:r>
          </w:p>
        </w:tc>
        <w:tc>
          <w:tcPr>
            <w:cnfStyle w:val="000001000000" w:firstRow="0" w:lastRow="0" w:firstColumn="0" w:lastColumn="0" w:oddVBand="0" w:evenVBand="1" w:oddHBand="0" w:evenHBand="0" w:firstRowFirstColumn="0" w:firstRowLastColumn="0" w:lastRowFirstColumn="0" w:lastRowLastColumn="0"/>
            <w:tcW w:w="2500" w:type="pct"/>
          </w:tcPr>
          <w:p w:rsidR="00B02856" w:rsidRPr="00422D05" w:rsidRDefault="00B02856" w:rsidP="00B02856">
            <w:pPr>
              <w:spacing w:before="60" w:after="60"/>
              <w:rPr>
                <w:rFonts w:ascii="Arial" w:eastAsia="Arial" w:hAnsi="Arial" w:cs="Times New Roman"/>
                <w:sz w:val="17"/>
              </w:rPr>
            </w:pPr>
            <w:r w:rsidRPr="00422D05">
              <w:rPr>
                <w:rFonts w:ascii="Arial" w:eastAsia="Arial" w:hAnsi="Arial" w:cs="Times New Roman"/>
                <w:sz w:val="17"/>
              </w:rPr>
              <w:t xml:space="preserve">The previous Appendix 2 </w:t>
            </w:r>
            <w:r w:rsidRPr="00422D05">
              <w:rPr>
                <w:rFonts w:ascii="Arial" w:eastAsia="Arial" w:hAnsi="Arial" w:cs="Times New Roman"/>
                <w:i/>
                <w:sz w:val="17"/>
              </w:rPr>
              <w:t>Practical classification guide between transactions and other economic flows</w:t>
            </w:r>
            <w:r w:rsidRPr="00422D05">
              <w:rPr>
                <w:rFonts w:ascii="Arial" w:eastAsia="Arial" w:hAnsi="Arial" w:cs="Times New Roman"/>
                <w:sz w:val="17"/>
              </w:rPr>
              <w:t xml:space="preserve"> has been re-numbered to Appendix 8 </w:t>
            </w:r>
            <w:r w:rsidRPr="00422D05">
              <w:rPr>
                <w:rFonts w:ascii="Arial" w:eastAsia="Arial" w:hAnsi="Arial" w:cs="Times New Roman"/>
                <w:i/>
                <w:sz w:val="17"/>
              </w:rPr>
              <w:t>Practical classification guide between transactions.</w:t>
            </w:r>
          </w:p>
        </w:tc>
        <w:tc>
          <w:tcPr>
            <w:cnfStyle w:val="000100000000" w:firstRow="0" w:lastRow="0" w:firstColumn="0" w:lastColumn="1" w:oddVBand="0" w:evenVBand="0" w:oddHBand="0" w:evenHBand="0" w:firstRowFirstColumn="0" w:firstRowLastColumn="0" w:lastRowFirstColumn="0" w:lastRowLastColumn="0"/>
            <w:tcW w:w="637" w:type="pct"/>
          </w:tcPr>
          <w:p w:rsidR="00B02856" w:rsidRPr="00422D05" w:rsidRDefault="00874730" w:rsidP="001C4C3D">
            <w:pPr>
              <w:pStyle w:val="Tabletextcentred"/>
            </w:pPr>
            <w:r>
              <w:t>277</w:t>
            </w:r>
          </w:p>
        </w:tc>
      </w:tr>
      <w:tr w:rsidR="00B02856" w:rsidRPr="00422D05" w:rsidDel="007D7B44" w:rsidTr="00A21D12">
        <w:tc>
          <w:tcPr>
            <w:cnfStyle w:val="001000000000" w:firstRow="0" w:lastRow="0" w:firstColumn="1" w:lastColumn="0" w:oddVBand="0" w:evenVBand="0" w:oddHBand="0" w:evenHBand="0" w:firstRowFirstColumn="0" w:firstRowLastColumn="0" w:lastRowFirstColumn="0" w:lastRowLastColumn="0"/>
            <w:tcW w:w="868" w:type="pct"/>
          </w:tcPr>
          <w:p w:rsidR="00B02856" w:rsidRPr="00422D05" w:rsidRDefault="00B02856" w:rsidP="00B02856">
            <w:pPr>
              <w:pStyle w:val="Tabletext"/>
              <w:rPr>
                <w:rFonts w:ascii="Arial" w:eastAsia="Arial" w:hAnsi="Arial" w:cs="Times New Roman"/>
                <w:color w:val="FF0000"/>
              </w:rPr>
            </w:pPr>
            <w:r w:rsidRPr="00422D05">
              <w:rPr>
                <w:rFonts w:ascii="Arial" w:eastAsia="Arial" w:hAnsi="Arial" w:cs="Times New Roman"/>
                <w:color w:val="FF0000"/>
              </w:rPr>
              <w:lastRenderedPageBreak/>
              <w:t xml:space="preserve">[New] </w:t>
            </w:r>
            <w:r w:rsidRPr="00422D05">
              <w:t xml:space="preserve">Appendix 9 – </w:t>
            </w:r>
            <w:r w:rsidRPr="00422D05">
              <w:rPr>
                <w:i/>
              </w:rPr>
              <w:t>Declaration checklist for executives – Related party transactions identification</w:t>
            </w:r>
          </w:p>
        </w:tc>
        <w:tc>
          <w:tcPr>
            <w:cnfStyle w:val="000010000000" w:firstRow="0" w:lastRow="0" w:firstColumn="0" w:lastColumn="0" w:oddVBand="1" w:evenVBand="0" w:oddHBand="0" w:evenHBand="0" w:firstRowFirstColumn="0" w:firstRowLastColumn="0" w:lastRowFirstColumn="0" w:lastRowLastColumn="0"/>
            <w:tcW w:w="995" w:type="pct"/>
          </w:tcPr>
          <w:p w:rsidR="00B02856" w:rsidRPr="00422D05" w:rsidRDefault="00B02856" w:rsidP="00536AE7">
            <w:pPr>
              <w:spacing w:before="60" w:after="60"/>
              <w:rPr>
                <w:rFonts w:ascii="Arial" w:eastAsia="Arial" w:hAnsi="Arial" w:cs="Times New Roman"/>
                <w:sz w:val="17"/>
              </w:rPr>
            </w:pPr>
            <w:r w:rsidRPr="00422D05">
              <w:rPr>
                <w:rFonts w:ascii="Arial" w:eastAsia="Arial" w:hAnsi="Arial" w:cs="Times New Roman"/>
                <w:sz w:val="17"/>
              </w:rPr>
              <w:t xml:space="preserve">AASB 124 </w:t>
            </w:r>
            <w:r w:rsidRPr="00422D05">
              <w:rPr>
                <w:rFonts w:ascii="Arial" w:eastAsia="Arial" w:hAnsi="Arial" w:cs="Times New Roman"/>
                <w:i/>
                <w:sz w:val="17"/>
              </w:rPr>
              <w:t>Related Party Disclosures</w:t>
            </w:r>
          </w:p>
        </w:tc>
        <w:tc>
          <w:tcPr>
            <w:cnfStyle w:val="000001000000" w:firstRow="0" w:lastRow="0" w:firstColumn="0" w:lastColumn="0" w:oddVBand="0" w:evenVBand="1" w:oddHBand="0" w:evenHBand="0" w:firstRowFirstColumn="0" w:firstRowLastColumn="0" w:lastRowFirstColumn="0" w:lastRowLastColumn="0"/>
            <w:tcW w:w="2500" w:type="pct"/>
          </w:tcPr>
          <w:p w:rsidR="00B02856" w:rsidRPr="00422D05" w:rsidRDefault="00B02856" w:rsidP="00AB0500">
            <w:pPr>
              <w:spacing w:before="60" w:after="60"/>
              <w:rPr>
                <w:rFonts w:ascii="Arial" w:eastAsia="Arial" w:hAnsi="Arial" w:cs="Times New Roman"/>
                <w:sz w:val="17"/>
              </w:rPr>
            </w:pPr>
            <w:r w:rsidRPr="00422D05">
              <w:rPr>
                <w:rFonts w:ascii="Arial" w:eastAsia="Arial" w:hAnsi="Arial" w:cs="Times New Roman"/>
                <w:sz w:val="17"/>
              </w:rPr>
              <w:t>Sample declaration checklist for executive Key Management Personnel</w:t>
            </w:r>
            <w:r w:rsidR="00AB0500">
              <w:rPr>
                <w:rFonts w:ascii="Arial" w:eastAsia="Arial" w:hAnsi="Arial" w:cs="Times New Roman"/>
                <w:sz w:val="17"/>
              </w:rPr>
              <w:t xml:space="preserve"> (KPM)</w:t>
            </w:r>
            <w:r w:rsidRPr="00422D05">
              <w:rPr>
                <w:rFonts w:ascii="Arial" w:eastAsia="Arial" w:hAnsi="Arial" w:cs="Times New Roman"/>
                <w:sz w:val="17"/>
              </w:rPr>
              <w:t xml:space="preserve"> </w:t>
            </w:r>
            <w:r w:rsidR="00AB0500">
              <w:rPr>
                <w:rFonts w:ascii="Arial" w:eastAsia="Arial" w:hAnsi="Arial" w:cs="Times New Roman"/>
                <w:sz w:val="17"/>
              </w:rPr>
              <w:t>has been added for</w:t>
            </w:r>
            <w:r w:rsidRPr="00422D05">
              <w:rPr>
                <w:rFonts w:ascii="Arial" w:eastAsia="Arial" w:hAnsi="Arial" w:cs="Times New Roman"/>
                <w:sz w:val="17"/>
              </w:rPr>
              <w:t xml:space="preserve"> </w:t>
            </w:r>
            <w:r w:rsidR="00AB0500">
              <w:rPr>
                <w:rFonts w:ascii="Arial" w:eastAsia="Arial" w:hAnsi="Arial" w:cs="Times New Roman"/>
                <w:sz w:val="17"/>
              </w:rPr>
              <w:t>executive KPMs</w:t>
            </w:r>
            <w:r w:rsidRPr="00422D05">
              <w:rPr>
                <w:rFonts w:ascii="Arial" w:eastAsia="Arial" w:hAnsi="Arial" w:cs="Times New Roman"/>
                <w:sz w:val="17"/>
              </w:rPr>
              <w:t xml:space="preserve"> </w:t>
            </w:r>
            <w:r w:rsidR="00AB0500">
              <w:rPr>
                <w:rFonts w:ascii="Arial" w:eastAsia="Arial" w:hAnsi="Arial" w:cs="Times New Roman"/>
                <w:sz w:val="17"/>
              </w:rPr>
              <w:t>to declare any</w:t>
            </w:r>
            <w:r w:rsidRPr="00422D05">
              <w:rPr>
                <w:rFonts w:ascii="Arial" w:eastAsia="Arial" w:hAnsi="Arial" w:cs="Times New Roman"/>
                <w:sz w:val="17"/>
              </w:rPr>
              <w:t xml:space="preserve"> related party transactions</w:t>
            </w:r>
            <w:r w:rsidR="00AB0500">
              <w:rPr>
                <w:rFonts w:ascii="Arial" w:eastAsia="Arial" w:hAnsi="Arial" w:cs="Times New Roman"/>
                <w:sz w:val="17"/>
              </w:rPr>
              <w:t xml:space="preserve"> for the reporting period</w:t>
            </w:r>
            <w:r w:rsidRPr="00422D05">
              <w:rPr>
                <w:rFonts w:ascii="Arial" w:eastAsia="Arial" w:hAnsi="Arial" w:cs="Times New Roman"/>
                <w:sz w:val="17"/>
              </w:rPr>
              <w:t xml:space="preserve"> in accordance with requirements in AASB 124.</w:t>
            </w:r>
          </w:p>
        </w:tc>
        <w:tc>
          <w:tcPr>
            <w:cnfStyle w:val="000100000000" w:firstRow="0" w:lastRow="0" w:firstColumn="0" w:lastColumn="1" w:oddVBand="0" w:evenVBand="0" w:oddHBand="0" w:evenHBand="0" w:firstRowFirstColumn="0" w:firstRowLastColumn="0" w:lastRowFirstColumn="0" w:lastRowLastColumn="0"/>
            <w:tcW w:w="637" w:type="pct"/>
          </w:tcPr>
          <w:p w:rsidR="00B02856" w:rsidRPr="00422D05" w:rsidRDefault="00874730" w:rsidP="001C4C3D">
            <w:pPr>
              <w:pStyle w:val="Tabletextcentred"/>
            </w:pPr>
            <w:r>
              <w:t>278</w:t>
            </w:r>
          </w:p>
        </w:tc>
      </w:tr>
      <w:tr w:rsidR="00B02856" w:rsidRPr="00422D05" w:rsidDel="007D7B44" w:rsidTr="00A21D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B02856" w:rsidRPr="00422D05" w:rsidRDefault="00B02856" w:rsidP="00B02856">
            <w:pPr>
              <w:pStyle w:val="Tabletext"/>
              <w:rPr>
                <w:rFonts w:ascii="Arial" w:eastAsia="Arial" w:hAnsi="Arial" w:cs="Times New Roman"/>
                <w:color w:val="FF0000"/>
              </w:rPr>
            </w:pPr>
            <w:r w:rsidRPr="00422D05">
              <w:rPr>
                <w:rFonts w:ascii="Arial" w:eastAsia="Arial" w:hAnsi="Arial" w:cs="Times New Roman"/>
                <w:color w:val="FF0000"/>
              </w:rPr>
              <w:t xml:space="preserve">[New] </w:t>
            </w:r>
            <w:r w:rsidRPr="00422D05">
              <w:t xml:space="preserve">Appendix 10 – </w:t>
            </w:r>
            <w:r w:rsidRPr="00422D05">
              <w:rPr>
                <w:i/>
              </w:rPr>
              <w:t>AASB 124 Related Party Disclosures – entity management checklist</w:t>
            </w:r>
          </w:p>
        </w:tc>
        <w:tc>
          <w:tcPr>
            <w:cnfStyle w:val="000010000000" w:firstRow="0" w:lastRow="0" w:firstColumn="0" w:lastColumn="0" w:oddVBand="1" w:evenVBand="0" w:oddHBand="0" w:evenHBand="0" w:firstRowFirstColumn="0" w:firstRowLastColumn="0" w:lastRowFirstColumn="0" w:lastRowLastColumn="0"/>
            <w:tcW w:w="995" w:type="pct"/>
          </w:tcPr>
          <w:p w:rsidR="00B02856" w:rsidRPr="00422D05" w:rsidRDefault="00B02856" w:rsidP="00536AE7">
            <w:pPr>
              <w:spacing w:before="60" w:after="60"/>
              <w:rPr>
                <w:rFonts w:ascii="Arial" w:eastAsia="Arial" w:hAnsi="Arial" w:cs="Times New Roman"/>
                <w:sz w:val="17"/>
              </w:rPr>
            </w:pPr>
            <w:r w:rsidRPr="00422D05">
              <w:rPr>
                <w:rFonts w:ascii="Arial" w:eastAsia="Arial" w:hAnsi="Arial" w:cs="Times New Roman"/>
                <w:sz w:val="17"/>
              </w:rPr>
              <w:t xml:space="preserve">AASB 124 </w:t>
            </w:r>
            <w:r w:rsidRPr="00422D05">
              <w:rPr>
                <w:rFonts w:ascii="Arial" w:eastAsia="Arial" w:hAnsi="Arial" w:cs="Times New Roman"/>
                <w:i/>
                <w:sz w:val="17"/>
              </w:rPr>
              <w:t>Related Party Disclosures</w:t>
            </w:r>
          </w:p>
        </w:tc>
        <w:tc>
          <w:tcPr>
            <w:cnfStyle w:val="000001000000" w:firstRow="0" w:lastRow="0" w:firstColumn="0" w:lastColumn="0" w:oddVBand="0" w:evenVBand="1" w:oddHBand="0" w:evenHBand="0" w:firstRowFirstColumn="0" w:firstRowLastColumn="0" w:lastRowFirstColumn="0" w:lastRowLastColumn="0"/>
            <w:tcW w:w="2500" w:type="pct"/>
          </w:tcPr>
          <w:p w:rsidR="00B02856" w:rsidRPr="00422D05" w:rsidRDefault="00B02856" w:rsidP="00B02856">
            <w:pPr>
              <w:spacing w:before="60" w:after="60"/>
              <w:rPr>
                <w:rFonts w:ascii="Arial" w:eastAsia="Arial" w:hAnsi="Arial" w:cs="Times New Roman"/>
                <w:sz w:val="17"/>
              </w:rPr>
            </w:pPr>
            <w:r w:rsidRPr="00422D05">
              <w:rPr>
                <w:rFonts w:ascii="Arial" w:eastAsia="Arial" w:hAnsi="Arial" w:cs="Times New Roman"/>
                <w:sz w:val="17"/>
              </w:rPr>
              <w:t>Sample</w:t>
            </w:r>
            <w:r w:rsidR="00AB0500">
              <w:rPr>
                <w:rFonts w:ascii="Arial" w:eastAsia="Arial" w:hAnsi="Arial" w:cs="Times New Roman"/>
                <w:sz w:val="17"/>
              </w:rPr>
              <w:t xml:space="preserve"> entity</w:t>
            </w:r>
            <w:r w:rsidRPr="00422D05">
              <w:rPr>
                <w:rFonts w:ascii="Arial" w:eastAsia="Arial" w:hAnsi="Arial" w:cs="Times New Roman"/>
                <w:sz w:val="17"/>
              </w:rPr>
              <w:t xml:space="preserve"> management checklist for related party transactions has been added to support management’s assessment of the completeness of the related party disclosure in their annual financial report.</w:t>
            </w:r>
          </w:p>
        </w:tc>
        <w:tc>
          <w:tcPr>
            <w:cnfStyle w:val="000100000000" w:firstRow="0" w:lastRow="0" w:firstColumn="0" w:lastColumn="1" w:oddVBand="0" w:evenVBand="0" w:oddHBand="0" w:evenHBand="0" w:firstRowFirstColumn="0" w:firstRowLastColumn="0" w:lastRowFirstColumn="0" w:lastRowLastColumn="0"/>
            <w:tcW w:w="637" w:type="pct"/>
          </w:tcPr>
          <w:p w:rsidR="00B02856" w:rsidRPr="00422D05" w:rsidRDefault="00874730" w:rsidP="001C4C3D">
            <w:pPr>
              <w:pStyle w:val="Tabletextcentred"/>
            </w:pPr>
            <w:r>
              <w:t>294</w:t>
            </w:r>
          </w:p>
        </w:tc>
      </w:tr>
      <w:tr w:rsidR="00B02856" w:rsidRPr="00422D05" w:rsidDel="007D7B44" w:rsidTr="00A21D12">
        <w:tc>
          <w:tcPr>
            <w:cnfStyle w:val="001000000000" w:firstRow="0" w:lastRow="0" w:firstColumn="1" w:lastColumn="0" w:oddVBand="0" w:evenVBand="0" w:oddHBand="0" w:evenHBand="0" w:firstRowFirstColumn="0" w:firstRowLastColumn="0" w:lastRowFirstColumn="0" w:lastRowLastColumn="0"/>
            <w:tcW w:w="868" w:type="pct"/>
          </w:tcPr>
          <w:p w:rsidR="00B02856" w:rsidRPr="00422D05" w:rsidRDefault="00B02856" w:rsidP="00F42974">
            <w:pPr>
              <w:pStyle w:val="Tabletext"/>
              <w:rPr>
                <w:rFonts w:ascii="Arial" w:eastAsia="Arial" w:hAnsi="Arial" w:cs="Times New Roman"/>
                <w:color w:val="FF0000"/>
              </w:rPr>
            </w:pPr>
            <w:r w:rsidRPr="00422D05">
              <w:rPr>
                <w:rFonts w:ascii="Arial" w:eastAsia="Arial" w:hAnsi="Arial" w:cs="Times New Roman"/>
                <w:color w:val="FF0000"/>
              </w:rPr>
              <w:t xml:space="preserve">[New] </w:t>
            </w:r>
            <w:r w:rsidRPr="00422D05">
              <w:t xml:space="preserve">Appendix 11 – </w:t>
            </w:r>
            <w:r w:rsidR="00F42974" w:rsidRPr="00422D05">
              <w:rPr>
                <w:i/>
              </w:rPr>
              <w:t>When to account for surplus assets as ‘held for sale’</w:t>
            </w:r>
          </w:p>
        </w:tc>
        <w:tc>
          <w:tcPr>
            <w:cnfStyle w:val="000010000000" w:firstRow="0" w:lastRow="0" w:firstColumn="0" w:lastColumn="0" w:oddVBand="1" w:evenVBand="0" w:oddHBand="0" w:evenHBand="0" w:firstRowFirstColumn="0" w:firstRowLastColumn="0" w:lastRowFirstColumn="0" w:lastRowLastColumn="0"/>
            <w:tcW w:w="995" w:type="pct"/>
          </w:tcPr>
          <w:p w:rsidR="00B02856" w:rsidRPr="00422D05" w:rsidRDefault="00F42974" w:rsidP="00536AE7">
            <w:pPr>
              <w:spacing w:before="60" w:after="60"/>
              <w:rPr>
                <w:rFonts w:ascii="Arial" w:eastAsia="Arial" w:hAnsi="Arial" w:cs="Times New Roman"/>
                <w:sz w:val="17"/>
              </w:rPr>
            </w:pPr>
            <w:r w:rsidRPr="00422D05">
              <w:rPr>
                <w:rFonts w:ascii="Arial" w:eastAsia="Arial" w:hAnsi="Arial" w:cs="Times New Roman"/>
                <w:sz w:val="17"/>
              </w:rPr>
              <w:t>General improvements</w:t>
            </w:r>
          </w:p>
        </w:tc>
        <w:tc>
          <w:tcPr>
            <w:cnfStyle w:val="000001000000" w:firstRow="0" w:lastRow="0" w:firstColumn="0" w:lastColumn="0" w:oddVBand="0" w:evenVBand="1" w:oddHBand="0" w:evenHBand="0" w:firstRowFirstColumn="0" w:firstRowLastColumn="0" w:lastRowFirstColumn="0" w:lastRowLastColumn="0"/>
            <w:tcW w:w="2500" w:type="pct"/>
          </w:tcPr>
          <w:p w:rsidR="00B02856" w:rsidRPr="00422D05" w:rsidRDefault="00F42974" w:rsidP="00536AE7">
            <w:pPr>
              <w:spacing w:before="60" w:after="60"/>
              <w:rPr>
                <w:rFonts w:ascii="Arial" w:eastAsia="Arial" w:hAnsi="Arial" w:cs="Times New Roman"/>
                <w:sz w:val="17"/>
              </w:rPr>
            </w:pPr>
            <w:r w:rsidRPr="00422D05">
              <w:rPr>
                <w:rFonts w:ascii="Arial" w:eastAsia="Arial" w:hAnsi="Arial" w:cs="Times New Roman"/>
                <w:sz w:val="17"/>
              </w:rPr>
              <w:t>Guidance information on held-for-sale assets has been added.</w:t>
            </w:r>
          </w:p>
        </w:tc>
        <w:tc>
          <w:tcPr>
            <w:cnfStyle w:val="000100000000" w:firstRow="0" w:lastRow="0" w:firstColumn="0" w:lastColumn="1" w:oddVBand="0" w:evenVBand="0" w:oddHBand="0" w:evenHBand="0" w:firstRowFirstColumn="0" w:firstRowLastColumn="0" w:lastRowFirstColumn="0" w:lastRowLastColumn="0"/>
            <w:tcW w:w="637" w:type="pct"/>
          </w:tcPr>
          <w:p w:rsidR="00B02856" w:rsidRPr="00422D05" w:rsidRDefault="00874730" w:rsidP="001C4C3D">
            <w:pPr>
              <w:pStyle w:val="Tabletextcentred"/>
            </w:pPr>
            <w:r>
              <w:t>306</w:t>
            </w:r>
          </w:p>
        </w:tc>
      </w:tr>
      <w:tr w:rsidR="00422D05" w:rsidRPr="00422D05" w:rsidDel="007D7B44" w:rsidTr="00A21D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B02856" w:rsidRPr="00422D05" w:rsidRDefault="00F42974" w:rsidP="00F42974">
            <w:pPr>
              <w:pStyle w:val="Tabletext"/>
              <w:rPr>
                <w:rFonts w:ascii="Arial" w:eastAsia="Arial" w:hAnsi="Arial" w:cs="Times New Roman"/>
                <w:color w:val="FF0000"/>
              </w:rPr>
            </w:pPr>
            <w:r w:rsidRPr="00422D05">
              <w:rPr>
                <w:rFonts w:ascii="Arial" w:eastAsia="Arial" w:hAnsi="Arial" w:cs="Times New Roman"/>
                <w:color w:val="FF0000"/>
              </w:rPr>
              <w:t xml:space="preserve">[Revised] </w:t>
            </w:r>
            <w:r w:rsidRPr="00422D05">
              <w:t xml:space="preserve">Appendix 12 – </w:t>
            </w:r>
            <w:r w:rsidRPr="00422D05">
              <w:rPr>
                <w:i/>
              </w:rPr>
              <w:t>Summary of new/revised accounting standards effective for current and future reporting periods</w:t>
            </w:r>
          </w:p>
        </w:tc>
        <w:tc>
          <w:tcPr>
            <w:cnfStyle w:val="000010000000" w:firstRow="0" w:lastRow="0" w:firstColumn="0" w:lastColumn="0" w:oddVBand="1" w:evenVBand="0" w:oddHBand="0" w:evenHBand="0" w:firstRowFirstColumn="0" w:firstRowLastColumn="0" w:lastRowFirstColumn="0" w:lastRowLastColumn="0"/>
            <w:tcW w:w="995" w:type="pct"/>
          </w:tcPr>
          <w:p w:rsidR="00B02856" w:rsidRPr="00422D05" w:rsidRDefault="00F42974" w:rsidP="00536AE7">
            <w:pPr>
              <w:spacing w:before="60" w:after="60"/>
              <w:rPr>
                <w:rFonts w:ascii="Arial" w:eastAsia="Arial" w:hAnsi="Arial" w:cs="Times New Roman"/>
                <w:sz w:val="17"/>
              </w:rPr>
            </w:pPr>
            <w:r w:rsidRPr="00422D05">
              <w:rPr>
                <w:rFonts w:ascii="Arial" w:eastAsia="Arial" w:hAnsi="Arial" w:cs="Times New Roman"/>
                <w:sz w:val="17"/>
              </w:rPr>
              <w:t>General update and improvements</w:t>
            </w:r>
          </w:p>
        </w:tc>
        <w:tc>
          <w:tcPr>
            <w:cnfStyle w:val="000001000000" w:firstRow="0" w:lastRow="0" w:firstColumn="0" w:lastColumn="0" w:oddVBand="0" w:evenVBand="1" w:oddHBand="0" w:evenHBand="0" w:firstRowFirstColumn="0" w:firstRowLastColumn="0" w:lastRowFirstColumn="0" w:lastRowLastColumn="0"/>
            <w:tcW w:w="2500" w:type="pct"/>
          </w:tcPr>
          <w:p w:rsidR="00F42974" w:rsidRPr="00422D05" w:rsidRDefault="00F42974" w:rsidP="00536AE7">
            <w:pPr>
              <w:spacing w:before="60" w:after="60"/>
              <w:rPr>
                <w:rFonts w:ascii="Arial" w:eastAsia="Arial" w:hAnsi="Arial" w:cs="Times New Roman"/>
                <w:sz w:val="17"/>
              </w:rPr>
            </w:pPr>
            <w:r w:rsidRPr="00422D05">
              <w:rPr>
                <w:rFonts w:ascii="Arial" w:eastAsia="Arial" w:hAnsi="Arial" w:cs="Times New Roman"/>
                <w:sz w:val="17"/>
              </w:rPr>
              <w:t xml:space="preserve">The previous Appendix 5 </w:t>
            </w:r>
            <w:r w:rsidRPr="00422D05">
              <w:rPr>
                <w:rFonts w:ascii="Arial" w:eastAsia="Arial" w:hAnsi="Arial" w:cs="Times New Roman"/>
                <w:i/>
                <w:sz w:val="17"/>
              </w:rPr>
              <w:t>Summary of new/revised accounting standards effective for current and future reporting periods</w:t>
            </w:r>
            <w:r w:rsidRPr="00422D05">
              <w:rPr>
                <w:rFonts w:ascii="Arial" w:eastAsia="Arial" w:hAnsi="Arial" w:cs="Times New Roman"/>
                <w:sz w:val="17"/>
              </w:rPr>
              <w:t xml:space="preserve"> has been re-numbered to Appendix 12 </w:t>
            </w:r>
            <w:r w:rsidRPr="00422D05">
              <w:rPr>
                <w:rFonts w:ascii="Arial" w:eastAsia="Arial" w:hAnsi="Arial" w:cs="Times New Roman"/>
                <w:i/>
                <w:sz w:val="17"/>
              </w:rPr>
              <w:t>Summary of new/revised accounting standards effective for current and future reporting periods.</w:t>
            </w:r>
          </w:p>
          <w:p w:rsidR="00B02856" w:rsidRPr="00422D05" w:rsidRDefault="00F42974" w:rsidP="00536AE7">
            <w:pPr>
              <w:spacing w:before="60" w:after="60"/>
              <w:rPr>
                <w:rFonts w:ascii="Arial" w:eastAsia="Arial" w:hAnsi="Arial" w:cs="Times New Roman"/>
                <w:sz w:val="17"/>
              </w:rPr>
            </w:pPr>
            <w:r w:rsidRPr="00422D05">
              <w:rPr>
                <w:rFonts w:ascii="Arial" w:eastAsia="Arial" w:hAnsi="Arial" w:cs="Times New Roman"/>
                <w:sz w:val="17"/>
              </w:rPr>
              <w:t>Also, the summary table has been updated to reflect the effective and new accounting pronouncements.</w:t>
            </w:r>
          </w:p>
          <w:p w:rsidR="00F42974" w:rsidRPr="00422D05" w:rsidRDefault="00F42974" w:rsidP="00536AE7">
            <w:pPr>
              <w:spacing w:before="60" w:after="60"/>
              <w:rPr>
                <w:rFonts w:ascii="Arial" w:eastAsia="Arial" w:hAnsi="Arial" w:cs="Times New Roman"/>
                <w:sz w:val="17"/>
              </w:rPr>
            </w:pPr>
          </w:p>
        </w:tc>
        <w:tc>
          <w:tcPr>
            <w:cnfStyle w:val="000100000000" w:firstRow="0" w:lastRow="0" w:firstColumn="0" w:lastColumn="1" w:oddVBand="0" w:evenVBand="0" w:oddHBand="0" w:evenHBand="0" w:firstRowFirstColumn="0" w:firstRowLastColumn="0" w:lastRowFirstColumn="0" w:lastRowLastColumn="0"/>
            <w:tcW w:w="637" w:type="pct"/>
          </w:tcPr>
          <w:p w:rsidR="00B02856" w:rsidRPr="00422D05" w:rsidRDefault="005B3E8B" w:rsidP="001C4C3D">
            <w:pPr>
              <w:pStyle w:val="Tabletextcentred"/>
            </w:pPr>
            <w:r>
              <w:t>310</w:t>
            </w:r>
          </w:p>
        </w:tc>
      </w:tr>
      <w:tr w:rsidR="00B02856" w:rsidRPr="005B3B9F" w:rsidDel="007D7B44" w:rsidTr="00A21D12">
        <w:tc>
          <w:tcPr>
            <w:cnfStyle w:val="001000000000" w:firstRow="0" w:lastRow="0" w:firstColumn="1" w:lastColumn="0" w:oddVBand="0" w:evenVBand="0" w:oddHBand="0" w:evenHBand="0" w:firstRowFirstColumn="0" w:firstRowLastColumn="0" w:lastRowFirstColumn="0" w:lastRowLastColumn="0"/>
            <w:tcW w:w="868" w:type="pct"/>
          </w:tcPr>
          <w:p w:rsidR="00B02856" w:rsidRPr="00422D05" w:rsidRDefault="00F42974" w:rsidP="00F42974">
            <w:pPr>
              <w:pStyle w:val="Tabletext"/>
              <w:rPr>
                <w:rFonts w:ascii="Arial" w:eastAsia="Arial" w:hAnsi="Arial" w:cs="Times New Roman"/>
                <w:color w:val="FF0000"/>
              </w:rPr>
            </w:pPr>
            <w:r w:rsidRPr="00422D05">
              <w:rPr>
                <w:rFonts w:ascii="Arial" w:eastAsia="Arial" w:hAnsi="Arial" w:cs="Times New Roman"/>
                <w:color w:val="FF0000"/>
              </w:rPr>
              <w:t xml:space="preserve">[New] </w:t>
            </w:r>
            <w:r w:rsidRPr="00422D05">
              <w:rPr>
                <w:rFonts w:ascii="Arial" w:eastAsia="Arial" w:hAnsi="Arial" w:cs="Times New Roman"/>
              </w:rPr>
              <w:t xml:space="preserve">Appendix 13 – </w:t>
            </w:r>
            <w:r w:rsidRPr="00422D05">
              <w:rPr>
                <w:rFonts w:ascii="Arial" w:eastAsia="Arial" w:hAnsi="Arial" w:cs="Times New Roman"/>
                <w:i/>
              </w:rPr>
              <w:t>AASB reporting requirements for For-Profit and Not-for-Profit entities in the Victorian Public Sector</w:t>
            </w:r>
          </w:p>
        </w:tc>
        <w:tc>
          <w:tcPr>
            <w:cnfStyle w:val="000010000000" w:firstRow="0" w:lastRow="0" w:firstColumn="0" w:lastColumn="0" w:oddVBand="1" w:evenVBand="0" w:oddHBand="0" w:evenHBand="0" w:firstRowFirstColumn="0" w:firstRowLastColumn="0" w:lastRowFirstColumn="0" w:lastRowLastColumn="0"/>
            <w:tcW w:w="995" w:type="pct"/>
          </w:tcPr>
          <w:p w:rsidR="00B02856" w:rsidRPr="00422D05" w:rsidRDefault="00F42974" w:rsidP="00536AE7">
            <w:pPr>
              <w:spacing w:before="60" w:after="60"/>
              <w:rPr>
                <w:rFonts w:ascii="Arial" w:eastAsia="Arial" w:hAnsi="Arial" w:cs="Times New Roman"/>
                <w:sz w:val="17"/>
              </w:rPr>
            </w:pPr>
            <w:r w:rsidRPr="00422D05">
              <w:rPr>
                <w:rFonts w:ascii="Arial" w:eastAsia="Arial" w:hAnsi="Arial" w:cs="Times New Roman"/>
                <w:sz w:val="17"/>
              </w:rPr>
              <w:t>General improvements</w:t>
            </w:r>
          </w:p>
        </w:tc>
        <w:tc>
          <w:tcPr>
            <w:cnfStyle w:val="000001000000" w:firstRow="0" w:lastRow="0" w:firstColumn="0" w:lastColumn="0" w:oddVBand="0" w:evenVBand="1" w:oddHBand="0" w:evenHBand="0" w:firstRowFirstColumn="0" w:firstRowLastColumn="0" w:lastRowFirstColumn="0" w:lastRowLastColumn="0"/>
            <w:tcW w:w="2500" w:type="pct"/>
          </w:tcPr>
          <w:p w:rsidR="00B02856" w:rsidRPr="00422D05" w:rsidRDefault="00F42974" w:rsidP="00536AE7">
            <w:pPr>
              <w:spacing w:before="60" w:after="60"/>
              <w:rPr>
                <w:rFonts w:ascii="Arial" w:eastAsia="Arial" w:hAnsi="Arial" w:cs="Times New Roman"/>
                <w:sz w:val="17"/>
              </w:rPr>
            </w:pPr>
            <w:r w:rsidRPr="00422D05">
              <w:rPr>
                <w:rFonts w:ascii="Arial" w:eastAsia="Arial" w:hAnsi="Arial" w:cs="Times New Roman"/>
                <w:sz w:val="17"/>
              </w:rPr>
              <w:t>The list of accounting standards has been added to provide guidance on reporting requirements applicable for For-Profit entities and Not-for-Profit entities.</w:t>
            </w:r>
          </w:p>
        </w:tc>
        <w:tc>
          <w:tcPr>
            <w:cnfStyle w:val="000100000000" w:firstRow="0" w:lastRow="0" w:firstColumn="0" w:lastColumn="1" w:oddVBand="0" w:evenVBand="0" w:oddHBand="0" w:evenHBand="0" w:firstRowFirstColumn="0" w:firstRowLastColumn="0" w:lastRowFirstColumn="0" w:lastRowLastColumn="0"/>
            <w:tcW w:w="637" w:type="pct"/>
          </w:tcPr>
          <w:p w:rsidR="00B02856" w:rsidRPr="00F42974" w:rsidRDefault="005B3E8B" w:rsidP="001C4C3D">
            <w:pPr>
              <w:pStyle w:val="Tabletextcentred"/>
            </w:pPr>
            <w:r>
              <w:t>313</w:t>
            </w:r>
          </w:p>
        </w:tc>
      </w:tr>
    </w:tbl>
    <w:p w:rsidR="005B3B9F" w:rsidRPr="00045296" w:rsidRDefault="005B3B9F" w:rsidP="005E6AE4">
      <w:pPr>
        <w:pStyle w:val="Tabletext"/>
      </w:pPr>
    </w:p>
    <w:sectPr w:rsidR="005B3B9F" w:rsidRPr="00045296" w:rsidSect="00134CEA">
      <w:headerReference w:type="default" r:id="rId9"/>
      <w:footerReference w:type="even" r:id="rId10"/>
      <w:footerReference w:type="default" r:id="rId11"/>
      <w:pgSz w:w="11906" w:h="16838" w:code="9"/>
      <w:pgMar w:top="2160" w:right="1440" w:bottom="1350" w:left="1440" w:header="706" w:footer="46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4ED" w:rsidRDefault="008504ED" w:rsidP="002D711A">
      <w:pPr>
        <w:spacing w:after="0" w:line="240" w:lineRule="auto"/>
      </w:pPr>
      <w:r>
        <w:separator/>
      </w:r>
    </w:p>
  </w:endnote>
  <w:endnote w:type="continuationSeparator" w:id="0">
    <w:p w:rsidR="008504ED" w:rsidRDefault="008504ED"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7C2" w:rsidRPr="00014213" w:rsidRDefault="009F37C2" w:rsidP="00C022F9">
    <w:pPr>
      <w:pStyle w:val="Footer"/>
    </w:pPr>
    <w:r>
      <w:drawing>
        <wp:anchor distT="0" distB="0" distL="114300" distR="114300" simplePos="0" relativeHeight="251656192" behindDoc="0" locked="0" layoutInCell="1" allowOverlap="1" wp14:anchorId="2A84DA7C" wp14:editId="45BE8D7B">
          <wp:simplePos x="0" y="0"/>
          <wp:positionH relativeFrom="column">
            <wp:posOffset>4240861</wp:posOffset>
          </wp:positionH>
          <wp:positionV relativeFrom="page">
            <wp:posOffset>9493250</wp:posOffset>
          </wp:positionV>
          <wp:extent cx="1956435" cy="582930"/>
          <wp:effectExtent l="0" t="0" r="5715" b="7620"/>
          <wp:wrapNone/>
          <wp:docPr id="6"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7C2" w:rsidRDefault="009F37C2" w:rsidP="004669E3">
    <w:pPr>
      <w:pStyle w:val="Spacer"/>
    </w:pPr>
  </w:p>
  <w:p w:rsidR="009F37C2" w:rsidRPr="00C022F9" w:rsidRDefault="009F37C2" w:rsidP="0041689E">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7A2C68">
      <w:rPr>
        <w:b/>
        <w:color w:val="0063A6" w:themeColor="accent1"/>
      </w:rPr>
      <w:t>Summary of changes applied to the 2016-17 Model Report</w:t>
    </w:r>
    <w:r w:rsidRPr="00C022F9">
      <w:rPr>
        <w:b/>
        <w:color w:val="0063A6" w:themeColor="accent1"/>
      </w:rPr>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7A2C68">
      <w:rPr>
        <w:rStyle w:val="PageNumber"/>
      </w:rPr>
      <w:t>2</w:t>
    </w:r>
    <w:r w:rsidRPr="00DE60C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4ED" w:rsidRDefault="008504ED" w:rsidP="002D711A">
      <w:pPr>
        <w:spacing w:after="0" w:line="240" w:lineRule="auto"/>
      </w:pPr>
      <w:r>
        <w:separator/>
      </w:r>
    </w:p>
  </w:footnote>
  <w:footnote w:type="continuationSeparator" w:id="0">
    <w:p w:rsidR="008504ED" w:rsidRDefault="008504ED" w:rsidP="002D7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7C2" w:rsidRPr="0041689E" w:rsidRDefault="009F37C2">
    <w:pPr>
      <w:pStyle w:val="Header"/>
    </w:pPr>
    <w:r>
      <w:rPr>
        <w:noProof/>
      </w:rPr>
      <w:drawing>
        <wp:anchor distT="0" distB="0" distL="114300" distR="114300" simplePos="0" relativeHeight="251658240" behindDoc="0" locked="0" layoutInCell="1" allowOverlap="1" wp14:anchorId="69346D0E" wp14:editId="1B48B0B8">
          <wp:simplePos x="0" y="0"/>
          <wp:positionH relativeFrom="column">
            <wp:posOffset>-309880</wp:posOffset>
          </wp:positionH>
          <wp:positionV relativeFrom="page">
            <wp:posOffset>308610</wp:posOffset>
          </wp:positionV>
          <wp:extent cx="1380490" cy="4114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4EB03545" wp14:editId="58F87B45">
          <wp:simplePos x="0" y="0"/>
          <wp:positionH relativeFrom="column">
            <wp:posOffset>-914400</wp:posOffset>
          </wp:positionH>
          <wp:positionV relativeFrom="page">
            <wp:posOffset>125095</wp:posOffset>
          </wp:positionV>
          <wp:extent cx="7589520" cy="740410"/>
          <wp:effectExtent l="0" t="0" r="0" b="2540"/>
          <wp:wrapNone/>
          <wp:docPr id="5"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1">
    <w:nsid w:val="1B1B16B8"/>
    <w:multiLevelType w:val="hybridMultilevel"/>
    <w:tmpl w:val="96F604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
    <w:nsid w:val="49F74BC1"/>
    <w:multiLevelType w:val="hybridMultilevel"/>
    <w:tmpl w:val="DEB8D39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59E56D44"/>
    <w:multiLevelType w:val="hybridMultilevel"/>
    <w:tmpl w:val="3C0C207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nsid w:val="5A245166"/>
    <w:multiLevelType w:val="hybridMultilevel"/>
    <w:tmpl w:val="F7FC1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1FB2752"/>
    <w:multiLevelType w:val="hybridMultilevel"/>
    <w:tmpl w:val="77E87BA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638A7424"/>
    <w:multiLevelType w:val="hybridMultilevel"/>
    <w:tmpl w:val="B42A4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6B545E9"/>
    <w:multiLevelType w:val="hybridMultilevel"/>
    <w:tmpl w:val="7216558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7A7E12E5"/>
    <w:multiLevelType w:val="hybridMultilevel"/>
    <w:tmpl w:val="A8B82154"/>
    <w:lvl w:ilvl="0" w:tplc="DB862236">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FD44514"/>
    <w:multiLevelType w:val="multilevel"/>
    <w:tmpl w:val="0252461C"/>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864" w:hanging="504"/>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3"/>
  </w:num>
  <w:num w:numId="2">
    <w:abstractNumId w:val="3"/>
  </w:num>
  <w:num w:numId="3">
    <w:abstractNumId w:val="3"/>
  </w:num>
  <w:num w:numId="4">
    <w:abstractNumId w:val="11"/>
  </w:num>
  <w:num w:numId="5">
    <w:abstractNumId w:val="3"/>
  </w:num>
  <w:num w:numId="6">
    <w:abstractNumId w:val="3"/>
  </w:num>
  <w:num w:numId="7">
    <w:abstractNumId w:val="3"/>
  </w:num>
  <w:num w:numId="8">
    <w:abstractNumId w:val="3"/>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2"/>
  </w:num>
  <w:num w:numId="18">
    <w:abstractNumId w:val="2"/>
  </w:num>
  <w:num w:numId="19">
    <w:abstractNumId w:val="10"/>
  </w:num>
  <w:num w:numId="20">
    <w:abstractNumId w:val="0"/>
  </w:num>
  <w:num w:numId="21">
    <w:abstractNumId w:val="5"/>
  </w:num>
  <w:num w:numId="22">
    <w:abstractNumId w:val="1"/>
  </w:num>
  <w:num w:numId="23">
    <w:abstractNumId w:val="6"/>
  </w:num>
  <w:num w:numId="24">
    <w:abstractNumId w:val="8"/>
  </w:num>
  <w:num w:numId="25">
    <w:abstractNumId w:val="4"/>
  </w:num>
  <w:num w:numId="26">
    <w:abstractNumId w:val="9"/>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DAF"/>
    <w:rsid w:val="00012F6F"/>
    <w:rsid w:val="00014213"/>
    <w:rsid w:val="00014B55"/>
    <w:rsid w:val="00020E3E"/>
    <w:rsid w:val="00023BF3"/>
    <w:rsid w:val="00026811"/>
    <w:rsid w:val="00033BD7"/>
    <w:rsid w:val="0004356D"/>
    <w:rsid w:val="00045296"/>
    <w:rsid w:val="0004616C"/>
    <w:rsid w:val="00053565"/>
    <w:rsid w:val="00063926"/>
    <w:rsid w:val="00064906"/>
    <w:rsid w:val="00065D4C"/>
    <w:rsid w:val="00075E6C"/>
    <w:rsid w:val="00077411"/>
    <w:rsid w:val="000B29AD"/>
    <w:rsid w:val="000C6372"/>
    <w:rsid w:val="000E34CD"/>
    <w:rsid w:val="000E392D"/>
    <w:rsid w:val="000F4288"/>
    <w:rsid w:val="000F7165"/>
    <w:rsid w:val="00102379"/>
    <w:rsid w:val="00102C20"/>
    <w:rsid w:val="001065D6"/>
    <w:rsid w:val="001147D6"/>
    <w:rsid w:val="00121252"/>
    <w:rsid w:val="00124609"/>
    <w:rsid w:val="001254CE"/>
    <w:rsid w:val="0013473D"/>
    <w:rsid w:val="00134CEA"/>
    <w:rsid w:val="001422CC"/>
    <w:rsid w:val="001575BE"/>
    <w:rsid w:val="001617B6"/>
    <w:rsid w:val="00165E66"/>
    <w:rsid w:val="001C171F"/>
    <w:rsid w:val="001C4C3D"/>
    <w:rsid w:val="001C7BAE"/>
    <w:rsid w:val="001D2C68"/>
    <w:rsid w:val="001E31FA"/>
    <w:rsid w:val="001E5BC2"/>
    <w:rsid w:val="001E64F6"/>
    <w:rsid w:val="002039CD"/>
    <w:rsid w:val="00222135"/>
    <w:rsid w:val="00222BEB"/>
    <w:rsid w:val="00225E60"/>
    <w:rsid w:val="0023202C"/>
    <w:rsid w:val="00236203"/>
    <w:rsid w:val="00242C1C"/>
    <w:rsid w:val="00245043"/>
    <w:rsid w:val="00257760"/>
    <w:rsid w:val="00266E25"/>
    <w:rsid w:val="00267DA4"/>
    <w:rsid w:val="0027329E"/>
    <w:rsid w:val="002779E5"/>
    <w:rsid w:val="00280666"/>
    <w:rsid w:val="00292D36"/>
    <w:rsid w:val="00297281"/>
    <w:rsid w:val="002B2522"/>
    <w:rsid w:val="002B49F3"/>
    <w:rsid w:val="002C54E0"/>
    <w:rsid w:val="002D711A"/>
    <w:rsid w:val="002D7336"/>
    <w:rsid w:val="002E3396"/>
    <w:rsid w:val="003043E0"/>
    <w:rsid w:val="0031149C"/>
    <w:rsid w:val="0033350F"/>
    <w:rsid w:val="003345A4"/>
    <w:rsid w:val="0035144B"/>
    <w:rsid w:val="003655FB"/>
    <w:rsid w:val="0038771C"/>
    <w:rsid w:val="00392E2C"/>
    <w:rsid w:val="0039405B"/>
    <w:rsid w:val="003A1C92"/>
    <w:rsid w:val="003A541A"/>
    <w:rsid w:val="003A6923"/>
    <w:rsid w:val="003C2C67"/>
    <w:rsid w:val="003C5BA4"/>
    <w:rsid w:val="003D456A"/>
    <w:rsid w:val="003E1F2A"/>
    <w:rsid w:val="003E3E26"/>
    <w:rsid w:val="003F1295"/>
    <w:rsid w:val="003F1C34"/>
    <w:rsid w:val="003F76FC"/>
    <w:rsid w:val="004002EB"/>
    <w:rsid w:val="0041689E"/>
    <w:rsid w:val="00420657"/>
    <w:rsid w:val="00422D05"/>
    <w:rsid w:val="00422F66"/>
    <w:rsid w:val="004236C8"/>
    <w:rsid w:val="00427681"/>
    <w:rsid w:val="00430D2E"/>
    <w:rsid w:val="00432563"/>
    <w:rsid w:val="00433DB7"/>
    <w:rsid w:val="00437BBB"/>
    <w:rsid w:val="00453750"/>
    <w:rsid w:val="004567DF"/>
    <w:rsid w:val="00456941"/>
    <w:rsid w:val="004667A3"/>
    <w:rsid w:val="004669E3"/>
    <w:rsid w:val="004702EA"/>
    <w:rsid w:val="00471B7A"/>
    <w:rsid w:val="00477535"/>
    <w:rsid w:val="00482D02"/>
    <w:rsid w:val="00485B3B"/>
    <w:rsid w:val="004A7519"/>
    <w:rsid w:val="004B04EE"/>
    <w:rsid w:val="004B0FF1"/>
    <w:rsid w:val="004C3740"/>
    <w:rsid w:val="004C3BDA"/>
    <w:rsid w:val="004C51DE"/>
    <w:rsid w:val="004C5B67"/>
    <w:rsid w:val="004D3518"/>
    <w:rsid w:val="004D62D6"/>
    <w:rsid w:val="004F66BF"/>
    <w:rsid w:val="00506E2C"/>
    <w:rsid w:val="0051229A"/>
    <w:rsid w:val="00527B3C"/>
    <w:rsid w:val="00531A8A"/>
    <w:rsid w:val="0053416C"/>
    <w:rsid w:val="00536AE7"/>
    <w:rsid w:val="00541C2F"/>
    <w:rsid w:val="00542B38"/>
    <w:rsid w:val="005461F2"/>
    <w:rsid w:val="005623FB"/>
    <w:rsid w:val="00563527"/>
    <w:rsid w:val="0058124E"/>
    <w:rsid w:val="00584301"/>
    <w:rsid w:val="005875A3"/>
    <w:rsid w:val="005A3416"/>
    <w:rsid w:val="005A4A32"/>
    <w:rsid w:val="005B27FE"/>
    <w:rsid w:val="005B39AF"/>
    <w:rsid w:val="005B3B9F"/>
    <w:rsid w:val="005B3E8B"/>
    <w:rsid w:val="005C3E6D"/>
    <w:rsid w:val="005C5ECA"/>
    <w:rsid w:val="005E6AE4"/>
    <w:rsid w:val="005F61DF"/>
    <w:rsid w:val="006023F9"/>
    <w:rsid w:val="00610559"/>
    <w:rsid w:val="00614369"/>
    <w:rsid w:val="00622EB5"/>
    <w:rsid w:val="006255AF"/>
    <w:rsid w:val="006332F6"/>
    <w:rsid w:val="006361E7"/>
    <w:rsid w:val="00652625"/>
    <w:rsid w:val="006534B2"/>
    <w:rsid w:val="006535B0"/>
    <w:rsid w:val="0065615D"/>
    <w:rsid w:val="00657011"/>
    <w:rsid w:val="006650B5"/>
    <w:rsid w:val="006651B1"/>
    <w:rsid w:val="00665778"/>
    <w:rsid w:val="006A5B34"/>
    <w:rsid w:val="006A5F5B"/>
    <w:rsid w:val="006C77A9"/>
    <w:rsid w:val="006D685E"/>
    <w:rsid w:val="006F6693"/>
    <w:rsid w:val="00703911"/>
    <w:rsid w:val="00707FE8"/>
    <w:rsid w:val="00717BB6"/>
    <w:rsid w:val="007243B4"/>
    <w:rsid w:val="00724962"/>
    <w:rsid w:val="00724A0F"/>
    <w:rsid w:val="007320B4"/>
    <w:rsid w:val="00732162"/>
    <w:rsid w:val="007323CF"/>
    <w:rsid w:val="00736732"/>
    <w:rsid w:val="00741DB8"/>
    <w:rsid w:val="00750CBE"/>
    <w:rsid w:val="00766B5A"/>
    <w:rsid w:val="007751F5"/>
    <w:rsid w:val="007800B3"/>
    <w:rsid w:val="007806D3"/>
    <w:rsid w:val="007834F2"/>
    <w:rsid w:val="0079074C"/>
    <w:rsid w:val="00791020"/>
    <w:rsid w:val="007A2C68"/>
    <w:rsid w:val="007A5F82"/>
    <w:rsid w:val="007D2167"/>
    <w:rsid w:val="007E514F"/>
    <w:rsid w:val="007F059E"/>
    <w:rsid w:val="007F1A4C"/>
    <w:rsid w:val="008022C3"/>
    <w:rsid w:val="008041E6"/>
    <w:rsid w:val="0080429B"/>
    <w:rsid w:val="008065D2"/>
    <w:rsid w:val="0082194C"/>
    <w:rsid w:val="008220C4"/>
    <w:rsid w:val="008222FF"/>
    <w:rsid w:val="00822984"/>
    <w:rsid w:val="008241FF"/>
    <w:rsid w:val="008411E9"/>
    <w:rsid w:val="0084200F"/>
    <w:rsid w:val="00843B2C"/>
    <w:rsid w:val="008504ED"/>
    <w:rsid w:val="00852D89"/>
    <w:rsid w:val="00864799"/>
    <w:rsid w:val="00874730"/>
    <w:rsid w:val="008A3B15"/>
    <w:rsid w:val="008A4900"/>
    <w:rsid w:val="008C17F9"/>
    <w:rsid w:val="008C4531"/>
    <w:rsid w:val="008D0281"/>
    <w:rsid w:val="008E044B"/>
    <w:rsid w:val="008E1D73"/>
    <w:rsid w:val="008E3C4E"/>
    <w:rsid w:val="008F6D45"/>
    <w:rsid w:val="00903248"/>
    <w:rsid w:val="00905BEB"/>
    <w:rsid w:val="00913EE4"/>
    <w:rsid w:val="00922B93"/>
    <w:rsid w:val="00940979"/>
    <w:rsid w:val="00955547"/>
    <w:rsid w:val="00963B09"/>
    <w:rsid w:val="009834C0"/>
    <w:rsid w:val="00984D24"/>
    <w:rsid w:val="00986AAC"/>
    <w:rsid w:val="00986DAF"/>
    <w:rsid w:val="00986E93"/>
    <w:rsid w:val="009A10ED"/>
    <w:rsid w:val="009A1DA2"/>
    <w:rsid w:val="009A3704"/>
    <w:rsid w:val="009A4739"/>
    <w:rsid w:val="009A674F"/>
    <w:rsid w:val="009B199C"/>
    <w:rsid w:val="009B54C8"/>
    <w:rsid w:val="009B61F1"/>
    <w:rsid w:val="009B62E0"/>
    <w:rsid w:val="009C3D88"/>
    <w:rsid w:val="009E3858"/>
    <w:rsid w:val="009E70DD"/>
    <w:rsid w:val="009F2ED9"/>
    <w:rsid w:val="009F3231"/>
    <w:rsid w:val="009F37C2"/>
    <w:rsid w:val="009F5C58"/>
    <w:rsid w:val="00A023A0"/>
    <w:rsid w:val="00A1562B"/>
    <w:rsid w:val="00A170F4"/>
    <w:rsid w:val="00A21D12"/>
    <w:rsid w:val="00A2559E"/>
    <w:rsid w:val="00A25FD9"/>
    <w:rsid w:val="00A44D92"/>
    <w:rsid w:val="00A46BA8"/>
    <w:rsid w:val="00A47634"/>
    <w:rsid w:val="00A571DD"/>
    <w:rsid w:val="00A612FE"/>
    <w:rsid w:val="00AA26B8"/>
    <w:rsid w:val="00AB0500"/>
    <w:rsid w:val="00AB3FE2"/>
    <w:rsid w:val="00AB7306"/>
    <w:rsid w:val="00AC432D"/>
    <w:rsid w:val="00AC505F"/>
    <w:rsid w:val="00AC7330"/>
    <w:rsid w:val="00AD2403"/>
    <w:rsid w:val="00AD3322"/>
    <w:rsid w:val="00AD5CD5"/>
    <w:rsid w:val="00AD7864"/>
    <w:rsid w:val="00AD7E4E"/>
    <w:rsid w:val="00AF2FEB"/>
    <w:rsid w:val="00AF4D58"/>
    <w:rsid w:val="00AF6666"/>
    <w:rsid w:val="00AF7DD0"/>
    <w:rsid w:val="00B02856"/>
    <w:rsid w:val="00B10154"/>
    <w:rsid w:val="00B11A1C"/>
    <w:rsid w:val="00B12934"/>
    <w:rsid w:val="00B25DAB"/>
    <w:rsid w:val="00B36D8E"/>
    <w:rsid w:val="00B42DD7"/>
    <w:rsid w:val="00B573FA"/>
    <w:rsid w:val="00B75062"/>
    <w:rsid w:val="00B81B44"/>
    <w:rsid w:val="00B9053B"/>
    <w:rsid w:val="00B96C9B"/>
    <w:rsid w:val="00BB5F83"/>
    <w:rsid w:val="00BC3422"/>
    <w:rsid w:val="00BC734D"/>
    <w:rsid w:val="00BD3CCC"/>
    <w:rsid w:val="00BE58C8"/>
    <w:rsid w:val="00BE6C96"/>
    <w:rsid w:val="00C015B9"/>
    <w:rsid w:val="00C022F9"/>
    <w:rsid w:val="00C032EA"/>
    <w:rsid w:val="00C06EB5"/>
    <w:rsid w:val="00C1145F"/>
    <w:rsid w:val="00C56A6A"/>
    <w:rsid w:val="00C56ECE"/>
    <w:rsid w:val="00C60A95"/>
    <w:rsid w:val="00C61CC7"/>
    <w:rsid w:val="00C637E1"/>
    <w:rsid w:val="00C66F54"/>
    <w:rsid w:val="00C70D50"/>
    <w:rsid w:val="00C907D7"/>
    <w:rsid w:val="00C92338"/>
    <w:rsid w:val="00CA1FC2"/>
    <w:rsid w:val="00CA7C3A"/>
    <w:rsid w:val="00CC2DB2"/>
    <w:rsid w:val="00CC3B91"/>
    <w:rsid w:val="00CC5F87"/>
    <w:rsid w:val="00CD0307"/>
    <w:rsid w:val="00CD18EE"/>
    <w:rsid w:val="00CD3D1B"/>
    <w:rsid w:val="00CD7A44"/>
    <w:rsid w:val="00CE77C7"/>
    <w:rsid w:val="00CF7DCA"/>
    <w:rsid w:val="00D021B1"/>
    <w:rsid w:val="00D03297"/>
    <w:rsid w:val="00D07042"/>
    <w:rsid w:val="00D1722A"/>
    <w:rsid w:val="00D211E9"/>
    <w:rsid w:val="00D2312F"/>
    <w:rsid w:val="00D269C1"/>
    <w:rsid w:val="00D3040D"/>
    <w:rsid w:val="00D40611"/>
    <w:rsid w:val="00D44953"/>
    <w:rsid w:val="00D5360F"/>
    <w:rsid w:val="00D542F3"/>
    <w:rsid w:val="00D5644B"/>
    <w:rsid w:val="00D56E25"/>
    <w:rsid w:val="00D718D7"/>
    <w:rsid w:val="00D73467"/>
    <w:rsid w:val="00D75E0C"/>
    <w:rsid w:val="00D814B7"/>
    <w:rsid w:val="00D83824"/>
    <w:rsid w:val="00D85985"/>
    <w:rsid w:val="00D875BA"/>
    <w:rsid w:val="00D90688"/>
    <w:rsid w:val="00DA3AAD"/>
    <w:rsid w:val="00DA4121"/>
    <w:rsid w:val="00DB0E25"/>
    <w:rsid w:val="00DB20FA"/>
    <w:rsid w:val="00DB312B"/>
    <w:rsid w:val="00DC5654"/>
    <w:rsid w:val="00DC658F"/>
    <w:rsid w:val="00DC72F8"/>
    <w:rsid w:val="00DD341E"/>
    <w:rsid w:val="00DE112B"/>
    <w:rsid w:val="00DE60CC"/>
    <w:rsid w:val="00DF5908"/>
    <w:rsid w:val="00E010B1"/>
    <w:rsid w:val="00E26B32"/>
    <w:rsid w:val="00E31016"/>
    <w:rsid w:val="00E407B6"/>
    <w:rsid w:val="00E41EF1"/>
    <w:rsid w:val="00E42942"/>
    <w:rsid w:val="00E43254"/>
    <w:rsid w:val="00E468A6"/>
    <w:rsid w:val="00E71BDF"/>
    <w:rsid w:val="00E83CA7"/>
    <w:rsid w:val="00EA34CD"/>
    <w:rsid w:val="00EA6923"/>
    <w:rsid w:val="00EB5585"/>
    <w:rsid w:val="00EC171D"/>
    <w:rsid w:val="00ED07AA"/>
    <w:rsid w:val="00ED3976"/>
    <w:rsid w:val="00ED487E"/>
    <w:rsid w:val="00EE7A0D"/>
    <w:rsid w:val="00EE7B94"/>
    <w:rsid w:val="00EF6ACE"/>
    <w:rsid w:val="00EF7A04"/>
    <w:rsid w:val="00F035F7"/>
    <w:rsid w:val="00F04E7E"/>
    <w:rsid w:val="00F076EA"/>
    <w:rsid w:val="00F1035F"/>
    <w:rsid w:val="00F12061"/>
    <w:rsid w:val="00F17CE1"/>
    <w:rsid w:val="00F2115C"/>
    <w:rsid w:val="00F22ABA"/>
    <w:rsid w:val="00F3123B"/>
    <w:rsid w:val="00F36B12"/>
    <w:rsid w:val="00F4239A"/>
    <w:rsid w:val="00F42974"/>
    <w:rsid w:val="00F50F2C"/>
    <w:rsid w:val="00F60F9F"/>
    <w:rsid w:val="00F64F08"/>
    <w:rsid w:val="00F734F5"/>
    <w:rsid w:val="00F81377"/>
    <w:rsid w:val="00F966B1"/>
    <w:rsid w:val="00F97D48"/>
    <w:rsid w:val="00FA0311"/>
    <w:rsid w:val="00FA2E55"/>
    <w:rsid w:val="00FA3368"/>
    <w:rsid w:val="00FC42E5"/>
    <w:rsid w:val="00FC7AF6"/>
    <w:rsid w:val="00FD640F"/>
    <w:rsid w:val="00FD6797"/>
    <w:rsid w:val="00FD6B4C"/>
    <w:rsid w:val="00FE7052"/>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AD7864"/>
    <w:pPr>
      <w:spacing w:before="160" w:after="100"/>
    </w:pPr>
    <w:rPr>
      <w:spacing w:val="2"/>
      <w:sz w:val="24"/>
    </w:rPr>
  </w:style>
  <w:style w:type="paragraph" w:styleId="Heading1">
    <w:name w:val="heading 1"/>
    <w:next w:val="Normal"/>
    <w:link w:val="Heading1Char"/>
    <w:qFormat/>
    <w:rsid w:val="00EC171D"/>
    <w:pPr>
      <w:keepNext/>
      <w:keepLines/>
      <w:spacing w:before="600" w:after="88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A5F5B"/>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EC171D"/>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AD7864"/>
    <w:pPr>
      <w:numPr>
        <w:numId w:val="1"/>
      </w:numPr>
      <w:spacing w:before="100" w:after="100" w:line="240" w:lineRule="auto"/>
      <w:contextualSpacing/>
    </w:pPr>
    <w:rPr>
      <w:rFonts w:eastAsia="Times New Roman" w:cs="Calibri"/>
      <w:spacing w:val="2"/>
      <w:sz w:val="24"/>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5"/>
    <w:qFormat/>
    <w:rsid w:val="00EC171D"/>
    <w:pPr>
      <w:numPr>
        <w:ilvl w:val="2"/>
      </w:numPr>
    </w:pPr>
  </w:style>
  <w:style w:type="paragraph" w:customStyle="1" w:styleId="Heading1numbered">
    <w:name w:val="Heading 1 numbered"/>
    <w:basedOn w:val="Heading1"/>
    <w:next w:val="NormalIndent"/>
    <w:uiPriority w:val="4"/>
    <w:qFormat/>
    <w:rsid w:val="00EC171D"/>
    <w:pPr>
      <w:numPr>
        <w:ilvl w:val="2"/>
        <w:numId w:val="4"/>
      </w:numPr>
    </w:pPr>
  </w:style>
  <w:style w:type="paragraph" w:customStyle="1" w:styleId="Heading2numbered">
    <w:name w:val="Heading 2 numbered"/>
    <w:basedOn w:val="Heading2"/>
    <w:next w:val="NormalIndent"/>
    <w:uiPriority w:val="4"/>
    <w:qFormat/>
    <w:rsid w:val="00EC171D"/>
    <w:pPr>
      <w:numPr>
        <w:ilvl w:val="3"/>
        <w:numId w:val="4"/>
      </w:numPr>
    </w:pPr>
  </w:style>
  <w:style w:type="paragraph" w:customStyle="1" w:styleId="Heading3numbered">
    <w:name w:val="Heading 3 numbered"/>
    <w:basedOn w:val="Heading3"/>
    <w:next w:val="NormalIndent"/>
    <w:uiPriority w:val="4"/>
    <w:qFormat/>
    <w:rsid w:val="00EC171D"/>
    <w:pPr>
      <w:numPr>
        <w:ilvl w:val="4"/>
        <w:numId w:val="4"/>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4"/>
    <w:qFormat/>
    <w:rsid w:val="00EC171D"/>
    <w:pPr>
      <w:numPr>
        <w:ilvl w:val="5"/>
        <w:numId w:val="4"/>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4"/>
    <w:qFormat/>
    <w:rsid w:val="00EC171D"/>
    <w:pPr>
      <w:spacing w:line="252" w:lineRule="auto"/>
      <w:ind w:left="792"/>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EC171D"/>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rsid w:val="00EC171D"/>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5"/>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EC171D"/>
    <w:pPr>
      <w:tabs>
        <w:tab w:val="right" w:pos="9026"/>
      </w:tabs>
      <w:spacing w:after="0" w:line="240" w:lineRule="auto"/>
    </w:pPr>
    <w:rPr>
      <w:noProof/>
      <w:sz w:val="18"/>
      <w:szCs w:val="18"/>
    </w:rPr>
  </w:style>
  <w:style w:type="character" w:customStyle="1" w:styleId="FooterChar">
    <w:name w:val="Footer Char"/>
    <w:basedOn w:val="DefaultParagraphFont"/>
    <w:link w:val="Footer"/>
    <w:uiPriority w:val="24"/>
    <w:rsid w:val="00EC171D"/>
    <w:rPr>
      <w:noProof/>
      <w:spacing w:val="2"/>
      <w:sz w:val="18"/>
      <w:szCs w:val="18"/>
    </w:rPr>
  </w:style>
  <w:style w:type="character" w:styleId="PageNumber">
    <w:name w:val="page number"/>
    <w:uiPriority w:val="49"/>
    <w:semiHidden/>
    <w:rsid w:val="00EC171D"/>
    <w:rPr>
      <w:b w:val="0"/>
      <w:color w:val="4C4C4C"/>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6"/>
    <w:qFormat/>
    <w:rsid w:val="00652625"/>
    <w:pPr>
      <w:spacing w:before="60" w:after="60" w:line="264" w:lineRule="auto"/>
    </w:pPr>
    <w:rPr>
      <w:sz w:val="17"/>
    </w:rPr>
  </w:style>
  <w:style w:type="paragraph" w:customStyle="1" w:styleId="Tabletextright">
    <w:name w:val="Table text right"/>
    <w:basedOn w:val="Tabletext"/>
    <w:uiPriority w:val="6"/>
    <w:qFormat/>
    <w:rsid w:val="00EC171D"/>
    <w:pPr>
      <w:jc w:val="right"/>
    </w:pPr>
  </w:style>
  <w:style w:type="paragraph" w:customStyle="1" w:styleId="Listnumindent2">
    <w:name w:val="List num indent 2"/>
    <w:basedOn w:val="Normal"/>
    <w:uiPriority w:val="5"/>
    <w:qFormat/>
    <w:rsid w:val="00EC171D"/>
    <w:pPr>
      <w:numPr>
        <w:ilvl w:val="7"/>
        <w:numId w:val="4"/>
      </w:numPr>
      <w:spacing w:before="100"/>
      <w:contextualSpacing/>
    </w:pPr>
  </w:style>
  <w:style w:type="paragraph" w:customStyle="1" w:styleId="Listnumindent">
    <w:name w:val="List num indent"/>
    <w:basedOn w:val="Normal"/>
    <w:uiPriority w:val="5"/>
    <w:qFormat/>
    <w:rsid w:val="00EC171D"/>
    <w:pPr>
      <w:numPr>
        <w:ilvl w:val="6"/>
        <w:numId w:val="4"/>
      </w:numPr>
      <w:spacing w:before="100"/>
    </w:pPr>
  </w:style>
  <w:style w:type="paragraph" w:customStyle="1" w:styleId="Listnum">
    <w:name w:val="List num"/>
    <w:basedOn w:val="Normal"/>
    <w:uiPriority w:val="1"/>
    <w:qFormat/>
    <w:rsid w:val="00EC171D"/>
    <w:pPr>
      <w:numPr>
        <w:numId w:val="4"/>
      </w:numPr>
    </w:pPr>
  </w:style>
  <w:style w:type="paragraph" w:customStyle="1" w:styleId="Listnum2">
    <w:name w:val="List num 2"/>
    <w:basedOn w:val="Normal"/>
    <w:uiPriority w:val="1"/>
    <w:qFormat/>
    <w:rsid w:val="00EC171D"/>
    <w:pPr>
      <w:numPr>
        <w:ilvl w:val="1"/>
        <w:numId w:val="4"/>
      </w:numPr>
    </w:pPr>
  </w:style>
  <w:style w:type="paragraph" w:customStyle="1" w:styleId="Tabletextcentred">
    <w:name w:val="Table text centred"/>
    <w:basedOn w:val="Tabletext"/>
    <w:uiPriority w:val="6"/>
    <w:qFormat/>
    <w:rsid w:val="00EC171D"/>
    <w:pPr>
      <w:jc w:val="center"/>
    </w:pPr>
  </w:style>
  <w:style w:type="paragraph" w:customStyle="1" w:styleId="Tableheader">
    <w:name w:val="Table header"/>
    <w:basedOn w:val="Tabletext"/>
    <w:uiPriority w:val="6"/>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7"/>
    <w:rsid w:val="00D211E9"/>
    <w:pPr>
      <w:numPr>
        <w:numId w:val="18"/>
      </w:numPr>
    </w:pPr>
  </w:style>
  <w:style w:type="paragraph" w:customStyle="1" w:styleId="Tabledash">
    <w:name w:val="Table dash"/>
    <w:basedOn w:val="Tablebullet"/>
    <w:uiPriority w:val="7"/>
    <w:rsid w:val="00D211E9"/>
    <w:pPr>
      <w:numPr>
        <w:ilvl w:val="1"/>
      </w:numPr>
    </w:pPr>
  </w:style>
  <w:style w:type="paragraph" w:customStyle="1" w:styleId="Tabletextindent">
    <w:name w:val="Table text indent"/>
    <w:basedOn w:val="Tabletext"/>
    <w:uiPriority w:val="6"/>
    <w:qFormat/>
    <w:rsid w:val="00D211E9"/>
    <w:pPr>
      <w:ind w:left="288"/>
    </w:pPr>
  </w:style>
  <w:style w:type="paragraph" w:customStyle="1" w:styleId="Numpara">
    <w:name w:val="Num para"/>
    <w:basedOn w:val="ListParagraph"/>
    <w:uiPriority w:val="3"/>
    <w:qFormat/>
    <w:rsid w:val="006361E7"/>
    <w:pPr>
      <w:numPr>
        <w:numId w:val="19"/>
      </w:numPr>
      <w:tabs>
        <w:tab w:val="num" w:pos="504"/>
        <w:tab w:val="left" w:pos="540"/>
      </w:tabs>
      <w:ind w:left="504" w:hanging="504"/>
    </w:pPr>
  </w:style>
  <w:style w:type="paragraph" w:styleId="ListParagraph">
    <w:name w:val="List Paragraph"/>
    <w:basedOn w:val="Normal"/>
    <w:uiPriority w:val="34"/>
    <w:semiHidden/>
    <w:qFormat/>
    <w:rsid w:val="006361E7"/>
    <w:pPr>
      <w:ind w:left="720"/>
      <w:contextualSpacing/>
    </w:pPr>
  </w:style>
  <w:style w:type="table" w:customStyle="1" w:styleId="Summarytable">
    <w:name w:val="Summary table"/>
    <w:basedOn w:val="TableNormal"/>
    <w:uiPriority w:val="99"/>
    <w:rsid w:val="005E6AE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BFBFBF"/>
      </w:tblBorders>
      <w:tblCellMar>
        <w:left w:w="57" w:type="dxa"/>
        <w:right w:w="57" w:type="dxa"/>
      </w:tblCellMar>
    </w:tblPr>
    <w:trPr>
      <w:cantSplit/>
    </w:trPr>
    <w:tblStylePr w:type="firstRow">
      <w:rPr>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B9DD6"/>
      </w:tcPr>
    </w:tblStylePr>
  </w:style>
  <w:style w:type="table" w:customStyle="1" w:styleId="Summarytable1">
    <w:name w:val="Summary table1"/>
    <w:basedOn w:val="TableNormal"/>
    <w:uiPriority w:val="99"/>
    <w:rsid w:val="0095554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BFBFBF"/>
      </w:tblBorders>
      <w:tblCellMar>
        <w:left w:w="57" w:type="dxa"/>
        <w:right w:w="57" w:type="dxa"/>
      </w:tblCellMar>
    </w:tblPr>
    <w:trPr>
      <w:cantSplit/>
    </w:trPr>
    <w:tblStylePr w:type="firstRow">
      <w:rPr>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B9DD6"/>
      </w:tcPr>
    </w:tblStylePr>
  </w:style>
  <w:style w:type="table" w:customStyle="1" w:styleId="Summarytable2">
    <w:name w:val="Summary table2"/>
    <w:basedOn w:val="TableNormal"/>
    <w:uiPriority w:val="99"/>
    <w:rsid w:val="007800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BFBFBF"/>
      </w:tblBorders>
      <w:tblCellMar>
        <w:left w:w="57" w:type="dxa"/>
        <w:right w:w="57" w:type="dxa"/>
      </w:tblCellMar>
    </w:tblPr>
    <w:trPr>
      <w:cantSplit/>
    </w:trPr>
    <w:tblStylePr w:type="firstRow">
      <w:rPr>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B9DD6"/>
      </w:tcPr>
    </w:tblStylePr>
  </w:style>
  <w:style w:type="table" w:customStyle="1" w:styleId="Summarytable3">
    <w:name w:val="Summary table3"/>
    <w:basedOn w:val="TableNormal"/>
    <w:uiPriority w:val="99"/>
    <w:rsid w:val="00F04E7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BFBFBF"/>
      </w:tblBorders>
      <w:tblCellMar>
        <w:left w:w="57" w:type="dxa"/>
        <w:right w:w="57" w:type="dxa"/>
      </w:tblCellMar>
    </w:tblPr>
    <w:trPr>
      <w:cantSplit/>
    </w:trPr>
    <w:tblStylePr w:type="firstRow">
      <w:rPr>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B9DD6"/>
      </w:tcPr>
    </w:tblStylePr>
  </w:style>
  <w:style w:type="table" w:customStyle="1" w:styleId="Summarytable4">
    <w:name w:val="Summary table4"/>
    <w:basedOn w:val="TableNormal"/>
    <w:uiPriority w:val="99"/>
    <w:rsid w:val="005B3B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BFBFBF"/>
      </w:tblBorders>
      <w:tblCellMar>
        <w:left w:w="57" w:type="dxa"/>
        <w:right w:w="57" w:type="dxa"/>
      </w:tblCellMar>
    </w:tblPr>
    <w:trPr>
      <w:cantSplit/>
    </w:trPr>
    <w:tblStylePr w:type="firstRow">
      <w:rPr>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B9DD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AD7864"/>
    <w:pPr>
      <w:spacing w:before="160" w:after="100"/>
    </w:pPr>
    <w:rPr>
      <w:spacing w:val="2"/>
      <w:sz w:val="24"/>
    </w:rPr>
  </w:style>
  <w:style w:type="paragraph" w:styleId="Heading1">
    <w:name w:val="heading 1"/>
    <w:next w:val="Normal"/>
    <w:link w:val="Heading1Char"/>
    <w:qFormat/>
    <w:rsid w:val="00EC171D"/>
    <w:pPr>
      <w:keepNext/>
      <w:keepLines/>
      <w:spacing w:before="600" w:after="88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A5F5B"/>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EC171D"/>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AD7864"/>
    <w:pPr>
      <w:numPr>
        <w:numId w:val="1"/>
      </w:numPr>
      <w:spacing w:before="100" w:after="100" w:line="240" w:lineRule="auto"/>
      <w:contextualSpacing/>
    </w:pPr>
    <w:rPr>
      <w:rFonts w:eastAsia="Times New Roman" w:cs="Calibri"/>
      <w:spacing w:val="2"/>
      <w:sz w:val="24"/>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5"/>
    <w:qFormat/>
    <w:rsid w:val="00EC171D"/>
    <w:pPr>
      <w:numPr>
        <w:ilvl w:val="2"/>
      </w:numPr>
    </w:pPr>
  </w:style>
  <w:style w:type="paragraph" w:customStyle="1" w:styleId="Heading1numbered">
    <w:name w:val="Heading 1 numbered"/>
    <w:basedOn w:val="Heading1"/>
    <w:next w:val="NormalIndent"/>
    <w:uiPriority w:val="4"/>
    <w:qFormat/>
    <w:rsid w:val="00EC171D"/>
    <w:pPr>
      <w:numPr>
        <w:ilvl w:val="2"/>
        <w:numId w:val="4"/>
      </w:numPr>
    </w:pPr>
  </w:style>
  <w:style w:type="paragraph" w:customStyle="1" w:styleId="Heading2numbered">
    <w:name w:val="Heading 2 numbered"/>
    <w:basedOn w:val="Heading2"/>
    <w:next w:val="NormalIndent"/>
    <w:uiPriority w:val="4"/>
    <w:qFormat/>
    <w:rsid w:val="00EC171D"/>
    <w:pPr>
      <w:numPr>
        <w:ilvl w:val="3"/>
        <w:numId w:val="4"/>
      </w:numPr>
    </w:pPr>
  </w:style>
  <w:style w:type="paragraph" w:customStyle="1" w:styleId="Heading3numbered">
    <w:name w:val="Heading 3 numbered"/>
    <w:basedOn w:val="Heading3"/>
    <w:next w:val="NormalIndent"/>
    <w:uiPriority w:val="4"/>
    <w:qFormat/>
    <w:rsid w:val="00EC171D"/>
    <w:pPr>
      <w:numPr>
        <w:ilvl w:val="4"/>
        <w:numId w:val="4"/>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4"/>
    <w:qFormat/>
    <w:rsid w:val="00EC171D"/>
    <w:pPr>
      <w:numPr>
        <w:ilvl w:val="5"/>
        <w:numId w:val="4"/>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4"/>
    <w:qFormat/>
    <w:rsid w:val="00EC171D"/>
    <w:pPr>
      <w:spacing w:line="252" w:lineRule="auto"/>
      <w:ind w:left="792"/>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EC171D"/>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rsid w:val="00EC171D"/>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5"/>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EC171D"/>
    <w:pPr>
      <w:tabs>
        <w:tab w:val="right" w:pos="9026"/>
      </w:tabs>
      <w:spacing w:after="0" w:line="240" w:lineRule="auto"/>
    </w:pPr>
    <w:rPr>
      <w:noProof/>
      <w:sz w:val="18"/>
      <w:szCs w:val="18"/>
    </w:rPr>
  </w:style>
  <w:style w:type="character" w:customStyle="1" w:styleId="FooterChar">
    <w:name w:val="Footer Char"/>
    <w:basedOn w:val="DefaultParagraphFont"/>
    <w:link w:val="Footer"/>
    <w:uiPriority w:val="24"/>
    <w:rsid w:val="00EC171D"/>
    <w:rPr>
      <w:noProof/>
      <w:spacing w:val="2"/>
      <w:sz w:val="18"/>
      <w:szCs w:val="18"/>
    </w:rPr>
  </w:style>
  <w:style w:type="character" w:styleId="PageNumber">
    <w:name w:val="page number"/>
    <w:uiPriority w:val="49"/>
    <w:semiHidden/>
    <w:rsid w:val="00EC171D"/>
    <w:rPr>
      <w:b w:val="0"/>
      <w:color w:val="4C4C4C"/>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6"/>
    <w:qFormat/>
    <w:rsid w:val="00652625"/>
    <w:pPr>
      <w:spacing w:before="60" w:after="60" w:line="264" w:lineRule="auto"/>
    </w:pPr>
    <w:rPr>
      <w:sz w:val="17"/>
    </w:rPr>
  </w:style>
  <w:style w:type="paragraph" w:customStyle="1" w:styleId="Tabletextright">
    <w:name w:val="Table text right"/>
    <w:basedOn w:val="Tabletext"/>
    <w:uiPriority w:val="6"/>
    <w:qFormat/>
    <w:rsid w:val="00EC171D"/>
    <w:pPr>
      <w:jc w:val="right"/>
    </w:pPr>
  </w:style>
  <w:style w:type="paragraph" w:customStyle="1" w:styleId="Listnumindent2">
    <w:name w:val="List num indent 2"/>
    <w:basedOn w:val="Normal"/>
    <w:uiPriority w:val="5"/>
    <w:qFormat/>
    <w:rsid w:val="00EC171D"/>
    <w:pPr>
      <w:numPr>
        <w:ilvl w:val="7"/>
        <w:numId w:val="4"/>
      </w:numPr>
      <w:spacing w:before="100"/>
      <w:contextualSpacing/>
    </w:pPr>
  </w:style>
  <w:style w:type="paragraph" w:customStyle="1" w:styleId="Listnumindent">
    <w:name w:val="List num indent"/>
    <w:basedOn w:val="Normal"/>
    <w:uiPriority w:val="5"/>
    <w:qFormat/>
    <w:rsid w:val="00EC171D"/>
    <w:pPr>
      <w:numPr>
        <w:ilvl w:val="6"/>
        <w:numId w:val="4"/>
      </w:numPr>
      <w:spacing w:before="100"/>
    </w:pPr>
  </w:style>
  <w:style w:type="paragraph" w:customStyle="1" w:styleId="Listnum">
    <w:name w:val="List num"/>
    <w:basedOn w:val="Normal"/>
    <w:uiPriority w:val="1"/>
    <w:qFormat/>
    <w:rsid w:val="00EC171D"/>
    <w:pPr>
      <w:numPr>
        <w:numId w:val="4"/>
      </w:numPr>
    </w:pPr>
  </w:style>
  <w:style w:type="paragraph" w:customStyle="1" w:styleId="Listnum2">
    <w:name w:val="List num 2"/>
    <w:basedOn w:val="Normal"/>
    <w:uiPriority w:val="1"/>
    <w:qFormat/>
    <w:rsid w:val="00EC171D"/>
    <w:pPr>
      <w:numPr>
        <w:ilvl w:val="1"/>
        <w:numId w:val="4"/>
      </w:numPr>
    </w:pPr>
  </w:style>
  <w:style w:type="paragraph" w:customStyle="1" w:styleId="Tabletextcentred">
    <w:name w:val="Table text centred"/>
    <w:basedOn w:val="Tabletext"/>
    <w:uiPriority w:val="6"/>
    <w:qFormat/>
    <w:rsid w:val="00EC171D"/>
    <w:pPr>
      <w:jc w:val="center"/>
    </w:pPr>
  </w:style>
  <w:style w:type="paragraph" w:customStyle="1" w:styleId="Tableheader">
    <w:name w:val="Table header"/>
    <w:basedOn w:val="Tabletext"/>
    <w:uiPriority w:val="6"/>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7"/>
    <w:rsid w:val="00D211E9"/>
    <w:pPr>
      <w:numPr>
        <w:numId w:val="18"/>
      </w:numPr>
    </w:pPr>
  </w:style>
  <w:style w:type="paragraph" w:customStyle="1" w:styleId="Tabledash">
    <w:name w:val="Table dash"/>
    <w:basedOn w:val="Tablebullet"/>
    <w:uiPriority w:val="7"/>
    <w:rsid w:val="00D211E9"/>
    <w:pPr>
      <w:numPr>
        <w:ilvl w:val="1"/>
      </w:numPr>
    </w:pPr>
  </w:style>
  <w:style w:type="paragraph" w:customStyle="1" w:styleId="Tabletextindent">
    <w:name w:val="Table text indent"/>
    <w:basedOn w:val="Tabletext"/>
    <w:uiPriority w:val="6"/>
    <w:qFormat/>
    <w:rsid w:val="00D211E9"/>
    <w:pPr>
      <w:ind w:left="288"/>
    </w:pPr>
  </w:style>
  <w:style w:type="paragraph" w:customStyle="1" w:styleId="Numpara">
    <w:name w:val="Num para"/>
    <w:basedOn w:val="ListParagraph"/>
    <w:uiPriority w:val="3"/>
    <w:qFormat/>
    <w:rsid w:val="006361E7"/>
    <w:pPr>
      <w:numPr>
        <w:numId w:val="19"/>
      </w:numPr>
      <w:tabs>
        <w:tab w:val="num" w:pos="504"/>
        <w:tab w:val="left" w:pos="540"/>
      </w:tabs>
      <w:ind w:left="504" w:hanging="504"/>
    </w:pPr>
  </w:style>
  <w:style w:type="paragraph" w:styleId="ListParagraph">
    <w:name w:val="List Paragraph"/>
    <w:basedOn w:val="Normal"/>
    <w:uiPriority w:val="34"/>
    <w:semiHidden/>
    <w:qFormat/>
    <w:rsid w:val="006361E7"/>
    <w:pPr>
      <w:ind w:left="720"/>
      <w:contextualSpacing/>
    </w:pPr>
  </w:style>
  <w:style w:type="table" w:customStyle="1" w:styleId="Summarytable">
    <w:name w:val="Summary table"/>
    <w:basedOn w:val="TableNormal"/>
    <w:uiPriority w:val="99"/>
    <w:rsid w:val="005E6AE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BFBFBF"/>
      </w:tblBorders>
      <w:tblCellMar>
        <w:left w:w="57" w:type="dxa"/>
        <w:right w:w="57" w:type="dxa"/>
      </w:tblCellMar>
    </w:tblPr>
    <w:trPr>
      <w:cantSplit/>
    </w:trPr>
    <w:tblStylePr w:type="firstRow">
      <w:rPr>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B9DD6"/>
      </w:tcPr>
    </w:tblStylePr>
  </w:style>
  <w:style w:type="table" w:customStyle="1" w:styleId="Summarytable1">
    <w:name w:val="Summary table1"/>
    <w:basedOn w:val="TableNormal"/>
    <w:uiPriority w:val="99"/>
    <w:rsid w:val="0095554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BFBFBF"/>
      </w:tblBorders>
      <w:tblCellMar>
        <w:left w:w="57" w:type="dxa"/>
        <w:right w:w="57" w:type="dxa"/>
      </w:tblCellMar>
    </w:tblPr>
    <w:trPr>
      <w:cantSplit/>
    </w:trPr>
    <w:tblStylePr w:type="firstRow">
      <w:rPr>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B9DD6"/>
      </w:tcPr>
    </w:tblStylePr>
  </w:style>
  <w:style w:type="table" w:customStyle="1" w:styleId="Summarytable2">
    <w:name w:val="Summary table2"/>
    <w:basedOn w:val="TableNormal"/>
    <w:uiPriority w:val="99"/>
    <w:rsid w:val="007800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BFBFBF"/>
      </w:tblBorders>
      <w:tblCellMar>
        <w:left w:w="57" w:type="dxa"/>
        <w:right w:w="57" w:type="dxa"/>
      </w:tblCellMar>
    </w:tblPr>
    <w:trPr>
      <w:cantSplit/>
    </w:trPr>
    <w:tblStylePr w:type="firstRow">
      <w:rPr>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B9DD6"/>
      </w:tcPr>
    </w:tblStylePr>
  </w:style>
  <w:style w:type="table" w:customStyle="1" w:styleId="Summarytable3">
    <w:name w:val="Summary table3"/>
    <w:basedOn w:val="TableNormal"/>
    <w:uiPriority w:val="99"/>
    <w:rsid w:val="00F04E7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BFBFBF"/>
      </w:tblBorders>
      <w:tblCellMar>
        <w:left w:w="57" w:type="dxa"/>
        <w:right w:w="57" w:type="dxa"/>
      </w:tblCellMar>
    </w:tblPr>
    <w:trPr>
      <w:cantSplit/>
    </w:trPr>
    <w:tblStylePr w:type="firstRow">
      <w:rPr>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B9DD6"/>
      </w:tcPr>
    </w:tblStylePr>
  </w:style>
  <w:style w:type="table" w:customStyle="1" w:styleId="Summarytable4">
    <w:name w:val="Summary table4"/>
    <w:basedOn w:val="TableNormal"/>
    <w:uiPriority w:val="99"/>
    <w:rsid w:val="005B3B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BFBFBF"/>
      </w:tblBorders>
      <w:tblCellMar>
        <w:left w:w="57" w:type="dxa"/>
        <w:right w:w="57" w:type="dxa"/>
      </w:tblCellMar>
    </w:tblPr>
    <w:trPr>
      <w:cantSplit/>
    </w:trPr>
    <w:tblStylePr w:type="firstRow">
      <w:rPr>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B9DD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Corporate\Portrait.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A4353-8716-49C3-99F9-5290DE89D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Portrait.dotx</Template>
  <TotalTime>0</TotalTime>
  <Pages>13</Pages>
  <Words>3075</Words>
  <Characters>17529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20563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Marsal</dc:creator>
  <cp:lastModifiedBy>Elizabeth Ascroft</cp:lastModifiedBy>
  <cp:revision>2</cp:revision>
  <cp:lastPrinted>2017-04-12T01:24:00Z</cp:lastPrinted>
  <dcterms:created xsi:type="dcterms:W3CDTF">2018-05-30T04:20:00Z</dcterms:created>
  <dcterms:modified xsi:type="dcterms:W3CDTF">2018-05-30T04:20:00Z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ies>
</file>