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96" w:rsidRPr="00DF5908" w:rsidRDefault="00063926" w:rsidP="00063926">
      <w:pPr>
        <w:pStyle w:val="Title"/>
        <w:spacing w:before="3840"/>
      </w:pPr>
      <w:bookmarkStart w:id="0" w:name="_Toc442780672"/>
      <w:bookmarkStart w:id="1" w:name="_GoBack"/>
      <w:bookmarkEnd w:id="1"/>
      <w:r w:rsidRPr="00DF5908">
        <w:t xml:space="preserve">Summary of changes applied to the </w:t>
      </w:r>
      <w:r w:rsidR="00DA4121" w:rsidRPr="00DF5908">
        <w:t>201</w:t>
      </w:r>
      <w:r w:rsidR="00914478">
        <w:t>7</w:t>
      </w:r>
      <w:r w:rsidR="00B42DD7" w:rsidRPr="00DF5908">
        <w:noBreakHyphen/>
      </w:r>
      <w:r w:rsidR="00DA4121" w:rsidRPr="00DF5908">
        <w:t>1</w:t>
      </w:r>
      <w:r w:rsidR="00914478">
        <w:t>8</w:t>
      </w:r>
      <w:r w:rsidR="00DA4121" w:rsidRPr="00DF5908">
        <w:t> </w:t>
      </w:r>
      <w:r w:rsidRPr="00DF5908">
        <w:t>Model Report</w:t>
      </w:r>
    </w:p>
    <w:p w:rsidR="00063926" w:rsidRPr="00DF5908" w:rsidRDefault="00063926" w:rsidP="00063926">
      <w:pPr>
        <w:pStyle w:val="TertiaryTitle"/>
        <w:tabs>
          <w:tab w:val="left" w:pos="2790"/>
          <w:tab w:val="left" w:pos="5040"/>
        </w:tabs>
      </w:pPr>
    </w:p>
    <w:p w:rsidR="002B16C9" w:rsidRPr="002B16C9" w:rsidRDefault="002B16C9" w:rsidP="002B16C9">
      <w:pPr>
        <w:rPr>
          <w:lang w:eastAsia="en-US"/>
        </w:rPr>
      </w:pPr>
    </w:p>
    <w:p w:rsidR="00063926" w:rsidRDefault="00063926" w:rsidP="00BA4533">
      <w:pPr>
        <w:pStyle w:val="Heading4"/>
      </w:pPr>
      <w:r w:rsidRPr="00DF5908">
        <w:t xml:space="preserve">Contact details: </w:t>
      </w:r>
      <w:r w:rsidRPr="00DF5908">
        <w:tab/>
      </w:r>
    </w:p>
    <w:p w:rsidR="00EE6810" w:rsidRPr="00EE6810" w:rsidRDefault="00EE6810" w:rsidP="00EE6810">
      <w:pPr>
        <w:pStyle w:val="Heading2"/>
        <w:spacing w:before="120" w:after="0"/>
        <w:rPr>
          <w:b w:val="0"/>
        </w:rPr>
      </w:pPr>
      <w:r w:rsidRPr="00EE6810">
        <w:rPr>
          <w:b w:val="0"/>
        </w:rPr>
        <w:t>Accounting</w:t>
      </w:r>
      <w:r>
        <w:rPr>
          <w:b w:val="0"/>
        </w:rPr>
        <w:t xml:space="preserve"> Policy</w:t>
      </w:r>
      <w:r>
        <w:rPr>
          <w:b w:val="0"/>
        </w:rPr>
        <w:tab/>
      </w:r>
      <w:r w:rsidRPr="00EE6810">
        <w:rPr>
          <w:b w:val="0"/>
        </w:rPr>
        <w:t>acc</w:t>
      </w:r>
      <w:r>
        <w:rPr>
          <w:b w:val="0"/>
        </w:rPr>
        <w:t>pol@dtf.vic.gov.au</w:t>
      </w:r>
    </w:p>
    <w:bookmarkEnd w:id="0"/>
    <w:p w:rsidR="00B37860" w:rsidRDefault="00B37860" w:rsidP="00B37860">
      <w:pPr>
        <w:pStyle w:val="Heading2"/>
        <w:spacing w:before="0" w:after="0"/>
        <w:rPr>
          <w:b w:val="0"/>
        </w:rPr>
      </w:pPr>
      <w:r>
        <w:rPr>
          <w:b w:val="0"/>
        </w:rPr>
        <w:t>Karen Foo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Manager</w:t>
      </w:r>
      <w:r>
        <w:rPr>
          <w:b w:val="0"/>
        </w:rPr>
        <w:tab/>
      </w:r>
      <w:r>
        <w:rPr>
          <w:b w:val="0"/>
        </w:rPr>
        <w:tab/>
        <w:t>9651 0827</w:t>
      </w:r>
    </w:p>
    <w:p w:rsidR="00B37860" w:rsidRDefault="00B37860" w:rsidP="00B37860">
      <w:pPr>
        <w:pStyle w:val="Heading2"/>
        <w:spacing w:before="0" w:after="0"/>
        <w:rPr>
          <w:b w:val="0"/>
        </w:rPr>
      </w:pPr>
      <w:r>
        <w:rPr>
          <w:b w:val="0"/>
        </w:rPr>
        <w:t>Lee-Anne Harris</w:t>
      </w:r>
      <w:r>
        <w:rPr>
          <w:b w:val="0"/>
        </w:rPr>
        <w:tab/>
      </w:r>
      <w:r>
        <w:rPr>
          <w:b w:val="0"/>
        </w:rPr>
        <w:tab/>
        <w:t>Manager</w:t>
      </w:r>
      <w:r>
        <w:rPr>
          <w:b w:val="0"/>
        </w:rPr>
        <w:tab/>
      </w:r>
      <w:r>
        <w:rPr>
          <w:b w:val="0"/>
        </w:rPr>
        <w:tab/>
        <w:t>965</w:t>
      </w:r>
      <w:r w:rsidR="00E41EA2">
        <w:rPr>
          <w:b w:val="0"/>
        </w:rPr>
        <w:t>1</w:t>
      </w:r>
      <w:r>
        <w:rPr>
          <w:b w:val="0"/>
        </w:rPr>
        <w:t xml:space="preserve"> 5523</w:t>
      </w:r>
    </w:p>
    <w:p w:rsidR="00B37860" w:rsidRPr="00B37860" w:rsidRDefault="00B37860" w:rsidP="00B37860">
      <w:pPr>
        <w:pStyle w:val="Heading2"/>
        <w:spacing w:before="0" w:after="0"/>
        <w:rPr>
          <w:b w:val="0"/>
        </w:rPr>
      </w:pPr>
      <w:r w:rsidRPr="00B37860">
        <w:rPr>
          <w:b w:val="0"/>
        </w:rPr>
        <w:t>Etien</w:t>
      </w:r>
      <w:r>
        <w:rPr>
          <w:b w:val="0"/>
        </w:rPr>
        <w:t>ne Gouws</w:t>
      </w:r>
      <w:r>
        <w:rPr>
          <w:b w:val="0"/>
        </w:rPr>
        <w:tab/>
      </w:r>
      <w:r>
        <w:rPr>
          <w:b w:val="0"/>
        </w:rPr>
        <w:tab/>
        <w:t>Director</w:t>
      </w:r>
      <w:r>
        <w:rPr>
          <w:b w:val="0"/>
        </w:rPr>
        <w:tab/>
      </w:r>
      <w:r>
        <w:rPr>
          <w:b w:val="0"/>
        </w:rPr>
        <w:tab/>
        <w:t>9651 6222</w:t>
      </w:r>
    </w:p>
    <w:p w:rsidR="00F4239A" w:rsidRPr="00DF5908" w:rsidRDefault="00F4239A">
      <w:pPr>
        <w:spacing w:before="0" w:after="200"/>
      </w:pPr>
      <w:r w:rsidRPr="00DF5908">
        <w:br w:type="page"/>
      </w:r>
    </w:p>
    <w:p w:rsidR="00222135" w:rsidRPr="00DF5908" w:rsidRDefault="00222135" w:rsidP="00222135">
      <w:pPr>
        <w:pStyle w:val="Heading1"/>
      </w:pPr>
      <w:r w:rsidRPr="00DF5908">
        <w:lastRenderedPageBreak/>
        <w:t>Purpose and overview</w:t>
      </w:r>
    </w:p>
    <w:p w:rsidR="000761ED" w:rsidRDefault="000761ED" w:rsidP="0050705C">
      <w:r>
        <w:t xml:space="preserve">The purpose of this document is to provide a summary of the key changes in the 2017-18 Model Report (the Model) since the publication of the 2016-17 Model. </w:t>
      </w:r>
    </w:p>
    <w:p w:rsidR="000761ED" w:rsidRDefault="000761ED" w:rsidP="0050705C">
      <w:r>
        <w:t xml:space="preserve">The changes in the Model incorporate a combination of revisions, enhancements and government endorsed recommendations from the Public Accounts and Estimates Committee (PAEC). </w:t>
      </w:r>
    </w:p>
    <w:p w:rsidR="000761ED" w:rsidRPr="00577054" w:rsidRDefault="000761ED" w:rsidP="000761ED">
      <w:pPr>
        <w:rPr>
          <w:rFonts w:ascii="Arial" w:hAnsi="Arial" w:cs="Arial"/>
          <w:szCs w:val="24"/>
        </w:rPr>
      </w:pPr>
      <w:r w:rsidRPr="00577054">
        <w:rPr>
          <w:rFonts w:ascii="Arial" w:hAnsi="Arial" w:cs="Arial"/>
          <w:szCs w:val="24"/>
        </w:rPr>
        <w:t>The main changes include:</w:t>
      </w:r>
    </w:p>
    <w:p w:rsidR="000761ED" w:rsidRPr="00577054" w:rsidRDefault="000761ED" w:rsidP="0050705C">
      <w:pPr>
        <w:pStyle w:val="Bullet1"/>
      </w:pPr>
      <w:r w:rsidRPr="00577054">
        <w:t>Implementation of PAEC recommendations for departments to:</w:t>
      </w:r>
    </w:p>
    <w:p w:rsidR="000761ED" w:rsidRPr="00577054" w:rsidRDefault="000761ED" w:rsidP="0050705C">
      <w:pPr>
        <w:pStyle w:val="Bullet2"/>
        <w:rPr>
          <w:rFonts w:cs="Arial"/>
        </w:rPr>
      </w:pPr>
      <w:r w:rsidRPr="00577054">
        <w:t>Report achievements against key initiatives and projects identified in the 2017-21 corporate plans</w:t>
      </w:r>
      <w:r w:rsidRPr="00577054">
        <w:rPr>
          <w:rFonts w:cs="Arial"/>
        </w:rPr>
        <w:t xml:space="preserve">; </w:t>
      </w:r>
    </w:p>
    <w:p w:rsidR="000761ED" w:rsidRPr="00577054" w:rsidRDefault="000761ED" w:rsidP="0050705C">
      <w:pPr>
        <w:pStyle w:val="Bullet2"/>
        <w:rPr>
          <w:rFonts w:cs="Arial"/>
        </w:rPr>
      </w:pPr>
      <w:r w:rsidRPr="00577054">
        <w:t xml:space="preserve">Disclose the </w:t>
      </w:r>
      <w:r w:rsidRPr="00577054">
        <w:rPr>
          <w:b/>
          <w:u w:val="single"/>
        </w:rPr>
        <w:t>original budgeted</w:t>
      </w:r>
      <w:r w:rsidRPr="00577054">
        <w:t xml:space="preserve"> financial statements, and explanations of major variances between the actual amounts presented in the financial statements and corresponding </w:t>
      </w:r>
      <w:r w:rsidRPr="00577054">
        <w:rPr>
          <w:b/>
          <w:u w:val="single"/>
        </w:rPr>
        <w:t>original budget</w:t>
      </w:r>
      <w:r w:rsidRPr="00577054">
        <w:t xml:space="preserve"> amounts;</w:t>
      </w:r>
    </w:p>
    <w:p w:rsidR="000761ED" w:rsidRPr="00577054" w:rsidRDefault="000761ED" w:rsidP="0050705C">
      <w:pPr>
        <w:pStyle w:val="Bullet2"/>
        <w:rPr>
          <w:rFonts w:cs="Arial"/>
        </w:rPr>
      </w:pPr>
      <w:r w:rsidRPr="00577054">
        <w:t>Provide an explanation for variance</w:t>
      </w:r>
      <w:r w:rsidR="00577054">
        <w:t>s</w:t>
      </w:r>
      <w:r w:rsidRPr="00577054">
        <w:t xml:space="preserve"> over $50 million from the budget in cost performance measures</w:t>
      </w:r>
      <w:r w:rsidRPr="00577054">
        <w:rPr>
          <w:rFonts w:cs="Arial"/>
        </w:rPr>
        <w:t>; and</w:t>
      </w:r>
    </w:p>
    <w:p w:rsidR="000761ED" w:rsidRPr="00577054" w:rsidRDefault="00577054" w:rsidP="0050705C">
      <w:pPr>
        <w:pStyle w:val="Bullet2"/>
      </w:pPr>
      <w:r>
        <w:rPr>
          <w:rFonts w:eastAsiaTheme="minorHAnsi"/>
        </w:rPr>
        <w:t>Provide e</w:t>
      </w:r>
      <w:r w:rsidR="000761ED" w:rsidRPr="00577054">
        <w:rPr>
          <w:rFonts w:eastAsiaTheme="minorHAnsi"/>
        </w:rPr>
        <w:t>xplanations for changes in practical completion date of capital projects</w:t>
      </w:r>
      <w:r>
        <w:rPr>
          <w:rFonts w:eastAsiaTheme="minorHAnsi"/>
        </w:rPr>
        <w:t>, showing root causes for the changes</w:t>
      </w:r>
      <w:r w:rsidR="000761ED" w:rsidRPr="00577054">
        <w:rPr>
          <w:rFonts w:eastAsiaTheme="minorHAnsi"/>
        </w:rPr>
        <w:t>.</w:t>
      </w:r>
    </w:p>
    <w:p w:rsidR="000761ED" w:rsidRPr="00577054" w:rsidRDefault="00577054" w:rsidP="0050705C">
      <w:pPr>
        <w:pStyle w:val="Bullet1"/>
      </w:pPr>
      <w:r>
        <w:t xml:space="preserve">Inclusion of a third gender category </w:t>
      </w:r>
      <w:r w:rsidR="0050705C">
        <w:t>‘</w:t>
      </w:r>
      <w:r>
        <w:t>self-described</w:t>
      </w:r>
      <w:r w:rsidR="0050705C">
        <w:t>’</w:t>
      </w:r>
      <w:r>
        <w:t xml:space="preserve"> in the reporting on workforce gender reporting and across executive office classifications </w:t>
      </w:r>
      <w:r w:rsidR="000761ED" w:rsidRPr="00577054">
        <w:t xml:space="preserve">to reflect the revisions to FRD 15E </w:t>
      </w:r>
      <w:r w:rsidR="000761ED" w:rsidRPr="00577054">
        <w:rPr>
          <w:i/>
        </w:rPr>
        <w:t>Executive officer disclosures in the Report of Operations</w:t>
      </w:r>
      <w:r w:rsidR="000761ED" w:rsidRPr="00577054">
        <w:t xml:space="preserve"> and FRD 29C </w:t>
      </w:r>
      <w:r w:rsidR="000761ED" w:rsidRPr="00577054">
        <w:rPr>
          <w:i/>
        </w:rPr>
        <w:t>Workforce data disclosures in the Report of Operations</w:t>
      </w:r>
      <w:r w:rsidR="0050705C">
        <w:rPr>
          <w:i/>
        </w:rPr>
        <w:t xml:space="preserve"> – </w:t>
      </w:r>
      <w:r w:rsidR="000761ED" w:rsidRPr="00577054">
        <w:rPr>
          <w:i/>
        </w:rPr>
        <w:t>Public Service Employees</w:t>
      </w:r>
      <w:r w:rsidR="000761ED" w:rsidRPr="00577054">
        <w:t xml:space="preserve">; and </w:t>
      </w:r>
    </w:p>
    <w:p w:rsidR="000761ED" w:rsidRDefault="005D26E4" w:rsidP="0050705C">
      <w:pPr>
        <w:pStyle w:val="Bullet1"/>
      </w:pPr>
      <w:r>
        <w:t xml:space="preserve">Update to </w:t>
      </w:r>
      <w:r w:rsidR="006C600F">
        <w:t xml:space="preserve">the </w:t>
      </w:r>
      <w:r w:rsidR="000761ED" w:rsidRPr="00577054">
        <w:t>office environmental reporting</w:t>
      </w:r>
      <w:r w:rsidR="006C600F">
        <w:t xml:space="preserve"> </w:t>
      </w:r>
      <w:r>
        <w:t xml:space="preserve">disclosures </w:t>
      </w:r>
      <w:r w:rsidR="000761ED" w:rsidRPr="00577054">
        <w:t xml:space="preserve">in the Report of Operations to reflect the </w:t>
      </w:r>
      <w:r>
        <w:t>current environmental reporting requirements</w:t>
      </w:r>
      <w:r w:rsidR="00543AF1">
        <w:t xml:space="preserve"> </w:t>
      </w:r>
      <w:r>
        <w:t xml:space="preserve">which </w:t>
      </w:r>
      <w:r w:rsidR="00543AF1">
        <w:t>are also included</w:t>
      </w:r>
      <w:r>
        <w:t xml:space="preserve"> in </w:t>
      </w:r>
      <w:r w:rsidR="000761ED" w:rsidRPr="00577054">
        <w:t xml:space="preserve">FRD 24D </w:t>
      </w:r>
      <w:r w:rsidR="000761ED" w:rsidRPr="00577054">
        <w:rPr>
          <w:i/>
        </w:rPr>
        <w:t>Reporting of office-based environmental data by government entities</w:t>
      </w:r>
      <w:r w:rsidR="000761ED" w:rsidRPr="00577054">
        <w:t>.</w:t>
      </w:r>
    </w:p>
    <w:p w:rsidR="00D326C2" w:rsidRPr="00577054" w:rsidRDefault="00D326C2" w:rsidP="0050705C">
      <w:pPr>
        <w:pStyle w:val="Bullet1"/>
      </w:pPr>
      <w:r>
        <w:t xml:space="preserve">Addition of Appendices 11-13 which are checklists to support preparers and assist them with the planning and upcoming implementation of the suite of </w:t>
      </w:r>
      <w:r w:rsidR="00377B38">
        <w:t xml:space="preserve">new </w:t>
      </w:r>
      <w:r>
        <w:t>accounting standards AASB 9, AASB 15, AASB 16 and AASB 1058.</w:t>
      </w:r>
    </w:p>
    <w:p w:rsidR="000761ED" w:rsidRDefault="000761ED" w:rsidP="000761ED">
      <w:pPr>
        <w:pStyle w:val="Header"/>
        <w:jc w:val="both"/>
      </w:pPr>
      <w:r w:rsidRPr="00627474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details</w:t>
      </w:r>
      <w:r w:rsidRPr="00627474">
        <w:rPr>
          <w:rFonts w:ascii="Arial" w:hAnsi="Arial" w:cs="Arial"/>
        </w:rPr>
        <w:t xml:space="preserve"> of the </w:t>
      </w:r>
      <w:r w:rsidRPr="0050705C">
        <w:rPr>
          <w:rFonts w:ascii="Arial" w:hAnsi="Arial" w:cs="Arial"/>
          <w:color w:val="D50032"/>
        </w:rPr>
        <w:t>New</w:t>
      </w:r>
      <w:r w:rsidRPr="00627474">
        <w:rPr>
          <w:rFonts w:ascii="Arial" w:hAnsi="Arial" w:cs="Arial"/>
        </w:rPr>
        <w:t xml:space="preserve"> and </w:t>
      </w:r>
      <w:r w:rsidRPr="0050705C">
        <w:rPr>
          <w:rFonts w:ascii="Arial" w:hAnsi="Arial" w:cs="Arial"/>
          <w:color w:val="D50032"/>
        </w:rPr>
        <w:t>Revised</w:t>
      </w:r>
      <w:r w:rsidRPr="00627474">
        <w:rPr>
          <w:rFonts w:ascii="Arial" w:hAnsi="Arial" w:cs="Arial"/>
        </w:rPr>
        <w:t xml:space="preserve"> reporting requirements in the Model, please refer to the summary of changes tables in this document</w:t>
      </w:r>
      <w:r>
        <w:rPr>
          <w:rFonts w:ascii="Arial" w:hAnsi="Arial" w:cs="Arial"/>
        </w:rPr>
        <w:t>.</w:t>
      </w:r>
    </w:p>
    <w:p w:rsidR="005E6AE4" w:rsidRPr="00DF5908" w:rsidRDefault="005E6AE4">
      <w:pPr>
        <w:spacing w:before="0" w:after="200"/>
      </w:pPr>
      <w:r w:rsidRPr="00DF5908">
        <w:br w:type="page"/>
      </w:r>
    </w:p>
    <w:tbl>
      <w:tblPr>
        <w:tblStyle w:val="DTFtexttable"/>
        <w:tblW w:w="5000" w:type="pct"/>
        <w:tblLayout w:type="fixed"/>
        <w:tblLook w:val="04A0" w:firstRow="1" w:lastRow="0" w:firstColumn="1" w:lastColumn="0" w:noHBand="0" w:noVBand="1"/>
      </w:tblPr>
      <w:tblGrid>
        <w:gridCol w:w="1586"/>
        <w:gridCol w:w="1801"/>
        <w:gridCol w:w="4590"/>
        <w:gridCol w:w="1163"/>
      </w:tblGrid>
      <w:tr w:rsidR="005E6AE4" w:rsidRPr="00DF5908" w:rsidTr="003E1F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4"/>
          </w:tcPr>
          <w:p w:rsidR="005E6AE4" w:rsidRPr="00DF5908" w:rsidRDefault="005E6AE4" w:rsidP="005C6BBF">
            <w:pPr>
              <w:pStyle w:val="Tableheader"/>
            </w:pPr>
            <w:r w:rsidRPr="00DF5908">
              <w:lastRenderedPageBreak/>
              <w:t xml:space="preserve">General changes throughout the </w:t>
            </w:r>
            <w:r w:rsidR="00DA4121" w:rsidRPr="003F1C34">
              <w:rPr>
                <w:i/>
              </w:rPr>
              <w:t>20</w:t>
            </w:r>
            <w:r w:rsidR="005C6BBF">
              <w:rPr>
                <w:i/>
              </w:rPr>
              <w:t>1</w:t>
            </w:r>
            <w:r w:rsidR="00D94648">
              <w:rPr>
                <w:i/>
              </w:rPr>
              <w:t>7</w:t>
            </w:r>
            <w:r w:rsidR="00B42DD7" w:rsidRPr="003F1C34">
              <w:rPr>
                <w:i/>
              </w:rPr>
              <w:noBreakHyphen/>
            </w:r>
            <w:r w:rsidR="00DA4121" w:rsidRPr="003F1C34">
              <w:rPr>
                <w:i/>
              </w:rPr>
              <w:t>1</w:t>
            </w:r>
            <w:r w:rsidR="005C6BBF">
              <w:rPr>
                <w:i/>
              </w:rPr>
              <w:t>8</w:t>
            </w:r>
            <w:r w:rsidR="00DA4121" w:rsidRPr="003F1C34">
              <w:rPr>
                <w:i/>
              </w:rPr>
              <w:t> </w:t>
            </w:r>
            <w:r w:rsidRPr="003F1C34">
              <w:rPr>
                <w:i/>
              </w:rPr>
              <w:t>Model Report</w:t>
            </w:r>
            <w:r w:rsidRPr="00DF5908">
              <w:t xml:space="preserve"> </w:t>
            </w:r>
          </w:p>
        </w:tc>
      </w:tr>
      <w:tr w:rsidR="00A5515A" w:rsidRPr="00DF5908" w:rsidTr="003E1F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8" w:type="pct"/>
            <w:shd w:val="clear" w:color="auto" w:fill="749CC9" w:themeFill="accent3"/>
          </w:tcPr>
          <w:p w:rsidR="00A5515A" w:rsidRPr="00DF5908" w:rsidRDefault="00A5515A" w:rsidP="00A21D12">
            <w:pPr>
              <w:pStyle w:val="Tableheader"/>
              <w:rPr>
                <w:sz w:val="18"/>
                <w:szCs w:val="18"/>
              </w:rPr>
            </w:pPr>
            <w:r w:rsidRPr="00DF5908">
              <w:rPr>
                <w:sz w:val="18"/>
                <w:szCs w:val="18"/>
              </w:rPr>
              <w:t xml:space="preserve">Subject matter </w:t>
            </w:r>
          </w:p>
        </w:tc>
        <w:tc>
          <w:tcPr>
            <w:tcW w:w="985" w:type="pct"/>
            <w:shd w:val="clear" w:color="auto" w:fill="749CC9" w:themeFill="accent3"/>
          </w:tcPr>
          <w:p w:rsidR="00A5515A" w:rsidRPr="00D94648" w:rsidRDefault="00A5515A" w:rsidP="00AC76C3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94648">
              <w:rPr>
                <w:sz w:val="18"/>
                <w:szCs w:val="18"/>
              </w:rPr>
              <w:t>Source of change</w:t>
            </w:r>
          </w:p>
        </w:tc>
        <w:tc>
          <w:tcPr>
            <w:tcW w:w="2511" w:type="pct"/>
            <w:shd w:val="clear" w:color="auto" w:fill="749CC9" w:themeFill="accent3"/>
          </w:tcPr>
          <w:p w:rsidR="00A5515A" w:rsidRPr="00DF5908" w:rsidRDefault="00A5515A" w:rsidP="005C6BBF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5908">
              <w:rPr>
                <w:sz w:val="18"/>
                <w:szCs w:val="18"/>
              </w:rPr>
              <w:t xml:space="preserve">Summary of changes throughout the </w:t>
            </w:r>
            <w:r w:rsidRPr="003F1C34">
              <w:rPr>
                <w:i/>
                <w:sz w:val="18"/>
                <w:szCs w:val="18"/>
              </w:rPr>
              <w:t>201</w:t>
            </w:r>
            <w:r>
              <w:rPr>
                <w:i/>
                <w:sz w:val="18"/>
                <w:szCs w:val="18"/>
              </w:rPr>
              <w:t>7</w:t>
            </w:r>
            <w:r w:rsidRPr="003F1C34">
              <w:rPr>
                <w:i/>
                <w:sz w:val="18"/>
                <w:szCs w:val="18"/>
              </w:rPr>
              <w:noBreakHyphen/>
              <w:t>1</w:t>
            </w:r>
            <w:r>
              <w:rPr>
                <w:i/>
                <w:sz w:val="18"/>
                <w:szCs w:val="18"/>
              </w:rPr>
              <w:t>8</w:t>
            </w:r>
            <w:r w:rsidRPr="003F1C34">
              <w:rPr>
                <w:i/>
                <w:sz w:val="18"/>
                <w:szCs w:val="18"/>
              </w:rPr>
              <w:t> Model Report</w:t>
            </w:r>
          </w:p>
        </w:tc>
        <w:tc>
          <w:tcPr>
            <w:tcW w:w="636" w:type="pct"/>
            <w:shd w:val="clear" w:color="auto" w:fill="749CC9" w:themeFill="accent3"/>
          </w:tcPr>
          <w:p w:rsidR="00A5515A" w:rsidRPr="00DF5908" w:rsidRDefault="00A5515A" w:rsidP="001C4C3D">
            <w:pPr>
              <w:pStyle w:val="Tablehead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5908">
              <w:rPr>
                <w:sz w:val="18"/>
                <w:szCs w:val="18"/>
              </w:rPr>
              <w:t>Page reference</w:t>
            </w:r>
          </w:p>
        </w:tc>
      </w:tr>
      <w:tr w:rsidR="005C6BBF" w:rsidRPr="00DF5908" w:rsidTr="003E1F2A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vMerge w:val="restart"/>
          </w:tcPr>
          <w:p w:rsidR="005C6BBF" w:rsidRPr="00DF5908" w:rsidRDefault="005C6BBF" w:rsidP="005C6BBF">
            <w:pPr>
              <w:pStyle w:val="Tabletext"/>
            </w:pPr>
            <w:r w:rsidRPr="00DF5908">
              <w:t>General improvements to the Model</w:t>
            </w:r>
          </w:p>
        </w:tc>
        <w:tc>
          <w:tcPr>
            <w:tcW w:w="985" w:type="pct"/>
          </w:tcPr>
          <w:p w:rsidR="005C6BBF" w:rsidRPr="00CF6E46" w:rsidRDefault="005C6BBF" w:rsidP="005C6BB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6E46">
              <w:rPr>
                <w:rFonts w:ascii="Arial" w:hAnsi="Arial" w:cs="Arial"/>
              </w:rPr>
              <w:t>Roll-forward dates</w:t>
            </w:r>
          </w:p>
        </w:tc>
        <w:tc>
          <w:tcPr>
            <w:tcW w:w="2511" w:type="pct"/>
          </w:tcPr>
          <w:p w:rsidR="005C6BBF" w:rsidRPr="00CF6E46" w:rsidRDefault="005C6BBF" w:rsidP="005C6BB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</w:t>
            </w:r>
            <w:r w:rsidRPr="00CF6E46">
              <w:rPr>
                <w:rFonts w:ascii="Arial" w:hAnsi="Arial" w:cs="Arial"/>
              </w:rPr>
              <w:t>relevan</w:t>
            </w:r>
            <w:r>
              <w:rPr>
                <w:rFonts w:ascii="Arial" w:hAnsi="Arial" w:cs="Arial"/>
              </w:rPr>
              <w:t>t dates have been rolled-over</w:t>
            </w:r>
            <w:r w:rsidRPr="00CF6E46">
              <w:rPr>
                <w:rFonts w:ascii="Arial" w:hAnsi="Arial" w:cs="Arial"/>
              </w:rPr>
              <w:t xml:space="preserve"> in the </w:t>
            </w:r>
            <w:r>
              <w:rPr>
                <w:rFonts w:ascii="Arial" w:hAnsi="Arial" w:cs="Arial"/>
              </w:rPr>
              <w:t xml:space="preserve">2017-18 </w:t>
            </w:r>
            <w:r w:rsidRPr="00CF6E46">
              <w:rPr>
                <w:rFonts w:ascii="Arial" w:hAnsi="Arial" w:cs="Arial"/>
              </w:rPr>
              <w:t>Model Report</w:t>
            </w:r>
            <w:r>
              <w:rPr>
                <w:rFonts w:ascii="Arial" w:hAnsi="Arial" w:cs="Arial"/>
              </w:rPr>
              <w:t xml:space="preserve"> as part of the roll-over process from the 2016-17 Model Report</w:t>
            </w:r>
            <w:r w:rsidR="0050705C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636" w:type="pct"/>
          </w:tcPr>
          <w:p w:rsidR="005C6BBF" w:rsidRPr="00CF6E46" w:rsidRDefault="005C6BBF" w:rsidP="005C6BBF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6E46">
              <w:rPr>
                <w:rFonts w:ascii="Arial" w:hAnsi="Arial" w:cs="Arial"/>
              </w:rPr>
              <w:t>Whole Model</w:t>
            </w:r>
          </w:p>
        </w:tc>
      </w:tr>
      <w:tr w:rsidR="005C6BBF" w:rsidRPr="00DF5908" w:rsidTr="003E1F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vMerge/>
          </w:tcPr>
          <w:p w:rsidR="005C6BBF" w:rsidRPr="00DF5908" w:rsidRDefault="005C6BBF" w:rsidP="005C6BBF">
            <w:pPr>
              <w:pStyle w:val="Tabletext"/>
            </w:pPr>
          </w:p>
        </w:tc>
        <w:tc>
          <w:tcPr>
            <w:tcW w:w="985" w:type="pct"/>
          </w:tcPr>
          <w:p w:rsidR="005C6BBF" w:rsidRPr="00CF6E46" w:rsidRDefault="00DA6F2A" w:rsidP="00DA6F2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5C6BBF">
              <w:rPr>
                <w:rFonts w:ascii="Arial" w:hAnsi="Arial" w:cs="Arial"/>
              </w:rPr>
              <w:t>nhance</w:t>
            </w:r>
            <w:r>
              <w:rPr>
                <w:rFonts w:ascii="Arial" w:hAnsi="Arial" w:cs="Arial"/>
              </w:rPr>
              <w:t>d</w:t>
            </w:r>
            <w:r w:rsidR="005C6BBF">
              <w:rPr>
                <w:rFonts w:ascii="Arial" w:hAnsi="Arial" w:cs="Arial"/>
              </w:rPr>
              <w:t xml:space="preserve"> guidance</w:t>
            </w:r>
          </w:p>
        </w:tc>
        <w:tc>
          <w:tcPr>
            <w:tcW w:w="2511" w:type="pct"/>
          </w:tcPr>
          <w:p w:rsidR="005C6BBF" w:rsidRPr="00CF6E46" w:rsidRDefault="005C6BBF" w:rsidP="00DA6F2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F6E46">
              <w:rPr>
                <w:rFonts w:ascii="Arial" w:hAnsi="Arial" w:cs="Arial"/>
              </w:rPr>
              <w:t>Editorial changes</w:t>
            </w:r>
            <w:r>
              <w:rPr>
                <w:rFonts w:ascii="Arial" w:hAnsi="Arial" w:cs="Arial"/>
              </w:rPr>
              <w:t xml:space="preserve"> and updates</w:t>
            </w:r>
            <w:r w:rsidRPr="00CF6E46">
              <w:rPr>
                <w:rFonts w:ascii="Arial" w:hAnsi="Arial" w:cs="Arial"/>
              </w:rPr>
              <w:t xml:space="preserve"> to the</w:t>
            </w:r>
            <w:r>
              <w:rPr>
                <w:rFonts w:ascii="Arial" w:hAnsi="Arial" w:cs="Arial"/>
              </w:rPr>
              <w:t xml:space="preserve"> phrasing and structure of sentences/paragraphs have been made</w:t>
            </w:r>
            <w:r w:rsidRPr="00CF6E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to improve the guidance </w:t>
            </w:r>
            <w:r w:rsidR="00DA6F2A">
              <w:rPr>
                <w:rFonts w:ascii="Arial" w:hAnsi="Arial" w:cs="Arial"/>
              </w:rPr>
              <w:t>material throughout the Model</w:t>
            </w:r>
            <w:r w:rsidR="0050705C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636" w:type="pct"/>
          </w:tcPr>
          <w:p w:rsidR="005C6BBF" w:rsidRPr="00CF6E46" w:rsidRDefault="005C6BBF" w:rsidP="005C6BBF">
            <w:pPr>
              <w:pStyle w:val="Tabletextcentre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CF6E46">
              <w:rPr>
                <w:rFonts w:ascii="Arial" w:hAnsi="Arial" w:cs="Arial"/>
              </w:rPr>
              <w:t>Whole Model</w:t>
            </w:r>
          </w:p>
        </w:tc>
      </w:tr>
      <w:tr w:rsidR="005C6BBF" w:rsidRPr="00DF5908" w:rsidTr="003E1F2A">
        <w:trPr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</w:tcPr>
          <w:p w:rsidR="005C6BBF" w:rsidRPr="00DF5908" w:rsidRDefault="005C6BBF" w:rsidP="005C6BBF">
            <w:pPr>
              <w:pStyle w:val="Tabletext"/>
            </w:pPr>
          </w:p>
        </w:tc>
        <w:tc>
          <w:tcPr>
            <w:tcW w:w="985" w:type="pct"/>
          </w:tcPr>
          <w:p w:rsidR="005C6BBF" w:rsidRPr="00CF6E46" w:rsidRDefault="005C6BBF" w:rsidP="005C6BB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update the source references </w:t>
            </w:r>
          </w:p>
        </w:tc>
        <w:tc>
          <w:tcPr>
            <w:tcW w:w="2511" w:type="pct"/>
          </w:tcPr>
          <w:p w:rsidR="005C6BBF" w:rsidRDefault="005C6BBF" w:rsidP="005C6BB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following changes have been made to the source references:</w:t>
            </w:r>
          </w:p>
          <w:p w:rsidR="005C6BBF" w:rsidRPr="007C05B7" w:rsidRDefault="005C6BBF" w:rsidP="005C6BBF">
            <w:pPr>
              <w:pStyle w:val="Tabletext"/>
              <w:numPr>
                <w:ilvl w:val="0"/>
                <w:numId w:val="24"/>
              </w:numPr>
              <w:ind w:left="340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Changes to the AASB/FRD source references as a result of the update to the relevant AASB/FRD since 1 July 2017. </w:t>
            </w:r>
          </w:p>
        </w:tc>
        <w:tc>
          <w:tcPr>
            <w:tcW w:w="636" w:type="pct"/>
          </w:tcPr>
          <w:p w:rsidR="005C6BBF" w:rsidRPr="00CF6E46" w:rsidRDefault="005C6BBF" w:rsidP="005C6BBF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6E46">
              <w:rPr>
                <w:rFonts w:ascii="Arial" w:hAnsi="Arial" w:cs="Arial"/>
              </w:rPr>
              <w:t>Whole Model</w:t>
            </w:r>
          </w:p>
        </w:tc>
      </w:tr>
    </w:tbl>
    <w:p w:rsidR="005E6AE4" w:rsidRPr="00DF5908" w:rsidRDefault="005E6AE4" w:rsidP="005E6AE4">
      <w:pPr>
        <w:pStyle w:val="Tabletext"/>
      </w:pPr>
    </w:p>
    <w:p w:rsidR="00DB0E25" w:rsidRPr="00DF5908" w:rsidRDefault="00DB0E25" w:rsidP="005E6AE4">
      <w:pPr>
        <w:pStyle w:val="Tabletext"/>
      </w:pPr>
    </w:p>
    <w:tbl>
      <w:tblPr>
        <w:tblStyle w:val="DTFtexttable"/>
        <w:tblW w:w="5000" w:type="pct"/>
        <w:tblLayout w:type="fixed"/>
        <w:tblLook w:val="01A0" w:firstRow="1" w:lastRow="0" w:firstColumn="1" w:lastColumn="1" w:noHBand="0" w:noVBand="0"/>
      </w:tblPr>
      <w:tblGrid>
        <w:gridCol w:w="1586"/>
        <w:gridCol w:w="1801"/>
        <w:gridCol w:w="4590"/>
        <w:gridCol w:w="1163"/>
      </w:tblGrid>
      <w:tr w:rsidR="00955547" w:rsidRPr="00DF5908" w:rsidTr="00A21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4"/>
          </w:tcPr>
          <w:p w:rsidR="00955547" w:rsidRPr="00DF5908" w:rsidRDefault="00955547" w:rsidP="00955547">
            <w:pPr>
              <w:pStyle w:val="Tableheader"/>
            </w:pPr>
            <w:r w:rsidRPr="00DF5908">
              <w:t xml:space="preserve">Summary of changes – Introduction </w:t>
            </w:r>
          </w:p>
        </w:tc>
      </w:tr>
      <w:tr w:rsidR="00D94648" w:rsidRPr="00DF5908" w:rsidTr="00A21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8" w:type="pct"/>
            <w:shd w:val="clear" w:color="auto" w:fill="749CC9" w:themeFill="accent3"/>
          </w:tcPr>
          <w:p w:rsidR="00D94648" w:rsidRPr="00DF5908" w:rsidRDefault="00D94648" w:rsidP="00955547">
            <w:pPr>
              <w:pStyle w:val="Tableheader"/>
              <w:rPr>
                <w:sz w:val="18"/>
                <w:szCs w:val="18"/>
              </w:rPr>
            </w:pPr>
            <w:r w:rsidRPr="00DF5908">
              <w:rPr>
                <w:sz w:val="18"/>
                <w:szCs w:val="18"/>
              </w:rPr>
              <w:t xml:space="preserve">Subject matter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5" w:type="pct"/>
            <w:shd w:val="clear" w:color="auto" w:fill="749CC9" w:themeFill="accent3"/>
          </w:tcPr>
          <w:p w:rsidR="00D94648" w:rsidRPr="00D94648" w:rsidRDefault="00D94648" w:rsidP="00AC76C3">
            <w:pPr>
              <w:pStyle w:val="Tableheader"/>
              <w:rPr>
                <w:sz w:val="18"/>
                <w:szCs w:val="18"/>
              </w:rPr>
            </w:pPr>
            <w:r w:rsidRPr="00D94648">
              <w:rPr>
                <w:sz w:val="18"/>
                <w:szCs w:val="18"/>
              </w:rPr>
              <w:t>Source of change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11" w:type="pct"/>
            <w:shd w:val="clear" w:color="auto" w:fill="749CC9" w:themeFill="accent3"/>
          </w:tcPr>
          <w:p w:rsidR="00D94648" w:rsidRPr="00DF5908" w:rsidRDefault="00D94648" w:rsidP="007800B3">
            <w:pPr>
              <w:pStyle w:val="Tableheader"/>
              <w:rPr>
                <w:sz w:val="18"/>
                <w:szCs w:val="18"/>
              </w:rPr>
            </w:pPr>
            <w:r w:rsidRPr="00DF5908">
              <w:rPr>
                <w:sz w:val="18"/>
                <w:szCs w:val="18"/>
              </w:rPr>
              <w:t>Summary of changes applied to the relevant sections in the Introduction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636" w:type="pct"/>
            <w:shd w:val="clear" w:color="auto" w:fill="749CC9" w:themeFill="accent3"/>
          </w:tcPr>
          <w:p w:rsidR="00D94648" w:rsidRPr="00DF5908" w:rsidRDefault="00D94648" w:rsidP="001C4C3D">
            <w:pPr>
              <w:pStyle w:val="Tableheader"/>
              <w:jc w:val="center"/>
              <w:rPr>
                <w:sz w:val="18"/>
                <w:szCs w:val="18"/>
              </w:rPr>
            </w:pPr>
            <w:r w:rsidRPr="00DF5908">
              <w:rPr>
                <w:sz w:val="18"/>
                <w:szCs w:val="18"/>
              </w:rPr>
              <w:t>Page reference</w:t>
            </w:r>
          </w:p>
        </w:tc>
      </w:tr>
      <w:tr w:rsidR="00D94648" w:rsidRPr="00DF5908" w:rsidTr="00780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</w:tcPr>
          <w:p w:rsidR="00D94648" w:rsidRPr="00DF5908" w:rsidRDefault="00D94648" w:rsidP="00AC76C3">
            <w:pPr>
              <w:pStyle w:val="Tabletext"/>
            </w:pPr>
            <w:r w:rsidRPr="002039EF">
              <w:rPr>
                <w:rFonts w:ascii="Arial" w:hAnsi="Arial" w:cs="Arial"/>
              </w:rPr>
              <w:t>Diagram 3: Publication coverage and project indicative timelines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5" w:type="pct"/>
          </w:tcPr>
          <w:p w:rsidR="00D94648" w:rsidRPr="002039EF" w:rsidRDefault="00D94648" w:rsidP="00AC76C3">
            <w:pPr>
              <w:pStyle w:val="Tabletext"/>
              <w:rPr>
                <w:rFonts w:ascii="Arial" w:hAnsi="Arial" w:cs="Arial"/>
              </w:rPr>
            </w:pPr>
            <w:r w:rsidRPr="002039EF">
              <w:rPr>
                <w:rFonts w:ascii="Arial" w:hAnsi="Arial" w:cs="Arial"/>
              </w:rPr>
              <w:t>Annual update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11" w:type="pct"/>
          </w:tcPr>
          <w:p w:rsidR="00D94648" w:rsidRPr="002039EF" w:rsidRDefault="00D94648" w:rsidP="00AC76C3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relevant dates on the indicative publication timelines have been updated as part of the roll-over process from the previous Model Report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6" w:type="pct"/>
          </w:tcPr>
          <w:p w:rsidR="00D94648" w:rsidRPr="002039EF" w:rsidRDefault="00DA6F2A" w:rsidP="00AC76C3">
            <w:pPr>
              <w:pStyle w:val="Tabletextcentre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:rsidR="00DB0E25" w:rsidRPr="00DF5908" w:rsidRDefault="00DB0E25" w:rsidP="005E6AE4">
      <w:pPr>
        <w:pStyle w:val="Tabletext"/>
      </w:pPr>
    </w:p>
    <w:p w:rsidR="007800B3" w:rsidRPr="00DF5908" w:rsidRDefault="007800B3">
      <w:pPr>
        <w:spacing w:before="0" w:after="200"/>
        <w:rPr>
          <w:sz w:val="17"/>
        </w:rPr>
      </w:pPr>
      <w:r w:rsidRPr="00DF5908">
        <w:br w:type="page"/>
      </w:r>
    </w:p>
    <w:tbl>
      <w:tblPr>
        <w:tblStyle w:val="DTFtexttable"/>
        <w:tblW w:w="5000" w:type="pct"/>
        <w:tblLook w:val="01A0" w:firstRow="1" w:lastRow="0" w:firstColumn="1" w:lastColumn="1" w:noHBand="0" w:noVBand="0"/>
      </w:tblPr>
      <w:tblGrid>
        <w:gridCol w:w="1586"/>
        <w:gridCol w:w="1821"/>
        <w:gridCol w:w="4570"/>
        <w:gridCol w:w="1163"/>
      </w:tblGrid>
      <w:tr w:rsidR="007800B3" w:rsidRPr="00DF5908" w:rsidTr="00A21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4"/>
          </w:tcPr>
          <w:p w:rsidR="007800B3" w:rsidRPr="00DF5908" w:rsidRDefault="002F7661" w:rsidP="007800B3">
            <w:pPr>
              <w:pStyle w:val="Tableheader"/>
            </w:pPr>
            <w:r w:rsidRPr="002F7661">
              <w:lastRenderedPageBreak/>
              <w:t>Summary of changes – Model Report of Operations</w:t>
            </w:r>
          </w:p>
        </w:tc>
      </w:tr>
      <w:tr w:rsidR="00EE7C97" w:rsidRPr="00DF5908" w:rsidTr="00A21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8" w:type="pct"/>
            <w:shd w:val="clear" w:color="auto" w:fill="749CC9" w:themeFill="accent3"/>
          </w:tcPr>
          <w:p w:rsidR="00EE7C97" w:rsidRPr="00DF5908" w:rsidRDefault="00EE7C97" w:rsidP="007800B3">
            <w:pPr>
              <w:pStyle w:val="Tableheader"/>
              <w:rPr>
                <w:sz w:val="18"/>
                <w:szCs w:val="18"/>
              </w:rPr>
            </w:pPr>
            <w:r w:rsidRPr="00DF5908">
              <w:rPr>
                <w:sz w:val="18"/>
                <w:szCs w:val="18"/>
              </w:rPr>
              <w:t>Subject matter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6" w:type="pct"/>
            <w:shd w:val="clear" w:color="auto" w:fill="749CC9" w:themeFill="accent3"/>
          </w:tcPr>
          <w:p w:rsidR="00EE7C97" w:rsidRPr="00DF5908" w:rsidRDefault="00EE7C97" w:rsidP="007800B3">
            <w:pPr>
              <w:pStyle w:val="Tableheader"/>
              <w:rPr>
                <w:sz w:val="18"/>
                <w:szCs w:val="18"/>
              </w:rPr>
            </w:pPr>
            <w:r w:rsidRPr="00DF5908">
              <w:rPr>
                <w:sz w:val="18"/>
                <w:szCs w:val="18"/>
              </w:rPr>
              <w:t>Source of change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shd w:val="clear" w:color="auto" w:fill="749CC9" w:themeFill="accent3"/>
          </w:tcPr>
          <w:p w:rsidR="00EE7C97" w:rsidRPr="00DF5908" w:rsidRDefault="00EE7C97" w:rsidP="00EE7C97">
            <w:pPr>
              <w:pStyle w:val="Tableheader"/>
              <w:rPr>
                <w:sz w:val="18"/>
                <w:szCs w:val="18"/>
              </w:rPr>
            </w:pPr>
            <w:r w:rsidRPr="00DF5908">
              <w:rPr>
                <w:sz w:val="18"/>
                <w:szCs w:val="18"/>
              </w:rPr>
              <w:t xml:space="preserve">Summary of changes applied to the relevant sections in the </w:t>
            </w:r>
            <w:r w:rsidR="00297033">
              <w:rPr>
                <w:sz w:val="18"/>
                <w:szCs w:val="18"/>
              </w:rPr>
              <w:t xml:space="preserve">Model </w:t>
            </w:r>
            <w:r>
              <w:rPr>
                <w:sz w:val="18"/>
                <w:szCs w:val="18"/>
              </w:rPr>
              <w:t>Report of Operations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636" w:type="pct"/>
            <w:shd w:val="clear" w:color="auto" w:fill="749CC9" w:themeFill="accent3"/>
          </w:tcPr>
          <w:p w:rsidR="00EE7C97" w:rsidRPr="00DF5908" w:rsidRDefault="00EE7C97" w:rsidP="001C4C3D">
            <w:pPr>
              <w:pStyle w:val="Tableheader"/>
              <w:jc w:val="center"/>
              <w:rPr>
                <w:sz w:val="18"/>
                <w:szCs w:val="18"/>
              </w:rPr>
            </w:pPr>
            <w:r w:rsidRPr="00DF5908">
              <w:rPr>
                <w:sz w:val="18"/>
                <w:szCs w:val="18"/>
              </w:rPr>
              <w:t>Page reference</w:t>
            </w:r>
          </w:p>
        </w:tc>
      </w:tr>
      <w:tr w:rsidR="00A83C4E" w:rsidRPr="00DF5908" w:rsidTr="00780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</w:tcPr>
          <w:p w:rsidR="00A83C4E" w:rsidRPr="00003AD0" w:rsidRDefault="00A83C4E" w:rsidP="00AC76C3">
            <w:pPr>
              <w:pStyle w:val="Reference"/>
              <w:rPr>
                <w:rFonts w:ascii="Arial" w:hAnsi="Arial"/>
                <w:color w:val="auto"/>
                <w:sz w:val="17"/>
                <w:szCs w:val="17"/>
              </w:rPr>
            </w:pPr>
            <w:r w:rsidRPr="0050705C">
              <w:rPr>
                <w:rFonts w:ascii="Arial" w:hAnsi="Arial"/>
                <w:color w:val="D50032"/>
                <w:sz w:val="17"/>
                <w:szCs w:val="17"/>
              </w:rPr>
              <w:t>[Revised]</w:t>
            </w:r>
            <w:r w:rsidRPr="00003AD0">
              <w:rPr>
                <w:rFonts w:ascii="Arial" w:hAnsi="Arial"/>
                <w:color w:val="FF0000"/>
                <w:sz w:val="17"/>
                <w:szCs w:val="17"/>
              </w:rPr>
              <w:t xml:space="preserve"> </w:t>
            </w:r>
            <w:r w:rsidRPr="00003AD0">
              <w:rPr>
                <w:rFonts w:ascii="Arial" w:eastAsiaTheme="minorEastAsia" w:hAnsi="Arial"/>
                <w:iCs w:val="0"/>
                <w:noProof w:val="0"/>
                <w:color w:val="auto"/>
                <w:sz w:val="17"/>
                <w:szCs w:val="17"/>
              </w:rPr>
              <w:t xml:space="preserve">Reporting progress towards achieving departmental objectives in the </w:t>
            </w:r>
            <w:r>
              <w:rPr>
                <w:rFonts w:ascii="Arial" w:eastAsiaTheme="minorEastAsia" w:hAnsi="Arial"/>
                <w:iCs w:val="0"/>
                <w:noProof w:val="0"/>
                <w:color w:val="auto"/>
                <w:sz w:val="17"/>
                <w:szCs w:val="17"/>
              </w:rPr>
              <w:t>Report of Operation</w:t>
            </w:r>
            <w:r w:rsidRPr="00003AD0">
              <w:rPr>
                <w:rFonts w:ascii="Arial" w:eastAsiaTheme="minorEastAsia" w:hAnsi="Arial"/>
                <w:iCs w:val="0"/>
                <w:noProof w:val="0"/>
                <w:color w:val="auto"/>
                <w:sz w:val="17"/>
                <w:szCs w:val="17"/>
              </w:rPr>
              <w:t>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6" w:type="pct"/>
          </w:tcPr>
          <w:p w:rsidR="00A83C4E" w:rsidRPr="00122218" w:rsidRDefault="00A83C4E" w:rsidP="00AC76C3">
            <w:pPr>
              <w:pStyle w:val="Referencered"/>
              <w:rPr>
                <w:rFonts w:cs="Arial"/>
                <w:color w:val="auto"/>
                <w:sz w:val="18"/>
                <w:szCs w:val="18"/>
              </w:rPr>
            </w:pPr>
            <w:r w:rsidRPr="00003AD0">
              <w:rPr>
                <w:rFonts w:eastAsiaTheme="minorEastAsia" w:cs="Arial"/>
                <w:color w:val="auto"/>
                <w:spacing w:val="2"/>
                <w:sz w:val="17"/>
                <w:szCs w:val="20"/>
              </w:rPr>
              <w:t>Recommendation 17, PAEC Report on 2013-14 and 2014-15 Financial and Performance Outcomes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</w:tcPr>
          <w:p w:rsidR="00A83C4E" w:rsidRPr="00CF6E46" w:rsidRDefault="00A83C4E" w:rsidP="00AC76C3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paragraph has been modified to reflect that the requirement to report against the key initiatives listed in the corporate plan has become compulsory from 2017-18 reporting period onwards.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6" w:type="pct"/>
          </w:tcPr>
          <w:p w:rsidR="00A83C4E" w:rsidRPr="00CF6E46" w:rsidRDefault="00116208" w:rsidP="00942D58">
            <w:pPr>
              <w:pStyle w:val="Tabletextcentre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42D58">
              <w:rPr>
                <w:rFonts w:ascii="Arial" w:hAnsi="Arial" w:cs="Arial"/>
              </w:rPr>
              <w:t>7</w:t>
            </w:r>
            <w:r w:rsidR="00D61700">
              <w:rPr>
                <w:rFonts w:ascii="Arial" w:hAnsi="Arial" w:cs="Arial"/>
              </w:rPr>
              <w:t>-18</w:t>
            </w:r>
          </w:p>
        </w:tc>
      </w:tr>
      <w:tr w:rsidR="00A83C4E" w:rsidRPr="00DF5908" w:rsidTr="007800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</w:tcPr>
          <w:p w:rsidR="00A83C4E" w:rsidRPr="0050705C" w:rsidRDefault="00A83C4E" w:rsidP="00AC76C3">
            <w:pPr>
              <w:pStyle w:val="Reference"/>
              <w:rPr>
                <w:rFonts w:ascii="Arial" w:hAnsi="Arial"/>
                <w:color w:val="D50032"/>
                <w:sz w:val="17"/>
                <w:szCs w:val="17"/>
              </w:rPr>
            </w:pPr>
            <w:r w:rsidRPr="0050705C">
              <w:rPr>
                <w:rFonts w:ascii="Arial" w:hAnsi="Arial"/>
                <w:color w:val="D50032"/>
                <w:sz w:val="17"/>
                <w:szCs w:val="17"/>
              </w:rPr>
              <w:t>[Revised]</w:t>
            </w:r>
          </w:p>
          <w:p w:rsidR="00A83C4E" w:rsidRPr="00003AD0" w:rsidRDefault="00A83C4E" w:rsidP="00AC76C3">
            <w:pPr>
              <w:pStyle w:val="Reference"/>
              <w:rPr>
                <w:rFonts w:ascii="Arial" w:hAnsi="Arial"/>
                <w:color w:val="FF0000"/>
                <w:sz w:val="17"/>
                <w:szCs w:val="17"/>
              </w:rPr>
            </w:pPr>
            <w:r w:rsidRPr="00003AD0">
              <w:rPr>
                <w:rFonts w:ascii="Arial" w:hAnsi="Arial"/>
                <w:color w:val="auto"/>
                <w:sz w:val="17"/>
                <w:szCs w:val="17"/>
              </w:rPr>
              <w:t>Performance against output performance measures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6" w:type="pct"/>
          </w:tcPr>
          <w:p w:rsidR="00A83C4E" w:rsidRPr="00003AD0" w:rsidRDefault="00A83C4E" w:rsidP="00AC76C3">
            <w:pPr>
              <w:pStyle w:val="Reference"/>
              <w:rPr>
                <w:rFonts w:ascii="Arial" w:hAnsi="Arial"/>
                <w:color w:val="auto"/>
                <w:sz w:val="17"/>
                <w:szCs w:val="17"/>
              </w:rPr>
            </w:pPr>
            <w:r w:rsidRPr="00003AD0">
              <w:rPr>
                <w:rFonts w:ascii="Arial" w:hAnsi="Arial"/>
                <w:color w:val="auto"/>
                <w:sz w:val="17"/>
                <w:szCs w:val="17"/>
              </w:rPr>
              <w:t>Recommendation 11, PAEC Report on the 2015-16 Financial and Performance Outcomes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</w:tcPr>
          <w:p w:rsidR="00A83C4E" w:rsidRPr="00AC76C3" w:rsidRDefault="00A83C4E" w:rsidP="00AC76C3">
            <w:pPr>
              <w:pStyle w:val="Tabletext"/>
              <w:rPr>
                <w:rFonts w:ascii="Arial" w:hAnsi="Arial" w:cs="Arial"/>
                <w:szCs w:val="17"/>
              </w:rPr>
            </w:pPr>
            <w:r w:rsidRPr="00AC76C3">
              <w:rPr>
                <w:rFonts w:ascii="Arial" w:hAnsi="Arial" w:cs="Arial"/>
                <w:szCs w:val="17"/>
              </w:rPr>
              <w:t>$50 million has been included as an additional threshold to require explanations for variances in cost performance measures.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6" w:type="pct"/>
          </w:tcPr>
          <w:p w:rsidR="00A83C4E" w:rsidRPr="00AC76C3" w:rsidRDefault="00116208" w:rsidP="00AC76C3">
            <w:pPr>
              <w:pStyle w:val="Tabletextcentred"/>
              <w:rPr>
                <w:rFonts w:ascii="Arial" w:hAnsi="Arial" w:cs="Arial"/>
                <w:szCs w:val="17"/>
              </w:rPr>
            </w:pPr>
            <w:r>
              <w:rPr>
                <w:rFonts w:ascii="Arial" w:hAnsi="Arial" w:cs="Arial"/>
                <w:szCs w:val="17"/>
              </w:rPr>
              <w:t>20-23</w:t>
            </w:r>
          </w:p>
        </w:tc>
      </w:tr>
      <w:tr w:rsidR="00A83C4E" w:rsidRPr="00DF5908" w:rsidTr="00780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</w:tcPr>
          <w:p w:rsidR="00A83C4E" w:rsidRPr="0050705C" w:rsidRDefault="00A83C4E" w:rsidP="00AC76C3">
            <w:pPr>
              <w:pStyle w:val="Reference"/>
              <w:rPr>
                <w:rFonts w:ascii="Arial" w:hAnsi="Arial"/>
                <w:color w:val="D50032"/>
                <w:sz w:val="17"/>
                <w:szCs w:val="17"/>
              </w:rPr>
            </w:pPr>
            <w:r w:rsidRPr="0050705C">
              <w:rPr>
                <w:rFonts w:ascii="Arial" w:hAnsi="Arial"/>
                <w:color w:val="D50032"/>
                <w:sz w:val="17"/>
                <w:szCs w:val="17"/>
              </w:rPr>
              <w:t xml:space="preserve">[Revised] </w:t>
            </w:r>
          </w:p>
          <w:p w:rsidR="00A83C4E" w:rsidRPr="00003AD0" w:rsidRDefault="00A83C4E" w:rsidP="00AC76C3">
            <w:pPr>
              <w:pStyle w:val="Reference"/>
              <w:rPr>
                <w:rFonts w:ascii="Arial" w:hAnsi="Arial"/>
                <w:color w:val="auto"/>
                <w:sz w:val="17"/>
                <w:szCs w:val="17"/>
              </w:rPr>
            </w:pPr>
            <w:r w:rsidRPr="00003AD0">
              <w:rPr>
                <w:rFonts w:ascii="Arial" w:hAnsi="Arial"/>
                <w:color w:val="auto"/>
                <w:sz w:val="17"/>
                <w:szCs w:val="17"/>
              </w:rPr>
              <w:t>Budget portfolio outcomes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6" w:type="pct"/>
          </w:tcPr>
          <w:p w:rsidR="00A83C4E" w:rsidRPr="00003AD0" w:rsidRDefault="00A83C4E" w:rsidP="00AC76C3">
            <w:pPr>
              <w:pStyle w:val="Reference"/>
              <w:rPr>
                <w:rFonts w:ascii="Arial" w:hAnsi="Arial"/>
                <w:sz w:val="17"/>
                <w:szCs w:val="17"/>
              </w:rPr>
            </w:pPr>
            <w:r w:rsidRPr="00003AD0">
              <w:rPr>
                <w:rFonts w:ascii="Arial" w:hAnsi="Arial"/>
                <w:color w:val="auto"/>
                <w:sz w:val="17"/>
                <w:szCs w:val="17"/>
              </w:rPr>
              <w:t>Recommendation 24, PAEC Report on the 2015-16 Financial and Performance Outcomes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</w:tcPr>
          <w:p w:rsidR="00A83C4E" w:rsidRPr="00AC76C3" w:rsidRDefault="00A83C4E" w:rsidP="00AC76C3">
            <w:pPr>
              <w:pStyle w:val="Tabletext"/>
              <w:rPr>
                <w:rFonts w:ascii="Arial" w:hAnsi="Arial" w:cs="Arial"/>
                <w:szCs w:val="17"/>
              </w:rPr>
            </w:pPr>
            <w:r>
              <w:rPr>
                <w:rFonts w:ascii="Arial" w:hAnsi="Arial" w:cs="Arial"/>
                <w:szCs w:val="17"/>
              </w:rPr>
              <w:t>P</w:t>
            </w:r>
            <w:r w:rsidRPr="00AC76C3">
              <w:rPr>
                <w:rFonts w:ascii="Arial" w:hAnsi="Arial" w:cs="Arial"/>
                <w:szCs w:val="17"/>
              </w:rPr>
              <w:t xml:space="preserve">reparers are required to disclose the original budgeted financial statements, and </w:t>
            </w:r>
            <w:r>
              <w:rPr>
                <w:rFonts w:ascii="Arial" w:hAnsi="Arial" w:cs="Arial"/>
                <w:szCs w:val="17"/>
              </w:rPr>
              <w:t xml:space="preserve">provide </w:t>
            </w:r>
            <w:r w:rsidRPr="00F6329D">
              <w:rPr>
                <w:rFonts w:ascii="Arial" w:hAnsi="Arial" w:cs="Arial"/>
                <w:szCs w:val="17"/>
              </w:rPr>
              <w:t>explanations of major variances between the actual amounts presented in the financial statements and corresponding original budget amounts</w:t>
            </w:r>
            <w:r w:rsidRPr="00AC76C3">
              <w:rPr>
                <w:rFonts w:ascii="Arial" w:hAnsi="Arial" w:cs="Arial"/>
                <w:szCs w:val="17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6" w:type="pct"/>
          </w:tcPr>
          <w:p w:rsidR="00A83C4E" w:rsidRPr="00AC76C3" w:rsidRDefault="00A83C4E" w:rsidP="00AC76C3">
            <w:pPr>
              <w:pStyle w:val="Tabletextcentred"/>
              <w:rPr>
                <w:rFonts w:ascii="Arial" w:hAnsi="Arial" w:cs="Arial"/>
                <w:szCs w:val="17"/>
              </w:rPr>
            </w:pPr>
            <w:r w:rsidRPr="00AC76C3">
              <w:rPr>
                <w:rFonts w:ascii="Arial" w:hAnsi="Arial" w:cs="Arial"/>
                <w:szCs w:val="17"/>
              </w:rPr>
              <w:t>25</w:t>
            </w:r>
          </w:p>
        </w:tc>
      </w:tr>
      <w:tr w:rsidR="00A83C4E" w:rsidRPr="00DF5908" w:rsidTr="007800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</w:tcPr>
          <w:p w:rsidR="00A83C4E" w:rsidRPr="0050705C" w:rsidRDefault="00A83C4E" w:rsidP="00AC76C3">
            <w:pPr>
              <w:pStyle w:val="Reference"/>
              <w:rPr>
                <w:rFonts w:ascii="Arial" w:hAnsi="Arial"/>
                <w:color w:val="D50032"/>
                <w:sz w:val="17"/>
                <w:szCs w:val="17"/>
              </w:rPr>
            </w:pPr>
            <w:r w:rsidRPr="0050705C">
              <w:rPr>
                <w:rFonts w:ascii="Arial" w:hAnsi="Arial"/>
                <w:color w:val="D50032"/>
                <w:sz w:val="17"/>
                <w:szCs w:val="17"/>
              </w:rPr>
              <w:t xml:space="preserve">[New] </w:t>
            </w:r>
          </w:p>
          <w:p w:rsidR="00A83C4E" w:rsidRPr="00003AD0" w:rsidRDefault="00A83C4E" w:rsidP="00AC76C3">
            <w:pPr>
              <w:pStyle w:val="Reference"/>
              <w:rPr>
                <w:rFonts w:ascii="Arial" w:hAnsi="Arial"/>
                <w:color w:val="FF0000"/>
                <w:sz w:val="17"/>
                <w:szCs w:val="17"/>
              </w:rPr>
            </w:pPr>
            <w:r w:rsidRPr="00003AD0">
              <w:rPr>
                <w:rFonts w:ascii="Arial" w:hAnsi="Arial"/>
                <w:color w:val="auto"/>
                <w:sz w:val="17"/>
                <w:szCs w:val="17"/>
              </w:rPr>
              <w:t>Budget portfolio outcomes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6" w:type="pct"/>
          </w:tcPr>
          <w:p w:rsidR="00A83C4E" w:rsidRPr="00003AD0" w:rsidRDefault="00A83C4E" w:rsidP="00AC76C3">
            <w:pPr>
              <w:pStyle w:val="Reference"/>
              <w:rPr>
                <w:rFonts w:ascii="Arial" w:hAnsi="Arial"/>
                <w:color w:val="auto"/>
                <w:sz w:val="17"/>
                <w:szCs w:val="17"/>
              </w:rPr>
            </w:pPr>
            <w:r w:rsidRPr="00003AD0">
              <w:rPr>
                <w:rFonts w:ascii="Arial" w:hAnsi="Arial"/>
                <w:color w:val="auto"/>
                <w:sz w:val="17"/>
                <w:szCs w:val="17"/>
              </w:rPr>
              <w:t>Recommendation 23, PAEC Report on the 2015-16 Financial and Performance Outcomes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</w:tcPr>
          <w:p w:rsidR="00A83C4E" w:rsidRPr="00AC76C3" w:rsidRDefault="00A83C4E" w:rsidP="00AC76C3">
            <w:pPr>
              <w:pStyle w:val="Tabletext"/>
              <w:rPr>
                <w:rFonts w:ascii="Arial" w:hAnsi="Arial" w:cs="Arial"/>
                <w:szCs w:val="17"/>
              </w:rPr>
            </w:pPr>
            <w:r w:rsidRPr="00003AD0">
              <w:rPr>
                <w:rFonts w:ascii="Arial" w:hAnsi="Arial" w:cs="Arial"/>
                <w:szCs w:val="17"/>
              </w:rPr>
              <w:t>Preparers are required to</w:t>
            </w:r>
            <w:r w:rsidRPr="003A6F4D">
              <w:rPr>
                <w:rFonts w:ascii="Arial" w:hAnsi="Arial" w:cs="Arial"/>
                <w:szCs w:val="17"/>
              </w:rPr>
              <w:t xml:space="preserve"> provide </w:t>
            </w:r>
            <w:r w:rsidRPr="00AC76C3">
              <w:rPr>
                <w:rFonts w:ascii="Arial" w:hAnsi="Arial" w:cs="Arial"/>
                <w:szCs w:val="17"/>
              </w:rPr>
              <w:t>explanations for variances in the budget portfolio outcomes section that are greater than 5 per cent or greater than $50 million increase or decrease from the budget.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6" w:type="pct"/>
          </w:tcPr>
          <w:p w:rsidR="00A83C4E" w:rsidRPr="00AC76C3" w:rsidRDefault="00A83C4E" w:rsidP="00AC76C3">
            <w:pPr>
              <w:pStyle w:val="Tabletextcentred"/>
              <w:rPr>
                <w:rFonts w:ascii="Arial" w:hAnsi="Arial" w:cs="Arial"/>
                <w:szCs w:val="17"/>
              </w:rPr>
            </w:pPr>
            <w:r w:rsidRPr="00AC76C3">
              <w:rPr>
                <w:rFonts w:ascii="Arial" w:hAnsi="Arial" w:cs="Arial"/>
                <w:szCs w:val="17"/>
              </w:rPr>
              <w:t>26</w:t>
            </w:r>
          </w:p>
        </w:tc>
      </w:tr>
      <w:tr w:rsidR="00A83C4E" w:rsidRPr="00DF5908" w:rsidTr="00780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</w:tcPr>
          <w:p w:rsidR="00A83C4E" w:rsidRPr="0050705C" w:rsidRDefault="00A83C4E" w:rsidP="00AC76C3">
            <w:pPr>
              <w:pStyle w:val="Reference"/>
              <w:rPr>
                <w:rFonts w:ascii="Arial" w:hAnsi="Arial"/>
                <w:color w:val="D50032"/>
                <w:sz w:val="17"/>
                <w:szCs w:val="17"/>
              </w:rPr>
            </w:pPr>
            <w:r w:rsidRPr="0050705C">
              <w:rPr>
                <w:rFonts w:ascii="Arial" w:hAnsi="Arial"/>
                <w:color w:val="D50032"/>
                <w:sz w:val="17"/>
                <w:szCs w:val="17"/>
              </w:rPr>
              <w:t>[New]</w:t>
            </w:r>
          </w:p>
          <w:p w:rsidR="00A83C4E" w:rsidRPr="00003AD0" w:rsidRDefault="00A83C4E" w:rsidP="00AC76C3">
            <w:pPr>
              <w:pStyle w:val="Reference"/>
              <w:rPr>
                <w:rFonts w:ascii="Arial" w:hAnsi="Arial"/>
                <w:color w:val="FF0000"/>
                <w:sz w:val="17"/>
                <w:szCs w:val="17"/>
              </w:rPr>
            </w:pPr>
            <w:r w:rsidRPr="00003AD0">
              <w:rPr>
                <w:rFonts w:ascii="Arial" w:hAnsi="Arial"/>
                <w:color w:val="auto"/>
                <w:sz w:val="17"/>
                <w:szCs w:val="17"/>
              </w:rPr>
              <w:t>Capital projects/asset investment programs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6" w:type="pct"/>
          </w:tcPr>
          <w:p w:rsidR="00A83C4E" w:rsidRPr="00003AD0" w:rsidRDefault="00A83C4E" w:rsidP="00AC76C3">
            <w:pPr>
              <w:pStyle w:val="Reference"/>
              <w:rPr>
                <w:rFonts w:ascii="Arial" w:hAnsi="Arial"/>
                <w:color w:val="auto"/>
                <w:sz w:val="17"/>
                <w:szCs w:val="17"/>
              </w:rPr>
            </w:pPr>
            <w:r w:rsidRPr="00003AD0">
              <w:rPr>
                <w:rFonts w:ascii="Arial" w:hAnsi="Arial"/>
                <w:color w:val="auto"/>
                <w:sz w:val="17"/>
                <w:szCs w:val="17"/>
              </w:rPr>
              <w:t>Recommendation 19, PAEC Report on 2015-16 Financial and Performance Outcome report</w:t>
            </w:r>
          </w:p>
          <w:p w:rsidR="00A83C4E" w:rsidRPr="00003AD0" w:rsidRDefault="00A83C4E" w:rsidP="00AC76C3">
            <w:pPr>
              <w:pStyle w:val="Reference"/>
              <w:rPr>
                <w:rFonts w:ascii="Arial" w:hAnsi="Arial"/>
                <w:color w:val="auto"/>
                <w:sz w:val="17"/>
                <w:szCs w:val="17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</w:tcPr>
          <w:p w:rsidR="00A83C4E" w:rsidRPr="00003AD0" w:rsidRDefault="00A83C4E" w:rsidP="00A83C4E">
            <w:pPr>
              <w:pStyle w:val="Tabletext"/>
              <w:numPr>
                <w:ilvl w:val="0"/>
                <w:numId w:val="24"/>
              </w:numPr>
              <w:ind w:left="340" w:hanging="227"/>
              <w:rPr>
                <w:rFonts w:ascii="Arial" w:hAnsi="Arial"/>
                <w:iCs/>
                <w:szCs w:val="17"/>
              </w:rPr>
            </w:pPr>
            <w:r>
              <w:rPr>
                <w:rFonts w:ascii="Arial" w:hAnsi="Arial" w:cs="Arial"/>
                <w:szCs w:val="17"/>
              </w:rPr>
              <w:t>E</w:t>
            </w:r>
            <w:r w:rsidRPr="00003AD0">
              <w:rPr>
                <w:rFonts w:ascii="Arial" w:hAnsi="Arial" w:cs="Arial"/>
                <w:szCs w:val="17"/>
              </w:rPr>
              <w:t xml:space="preserve">xplanations </w:t>
            </w:r>
            <w:r>
              <w:rPr>
                <w:rFonts w:ascii="Arial" w:hAnsi="Arial" w:cs="Arial"/>
                <w:szCs w:val="17"/>
              </w:rPr>
              <w:t xml:space="preserve">are </w:t>
            </w:r>
            <w:r w:rsidRPr="00003AD0">
              <w:rPr>
                <w:rFonts w:ascii="Arial" w:hAnsi="Arial" w:cs="Arial"/>
                <w:szCs w:val="17"/>
              </w:rPr>
              <w:t>required for changes in</w:t>
            </w:r>
            <w:r>
              <w:rPr>
                <w:rFonts w:ascii="Arial" w:hAnsi="Arial" w:cs="Arial"/>
                <w:szCs w:val="17"/>
              </w:rPr>
              <w:t xml:space="preserve"> the</w:t>
            </w:r>
            <w:r w:rsidRPr="00003AD0">
              <w:rPr>
                <w:rFonts w:ascii="Arial" w:hAnsi="Arial" w:cs="Arial"/>
                <w:szCs w:val="17"/>
              </w:rPr>
              <w:t xml:space="preserve"> practical completion date</w:t>
            </w:r>
            <w:r w:rsidR="00754BA6">
              <w:rPr>
                <w:rFonts w:ascii="Arial" w:hAnsi="Arial" w:cs="Arial"/>
                <w:szCs w:val="17"/>
              </w:rPr>
              <w:t xml:space="preserve"> of capital projects</w:t>
            </w:r>
            <w:r>
              <w:rPr>
                <w:rFonts w:ascii="Arial" w:hAnsi="Arial" w:cs="Arial"/>
                <w:szCs w:val="17"/>
              </w:rPr>
              <w:t>; and</w:t>
            </w:r>
          </w:p>
          <w:p w:rsidR="00A83C4E" w:rsidRPr="00AC76C3" w:rsidRDefault="00A83C4E" w:rsidP="00A83C4E">
            <w:pPr>
              <w:pStyle w:val="Tabletext"/>
              <w:numPr>
                <w:ilvl w:val="0"/>
                <w:numId w:val="24"/>
              </w:numPr>
              <w:ind w:left="340" w:hanging="227"/>
              <w:rPr>
                <w:rFonts w:ascii="Arial" w:hAnsi="Arial" w:cs="Arial"/>
                <w:szCs w:val="17"/>
              </w:rPr>
            </w:pPr>
            <w:r>
              <w:rPr>
                <w:rFonts w:ascii="Arial" w:hAnsi="Arial" w:cs="Arial"/>
                <w:szCs w:val="17"/>
              </w:rPr>
              <w:t>Changes in total investment between practical completion date and financial completion date when</w:t>
            </w:r>
            <w:r w:rsidRPr="00003AD0">
              <w:rPr>
                <w:rFonts w:ascii="Arial" w:hAnsi="Arial" w:cs="Arial"/>
                <w:szCs w:val="17"/>
              </w:rPr>
              <w:t xml:space="preserve"> there is a material variances </w:t>
            </w:r>
            <w:r>
              <w:rPr>
                <w:rFonts w:ascii="Arial" w:hAnsi="Arial" w:cs="Arial"/>
                <w:szCs w:val="17"/>
              </w:rPr>
              <w:t xml:space="preserve">that </w:t>
            </w:r>
            <w:r w:rsidRPr="00003AD0">
              <w:rPr>
                <w:rFonts w:ascii="Arial" w:hAnsi="Arial" w:cs="Arial"/>
                <w:szCs w:val="17"/>
              </w:rPr>
              <w:t>greater than 5% or greater than $50 million increase or decrease for projects that have been reported in a previous reporting period as practically complete</w:t>
            </w:r>
            <w:r>
              <w:rPr>
                <w:rFonts w:ascii="Arial" w:hAnsi="Arial" w:cs="Arial"/>
                <w:szCs w:val="17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6" w:type="pct"/>
          </w:tcPr>
          <w:p w:rsidR="00A83C4E" w:rsidRPr="00AC76C3" w:rsidRDefault="00A83C4E" w:rsidP="00AC76C3">
            <w:pPr>
              <w:pStyle w:val="Tabletextcentred"/>
              <w:rPr>
                <w:rFonts w:ascii="Arial" w:hAnsi="Arial" w:cs="Arial"/>
                <w:szCs w:val="17"/>
                <w:highlight w:val="yellow"/>
              </w:rPr>
            </w:pPr>
            <w:r w:rsidRPr="00AC76C3">
              <w:rPr>
                <w:rFonts w:ascii="Arial" w:hAnsi="Arial" w:cs="Arial"/>
                <w:szCs w:val="17"/>
              </w:rPr>
              <w:t>28-29</w:t>
            </w:r>
          </w:p>
        </w:tc>
      </w:tr>
      <w:tr w:rsidR="00A83C4E" w:rsidRPr="00DF5908" w:rsidTr="007800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</w:tcPr>
          <w:p w:rsidR="00A83C4E" w:rsidRPr="0050705C" w:rsidRDefault="00A83C4E" w:rsidP="00AC76C3">
            <w:pPr>
              <w:pStyle w:val="Reference"/>
              <w:rPr>
                <w:rFonts w:ascii="Arial" w:hAnsi="Arial"/>
                <w:color w:val="D50032"/>
                <w:sz w:val="17"/>
                <w:szCs w:val="17"/>
              </w:rPr>
            </w:pPr>
            <w:r w:rsidRPr="0050705C">
              <w:rPr>
                <w:rFonts w:ascii="Arial" w:hAnsi="Arial"/>
                <w:color w:val="D50032"/>
                <w:sz w:val="17"/>
                <w:szCs w:val="17"/>
              </w:rPr>
              <w:t>[Revised]</w:t>
            </w:r>
          </w:p>
          <w:p w:rsidR="00A83C4E" w:rsidRPr="00003AD0" w:rsidRDefault="00A83C4E" w:rsidP="00AC76C3">
            <w:pPr>
              <w:pStyle w:val="Reference"/>
              <w:rPr>
                <w:rFonts w:ascii="Arial" w:hAnsi="Arial"/>
                <w:color w:val="FF0000"/>
                <w:sz w:val="17"/>
                <w:szCs w:val="17"/>
              </w:rPr>
            </w:pPr>
            <w:r w:rsidRPr="00003AD0">
              <w:rPr>
                <w:rFonts w:ascii="Arial" w:hAnsi="Arial"/>
                <w:color w:val="auto"/>
                <w:sz w:val="17"/>
                <w:szCs w:val="17"/>
              </w:rPr>
              <w:t xml:space="preserve">Audit Committee membership and roles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6" w:type="pct"/>
          </w:tcPr>
          <w:p w:rsidR="00A83C4E" w:rsidRPr="00003AD0" w:rsidRDefault="00A83C4E" w:rsidP="00AC76C3">
            <w:pPr>
              <w:pStyle w:val="Reference"/>
              <w:rPr>
                <w:rFonts w:ascii="Arial" w:hAnsi="Arial"/>
                <w:color w:val="auto"/>
                <w:sz w:val="17"/>
                <w:szCs w:val="17"/>
              </w:rPr>
            </w:pPr>
            <w:r w:rsidRPr="00003AD0">
              <w:rPr>
                <w:rFonts w:ascii="Arial" w:hAnsi="Arial"/>
                <w:color w:val="auto"/>
                <w:sz w:val="17"/>
                <w:szCs w:val="17"/>
              </w:rPr>
              <w:t>SD 3.2.1.1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</w:tcPr>
          <w:p w:rsidR="00A83C4E" w:rsidRPr="00AC76C3" w:rsidRDefault="00A83C4E" w:rsidP="00AC76C3">
            <w:pPr>
              <w:pStyle w:val="Tabletext"/>
              <w:rPr>
                <w:rFonts w:ascii="Arial" w:hAnsi="Arial" w:cs="Arial"/>
                <w:szCs w:val="17"/>
              </w:rPr>
            </w:pPr>
            <w:r>
              <w:rPr>
                <w:rFonts w:ascii="Arial" w:hAnsi="Arial" w:cs="Arial"/>
                <w:szCs w:val="17"/>
              </w:rPr>
              <w:t>The</w:t>
            </w:r>
            <w:r w:rsidRPr="00003AD0">
              <w:rPr>
                <w:rFonts w:ascii="Arial" w:hAnsi="Arial" w:cs="Arial"/>
                <w:szCs w:val="17"/>
              </w:rPr>
              <w:t xml:space="preserve"> section </w:t>
            </w:r>
            <w:r>
              <w:rPr>
                <w:rFonts w:ascii="Arial" w:hAnsi="Arial" w:cs="Arial"/>
                <w:szCs w:val="17"/>
              </w:rPr>
              <w:t xml:space="preserve">has been amended </w:t>
            </w:r>
            <w:r w:rsidRPr="00003AD0">
              <w:rPr>
                <w:rFonts w:ascii="Arial" w:hAnsi="Arial" w:cs="Arial"/>
                <w:szCs w:val="17"/>
              </w:rPr>
              <w:t xml:space="preserve">to </w:t>
            </w:r>
            <w:r w:rsidRPr="003A6F4D">
              <w:rPr>
                <w:rFonts w:ascii="Arial" w:hAnsi="Arial" w:cs="Arial"/>
                <w:szCs w:val="17"/>
              </w:rPr>
              <w:t>incl</w:t>
            </w:r>
            <w:r>
              <w:rPr>
                <w:rFonts w:ascii="Arial" w:hAnsi="Arial" w:cs="Arial"/>
                <w:szCs w:val="17"/>
              </w:rPr>
              <w:t>ude two additional responsibilities of the audit committee (maintain effective communication with external auditors and consider recommendations from internal and external auditors) which were not specified in 2016-17 Model.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6" w:type="pct"/>
          </w:tcPr>
          <w:p w:rsidR="00A83C4E" w:rsidRPr="00AC76C3" w:rsidRDefault="00A83C4E" w:rsidP="00AC76C3">
            <w:pPr>
              <w:pStyle w:val="Tabletextcentred"/>
              <w:rPr>
                <w:rFonts w:ascii="Arial" w:hAnsi="Arial" w:cs="Arial"/>
                <w:szCs w:val="17"/>
              </w:rPr>
            </w:pPr>
            <w:r w:rsidRPr="00AC76C3">
              <w:rPr>
                <w:rFonts w:ascii="Arial" w:hAnsi="Arial" w:cs="Arial"/>
                <w:szCs w:val="17"/>
              </w:rPr>
              <w:t>35</w:t>
            </w:r>
          </w:p>
        </w:tc>
      </w:tr>
      <w:tr w:rsidR="00A83C4E" w:rsidRPr="00DF5908" w:rsidTr="00780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</w:tcPr>
          <w:p w:rsidR="00A83C4E" w:rsidRPr="0050705C" w:rsidRDefault="00A83C4E" w:rsidP="00AC76C3">
            <w:pPr>
              <w:pStyle w:val="Reference"/>
              <w:rPr>
                <w:rFonts w:ascii="Arial" w:hAnsi="Arial"/>
                <w:color w:val="D50032"/>
                <w:sz w:val="17"/>
                <w:szCs w:val="17"/>
              </w:rPr>
            </w:pPr>
            <w:r w:rsidRPr="0050705C">
              <w:rPr>
                <w:rFonts w:ascii="Arial" w:hAnsi="Arial"/>
                <w:color w:val="D50032"/>
                <w:sz w:val="17"/>
                <w:szCs w:val="17"/>
              </w:rPr>
              <w:t>[Revised]</w:t>
            </w:r>
          </w:p>
          <w:p w:rsidR="00A83C4E" w:rsidRPr="00003AD0" w:rsidRDefault="00A83C4E" w:rsidP="00AC76C3">
            <w:pPr>
              <w:pStyle w:val="Reference"/>
              <w:rPr>
                <w:rFonts w:ascii="Arial" w:hAnsi="Arial"/>
                <w:color w:val="FF0000"/>
                <w:sz w:val="17"/>
                <w:szCs w:val="17"/>
              </w:rPr>
            </w:pPr>
            <w:r w:rsidRPr="00003AD0">
              <w:rPr>
                <w:rFonts w:ascii="Arial" w:hAnsi="Arial"/>
                <w:color w:val="auto"/>
                <w:sz w:val="17"/>
                <w:szCs w:val="17"/>
              </w:rPr>
              <w:t>Incident management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6" w:type="pct"/>
          </w:tcPr>
          <w:p w:rsidR="00A83C4E" w:rsidRPr="00003AD0" w:rsidRDefault="00A83C4E" w:rsidP="00AC76C3">
            <w:pPr>
              <w:pStyle w:val="Reference"/>
              <w:rPr>
                <w:rFonts w:ascii="Arial" w:hAnsi="Arial"/>
                <w:color w:val="auto"/>
                <w:sz w:val="17"/>
                <w:szCs w:val="17"/>
              </w:rPr>
            </w:pPr>
            <w:r w:rsidRPr="00003AD0">
              <w:rPr>
                <w:rFonts w:ascii="Arial" w:hAnsi="Arial"/>
                <w:color w:val="auto"/>
                <w:sz w:val="17"/>
                <w:szCs w:val="17"/>
              </w:rPr>
              <w:t>General improvement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</w:tcPr>
          <w:p w:rsidR="00A83C4E" w:rsidRPr="003A6F4D" w:rsidRDefault="00A83C4E" w:rsidP="00AC76C3">
            <w:pPr>
              <w:pStyle w:val="Tabletext"/>
              <w:rPr>
                <w:rFonts w:ascii="Arial" w:hAnsi="Arial" w:cs="Arial"/>
                <w:szCs w:val="17"/>
              </w:rPr>
            </w:pPr>
            <w:r w:rsidRPr="00003AD0">
              <w:rPr>
                <w:rFonts w:ascii="Arial" w:hAnsi="Arial" w:cs="Arial"/>
                <w:szCs w:val="17"/>
              </w:rPr>
              <w:t>A</w:t>
            </w:r>
            <w:r>
              <w:rPr>
                <w:rFonts w:ascii="Arial" w:hAnsi="Arial" w:cs="Arial"/>
                <w:szCs w:val="17"/>
              </w:rPr>
              <w:t>n</w:t>
            </w:r>
            <w:r w:rsidRPr="00003AD0">
              <w:rPr>
                <w:rFonts w:ascii="Arial" w:hAnsi="Arial" w:cs="Arial"/>
                <w:szCs w:val="17"/>
              </w:rPr>
              <w:t xml:space="preserve"> </w:t>
            </w:r>
            <w:r>
              <w:rPr>
                <w:rFonts w:ascii="Arial" w:hAnsi="Arial" w:cs="Arial"/>
                <w:szCs w:val="17"/>
              </w:rPr>
              <w:t>example</w:t>
            </w:r>
            <w:r w:rsidRPr="00003AD0">
              <w:rPr>
                <w:rFonts w:ascii="Arial" w:hAnsi="Arial" w:cs="Arial"/>
                <w:szCs w:val="17"/>
              </w:rPr>
              <w:t xml:space="preserve"> of </w:t>
            </w:r>
            <w:r>
              <w:rPr>
                <w:rFonts w:ascii="Arial" w:hAnsi="Arial" w:cs="Arial"/>
                <w:szCs w:val="17"/>
              </w:rPr>
              <w:t xml:space="preserve">an </w:t>
            </w:r>
            <w:r w:rsidRPr="00003AD0">
              <w:rPr>
                <w:rFonts w:ascii="Arial" w:hAnsi="Arial" w:cs="Arial"/>
                <w:szCs w:val="17"/>
              </w:rPr>
              <w:t xml:space="preserve">incident management indicator has been </w:t>
            </w:r>
            <w:r>
              <w:rPr>
                <w:rFonts w:ascii="Arial" w:hAnsi="Arial" w:cs="Arial"/>
                <w:szCs w:val="17"/>
              </w:rPr>
              <w:t>illustrated</w:t>
            </w:r>
            <w:r w:rsidRPr="00003AD0">
              <w:rPr>
                <w:rFonts w:ascii="Arial" w:hAnsi="Arial" w:cs="Arial"/>
                <w:szCs w:val="17"/>
              </w:rPr>
              <w:t xml:space="preserve"> </w:t>
            </w:r>
            <w:r>
              <w:rPr>
                <w:rFonts w:ascii="Arial" w:hAnsi="Arial" w:cs="Arial"/>
                <w:szCs w:val="17"/>
              </w:rPr>
              <w:t>in</w:t>
            </w:r>
            <w:r w:rsidRPr="00003AD0">
              <w:rPr>
                <w:rFonts w:ascii="Arial" w:hAnsi="Arial" w:cs="Arial"/>
                <w:szCs w:val="17"/>
              </w:rPr>
              <w:t xml:space="preserve"> the section </w:t>
            </w:r>
            <w:r>
              <w:rPr>
                <w:rFonts w:ascii="Arial" w:hAnsi="Arial" w:cs="Arial"/>
                <w:szCs w:val="17"/>
              </w:rPr>
              <w:t>as best practice to comply</w:t>
            </w:r>
            <w:r w:rsidRPr="00003AD0">
              <w:rPr>
                <w:rFonts w:ascii="Arial" w:hAnsi="Arial" w:cs="Arial"/>
                <w:szCs w:val="17"/>
              </w:rPr>
              <w:t xml:space="preserve"> </w:t>
            </w:r>
            <w:r>
              <w:rPr>
                <w:rFonts w:ascii="Arial" w:hAnsi="Arial" w:cs="Arial"/>
                <w:szCs w:val="17"/>
              </w:rPr>
              <w:t xml:space="preserve">with </w:t>
            </w:r>
            <w:r w:rsidRPr="00AC76C3">
              <w:rPr>
                <w:rFonts w:ascii="Arial" w:hAnsi="Arial" w:cs="Arial"/>
                <w:szCs w:val="17"/>
              </w:rPr>
              <w:t>the incident management disclosure</w:t>
            </w:r>
            <w:r>
              <w:rPr>
                <w:rFonts w:ascii="Arial" w:hAnsi="Arial" w:cs="Arial"/>
                <w:szCs w:val="17"/>
              </w:rPr>
              <w:t xml:space="preserve"> requirements</w:t>
            </w:r>
            <w:r w:rsidRPr="00F6329D">
              <w:rPr>
                <w:rFonts w:ascii="Arial" w:hAnsi="Arial" w:cs="Arial"/>
                <w:szCs w:val="17"/>
              </w:rPr>
              <w:t xml:space="preserve">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6" w:type="pct"/>
          </w:tcPr>
          <w:p w:rsidR="00A83C4E" w:rsidRPr="00AC76C3" w:rsidRDefault="00A83C4E" w:rsidP="00AC76C3">
            <w:pPr>
              <w:pStyle w:val="Tabletextcentred"/>
              <w:rPr>
                <w:rFonts w:ascii="Arial" w:hAnsi="Arial" w:cs="Arial"/>
                <w:szCs w:val="17"/>
              </w:rPr>
            </w:pPr>
            <w:r w:rsidRPr="00AC76C3">
              <w:rPr>
                <w:rFonts w:ascii="Arial" w:hAnsi="Arial" w:cs="Arial"/>
                <w:szCs w:val="17"/>
              </w:rPr>
              <w:t>35</w:t>
            </w:r>
          </w:p>
        </w:tc>
      </w:tr>
      <w:tr w:rsidR="00A83C4E" w:rsidRPr="00DF5908" w:rsidTr="007800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</w:tcPr>
          <w:p w:rsidR="00A83C4E" w:rsidRPr="0050705C" w:rsidRDefault="00A83C4E" w:rsidP="00AC76C3">
            <w:pPr>
              <w:pStyle w:val="Reference"/>
              <w:rPr>
                <w:rFonts w:ascii="Arial" w:hAnsi="Arial"/>
                <w:color w:val="D50032"/>
                <w:sz w:val="17"/>
                <w:szCs w:val="17"/>
              </w:rPr>
            </w:pPr>
            <w:r w:rsidRPr="0050705C">
              <w:rPr>
                <w:rFonts w:ascii="Arial" w:hAnsi="Arial"/>
                <w:color w:val="D50032"/>
                <w:sz w:val="17"/>
                <w:szCs w:val="17"/>
              </w:rPr>
              <w:t xml:space="preserve">[Revised] </w:t>
            </w:r>
          </w:p>
          <w:p w:rsidR="00A83C4E" w:rsidRPr="00003AD0" w:rsidRDefault="00A83C4E" w:rsidP="00AC76C3">
            <w:pPr>
              <w:pStyle w:val="Reference"/>
              <w:rPr>
                <w:rFonts w:ascii="Arial" w:hAnsi="Arial"/>
                <w:color w:val="FF0000"/>
                <w:sz w:val="17"/>
                <w:szCs w:val="17"/>
              </w:rPr>
            </w:pPr>
            <w:r w:rsidRPr="00003AD0">
              <w:rPr>
                <w:rFonts w:ascii="Arial" w:hAnsi="Arial"/>
                <w:color w:val="auto"/>
                <w:sz w:val="17"/>
                <w:szCs w:val="17"/>
              </w:rPr>
              <w:t>Reporting towards The Department’s performance against OH&amp;S management measures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6" w:type="pct"/>
          </w:tcPr>
          <w:p w:rsidR="00A83C4E" w:rsidRPr="00003AD0" w:rsidRDefault="00A83C4E" w:rsidP="00AC76C3">
            <w:pPr>
              <w:pStyle w:val="Reference"/>
              <w:rPr>
                <w:rFonts w:ascii="Arial" w:hAnsi="Arial"/>
                <w:color w:val="auto"/>
                <w:sz w:val="17"/>
                <w:szCs w:val="17"/>
              </w:rPr>
            </w:pPr>
            <w:r w:rsidRPr="00003AD0">
              <w:rPr>
                <w:rFonts w:ascii="Arial" w:hAnsi="Arial"/>
                <w:color w:val="auto"/>
                <w:sz w:val="17"/>
                <w:szCs w:val="17"/>
              </w:rPr>
              <w:t>General improvement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</w:tcPr>
          <w:p w:rsidR="00A83C4E" w:rsidRPr="00AC76C3" w:rsidRDefault="00A83C4E" w:rsidP="00AC76C3">
            <w:pPr>
              <w:pStyle w:val="Tabletext"/>
              <w:rPr>
                <w:rFonts w:ascii="Arial" w:hAnsi="Arial" w:cs="Arial"/>
                <w:szCs w:val="17"/>
              </w:rPr>
            </w:pPr>
            <w:r w:rsidRPr="00003AD0">
              <w:rPr>
                <w:rFonts w:ascii="Arial" w:hAnsi="Arial" w:cs="Arial"/>
                <w:szCs w:val="17"/>
              </w:rPr>
              <w:t>Additional examples of OH&amp;S</w:t>
            </w:r>
            <w:r w:rsidR="0050705C">
              <w:rPr>
                <w:rFonts w:ascii="Arial" w:hAnsi="Arial" w:cs="Arial"/>
                <w:szCs w:val="17"/>
              </w:rPr>
              <w:t xml:space="preserve"> </w:t>
            </w:r>
            <w:r w:rsidRPr="00003AD0">
              <w:rPr>
                <w:rFonts w:ascii="Arial" w:hAnsi="Arial" w:cs="Arial"/>
                <w:szCs w:val="17"/>
              </w:rPr>
              <w:t xml:space="preserve">performance indicators </w:t>
            </w:r>
            <w:r w:rsidRPr="003A6F4D">
              <w:rPr>
                <w:rFonts w:ascii="Arial" w:hAnsi="Arial" w:cs="Arial"/>
                <w:szCs w:val="17"/>
              </w:rPr>
              <w:t xml:space="preserve">have been </w:t>
            </w:r>
            <w:r w:rsidRPr="00AC76C3">
              <w:rPr>
                <w:rFonts w:ascii="Arial" w:hAnsi="Arial" w:cs="Arial"/>
                <w:szCs w:val="17"/>
              </w:rPr>
              <w:t>included to</w:t>
            </w:r>
            <w:r>
              <w:rPr>
                <w:rFonts w:ascii="Arial" w:hAnsi="Arial" w:cs="Arial"/>
                <w:szCs w:val="17"/>
              </w:rPr>
              <w:t xml:space="preserve"> assist preparers with </w:t>
            </w:r>
            <w:r w:rsidRPr="00F6329D">
              <w:rPr>
                <w:rFonts w:ascii="Arial" w:hAnsi="Arial" w:cs="Arial"/>
                <w:szCs w:val="17"/>
              </w:rPr>
              <w:t>the</w:t>
            </w:r>
            <w:r w:rsidRPr="003A6F4D">
              <w:rPr>
                <w:rFonts w:ascii="Arial" w:hAnsi="Arial" w:cs="Arial"/>
                <w:szCs w:val="17"/>
              </w:rPr>
              <w:t>ir</w:t>
            </w:r>
            <w:r w:rsidRPr="00AC76C3">
              <w:rPr>
                <w:rFonts w:ascii="Arial" w:hAnsi="Arial" w:cs="Arial"/>
                <w:szCs w:val="17"/>
              </w:rPr>
              <w:t xml:space="preserve"> disclosures against OH&amp;S reporting requirements </w:t>
            </w:r>
            <w:r>
              <w:rPr>
                <w:rFonts w:ascii="Arial" w:hAnsi="Arial" w:cs="Arial"/>
                <w:szCs w:val="17"/>
              </w:rPr>
              <w:t>as required by</w:t>
            </w:r>
            <w:r w:rsidRPr="00F6329D">
              <w:rPr>
                <w:rFonts w:ascii="Arial" w:hAnsi="Arial" w:cs="Arial"/>
                <w:szCs w:val="17"/>
              </w:rPr>
              <w:t xml:space="preserve"> </w:t>
            </w:r>
            <w:r w:rsidRPr="003A6F4D">
              <w:rPr>
                <w:rFonts w:ascii="Arial" w:hAnsi="Arial" w:cs="Arial"/>
                <w:szCs w:val="17"/>
              </w:rPr>
              <w:t>FRD 22H</w:t>
            </w:r>
            <w:r w:rsidRPr="00AC76C3">
              <w:rPr>
                <w:rFonts w:ascii="Arial" w:hAnsi="Arial" w:cs="Arial"/>
                <w:szCs w:val="17"/>
              </w:rPr>
              <w:t xml:space="preserve"> </w:t>
            </w:r>
            <w:r w:rsidRPr="00AC76C3">
              <w:rPr>
                <w:rFonts w:ascii="Arial" w:hAnsi="Arial" w:cs="Arial"/>
                <w:i/>
                <w:szCs w:val="17"/>
              </w:rPr>
              <w:t xml:space="preserve">Standard disclosures in the </w:t>
            </w:r>
            <w:r>
              <w:rPr>
                <w:rFonts w:ascii="Arial" w:hAnsi="Arial" w:cs="Arial"/>
                <w:i/>
                <w:szCs w:val="17"/>
              </w:rPr>
              <w:t>R</w:t>
            </w:r>
            <w:r w:rsidRPr="00F6329D">
              <w:rPr>
                <w:rFonts w:ascii="Arial" w:hAnsi="Arial" w:cs="Arial"/>
                <w:i/>
                <w:szCs w:val="17"/>
              </w:rPr>
              <w:t xml:space="preserve">eport of </w:t>
            </w:r>
            <w:r>
              <w:rPr>
                <w:rFonts w:ascii="Arial" w:hAnsi="Arial" w:cs="Arial"/>
                <w:i/>
                <w:szCs w:val="17"/>
              </w:rPr>
              <w:t>O</w:t>
            </w:r>
            <w:r w:rsidRPr="00F6329D">
              <w:rPr>
                <w:rFonts w:ascii="Arial" w:hAnsi="Arial" w:cs="Arial"/>
                <w:i/>
                <w:szCs w:val="17"/>
              </w:rPr>
              <w:t>peration</w:t>
            </w:r>
            <w:r>
              <w:rPr>
                <w:rFonts w:ascii="Arial" w:hAnsi="Arial" w:cs="Arial"/>
                <w:i/>
                <w:szCs w:val="17"/>
              </w:rPr>
              <w:t>s</w:t>
            </w:r>
            <w:r w:rsidRPr="00AC76C3">
              <w:rPr>
                <w:rFonts w:ascii="Arial" w:hAnsi="Arial" w:cs="Arial"/>
                <w:szCs w:val="17"/>
              </w:rPr>
              <w:t xml:space="preserve">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6" w:type="pct"/>
          </w:tcPr>
          <w:p w:rsidR="00A83C4E" w:rsidRPr="00AC76C3" w:rsidRDefault="00A83C4E" w:rsidP="00AC76C3">
            <w:pPr>
              <w:pStyle w:val="Tabletextcentred"/>
              <w:rPr>
                <w:rFonts w:ascii="Arial" w:hAnsi="Arial" w:cs="Arial"/>
                <w:szCs w:val="17"/>
              </w:rPr>
            </w:pPr>
            <w:r w:rsidRPr="00AC76C3">
              <w:rPr>
                <w:rFonts w:ascii="Arial" w:hAnsi="Arial" w:cs="Arial"/>
                <w:szCs w:val="17"/>
              </w:rPr>
              <w:t>39</w:t>
            </w:r>
          </w:p>
        </w:tc>
      </w:tr>
      <w:tr w:rsidR="00A83C4E" w:rsidRPr="00DF5908" w:rsidTr="00780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</w:tcPr>
          <w:p w:rsidR="00A83C4E" w:rsidRPr="0050705C" w:rsidRDefault="00A83C4E" w:rsidP="00AC76C3">
            <w:pPr>
              <w:pStyle w:val="Reference"/>
              <w:rPr>
                <w:rFonts w:ascii="Arial" w:hAnsi="Arial"/>
                <w:color w:val="D50032"/>
                <w:sz w:val="17"/>
                <w:szCs w:val="17"/>
              </w:rPr>
            </w:pPr>
            <w:r w:rsidRPr="0050705C">
              <w:rPr>
                <w:rFonts w:ascii="Arial" w:hAnsi="Arial"/>
                <w:color w:val="D50032"/>
                <w:sz w:val="17"/>
                <w:szCs w:val="17"/>
              </w:rPr>
              <w:t>[Revised]</w:t>
            </w:r>
          </w:p>
          <w:p w:rsidR="00A83C4E" w:rsidRPr="00003AD0" w:rsidRDefault="00A83C4E" w:rsidP="00AC76C3">
            <w:pPr>
              <w:pStyle w:val="Reference"/>
              <w:rPr>
                <w:rFonts w:ascii="Arial" w:hAnsi="Arial"/>
                <w:color w:val="FF0000"/>
                <w:sz w:val="17"/>
                <w:szCs w:val="17"/>
              </w:rPr>
            </w:pPr>
            <w:r w:rsidRPr="00003AD0">
              <w:rPr>
                <w:rFonts w:ascii="Arial" w:hAnsi="Arial"/>
                <w:color w:val="auto"/>
                <w:sz w:val="17"/>
                <w:szCs w:val="17"/>
              </w:rPr>
              <w:t>Workforce data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6" w:type="pct"/>
          </w:tcPr>
          <w:p w:rsidR="00A83C4E" w:rsidRPr="00003AD0" w:rsidRDefault="00A83C4E" w:rsidP="00AC76C3">
            <w:pPr>
              <w:pStyle w:val="Reference"/>
              <w:rPr>
                <w:rFonts w:ascii="Arial" w:hAnsi="Arial"/>
                <w:color w:val="auto"/>
                <w:sz w:val="17"/>
                <w:szCs w:val="17"/>
              </w:rPr>
            </w:pPr>
            <w:r w:rsidRPr="00003AD0">
              <w:rPr>
                <w:rFonts w:ascii="Arial" w:hAnsi="Arial"/>
                <w:color w:val="auto"/>
                <w:sz w:val="17"/>
                <w:szCs w:val="17"/>
              </w:rPr>
              <w:t>FRD 29C</w:t>
            </w:r>
            <w:r w:rsidR="00713DA8">
              <w:rPr>
                <w:rFonts w:ascii="Arial" w:hAnsi="Arial"/>
                <w:color w:val="auto"/>
                <w:sz w:val="17"/>
                <w:szCs w:val="17"/>
              </w:rPr>
              <w:t xml:space="preserve"> </w:t>
            </w:r>
            <w:r w:rsidR="00713DA8" w:rsidRPr="00713DA8">
              <w:rPr>
                <w:rFonts w:ascii="Arial" w:hAnsi="Arial"/>
                <w:i/>
                <w:color w:val="auto"/>
                <w:sz w:val="17"/>
                <w:szCs w:val="17"/>
              </w:rPr>
              <w:t>Workforce data disclosures in the Report of Operations</w:t>
            </w:r>
            <w:r w:rsidR="0050705C">
              <w:rPr>
                <w:rFonts w:ascii="Arial" w:hAnsi="Arial"/>
                <w:i/>
                <w:color w:val="auto"/>
                <w:sz w:val="17"/>
                <w:szCs w:val="17"/>
              </w:rPr>
              <w:t xml:space="preserve"> – </w:t>
            </w:r>
            <w:r w:rsidR="00713DA8" w:rsidRPr="00713DA8">
              <w:rPr>
                <w:rFonts w:ascii="Arial" w:hAnsi="Arial"/>
                <w:i/>
                <w:color w:val="auto"/>
                <w:sz w:val="17"/>
                <w:szCs w:val="17"/>
              </w:rPr>
              <w:t>Public Service Employees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</w:tcPr>
          <w:p w:rsidR="00A83C4E" w:rsidRPr="00AC76C3" w:rsidRDefault="00A83C4E" w:rsidP="00AC76C3">
            <w:pPr>
              <w:pStyle w:val="Tabletext"/>
              <w:rPr>
                <w:rFonts w:ascii="Arial" w:hAnsi="Arial" w:cs="Arial"/>
                <w:szCs w:val="17"/>
              </w:rPr>
            </w:pPr>
            <w:r w:rsidRPr="00003AD0">
              <w:rPr>
                <w:rFonts w:ascii="Arial" w:hAnsi="Arial" w:cs="Arial"/>
                <w:szCs w:val="17"/>
              </w:rPr>
              <w:t xml:space="preserve">Table 1 has been revised to recognise gender diverse staff by </w:t>
            </w:r>
            <w:r w:rsidRPr="000877D4">
              <w:rPr>
                <w:rFonts w:ascii="Arial" w:hAnsi="Arial" w:cs="Arial"/>
                <w:szCs w:val="17"/>
              </w:rPr>
              <w:t>includ</w:t>
            </w:r>
            <w:r w:rsidRPr="00F6329D">
              <w:rPr>
                <w:rFonts w:ascii="Arial" w:hAnsi="Arial" w:cs="Arial"/>
                <w:szCs w:val="17"/>
              </w:rPr>
              <w:t>ing</w:t>
            </w:r>
            <w:r w:rsidRPr="003A6F4D">
              <w:rPr>
                <w:rFonts w:ascii="Arial" w:hAnsi="Arial" w:cs="Arial"/>
                <w:szCs w:val="17"/>
              </w:rPr>
              <w:t xml:space="preserve"> </w:t>
            </w:r>
            <w:r w:rsidR="0050705C">
              <w:rPr>
                <w:rFonts w:ascii="Arial" w:hAnsi="Arial" w:cs="Arial"/>
                <w:szCs w:val="17"/>
              </w:rPr>
              <w:t>‘</w:t>
            </w:r>
            <w:r w:rsidRPr="003A6F4D">
              <w:rPr>
                <w:rFonts w:ascii="Arial" w:hAnsi="Arial" w:cs="Arial"/>
                <w:szCs w:val="17"/>
              </w:rPr>
              <w:t>Self-described</w:t>
            </w:r>
            <w:r w:rsidR="0050705C">
              <w:rPr>
                <w:rFonts w:ascii="Arial" w:hAnsi="Arial" w:cs="Arial"/>
                <w:szCs w:val="17"/>
              </w:rPr>
              <w:t>’</w:t>
            </w:r>
            <w:r w:rsidRPr="003A6F4D">
              <w:rPr>
                <w:rFonts w:ascii="Arial" w:hAnsi="Arial" w:cs="Arial"/>
                <w:szCs w:val="17"/>
              </w:rPr>
              <w:t xml:space="preserve"> as </w:t>
            </w:r>
            <w:r w:rsidRPr="00AC76C3">
              <w:rPr>
                <w:rFonts w:ascii="Arial" w:hAnsi="Arial" w:cs="Arial"/>
                <w:szCs w:val="17"/>
              </w:rPr>
              <w:t>a gender category to reflect the revisions in FRD</w:t>
            </w:r>
            <w:r w:rsidR="00DE0452">
              <w:rPr>
                <w:rFonts w:ascii="Arial" w:hAnsi="Arial" w:cs="Arial"/>
                <w:szCs w:val="17"/>
              </w:rPr>
              <w:t xml:space="preserve"> </w:t>
            </w:r>
            <w:r w:rsidRPr="00AC76C3">
              <w:rPr>
                <w:rFonts w:ascii="Arial" w:hAnsi="Arial" w:cs="Arial"/>
                <w:szCs w:val="17"/>
              </w:rPr>
              <w:t>29C.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6" w:type="pct"/>
          </w:tcPr>
          <w:p w:rsidR="00A83C4E" w:rsidRPr="00AC76C3" w:rsidRDefault="00A83C4E" w:rsidP="00AC76C3">
            <w:pPr>
              <w:pStyle w:val="Tabletextcentred"/>
              <w:rPr>
                <w:rFonts w:ascii="Arial" w:hAnsi="Arial" w:cs="Arial"/>
                <w:szCs w:val="17"/>
              </w:rPr>
            </w:pPr>
            <w:r w:rsidRPr="00AC76C3">
              <w:rPr>
                <w:rFonts w:ascii="Arial" w:hAnsi="Arial" w:cs="Arial"/>
                <w:szCs w:val="17"/>
              </w:rPr>
              <w:t>42</w:t>
            </w:r>
          </w:p>
        </w:tc>
      </w:tr>
      <w:tr w:rsidR="00A83C4E" w:rsidRPr="00DF5908" w:rsidTr="007800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</w:tcPr>
          <w:p w:rsidR="00A83C4E" w:rsidRPr="0050705C" w:rsidRDefault="00A83C4E" w:rsidP="00AC76C3">
            <w:pPr>
              <w:pStyle w:val="Reference"/>
              <w:rPr>
                <w:rFonts w:ascii="Arial" w:hAnsi="Arial"/>
                <w:color w:val="D50032"/>
                <w:sz w:val="17"/>
                <w:szCs w:val="17"/>
              </w:rPr>
            </w:pPr>
            <w:r w:rsidRPr="0050705C">
              <w:rPr>
                <w:rFonts w:ascii="Arial" w:hAnsi="Arial"/>
                <w:color w:val="D50032"/>
                <w:sz w:val="17"/>
                <w:szCs w:val="17"/>
              </w:rPr>
              <w:t>[Revised]</w:t>
            </w:r>
          </w:p>
          <w:p w:rsidR="00A83C4E" w:rsidRPr="00003AD0" w:rsidRDefault="00A83C4E" w:rsidP="00AC76C3">
            <w:pPr>
              <w:pStyle w:val="Reference"/>
              <w:rPr>
                <w:rFonts w:ascii="Arial" w:hAnsi="Arial"/>
                <w:color w:val="FF0000"/>
                <w:sz w:val="17"/>
                <w:szCs w:val="17"/>
              </w:rPr>
            </w:pPr>
            <w:r w:rsidRPr="00003AD0">
              <w:rPr>
                <w:rFonts w:ascii="Arial" w:hAnsi="Arial"/>
                <w:color w:val="auto"/>
                <w:sz w:val="17"/>
                <w:szCs w:val="17"/>
              </w:rPr>
              <w:t>Guidance – Workforce data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6" w:type="pct"/>
          </w:tcPr>
          <w:p w:rsidR="00A83C4E" w:rsidRPr="00003AD0" w:rsidRDefault="00A83C4E" w:rsidP="00AC76C3">
            <w:pPr>
              <w:pStyle w:val="Reference"/>
              <w:rPr>
                <w:rFonts w:ascii="Arial" w:hAnsi="Arial"/>
                <w:color w:val="auto"/>
                <w:sz w:val="17"/>
                <w:szCs w:val="17"/>
              </w:rPr>
            </w:pPr>
            <w:r w:rsidRPr="00003AD0">
              <w:rPr>
                <w:rFonts w:ascii="Arial" w:hAnsi="Arial"/>
                <w:color w:val="auto"/>
                <w:sz w:val="17"/>
                <w:szCs w:val="17"/>
              </w:rPr>
              <w:t>FRD 29C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</w:tcPr>
          <w:p w:rsidR="00A83C4E" w:rsidRPr="00AC76C3" w:rsidRDefault="00A83C4E" w:rsidP="00AC76C3">
            <w:pPr>
              <w:pStyle w:val="Tabletext"/>
              <w:rPr>
                <w:rFonts w:ascii="Arial" w:hAnsi="Arial" w:cs="Arial"/>
                <w:szCs w:val="17"/>
              </w:rPr>
            </w:pPr>
            <w:r w:rsidRPr="00003AD0">
              <w:rPr>
                <w:rFonts w:ascii="Arial" w:hAnsi="Arial" w:cs="Arial"/>
                <w:szCs w:val="17"/>
              </w:rPr>
              <w:t>The guidance has been amended to reflect the revisions</w:t>
            </w:r>
            <w:r w:rsidRPr="000877D4">
              <w:rPr>
                <w:rFonts w:ascii="Arial" w:hAnsi="Arial" w:cs="Arial"/>
                <w:szCs w:val="17"/>
              </w:rPr>
              <w:t xml:space="preserve"> </w:t>
            </w:r>
            <w:r w:rsidRPr="00F6329D">
              <w:rPr>
                <w:rFonts w:ascii="Arial" w:hAnsi="Arial" w:cs="Arial"/>
                <w:szCs w:val="17"/>
              </w:rPr>
              <w:t xml:space="preserve">to </w:t>
            </w:r>
            <w:r w:rsidRPr="003A6F4D">
              <w:rPr>
                <w:rFonts w:ascii="Arial" w:hAnsi="Arial" w:cs="Arial"/>
                <w:szCs w:val="17"/>
              </w:rPr>
              <w:t>FRD 29C</w:t>
            </w:r>
            <w:r w:rsidRPr="00AC76C3">
              <w:rPr>
                <w:rFonts w:ascii="Arial" w:hAnsi="Arial" w:cs="Arial"/>
                <w:szCs w:val="17"/>
              </w:rPr>
              <w:t>, which requires the disclosure of senior employee remuneration and the employee gender composition.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6" w:type="pct"/>
          </w:tcPr>
          <w:p w:rsidR="00A83C4E" w:rsidRPr="00AC76C3" w:rsidRDefault="00A83C4E" w:rsidP="00AC76C3">
            <w:pPr>
              <w:pStyle w:val="Tabletextcentred"/>
              <w:rPr>
                <w:rFonts w:ascii="Arial" w:hAnsi="Arial" w:cs="Arial"/>
                <w:szCs w:val="17"/>
              </w:rPr>
            </w:pPr>
            <w:r w:rsidRPr="00AC76C3">
              <w:rPr>
                <w:rFonts w:ascii="Arial" w:hAnsi="Arial" w:cs="Arial"/>
                <w:szCs w:val="17"/>
              </w:rPr>
              <w:t>43-44</w:t>
            </w:r>
          </w:p>
        </w:tc>
      </w:tr>
      <w:tr w:rsidR="00A83C4E" w:rsidRPr="00DF5908" w:rsidTr="00780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</w:tcPr>
          <w:p w:rsidR="00A83C4E" w:rsidRPr="0050705C" w:rsidRDefault="00A83C4E" w:rsidP="00AC76C3">
            <w:pPr>
              <w:pStyle w:val="Reference"/>
              <w:rPr>
                <w:rFonts w:ascii="Arial" w:hAnsi="Arial"/>
                <w:color w:val="D50032"/>
                <w:sz w:val="17"/>
                <w:szCs w:val="17"/>
              </w:rPr>
            </w:pPr>
            <w:r w:rsidRPr="0050705C">
              <w:rPr>
                <w:rFonts w:ascii="Arial" w:hAnsi="Arial"/>
                <w:color w:val="D50032"/>
                <w:sz w:val="17"/>
                <w:szCs w:val="17"/>
              </w:rPr>
              <w:lastRenderedPageBreak/>
              <w:t>[Revised]</w:t>
            </w:r>
          </w:p>
          <w:p w:rsidR="00A83C4E" w:rsidRPr="00003AD0" w:rsidRDefault="00A83C4E" w:rsidP="00AC76C3">
            <w:pPr>
              <w:pStyle w:val="Reference"/>
              <w:rPr>
                <w:rFonts w:ascii="Arial" w:hAnsi="Arial"/>
                <w:color w:val="FF0000"/>
                <w:sz w:val="17"/>
                <w:szCs w:val="17"/>
              </w:rPr>
            </w:pPr>
            <w:r w:rsidRPr="00003AD0">
              <w:rPr>
                <w:rFonts w:ascii="Arial" w:hAnsi="Arial"/>
                <w:color w:val="auto"/>
                <w:sz w:val="17"/>
                <w:szCs w:val="17"/>
              </w:rPr>
              <w:t>Workforce inclusion policy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6" w:type="pct"/>
          </w:tcPr>
          <w:p w:rsidR="00A83C4E" w:rsidRPr="00003AD0" w:rsidRDefault="00A83C4E" w:rsidP="00AC76C3">
            <w:pPr>
              <w:pStyle w:val="Reference"/>
              <w:rPr>
                <w:rFonts w:ascii="Arial" w:hAnsi="Arial"/>
                <w:color w:val="auto"/>
                <w:sz w:val="17"/>
                <w:szCs w:val="17"/>
              </w:rPr>
            </w:pPr>
            <w:r w:rsidRPr="00003AD0">
              <w:rPr>
                <w:rFonts w:ascii="Arial" w:hAnsi="Arial"/>
                <w:color w:val="auto"/>
                <w:sz w:val="17"/>
                <w:szCs w:val="17"/>
              </w:rPr>
              <w:t>FRD 29C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</w:tcPr>
          <w:p w:rsidR="00A83C4E" w:rsidRPr="00AC76C3" w:rsidRDefault="00A83C4E" w:rsidP="00AC76C3">
            <w:pPr>
              <w:pStyle w:val="Tabletext"/>
              <w:rPr>
                <w:rFonts w:ascii="Arial" w:hAnsi="Arial" w:cs="Arial"/>
                <w:szCs w:val="17"/>
              </w:rPr>
            </w:pPr>
            <w:r w:rsidRPr="00003AD0">
              <w:rPr>
                <w:rFonts w:ascii="Arial" w:hAnsi="Arial" w:cs="Arial"/>
                <w:szCs w:val="17"/>
              </w:rPr>
              <w:t xml:space="preserve">A paragraph has been included to note the limitations of the workforce inclusion policy targets/quotas due to </w:t>
            </w:r>
            <w:r w:rsidRPr="00F6329D">
              <w:rPr>
                <w:rFonts w:ascii="Arial" w:hAnsi="Arial" w:cs="Arial"/>
                <w:szCs w:val="17"/>
              </w:rPr>
              <w:t xml:space="preserve">privacy and sensitivity considerations </w:t>
            </w:r>
            <w:r w:rsidRPr="003A6F4D">
              <w:rPr>
                <w:rFonts w:ascii="Arial" w:hAnsi="Arial" w:cs="Arial"/>
                <w:szCs w:val="17"/>
              </w:rPr>
              <w:t>in collecting non-binary gender information</w:t>
            </w:r>
            <w:r w:rsidRPr="00AC76C3">
              <w:rPr>
                <w:rFonts w:ascii="Arial" w:hAnsi="Arial" w:cs="Arial"/>
                <w:szCs w:val="17"/>
              </w:rPr>
              <w:t xml:space="preserve"> from staff.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6" w:type="pct"/>
          </w:tcPr>
          <w:p w:rsidR="00A83C4E" w:rsidRPr="00AC76C3" w:rsidRDefault="00A83C4E" w:rsidP="00AC76C3">
            <w:pPr>
              <w:pStyle w:val="Tabletextcentred"/>
              <w:rPr>
                <w:rFonts w:ascii="Arial" w:hAnsi="Arial" w:cs="Arial"/>
                <w:szCs w:val="17"/>
              </w:rPr>
            </w:pPr>
            <w:r w:rsidRPr="00AC76C3">
              <w:rPr>
                <w:rFonts w:ascii="Arial" w:hAnsi="Arial" w:cs="Arial"/>
                <w:szCs w:val="17"/>
              </w:rPr>
              <w:t>44</w:t>
            </w:r>
          </w:p>
        </w:tc>
      </w:tr>
      <w:tr w:rsidR="00A83C4E" w:rsidRPr="00DF5908" w:rsidTr="007800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</w:tcPr>
          <w:p w:rsidR="00A83C4E" w:rsidRPr="0050705C" w:rsidRDefault="00A83C4E" w:rsidP="00AC76C3">
            <w:pPr>
              <w:pStyle w:val="Reference"/>
              <w:rPr>
                <w:rFonts w:ascii="Arial" w:hAnsi="Arial"/>
                <w:color w:val="D50032"/>
                <w:sz w:val="17"/>
                <w:szCs w:val="17"/>
              </w:rPr>
            </w:pPr>
            <w:r w:rsidRPr="0050705C">
              <w:rPr>
                <w:rFonts w:ascii="Arial" w:hAnsi="Arial"/>
                <w:color w:val="D50032"/>
                <w:sz w:val="17"/>
                <w:szCs w:val="17"/>
              </w:rPr>
              <w:t>[Revised]</w:t>
            </w:r>
          </w:p>
          <w:p w:rsidR="00A83C4E" w:rsidRPr="00003AD0" w:rsidRDefault="00A83C4E" w:rsidP="00AC76C3">
            <w:pPr>
              <w:pStyle w:val="Reference"/>
              <w:rPr>
                <w:rFonts w:ascii="Arial" w:hAnsi="Arial"/>
                <w:color w:val="FF0000"/>
                <w:sz w:val="17"/>
                <w:szCs w:val="17"/>
              </w:rPr>
            </w:pPr>
            <w:r w:rsidRPr="00003AD0">
              <w:rPr>
                <w:rFonts w:ascii="Arial" w:hAnsi="Arial"/>
                <w:color w:val="auto"/>
                <w:sz w:val="17"/>
                <w:szCs w:val="17"/>
              </w:rPr>
              <w:t>Executive officer data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6" w:type="pct"/>
          </w:tcPr>
          <w:p w:rsidR="00A83C4E" w:rsidRPr="00003AD0" w:rsidRDefault="00A83C4E" w:rsidP="00AC76C3">
            <w:pPr>
              <w:pStyle w:val="Reference"/>
              <w:rPr>
                <w:rFonts w:ascii="Arial" w:hAnsi="Arial"/>
                <w:color w:val="auto"/>
                <w:sz w:val="17"/>
                <w:szCs w:val="17"/>
              </w:rPr>
            </w:pPr>
            <w:r w:rsidRPr="00003AD0">
              <w:rPr>
                <w:rFonts w:ascii="Arial" w:hAnsi="Arial"/>
                <w:color w:val="auto"/>
                <w:sz w:val="17"/>
                <w:szCs w:val="17"/>
              </w:rPr>
              <w:t>FRD 15E</w:t>
            </w:r>
            <w:r w:rsidR="0054680E">
              <w:rPr>
                <w:rFonts w:ascii="Arial" w:hAnsi="Arial"/>
                <w:color w:val="auto"/>
                <w:sz w:val="17"/>
                <w:szCs w:val="17"/>
              </w:rPr>
              <w:t xml:space="preserve"> </w:t>
            </w:r>
            <w:r w:rsidR="0054680E" w:rsidRPr="0054680E">
              <w:rPr>
                <w:rFonts w:ascii="Arial" w:hAnsi="Arial"/>
                <w:i/>
                <w:color w:val="auto"/>
                <w:sz w:val="17"/>
                <w:szCs w:val="17"/>
              </w:rPr>
              <w:t>Executive officer disclosures in the Report of Operations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</w:tcPr>
          <w:p w:rsidR="00A83C4E" w:rsidRPr="00AC76C3" w:rsidRDefault="00A83C4E" w:rsidP="00AC76C3">
            <w:pPr>
              <w:pStyle w:val="Tabletext"/>
              <w:rPr>
                <w:rFonts w:ascii="Arial" w:hAnsi="Arial" w:cs="Arial"/>
                <w:szCs w:val="17"/>
              </w:rPr>
            </w:pPr>
            <w:r w:rsidRPr="00003AD0">
              <w:rPr>
                <w:rFonts w:ascii="Arial" w:hAnsi="Arial" w:cs="Arial"/>
                <w:szCs w:val="17"/>
              </w:rPr>
              <w:t xml:space="preserve">Table 1 and 3 have been revised to reflect the updated requirements of FRD 15E in </w:t>
            </w:r>
            <w:r w:rsidRPr="000877D4">
              <w:rPr>
                <w:rFonts w:ascii="Arial" w:hAnsi="Arial" w:cs="Arial"/>
                <w:szCs w:val="17"/>
              </w:rPr>
              <w:t xml:space="preserve">disclosing </w:t>
            </w:r>
            <w:r w:rsidRPr="00F6329D">
              <w:rPr>
                <w:rFonts w:ascii="Arial" w:hAnsi="Arial" w:cs="Arial"/>
                <w:szCs w:val="17"/>
              </w:rPr>
              <w:t>the number of E</w:t>
            </w:r>
            <w:r>
              <w:rPr>
                <w:rFonts w:ascii="Arial" w:hAnsi="Arial" w:cs="Arial"/>
                <w:szCs w:val="17"/>
              </w:rPr>
              <w:t xml:space="preserve">xecutive </w:t>
            </w:r>
            <w:r w:rsidRPr="00F6329D">
              <w:rPr>
                <w:rFonts w:ascii="Arial" w:hAnsi="Arial" w:cs="Arial"/>
                <w:szCs w:val="17"/>
              </w:rPr>
              <w:t>O</w:t>
            </w:r>
            <w:r>
              <w:rPr>
                <w:rFonts w:ascii="Arial" w:hAnsi="Arial" w:cs="Arial"/>
                <w:szCs w:val="17"/>
              </w:rPr>
              <w:t>fficer</w:t>
            </w:r>
            <w:r w:rsidRPr="00F6329D">
              <w:rPr>
                <w:rFonts w:ascii="Arial" w:hAnsi="Arial" w:cs="Arial"/>
                <w:szCs w:val="17"/>
              </w:rPr>
              <w:t>s</w:t>
            </w:r>
            <w:r>
              <w:rPr>
                <w:rFonts w:ascii="Arial" w:hAnsi="Arial" w:cs="Arial"/>
                <w:szCs w:val="17"/>
              </w:rPr>
              <w:t xml:space="preserve"> (EOs)</w:t>
            </w:r>
            <w:r w:rsidRPr="00F6329D">
              <w:rPr>
                <w:rFonts w:ascii="Arial" w:hAnsi="Arial" w:cs="Arial"/>
                <w:szCs w:val="17"/>
              </w:rPr>
              <w:t xml:space="preserve"> in</w:t>
            </w:r>
            <w:r w:rsidRPr="003A6F4D">
              <w:rPr>
                <w:rFonts w:ascii="Arial" w:hAnsi="Arial" w:cs="Arial"/>
                <w:szCs w:val="17"/>
              </w:rPr>
              <w:t xml:space="preserve"> d</w:t>
            </w:r>
            <w:r w:rsidRPr="00AC76C3">
              <w:rPr>
                <w:rFonts w:ascii="Arial" w:hAnsi="Arial" w:cs="Arial"/>
                <w:szCs w:val="17"/>
              </w:rPr>
              <w:t>epartment</w:t>
            </w:r>
            <w:r>
              <w:rPr>
                <w:rFonts w:ascii="Arial" w:hAnsi="Arial" w:cs="Arial"/>
                <w:szCs w:val="17"/>
              </w:rPr>
              <w:t>s</w:t>
            </w:r>
            <w:r w:rsidRPr="00AC76C3">
              <w:rPr>
                <w:rFonts w:ascii="Arial" w:hAnsi="Arial" w:cs="Arial"/>
                <w:szCs w:val="17"/>
              </w:rPr>
              <w:t xml:space="preserve"> and portfolio agencies, who identify as </w:t>
            </w:r>
            <w:r w:rsidR="0050705C">
              <w:rPr>
                <w:rFonts w:ascii="Arial" w:hAnsi="Arial" w:cs="Arial"/>
                <w:szCs w:val="17"/>
              </w:rPr>
              <w:t>‘</w:t>
            </w:r>
            <w:r w:rsidRPr="00AC76C3">
              <w:rPr>
                <w:rFonts w:ascii="Arial" w:hAnsi="Arial" w:cs="Arial"/>
                <w:szCs w:val="17"/>
              </w:rPr>
              <w:t>self-described</w:t>
            </w:r>
            <w:r w:rsidR="0050705C">
              <w:rPr>
                <w:rFonts w:ascii="Arial" w:hAnsi="Arial" w:cs="Arial"/>
                <w:szCs w:val="17"/>
              </w:rPr>
              <w:t>’</w:t>
            </w:r>
            <w:r w:rsidRPr="00AC76C3">
              <w:rPr>
                <w:rFonts w:ascii="Arial" w:hAnsi="Arial" w:cs="Arial"/>
                <w:szCs w:val="17"/>
              </w:rPr>
              <w:t xml:space="preserve"> in gender category reporting.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6" w:type="pct"/>
          </w:tcPr>
          <w:p w:rsidR="00A83C4E" w:rsidRPr="00AC76C3" w:rsidRDefault="00A83C4E" w:rsidP="00AC76C3">
            <w:pPr>
              <w:pStyle w:val="Tabletextcentred"/>
              <w:rPr>
                <w:rFonts w:ascii="Arial" w:hAnsi="Arial" w:cs="Arial"/>
                <w:szCs w:val="17"/>
              </w:rPr>
            </w:pPr>
            <w:r w:rsidRPr="00AC76C3">
              <w:rPr>
                <w:rFonts w:ascii="Arial" w:hAnsi="Arial" w:cs="Arial"/>
                <w:szCs w:val="17"/>
              </w:rPr>
              <w:t>45</w:t>
            </w:r>
          </w:p>
        </w:tc>
      </w:tr>
      <w:tr w:rsidR="00A83C4E" w:rsidRPr="00DF5908" w:rsidTr="00780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</w:tcPr>
          <w:p w:rsidR="00A83C4E" w:rsidRPr="0050705C" w:rsidRDefault="00A83C4E" w:rsidP="00AC76C3">
            <w:pPr>
              <w:pStyle w:val="Reference"/>
              <w:rPr>
                <w:rFonts w:ascii="Arial" w:hAnsi="Arial"/>
                <w:color w:val="D50032"/>
                <w:sz w:val="17"/>
                <w:szCs w:val="17"/>
              </w:rPr>
            </w:pPr>
            <w:r w:rsidRPr="0050705C">
              <w:rPr>
                <w:rFonts w:ascii="Arial" w:hAnsi="Arial"/>
                <w:color w:val="D50032"/>
                <w:sz w:val="17"/>
                <w:szCs w:val="17"/>
              </w:rPr>
              <w:t>[Revised]</w:t>
            </w:r>
          </w:p>
          <w:p w:rsidR="00A83C4E" w:rsidRPr="00003AD0" w:rsidRDefault="00A83C4E" w:rsidP="00AC76C3">
            <w:pPr>
              <w:pStyle w:val="Reference"/>
              <w:rPr>
                <w:rFonts w:ascii="Arial" w:hAnsi="Arial"/>
                <w:color w:val="FF0000"/>
                <w:sz w:val="17"/>
                <w:szCs w:val="17"/>
              </w:rPr>
            </w:pPr>
            <w:r w:rsidRPr="00003AD0">
              <w:rPr>
                <w:rFonts w:ascii="Arial" w:hAnsi="Arial"/>
                <w:color w:val="auto"/>
                <w:sz w:val="17"/>
                <w:szCs w:val="17"/>
              </w:rPr>
              <w:t>Guidance – Executive officer data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6" w:type="pct"/>
          </w:tcPr>
          <w:p w:rsidR="00A83C4E" w:rsidRPr="00003AD0" w:rsidRDefault="00A83C4E" w:rsidP="00AC76C3">
            <w:pPr>
              <w:pStyle w:val="Reference"/>
              <w:rPr>
                <w:rFonts w:ascii="Arial" w:hAnsi="Arial"/>
                <w:color w:val="auto"/>
                <w:sz w:val="17"/>
                <w:szCs w:val="17"/>
              </w:rPr>
            </w:pPr>
            <w:r w:rsidRPr="00003AD0">
              <w:rPr>
                <w:rFonts w:ascii="Arial" w:hAnsi="Arial"/>
                <w:color w:val="auto"/>
                <w:sz w:val="17"/>
                <w:szCs w:val="17"/>
              </w:rPr>
              <w:t>FRD 15E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</w:tcPr>
          <w:p w:rsidR="00A83C4E" w:rsidRPr="00AC76C3" w:rsidRDefault="00A83C4E" w:rsidP="00AC76C3">
            <w:pPr>
              <w:pStyle w:val="Tabletext"/>
              <w:rPr>
                <w:rFonts w:ascii="Arial" w:hAnsi="Arial" w:cs="Arial"/>
                <w:szCs w:val="17"/>
              </w:rPr>
            </w:pPr>
            <w:r w:rsidRPr="00003AD0">
              <w:rPr>
                <w:rFonts w:ascii="Arial" w:hAnsi="Arial" w:cs="Arial"/>
                <w:szCs w:val="17"/>
              </w:rPr>
              <w:t xml:space="preserve">The guidance section has been updated to report </w:t>
            </w:r>
            <w:r w:rsidRPr="00F6329D">
              <w:rPr>
                <w:rFonts w:ascii="Arial" w:hAnsi="Arial" w:cs="Arial"/>
                <w:szCs w:val="17"/>
              </w:rPr>
              <w:t>executive officer data in three gender categories</w:t>
            </w:r>
            <w:r w:rsidRPr="003A6F4D">
              <w:rPr>
                <w:rFonts w:ascii="Arial" w:hAnsi="Arial" w:cs="Arial"/>
                <w:szCs w:val="17"/>
              </w:rPr>
              <w:t>,</w:t>
            </w:r>
            <w:r w:rsidRPr="00AC76C3">
              <w:rPr>
                <w:rFonts w:ascii="Arial" w:hAnsi="Arial" w:cs="Arial"/>
                <w:szCs w:val="17"/>
              </w:rPr>
              <w:t xml:space="preserve"> male, female and self-described.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6" w:type="pct"/>
          </w:tcPr>
          <w:p w:rsidR="00A83C4E" w:rsidRPr="00AC76C3" w:rsidRDefault="00A83C4E" w:rsidP="00AC76C3">
            <w:pPr>
              <w:pStyle w:val="Tabletextcentred"/>
              <w:rPr>
                <w:rFonts w:ascii="Arial" w:hAnsi="Arial" w:cs="Arial"/>
                <w:szCs w:val="17"/>
              </w:rPr>
            </w:pPr>
            <w:r w:rsidRPr="00AC76C3">
              <w:rPr>
                <w:rFonts w:ascii="Arial" w:hAnsi="Arial" w:cs="Arial"/>
                <w:szCs w:val="17"/>
              </w:rPr>
              <w:t>46</w:t>
            </w:r>
          </w:p>
        </w:tc>
      </w:tr>
      <w:tr w:rsidR="00A83C4E" w:rsidRPr="00DF5908" w:rsidTr="007800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</w:tcPr>
          <w:p w:rsidR="00A83C4E" w:rsidRPr="0050705C" w:rsidRDefault="00A83C4E" w:rsidP="00AC76C3">
            <w:pPr>
              <w:pStyle w:val="Reference"/>
              <w:rPr>
                <w:rFonts w:ascii="Arial" w:hAnsi="Arial"/>
                <w:color w:val="D50032"/>
                <w:sz w:val="17"/>
                <w:szCs w:val="17"/>
              </w:rPr>
            </w:pPr>
            <w:r w:rsidRPr="0050705C">
              <w:rPr>
                <w:rFonts w:ascii="Arial" w:hAnsi="Arial"/>
                <w:color w:val="D50032"/>
                <w:sz w:val="17"/>
                <w:szCs w:val="17"/>
              </w:rPr>
              <w:t xml:space="preserve">[Revised] </w:t>
            </w:r>
          </w:p>
          <w:p w:rsidR="00A83C4E" w:rsidRPr="00003AD0" w:rsidRDefault="00A83C4E" w:rsidP="00AC76C3">
            <w:pPr>
              <w:pStyle w:val="Reference"/>
              <w:rPr>
                <w:rFonts w:ascii="Arial" w:hAnsi="Arial"/>
                <w:color w:val="auto"/>
                <w:sz w:val="17"/>
                <w:szCs w:val="17"/>
              </w:rPr>
            </w:pPr>
            <w:r w:rsidRPr="00003AD0">
              <w:rPr>
                <w:rFonts w:ascii="Arial" w:hAnsi="Arial"/>
                <w:color w:val="auto"/>
                <w:sz w:val="17"/>
                <w:szCs w:val="17"/>
              </w:rPr>
              <w:t>Local Jobs First – Victorian Industry Participation Policy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6" w:type="pct"/>
          </w:tcPr>
          <w:p w:rsidR="00A83C4E" w:rsidRPr="00003AD0" w:rsidRDefault="00A83C4E" w:rsidP="00AC76C3">
            <w:pPr>
              <w:pStyle w:val="Reference"/>
              <w:rPr>
                <w:rFonts w:ascii="Arial" w:hAnsi="Arial"/>
                <w:color w:val="auto"/>
                <w:sz w:val="17"/>
                <w:szCs w:val="17"/>
              </w:rPr>
            </w:pPr>
            <w:r w:rsidRPr="00003AD0">
              <w:rPr>
                <w:rFonts w:ascii="Arial" w:hAnsi="Arial"/>
                <w:color w:val="auto"/>
                <w:sz w:val="17"/>
                <w:szCs w:val="17"/>
              </w:rPr>
              <w:t>General improvements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</w:tcPr>
          <w:p w:rsidR="00A83C4E" w:rsidRPr="00AC76C3" w:rsidRDefault="00A83C4E" w:rsidP="00AC76C3">
            <w:pPr>
              <w:pStyle w:val="Tabletext"/>
              <w:rPr>
                <w:rFonts w:ascii="Arial" w:hAnsi="Arial" w:cs="Arial"/>
                <w:szCs w:val="17"/>
              </w:rPr>
            </w:pPr>
            <w:r>
              <w:rPr>
                <w:rFonts w:ascii="Arial" w:hAnsi="Arial" w:cs="Arial"/>
                <w:szCs w:val="17"/>
              </w:rPr>
              <w:t>Editorial changes have been made to t</w:t>
            </w:r>
            <w:r w:rsidRPr="00003AD0">
              <w:rPr>
                <w:rFonts w:ascii="Arial" w:hAnsi="Arial" w:cs="Arial"/>
                <w:szCs w:val="17"/>
              </w:rPr>
              <w:t xml:space="preserve">he Victorian Industry Participation Policy (VIPP) </w:t>
            </w:r>
            <w:r>
              <w:rPr>
                <w:rFonts w:ascii="Arial" w:hAnsi="Arial" w:cs="Arial"/>
                <w:szCs w:val="17"/>
              </w:rPr>
              <w:t>section. More illustrations have been included to help preparers with the reporting requirements.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6" w:type="pct"/>
          </w:tcPr>
          <w:p w:rsidR="00A83C4E" w:rsidRPr="00AC76C3" w:rsidRDefault="00A83C4E" w:rsidP="00AC76C3">
            <w:pPr>
              <w:pStyle w:val="Tabletextcentred"/>
              <w:rPr>
                <w:rFonts w:ascii="Arial" w:hAnsi="Arial" w:cs="Arial"/>
                <w:szCs w:val="17"/>
              </w:rPr>
            </w:pPr>
            <w:r w:rsidRPr="00AC76C3">
              <w:rPr>
                <w:rFonts w:ascii="Arial" w:hAnsi="Arial" w:cs="Arial"/>
                <w:szCs w:val="17"/>
              </w:rPr>
              <w:t>47</w:t>
            </w:r>
            <w:r w:rsidR="00D11CA3">
              <w:rPr>
                <w:rFonts w:ascii="Arial" w:hAnsi="Arial" w:cs="Arial"/>
                <w:szCs w:val="17"/>
              </w:rPr>
              <w:t>-48</w:t>
            </w:r>
          </w:p>
        </w:tc>
      </w:tr>
      <w:tr w:rsidR="00A83C4E" w:rsidRPr="00DF5908" w:rsidTr="00780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</w:tcPr>
          <w:p w:rsidR="00A83C4E" w:rsidRPr="0050705C" w:rsidRDefault="00A83C4E" w:rsidP="00AC76C3">
            <w:pPr>
              <w:pStyle w:val="Reference"/>
              <w:rPr>
                <w:rFonts w:ascii="Arial" w:hAnsi="Arial"/>
                <w:color w:val="D50032"/>
                <w:sz w:val="17"/>
                <w:szCs w:val="17"/>
              </w:rPr>
            </w:pPr>
            <w:r w:rsidRPr="0050705C">
              <w:rPr>
                <w:rFonts w:ascii="Arial" w:hAnsi="Arial"/>
                <w:color w:val="D50032"/>
                <w:sz w:val="17"/>
                <w:szCs w:val="17"/>
              </w:rPr>
              <w:t>[Revised]</w:t>
            </w:r>
          </w:p>
          <w:p w:rsidR="00A83C4E" w:rsidRPr="00003AD0" w:rsidRDefault="00A83C4E" w:rsidP="00AC76C3">
            <w:pPr>
              <w:pStyle w:val="Reference"/>
              <w:rPr>
                <w:rFonts w:ascii="Arial" w:hAnsi="Arial"/>
                <w:color w:val="auto"/>
                <w:sz w:val="17"/>
                <w:szCs w:val="17"/>
              </w:rPr>
            </w:pPr>
            <w:r w:rsidRPr="00003AD0">
              <w:rPr>
                <w:rFonts w:ascii="Arial" w:hAnsi="Arial"/>
                <w:color w:val="auto"/>
                <w:sz w:val="17"/>
                <w:szCs w:val="17"/>
              </w:rPr>
              <w:t xml:space="preserve">Freedom of </w:t>
            </w:r>
            <w:r>
              <w:rPr>
                <w:rFonts w:ascii="Arial" w:hAnsi="Arial"/>
                <w:color w:val="auto"/>
                <w:sz w:val="17"/>
                <w:szCs w:val="17"/>
              </w:rPr>
              <w:t>I</w:t>
            </w:r>
            <w:r w:rsidRPr="00003AD0">
              <w:rPr>
                <w:rFonts w:ascii="Arial" w:hAnsi="Arial"/>
                <w:color w:val="auto"/>
                <w:sz w:val="17"/>
                <w:szCs w:val="17"/>
              </w:rPr>
              <w:t>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6" w:type="pct"/>
          </w:tcPr>
          <w:p w:rsidR="00A83C4E" w:rsidRPr="00003AD0" w:rsidRDefault="00A83C4E" w:rsidP="00AC76C3">
            <w:pPr>
              <w:pStyle w:val="Reference"/>
              <w:rPr>
                <w:rFonts w:ascii="Arial" w:hAnsi="Arial"/>
                <w:color w:val="auto"/>
                <w:sz w:val="17"/>
                <w:szCs w:val="17"/>
              </w:rPr>
            </w:pPr>
            <w:r w:rsidRPr="00003AD0">
              <w:rPr>
                <w:rFonts w:ascii="Arial" w:hAnsi="Arial"/>
                <w:color w:val="auto"/>
                <w:sz w:val="17"/>
                <w:szCs w:val="17"/>
              </w:rPr>
              <w:t>General improvements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</w:tcPr>
          <w:p w:rsidR="00A83C4E" w:rsidRPr="00AC76C3" w:rsidRDefault="00A83C4E" w:rsidP="00AC76C3">
            <w:pPr>
              <w:pStyle w:val="Tabletext"/>
              <w:rPr>
                <w:rFonts w:ascii="Arial" w:hAnsi="Arial" w:cs="Arial"/>
                <w:szCs w:val="17"/>
                <w:highlight w:val="yellow"/>
              </w:rPr>
            </w:pPr>
            <w:r w:rsidRPr="00003AD0">
              <w:rPr>
                <w:rFonts w:ascii="Arial" w:hAnsi="Arial" w:cs="Arial"/>
                <w:szCs w:val="17"/>
              </w:rPr>
              <w:t xml:space="preserve">The Freedom of </w:t>
            </w:r>
            <w:r>
              <w:rPr>
                <w:rFonts w:ascii="Arial" w:hAnsi="Arial" w:cs="Arial"/>
                <w:szCs w:val="17"/>
              </w:rPr>
              <w:t>I</w:t>
            </w:r>
            <w:r w:rsidRPr="00003AD0">
              <w:rPr>
                <w:rFonts w:ascii="Arial" w:hAnsi="Arial" w:cs="Arial"/>
                <w:szCs w:val="17"/>
              </w:rPr>
              <w:t>nformation section has been amended to provide more clarity on</w:t>
            </w:r>
            <w:r w:rsidRPr="000877D4">
              <w:rPr>
                <w:rFonts w:ascii="Arial" w:hAnsi="Arial" w:cs="Arial"/>
                <w:szCs w:val="17"/>
              </w:rPr>
              <w:t xml:space="preserve"> the</w:t>
            </w:r>
            <w:r w:rsidRPr="00F6329D">
              <w:rPr>
                <w:rFonts w:ascii="Arial" w:hAnsi="Arial" w:cs="Arial"/>
                <w:szCs w:val="17"/>
              </w:rPr>
              <w:t xml:space="preserve"> public rights for access of information held by entities subject to the Act. A </w:t>
            </w:r>
            <w:r>
              <w:rPr>
                <w:rFonts w:ascii="Arial" w:hAnsi="Arial" w:cs="Arial"/>
                <w:szCs w:val="17"/>
              </w:rPr>
              <w:t>disclosure requirement</w:t>
            </w:r>
            <w:r w:rsidRPr="003A6F4D">
              <w:rPr>
                <w:rFonts w:ascii="Arial" w:hAnsi="Arial" w:cs="Arial"/>
                <w:szCs w:val="17"/>
              </w:rPr>
              <w:t xml:space="preserve"> has also been added </w:t>
            </w:r>
            <w:r>
              <w:rPr>
                <w:rFonts w:ascii="Arial" w:hAnsi="Arial" w:cs="Arial"/>
                <w:szCs w:val="17"/>
              </w:rPr>
              <w:t>to require disclosure of</w:t>
            </w:r>
            <w:r w:rsidRPr="003A6F4D">
              <w:rPr>
                <w:rFonts w:ascii="Arial" w:hAnsi="Arial" w:cs="Arial"/>
                <w:szCs w:val="17"/>
              </w:rPr>
              <w:t xml:space="preserve"> statistics and timeliness of freedom of information</w:t>
            </w:r>
            <w:r w:rsidRPr="00AC76C3">
              <w:rPr>
                <w:rFonts w:ascii="Arial" w:hAnsi="Arial" w:cs="Arial"/>
                <w:szCs w:val="17"/>
              </w:rPr>
              <w:t xml:space="preserve"> requests</w:t>
            </w:r>
            <w:r w:rsidR="0050705C">
              <w:rPr>
                <w:rFonts w:ascii="Arial" w:hAnsi="Arial" w:cs="Arial"/>
                <w:szCs w:val="17"/>
              </w:rPr>
              <w:t xml:space="preserve">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6" w:type="pct"/>
          </w:tcPr>
          <w:p w:rsidR="00A83C4E" w:rsidRPr="00AC76C3" w:rsidRDefault="00A83C4E" w:rsidP="00116208">
            <w:pPr>
              <w:pStyle w:val="Tabletextcentred"/>
              <w:rPr>
                <w:rFonts w:ascii="Arial" w:hAnsi="Arial" w:cs="Arial"/>
                <w:szCs w:val="17"/>
              </w:rPr>
            </w:pPr>
            <w:r w:rsidRPr="00AC76C3">
              <w:rPr>
                <w:rFonts w:ascii="Arial" w:hAnsi="Arial" w:cs="Arial"/>
                <w:szCs w:val="17"/>
              </w:rPr>
              <w:t>52</w:t>
            </w:r>
            <w:r w:rsidR="007B6A10">
              <w:rPr>
                <w:rFonts w:ascii="Arial" w:hAnsi="Arial" w:cs="Arial"/>
                <w:szCs w:val="17"/>
              </w:rPr>
              <w:t>-53</w:t>
            </w:r>
          </w:p>
        </w:tc>
      </w:tr>
      <w:tr w:rsidR="00A83C4E" w:rsidRPr="00DF5908" w:rsidTr="007800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</w:tcPr>
          <w:p w:rsidR="00A83C4E" w:rsidRPr="0050705C" w:rsidRDefault="00A83C4E" w:rsidP="00AC76C3">
            <w:pPr>
              <w:pStyle w:val="Reference"/>
              <w:rPr>
                <w:rFonts w:ascii="Arial" w:hAnsi="Arial"/>
                <w:color w:val="D50032"/>
                <w:sz w:val="17"/>
                <w:szCs w:val="17"/>
              </w:rPr>
            </w:pPr>
            <w:r w:rsidRPr="0050705C">
              <w:rPr>
                <w:rFonts w:ascii="Arial" w:hAnsi="Arial"/>
                <w:color w:val="D50032"/>
                <w:sz w:val="17"/>
                <w:szCs w:val="17"/>
              </w:rPr>
              <w:t>[Revised]</w:t>
            </w:r>
          </w:p>
          <w:p w:rsidR="00A83C4E" w:rsidRPr="00003AD0" w:rsidRDefault="00A83C4E" w:rsidP="00AC76C3">
            <w:pPr>
              <w:pStyle w:val="Reference"/>
              <w:rPr>
                <w:rFonts w:ascii="Arial" w:hAnsi="Arial"/>
                <w:color w:val="FF0000"/>
                <w:sz w:val="17"/>
                <w:szCs w:val="17"/>
              </w:rPr>
            </w:pPr>
            <w:r w:rsidRPr="00003AD0">
              <w:rPr>
                <w:rFonts w:ascii="Arial" w:hAnsi="Arial"/>
                <w:color w:val="auto"/>
                <w:sz w:val="17"/>
                <w:szCs w:val="17"/>
              </w:rPr>
              <w:t xml:space="preserve">Guidance – Compliance with the </w:t>
            </w:r>
            <w:r w:rsidR="0050705C">
              <w:rPr>
                <w:rFonts w:ascii="Arial" w:hAnsi="Arial"/>
                <w:i/>
                <w:color w:val="auto"/>
                <w:sz w:val="17"/>
                <w:szCs w:val="17"/>
              </w:rPr>
              <w:t>Building Act </w:t>
            </w:r>
            <w:r w:rsidRPr="00DB3E3B">
              <w:rPr>
                <w:rFonts w:ascii="Arial" w:hAnsi="Arial"/>
                <w:i/>
                <w:color w:val="auto"/>
                <w:sz w:val="17"/>
                <w:szCs w:val="17"/>
              </w:rPr>
              <w:t>1993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6" w:type="pct"/>
          </w:tcPr>
          <w:p w:rsidR="00A83C4E" w:rsidRPr="00DB3E3B" w:rsidRDefault="00A83C4E" w:rsidP="00AC76C3">
            <w:pPr>
              <w:pStyle w:val="Reference"/>
              <w:rPr>
                <w:rFonts w:ascii="Arial" w:hAnsi="Arial"/>
                <w:i/>
                <w:color w:val="auto"/>
                <w:sz w:val="17"/>
                <w:szCs w:val="17"/>
              </w:rPr>
            </w:pPr>
            <w:r w:rsidRPr="00DB3E3B">
              <w:rPr>
                <w:rFonts w:ascii="Arial" w:hAnsi="Arial"/>
                <w:i/>
                <w:color w:val="auto"/>
                <w:sz w:val="17"/>
                <w:szCs w:val="17"/>
              </w:rPr>
              <w:t>Building Act 1993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</w:tcPr>
          <w:p w:rsidR="00A83C4E" w:rsidRPr="00003AD0" w:rsidRDefault="00A83C4E" w:rsidP="00EA7EF3">
            <w:pPr>
              <w:pStyle w:val="Tabletext"/>
              <w:rPr>
                <w:rFonts w:ascii="Arial" w:hAnsi="Arial" w:cs="Arial"/>
                <w:i/>
                <w:szCs w:val="17"/>
              </w:rPr>
            </w:pPr>
            <w:r>
              <w:rPr>
                <w:rFonts w:ascii="Arial" w:hAnsi="Arial" w:cs="Arial"/>
                <w:szCs w:val="17"/>
              </w:rPr>
              <w:t xml:space="preserve">Additional guidance have been provided to remind the preparers that Departments are required to comply with the National Construction Code and advise the preparers that any non-compliance </w:t>
            </w:r>
            <w:r w:rsidR="00EA7EF3">
              <w:rPr>
                <w:rFonts w:ascii="Arial" w:hAnsi="Arial" w:cs="Arial"/>
                <w:szCs w:val="17"/>
              </w:rPr>
              <w:t>should</w:t>
            </w:r>
            <w:r>
              <w:rPr>
                <w:rFonts w:ascii="Arial" w:hAnsi="Arial" w:cs="Arial"/>
                <w:szCs w:val="17"/>
              </w:rPr>
              <w:t xml:space="preserve"> be disclosed in annual report.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6" w:type="pct"/>
          </w:tcPr>
          <w:p w:rsidR="00A83C4E" w:rsidRPr="00003AD0" w:rsidRDefault="00A83C4E" w:rsidP="00AC76C3">
            <w:pPr>
              <w:pStyle w:val="Tabletextcentred"/>
              <w:rPr>
                <w:rFonts w:ascii="Arial" w:hAnsi="Arial" w:cs="Arial"/>
                <w:szCs w:val="17"/>
              </w:rPr>
            </w:pPr>
            <w:r w:rsidRPr="00003AD0">
              <w:rPr>
                <w:rFonts w:ascii="Arial" w:hAnsi="Arial" w:cs="Arial"/>
                <w:szCs w:val="17"/>
              </w:rPr>
              <w:t>54</w:t>
            </w:r>
          </w:p>
        </w:tc>
      </w:tr>
      <w:tr w:rsidR="00A83C4E" w:rsidRPr="00DF5908" w:rsidTr="00780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</w:tcPr>
          <w:p w:rsidR="00A83C4E" w:rsidRPr="0050705C" w:rsidRDefault="00A83C4E" w:rsidP="00AC76C3">
            <w:pPr>
              <w:pStyle w:val="Reference"/>
              <w:rPr>
                <w:rFonts w:ascii="Arial" w:hAnsi="Arial"/>
                <w:color w:val="D50032"/>
                <w:sz w:val="17"/>
                <w:szCs w:val="17"/>
              </w:rPr>
            </w:pPr>
            <w:r w:rsidRPr="0050705C">
              <w:rPr>
                <w:rFonts w:ascii="Arial" w:hAnsi="Arial"/>
                <w:color w:val="D50032"/>
                <w:sz w:val="17"/>
                <w:szCs w:val="17"/>
              </w:rPr>
              <w:t>[Revised]</w:t>
            </w:r>
          </w:p>
          <w:p w:rsidR="00A83C4E" w:rsidRPr="00003AD0" w:rsidRDefault="00A83C4E" w:rsidP="00AC76C3">
            <w:pPr>
              <w:pStyle w:val="Reference"/>
              <w:rPr>
                <w:rFonts w:ascii="Arial" w:hAnsi="Arial"/>
                <w:color w:val="auto"/>
                <w:sz w:val="17"/>
                <w:szCs w:val="17"/>
              </w:rPr>
            </w:pPr>
            <w:r w:rsidRPr="00003AD0">
              <w:rPr>
                <w:rFonts w:ascii="Arial" w:hAnsi="Arial"/>
                <w:color w:val="auto"/>
                <w:sz w:val="17"/>
                <w:szCs w:val="17"/>
              </w:rPr>
              <w:t>National Competition Policy</w:t>
            </w:r>
            <w:r w:rsidR="0050705C">
              <w:rPr>
                <w:rFonts w:ascii="Arial" w:hAnsi="Arial"/>
                <w:color w:val="auto"/>
                <w:sz w:val="17"/>
                <w:szCs w:val="17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6" w:type="pct"/>
          </w:tcPr>
          <w:p w:rsidR="00A83C4E" w:rsidRPr="00003AD0" w:rsidRDefault="00A83C4E" w:rsidP="00AC76C3">
            <w:pPr>
              <w:pStyle w:val="Reference"/>
              <w:rPr>
                <w:rFonts w:ascii="Arial" w:hAnsi="Arial"/>
                <w:color w:val="auto"/>
                <w:sz w:val="17"/>
                <w:szCs w:val="17"/>
              </w:rPr>
            </w:pPr>
            <w:r w:rsidRPr="00003AD0">
              <w:rPr>
                <w:rFonts w:ascii="Arial" w:hAnsi="Arial"/>
                <w:color w:val="auto"/>
                <w:sz w:val="17"/>
                <w:szCs w:val="17"/>
              </w:rPr>
              <w:t>National Competition Policy</w:t>
            </w:r>
            <w:r w:rsidR="0050705C">
              <w:rPr>
                <w:rFonts w:ascii="Arial" w:hAnsi="Arial"/>
                <w:color w:val="auto"/>
                <w:sz w:val="17"/>
                <w:szCs w:val="17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</w:tcPr>
          <w:p w:rsidR="00A83C4E" w:rsidRPr="00003AD0" w:rsidRDefault="00A83C4E" w:rsidP="00DE0452">
            <w:pPr>
              <w:pStyle w:val="Tabletext"/>
              <w:rPr>
                <w:rFonts w:ascii="Arial" w:hAnsi="Arial" w:cs="Arial"/>
                <w:szCs w:val="17"/>
              </w:rPr>
            </w:pPr>
            <w:r w:rsidRPr="00003AD0">
              <w:rPr>
                <w:rFonts w:ascii="Arial" w:hAnsi="Arial" w:cs="Arial"/>
                <w:szCs w:val="17"/>
              </w:rPr>
              <w:t xml:space="preserve">The section has been amended </w:t>
            </w:r>
            <w:r w:rsidR="00DE0452">
              <w:rPr>
                <w:rFonts w:ascii="Arial" w:hAnsi="Arial" w:cs="Arial"/>
                <w:szCs w:val="17"/>
              </w:rPr>
              <w:t xml:space="preserve">to </w:t>
            </w:r>
            <w:r>
              <w:rPr>
                <w:rFonts w:ascii="Arial" w:hAnsi="Arial" w:cs="Arial"/>
                <w:szCs w:val="17"/>
              </w:rPr>
              <w:t>remind preparers that they are still required to comply with the State Competitive Neutrality Policy, despite the conclusion of the National Competition Policy.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6" w:type="pct"/>
          </w:tcPr>
          <w:p w:rsidR="00A83C4E" w:rsidRPr="00003AD0" w:rsidRDefault="00A83C4E" w:rsidP="00AC76C3">
            <w:pPr>
              <w:pStyle w:val="Tabletextcentred"/>
              <w:rPr>
                <w:rFonts w:ascii="Arial" w:hAnsi="Arial" w:cs="Arial"/>
                <w:szCs w:val="17"/>
              </w:rPr>
            </w:pPr>
            <w:r w:rsidRPr="00003AD0">
              <w:rPr>
                <w:rFonts w:ascii="Arial" w:hAnsi="Arial" w:cs="Arial"/>
                <w:szCs w:val="17"/>
              </w:rPr>
              <w:t>54</w:t>
            </w:r>
          </w:p>
        </w:tc>
      </w:tr>
      <w:tr w:rsidR="00A83C4E" w:rsidRPr="00DF5908" w:rsidTr="007800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</w:tcPr>
          <w:p w:rsidR="00A83C4E" w:rsidRPr="0050705C" w:rsidRDefault="00A83C4E" w:rsidP="00AC76C3">
            <w:pPr>
              <w:pStyle w:val="Reference"/>
              <w:rPr>
                <w:rFonts w:ascii="Arial" w:hAnsi="Arial"/>
                <w:color w:val="D50032"/>
                <w:sz w:val="17"/>
                <w:szCs w:val="17"/>
              </w:rPr>
            </w:pPr>
            <w:r w:rsidRPr="0050705C">
              <w:rPr>
                <w:rFonts w:ascii="Arial" w:hAnsi="Arial"/>
                <w:color w:val="D50032"/>
                <w:sz w:val="17"/>
                <w:szCs w:val="17"/>
              </w:rPr>
              <w:t>[Revised]</w:t>
            </w:r>
          </w:p>
          <w:p w:rsidR="00A83C4E" w:rsidRPr="00003AD0" w:rsidRDefault="00A83C4E" w:rsidP="00AC76C3">
            <w:pPr>
              <w:pStyle w:val="Reference"/>
              <w:rPr>
                <w:rFonts w:ascii="Arial" w:hAnsi="Arial"/>
                <w:color w:val="auto"/>
                <w:sz w:val="17"/>
                <w:szCs w:val="17"/>
              </w:rPr>
            </w:pPr>
            <w:r w:rsidRPr="00003AD0">
              <w:rPr>
                <w:rFonts w:ascii="Arial" w:hAnsi="Arial"/>
                <w:color w:val="auto"/>
                <w:sz w:val="17"/>
                <w:szCs w:val="17"/>
              </w:rPr>
              <w:t xml:space="preserve">Compliance with the </w:t>
            </w:r>
            <w:r w:rsidRPr="00DB3E3B">
              <w:rPr>
                <w:rFonts w:ascii="Arial" w:hAnsi="Arial"/>
                <w:i/>
                <w:color w:val="auto"/>
                <w:sz w:val="17"/>
                <w:szCs w:val="17"/>
              </w:rPr>
              <w:t>Disability Act 2006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6" w:type="pct"/>
          </w:tcPr>
          <w:p w:rsidR="00A83C4E" w:rsidRPr="00DB3E3B" w:rsidRDefault="00A83C4E" w:rsidP="00AC76C3">
            <w:pPr>
              <w:pStyle w:val="Reference"/>
              <w:rPr>
                <w:rFonts w:ascii="Arial" w:hAnsi="Arial"/>
                <w:i/>
                <w:color w:val="auto"/>
                <w:sz w:val="17"/>
                <w:szCs w:val="17"/>
              </w:rPr>
            </w:pPr>
            <w:r w:rsidRPr="00DB3E3B">
              <w:rPr>
                <w:rFonts w:ascii="Arial" w:hAnsi="Arial"/>
                <w:i/>
                <w:color w:val="auto"/>
                <w:sz w:val="17"/>
                <w:szCs w:val="17"/>
              </w:rPr>
              <w:t>Disability Act 2006</w:t>
            </w:r>
            <w:r w:rsidR="0050705C">
              <w:rPr>
                <w:rFonts w:ascii="Arial" w:hAnsi="Arial"/>
                <w:i/>
                <w:color w:val="auto"/>
                <w:sz w:val="17"/>
                <w:szCs w:val="17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</w:tcPr>
          <w:p w:rsidR="00A83C4E" w:rsidRPr="00003AD0" w:rsidRDefault="00A83C4E" w:rsidP="00AC76C3">
            <w:pPr>
              <w:pStyle w:val="Tabletext"/>
              <w:rPr>
                <w:rFonts w:ascii="Arial" w:hAnsi="Arial" w:cs="Arial"/>
                <w:szCs w:val="17"/>
              </w:rPr>
            </w:pPr>
            <w:r>
              <w:rPr>
                <w:rFonts w:ascii="Arial" w:hAnsi="Arial" w:cs="Arial"/>
                <w:szCs w:val="17"/>
              </w:rPr>
              <w:t>C</w:t>
            </w:r>
            <w:r w:rsidRPr="00003AD0">
              <w:rPr>
                <w:rFonts w:ascii="Arial" w:hAnsi="Arial" w:cs="Arial"/>
                <w:szCs w:val="17"/>
              </w:rPr>
              <w:t xml:space="preserve">ompliance with the </w:t>
            </w:r>
            <w:r w:rsidRPr="00003AD0">
              <w:rPr>
                <w:rFonts w:ascii="Arial" w:hAnsi="Arial" w:cs="Arial"/>
                <w:i/>
                <w:szCs w:val="17"/>
              </w:rPr>
              <w:t>Disability Act 2006</w:t>
            </w:r>
            <w:r w:rsidRPr="00003AD0">
              <w:rPr>
                <w:rFonts w:ascii="Arial" w:hAnsi="Arial" w:cs="Arial"/>
                <w:szCs w:val="17"/>
              </w:rPr>
              <w:t xml:space="preserve"> </w:t>
            </w:r>
            <w:r w:rsidRPr="000877D4">
              <w:rPr>
                <w:rFonts w:ascii="Arial" w:hAnsi="Arial" w:cs="Arial"/>
                <w:szCs w:val="17"/>
              </w:rPr>
              <w:t xml:space="preserve">has been </w:t>
            </w:r>
            <w:r w:rsidRPr="00F6329D">
              <w:rPr>
                <w:rFonts w:ascii="Arial" w:hAnsi="Arial" w:cs="Arial"/>
                <w:szCs w:val="17"/>
              </w:rPr>
              <w:t>separat</w:t>
            </w:r>
            <w:r>
              <w:rPr>
                <w:rFonts w:ascii="Arial" w:hAnsi="Arial" w:cs="Arial"/>
                <w:szCs w:val="17"/>
              </w:rPr>
              <w:t>ely illustrated to provide preparers with better clarity on the disclosure requirements.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6" w:type="pct"/>
          </w:tcPr>
          <w:p w:rsidR="00A83C4E" w:rsidRPr="00003AD0" w:rsidRDefault="00A83C4E" w:rsidP="00AC76C3">
            <w:pPr>
              <w:pStyle w:val="Tabletextcentred"/>
              <w:rPr>
                <w:rFonts w:ascii="Arial" w:hAnsi="Arial" w:cs="Arial"/>
                <w:szCs w:val="17"/>
              </w:rPr>
            </w:pPr>
            <w:r w:rsidRPr="00003AD0">
              <w:rPr>
                <w:rFonts w:ascii="Arial" w:hAnsi="Arial" w:cs="Arial"/>
                <w:szCs w:val="17"/>
              </w:rPr>
              <w:t>57</w:t>
            </w:r>
          </w:p>
        </w:tc>
      </w:tr>
      <w:tr w:rsidR="00A83C4E" w:rsidRPr="00DF5908" w:rsidTr="00780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</w:tcPr>
          <w:p w:rsidR="00A83C4E" w:rsidRPr="0050705C" w:rsidRDefault="00A83C4E" w:rsidP="00AC76C3">
            <w:pPr>
              <w:pStyle w:val="Reference"/>
              <w:rPr>
                <w:rFonts w:ascii="Arial" w:hAnsi="Arial"/>
                <w:color w:val="D50032"/>
                <w:sz w:val="17"/>
                <w:szCs w:val="17"/>
              </w:rPr>
            </w:pPr>
            <w:r w:rsidRPr="0050705C">
              <w:rPr>
                <w:rFonts w:ascii="Arial" w:hAnsi="Arial"/>
                <w:color w:val="D50032"/>
                <w:sz w:val="17"/>
                <w:szCs w:val="17"/>
              </w:rPr>
              <w:t>[Revised]</w:t>
            </w:r>
          </w:p>
          <w:p w:rsidR="00A83C4E" w:rsidRPr="00A86896" w:rsidRDefault="00A83C4E" w:rsidP="00AC76C3">
            <w:pPr>
              <w:pStyle w:val="Reference"/>
              <w:rPr>
                <w:rFonts w:ascii="Arial" w:hAnsi="Arial"/>
                <w:color w:val="FF0000"/>
                <w:sz w:val="17"/>
                <w:szCs w:val="17"/>
              </w:rPr>
            </w:pPr>
            <w:r>
              <w:rPr>
                <w:rFonts w:ascii="Arial" w:hAnsi="Arial"/>
                <w:color w:val="auto"/>
                <w:sz w:val="17"/>
                <w:szCs w:val="17"/>
              </w:rPr>
              <w:t>Office based environemtal impacts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6" w:type="pct"/>
          </w:tcPr>
          <w:p w:rsidR="00A83C4E" w:rsidRPr="00A86896" w:rsidRDefault="00A83C4E" w:rsidP="00AC76C3">
            <w:pPr>
              <w:pStyle w:val="Reference"/>
              <w:rPr>
                <w:rFonts w:ascii="Arial" w:hAnsi="Arial"/>
                <w:color w:val="auto"/>
                <w:sz w:val="17"/>
                <w:szCs w:val="17"/>
              </w:rPr>
            </w:pPr>
            <w:r>
              <w:rPr>
                <w:rFonts w:ascii="Arial" w:hAnsi="Arial"/>
                <w:color w:val="auto"/>
                <w:sz w:val="17"/>
                <w:szCs w:val="17"/>
              </w:rPr>
              <w:t xml:space="preserve">FRD 24D </w:t>
            </w:r>
            <w:r w:rsidRPr="00D53503">
              <w:rPr>
                <w:rFonts w:ascii="Arial" w:hAnsi="Arial"/>
                <w:i/>
                <w:color w:val="auto"/>
                <w:sz w:val="17"/>
                <w:szCs w:val="17"/>
              </w:rPr>
              <w:t>Reporting of office-based environmental data by government entities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</w:tcPr>
          <w:p w:rsidR="00A83C4E" w:rsidRPr="00A86896" w:rsidRDefault="00A83C4E" w:rsidP="00DE0452">
            <w:pPr>
              <w:pStyle w:val="Tabletext"/>
              <w:rPr>
                <w:rFonts w:ascii="Arial" w:hAnsi="Arial" w:cs="Arial"/>
                <w:szCs w:val="17"/>
              </w:rPr>
            </w:pPr>
            <w:r>
              <w:rPr>
                <w:rFonts w:ascii="Arial" w:hAnsi="Arial" w:cs="Arial"/>
                <w:szCs w:val="17"/>
              </w:rPr>
              <w:t>Tabular and narrative illustrations have been included in the section to assist preparers in reporting against the additional disclosure requirements introduced by FRD</w:t>
            </w:r>
            <w:r w:rsidR="00DE0452">
              <w:rPr>
                <w:rFonts w:ascii="Arial" w:hAnsi="Arial" w:cs="Arial"/>
                <w:szCs w:val="17"/>
              </w:rPr>
              <w:t> </w:t>
            </w:r>
            <w:r>
              <w:rPr>
                <w:rFonts w:ascii="Arial" w:hAnsi="Arial" w:cs="Arial"/>
                <w:szCs w:val="17"/>
              </w:rPr>
              <w:t>24D.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6" w:type="pct"/>
          </w:tcPr>
          <w:p w:rsidR="00A83C4E" w:rsidRPr="00A86896" w:rsidRDefault="00D11CA3" w:rsidP="007B6A10">
            <w:pPr>
              <w:pStyle w:val="Tabletextcentred"/>
              <w:rPr>
                <w:rFonts w:ascii="Arial" w:hAnsi="Arial" w:cs="Arial"/>
                <w:szCs w:val="17"/>
              </w:rPr>
            </w:pPr>
            <w:r>
              <w:rPr>
                <w:rFonts w:ascii="Arial" w:hAnsi="Arial" w:cs="Arial"/>
                <w:szCs w:val="17"/>
              </w:rPr>
              <w:t>5</w:t>
            </w:r>
            <w:r w:rsidR="007B6A10">
              <w:rPr>
                <w:rFonts w:ascii="Arial" w:hAnsi="Arial" w:cs="Arial"/>
                <w:szCs w:val="17"/>
              </w:rPr>
              <w:t>9-68</w:t>
            </w:r>
          </w:p>
        </w:tc>
      </w:tr>
      <w:tr w:rsidR="00A83C4E" w:rsidRPr="00DF5908" w:rsidTr="007800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</w:tcPr>
          <w:p w:rsidR="00A83C4E" w:rsidRPr="0050705C" w:rsidRDefault="00A83C4E" w:rsidP="00AC76C3">
            <w:pPr>
              <w:pStyle w:val="Reference"/>
              <w:rPr>
                <w:rFonts w:ascii="Arial" w:hAnsi="Arial"/>
                <w:color w:val="D50032"/>
                <w:sz w:val="17"/>
                <w:szCs w:val="17"/>
              </w:rPr>
            </w:pPr>
            <w:r w:rsidRPr="0050705C">
              <w:rPr>
                <w:rFonts w:ascii="Arial" w:hAnsi="Arial"/>
                <w:color w:val="D50032"/>
                <w:sz w:val="17"/>
                <w:szCs w:val="17"/>
              </w:rPr>
              <w:t>[Revised]</w:t>
            </w:r>
          </w:p>
          <w:p w:rsidR="00A83C4E" w:rsidRPr="00003AD0" w:rsidRDefault="00A83C4E" w:rsidP="00AC76C3">
            <w:pPr>
              <w:pStyle w:val="Reference"/>
              <w:rPr>
                <w:rFonts w:ascii="Arial" w:hAnsi="Arial"/>
                <w:color w:val="auto"/>
                <w:sz w:val="17"/>
                <w:szCs w:val="17"/>
              </w:rPr>
            </w:pPr>
            <w:r w:rsidRPr="00003AD0">
              <w:rPr>
                <w:rFonts w:ascii="Arial" w:hAnsi="Arial"/>
                <w:color w:val="auto"/>
                <w:sz w:val="17"/>
                <w:szCs w:val="17"/>
              </w:rPr>
              <w:t>Attestation for financial management compliance with Ministerial Standing Directions 5.1.4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6" w:type="pct"/>
          </w:tcPr>
          <w:p w:rsidR="00A83C4E" w:rsidRPr="00003AD0" w:rsidRDefault="00A83C4E" w:rsidP="00AC76C3">
            <w:pPr>
              <w:pStyle w:val="Reference"/>
              <w:rPr>
                <w:rFonts w:ascii="Arial" w:hAnsi="Arial"/>
                <w:color w:val="auto"/>
                <w:sz w:val="17"/>
                <w:szCs w:val="17"/>
              </w:rPr>
            </w:pPr>
            <w:r w:rsidRPr="00003AD0">
              <w:rPr>
                <w:rFonts w:ascii="Arial" w:hAnsi="Arial"/>
                <w:color w:val="auto"/>
                <w:sz w:val="17"/>
                <w:szCs w:val="17"/>
              </w:rPr>
              <w:t>Standing Direction (SD)</w:t>
            </w:r>
            <w:r w:rsidR="0050705C">
              <w:rPr>
                <w:rFonts w:ascii="Arial" w:hAnsi="Arial"/>
                <w:color w:val="auto"/>
                <w:sz w:val="17"/>
                <w:szCs w:val="17"/>
              </w:rPr>
              <w:t xml:space="preserve"> – </w:t>
            </w:r>
            <w:r w:rsidRPr="00003AD0">
              <w:rPr>
                <w:rFonts w:ascii="Arial" w:hAnsi="Arial"/>
                <w:color w:val="auto"/>
                <w:sz w:val="17"/>
                <w:szCs w:val="17"/>
              </w:rPr>
              <w:t>Instruction 5.1 Clause 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</w:tcPr>
          <w:p w:rsidR="00A83C4E" w:rsidRPr="00003AD0" w:rsidRDefault="00A83C4E" w:rsidP="00AC76C3">
            <w:pPr>
              <w:pStyle w:val="Tabletext"/>
              <w:rPr>
                <w:rFonts w:ascii="Arial" w:hAnsi="Arial" w:cs="Arial"/>
                <w:szCs w:val="17"/>
              </w:rPr>
            </w:pPr>
            <w:r>
              <w:rPr>
                <w:rFonts w:ascii="Arial" w:hAnsi="Arial" w:cs="Arial"/>
                <w:szCs w:val="17"/>
              </w:rPr>
              <w:t>The illustration has been amended to reflect the update of the SD on the Responsible Body’s responsibility for the entities’ compliance with the Direction.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6" w:type="pct"/>
          </w:tcPr>
          <w:p w:rsidR="00A83C4E" w:rsidRPr="00AC76C3" w:rsidRDefault="007B6A10" w:rsidP="007C5689">
            <w:pPr>
              <w:pStyle w:val="Tabletextcentred"/>
              <w:rPr>
                <w:rFonts w:ascii="Arial" w:hAnsi="Arial" w:cs="Arial"/>
                <w:szCs w:val="17"/>
              </w:rPr>
            </w:pPr>
            <w:r>
              <w:rPr>
                <w:rFonts w:ascii="Arial" w:hAnsi="Arial" w:cs="Arial"/>
                <w:szCs w:val="17"/>
              </w:rPr>
              <w:t>70</w:t>
            </w:r>
          </w:p>
        </w:tc>
      </w:tr>
      <w:tr w:rsidR="00A83C4E" w:rsidRPr="00DF5908" w:rsidTr="00A83C4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</w:tcPr>
          <w:p w:rsidR="00A83C4E" w:rsidRPr="0050705C" w:rsidRDefault="00A83C4E" w:rsidP="00AC76C3">
            <w:pPr>
              <w:pStyle w:val="Reference"/>
              <w:rPr>
                <w:rFonts w:ascii="Arial" w:hAnsi="Arial"/>
                <w:color w:val="D50032"/>
                <w:sz w:val="17"/>
                <w:szCs w:val="17"/>
              </w:rPr>
            </w:pPr>
            <w:r w:rsidRPr="0050705C">
              <w:rPr>
                <w:rFonts w:ascii="Arial" w:hAnsi="Arial"/>
                <w:color w:val="D50032"/>
                <w:sz w:val="17"/>
                <w:szCs w:val="17"/>
              </w:rPr>
              <w:lastRenderedPageBreak/>
              <w:t>[New and revised]</w:t>
            </w:r>
          </w:p>
          <w:p w:rsidR="00A83C4E" w:rsidRPr="00003AD0" w:rsidRDefault="00A83C4E" w:rsidP="00AC76C3">
            <w:pPr>
              <w:pStyle w:val="Reference"/>
              <w:rPr>
                <w:rFonts w:ascii="Arial" w:hAnsi="Arial"/>
                <w:color w:val="auto"/>
                <w:sz w:val="17"/>
                <w:szCs w:val="17"/>
              </w:rPr>
            </w:pPr>
            <w:r w:rsidRPr="00003AD0">
              <w:rPr>
                <w:rFonts w:ascii="Arial" w:hAnsi="Arial"/>
                <w:color w:val="auto"/>
                <w:sz w:val="17"/>
                <w:szCs w:val="17"/>
              </w:rPr>
              <w:t>Guidance –</w:t>
            </w:r>
            <w:r w:rsidR="0050705C">
              <w:rPr>
                <w:rFonts w:ascii="Arial" w:hAnsi="Arial"/>
                <w:color w:val="auto"/>
                <w:sz w:val="17"/>
                <w:szCs w:val="17"/>
              </w:rPr>
              <w:t xml:space="preserve"> </w:t>
            </w:r>
            <w:r w:rsidRPr="00003AD0">
              <w:rPr>
                <w:rFonts w:ascii="Arial" w:hAnsi="Arial"/>
                <w:color w:val="auto"/>
                <w:sz w:val="17"/>
                <w:szCs w:val="17"/>
              </w:rPr>
              <w:t>Attestation for financial management compliance with Ministerial Standing Directions 5.1.4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6" w:type="pct"/>
          </w:tcPr>
          <w:p w:rsidR="00A83C4E" w:rsidRPr="00003AD0" w:rsidRDefault="00A83C4E" w:rsidP="00AC76C3">
            <w:pPr>
              <w:pStyle w:val="Reference"/>
              <w:rPr>
                <w:rFonts w:ascii="Arial" w:hAnsi="Arial"/>
                <w:color w:val="auto"/>
                <w:sz w:val="17"/>
                <w:szCs w:val="17"/>
              </w:rPr>
            </w:pPr>
            <w:r w:rsidRPr="00003AD0">
              <w:rPr>
                <w:rFonts w:ascii="Arial" w:hAnsi="Arial"/>
                <w:color w:val="auto"/>
                <w:sz w:val="17"/>
                <w:szCs w:val="17"/>
              </w:rPr>
              <w:t>SD 5.1.2 to 5.1.4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</w:tcPr>
          <w:p w:rsidR="00A83C4E" w:rsidRPr="00003AD0" w:rsidRDefault="00A83C4E" w:rsidP="00AC76C3">
            <w:pPr>
              <w:pStyle w:val="Tabletext"/>
              <w:rPr>
                <w:rFonts w:ascii="Arial" w:hAnsi="Arial" w:cs="Arial"/>
                <w:szCs w:val="17"/>
              </w:rPr>
            </w:pPr>
            <w:r w:rsidRPr="003A6F4D">
              <w:rPr>
                <w:rFonts w:ascii="Arial" w:hAnsi="Arial" w:cs="Arial"/>
                <w:szCs w:val="17"/>
              </w:rPr>
              <w:t>A</w:t>
            </w:r>
            <w:r w:rsidRPr="00AC76C3">
              <w:rPr>
                <w:rFonts w:ascii="Arial" w:hAnsi="Arial" w:cs="Arial"/>
                <w:szCs w:val="17"/>
              </w:rPr>
              <w:t xml:space="preserve">dditional guidance </w:t>
            </w:r>
            <w:r>
              <w:rPr>
                <w:rFonts w:ascii="Arial" w:hAnsi="Arial" w:cs="Arial"/>
                <w:szCs w:val="17"/>
              </w:rPr>
              <w:t>has been included to assist Departments in their attestation of financial management compliance under the SD.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6" w:type="pct"/>
          </w:tcPr>
          <w:p w:rsidR="00A83C4E" w:rsidRPr="00AC76C3" w:rsidRDefault="007B6A10" w:rsidP="00AC76C3">
            <w:pPr>
              <w:pStyle w:val="Tabletextcentred"/>
              <w:rPr>
                <w:rFonts w:ascii="Arial" w:hAnsi="Arial" w:cs="Arial"/>
                <w:szCs w:val="17"/>
              </w:rPr>
            </w:pPr>
            <w:r>
              <w:rPr>
                <w:rFonts w:ascii="Arial" w:hAnsi="Arial" w:cs="Arial"/>
                <w:szCs w:val="17"/>
              </w:rPr>
              <w:t>71</w:t>
            </w:r>
          </w:p>
        </w:tc>
      </w:tr>
      <w:tr w:rsidR="00A83C4E" w:rsidRPr="00DF5908" w:rsidTr="007800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</w:tcPr>
          <w:p w:rsidR="00A83C4E" w:rsidRPr="0050705C" w:rsidRDefault="00A83C4E" w:rsidP="00AC76C3">
            <w:pPr>
              <w:pStyle w:val="Reference"/>
              <w:rPr>
                <w:rFonts w:ascii="Arial" w:hAnsi="Arial"/>
                <w:color w:val="D50032"/>
                <w:sz w:val="17"/>
                <w:szCs w:val="17"/>
              </w:rPr>
            </w:pPr>
            <w:r w:rsidRPr="0050705C">
              <w:rPr>
                <w:rFonts w:ascii="Arial" w:hAnsi="Arial"/>
                <w:color w:val="D50032"/>
                <w:sz w:val="17"/>
                <w:szCs w:val="17"/>
              </w:rPr>
              <w:t>[Revised]</w:t>
            </w:r>
          </w:p>
          <w:p w:rsidR="00A83C4E" w:rsidRPr="00003AD0" w:rsidRDefault="00A83C4E" w:rsidP="00AC76C3">
            <w:pPr>
              <w:pStyle w:val="Reference"/>
              <w:rPr>
                <w:rFonts w:ascii="Arial" w:hAnsi="Arial"/>
                <w:color w:val="FF0000"/>
                <w:sz w:val="17"/>
                <w:szCs w:val="17"/>
              </w:rPr>
            </w:pPr>
            <w:r w:rsidRPr="00003AD0">
              <w:rPr>
                <w:rFonts w:ascii="Arial" w:hAnsi="Arial"/>
                <w:color w:val="auto"/>
                <w:sz w:val="17"/>
                <w:szCs w:val="17"/>
              </w:rPr>
              <w:t xml:space="preserve">Compliance with DataVic Access Policy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6" w:type="pct"/>
          </w:tcPr>
          <w:p w:rsidR="00A83C4E" w:rsidRPr="00003AD0" w:rsidRDefault="00A83C4E" w:rsidP="00AC76C3">
            <w:pPr>
              <w:pStyle w:val="Reference"/>
              <w:rPr>
                <w:rFonts w:ascii="Arial" w:hAnsi="Arial"/>
                <w:color w:val="FF0000"/>
                <w:sz w:val="17"/>
                <w:szCs w:val="17"/>
              </w:rPr>
            </w:pPr>
            <w:r w:rsidRPr="00003AD0">
              <w:rPr>
                <w:rFonts w:ascii="Arial" w:hAnsi="Arial"/>
                <w:color w:val="auto"/>
                <w:sz w:val="17"/>
                <w:szCs w:val="17"/>
              </w:rPr>
              <w:t>General improvements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</w:tcPr>
          <w:p w:rsidR="00A83C4E" w:rsidRPr="00003AD0" w:rsidRDefault="00A83C4E" w:rsidP="00AC76C3">
            <w:pPr>
              <w:pStyle w:val="Tabletext"/>
              <w:rPr>
                <w:rFonts w:ascii="Arial" w:hAnsi="Arial" w:cs="Arial"/>
                <w:szCs w:val="17"/>
              </w:rPr>
            </w:pPr>
            <w:r>
              <w:rPr>
                <w:rFonts w:ascii="Arial" w:hAnsi="Arial" w:cs="Arial"/>
                <w:szCs w:val="17"/>
              </w:rPr>
              <w:t xml:space="preserve">Minor editorial changes have been made on the section. A link to </w:t>
            </w:r>
            <w:proofErr w:type="spellStart"/>
            <w:r>
              <w:rPr>
                <w:rFonts w:ascii="Arial" w:hAnsi="Arial" w:cs="Arial"/>
                <w:szCs w:val="17"/>
              </w:rPr>
              <w:t>DataVic</w:t>
            </w:r>
            <w:proofErr w:type="spellEnd"/>
            <w:r>
              <w:rPr>
                <w:rFonts w:ascii="Arial" w:hAnsi="Arial" w:cs="Arial"/>
                <w:szCs w:val="17"/>
              </w:rPr>
              <w:t xml:space="preserve"> Access Policy website has been included as a reference.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6" w:type="pct"/>
          </w:tcPr>
          <w:p w:rsidR="00A83C4E" w:rsidRPr="00AC76C3" w:rsidRDefault="007B6A10" w:rsidP="00AC76C3">
            <w:pPr>
              <w:pStyle w:val="Tabletextcentred"/>
              <w:rPr>
                <w:rFonts w:ascii="Arial" w:hAnsi="Arial" w:cs="Arial"/>
                <w:color w:val="FF0000"/>
                <w:szCs w:val="17"/>
              </w:rPr>
            </w:pPr>
            <w:r>
              <w:rPr>
                <w:rFonts w:ascii="Arial" w:hAnsi="Arial" w:cs="Arial"/>
                <w:szCs w:val="17"/>
              </w:rPr>
              <w:t>73</w:t>
            </w:r>
          </w:p>
        </w:tc>
      </w:tr>
    </w:tbl>
    <w:p w:rsidR="00955547" w:rsidRPr="00DF5908" w:rsidRDefault="00955547" w:rsidP="005E6AE4">
      <w:pPr>
        <w:pStyle w:val="Tabletext"/>
      </w:pPr>
    </w:p>
    <w:p w:rsidR="00F04E7E" w:rsidRPr="00DF5908" w:rsidRDefault="00F04E7E">
      <w:pPr>
        <w:spacing w:before="0" w:after="200"/>
        <w:rPr>
          <w:sz w:val="17"/>
        </w:rPr>
      </w:pPr>
      <w:r w:rsidRPr="00DF5908">
        <w:br w:type="page"/>
      </w:r>
    </w:p>
    <w:tbl>
      <w:tblPr>
        <w:tblStyle w:val="DTFtexttable"/>
        <w:tblW w:w="5000" w:type="pct"/>
        <w:tblLook w:val="01A0" w:firstRow="1" w:lastRow="0" w:firstColumn="1" w:lastColumn="1" w:noHBand="0" w:noVBand="0"/>
      </w:tblPr>
      <w:tblGrid>
        <w:gridCol w:w="1523"/>
        <w:gridCol w:w="1755"/>
        <w:gridCol w:w="4762"/>
        <w:gridCol w:w="1100"/>
      </w:tblGrid>
      <w:tr w:rsidR="00F04E7E" w:rsidRPr="00DF5908" w:rsidTr="00A21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4"/>
          </w:tcPr>
          <w:p w:rsidR="00F04E7E" w:rsidRPr="00DF5908" w:rsidRDefault="00F04E7E" w:rsidP="005A323F">
            <w:pPr>
              <w:pStyle w:val="Tableheader"/>
            </w:pPr>
            <w:r w:rsidRPr="00DF5908">
              <w:lastRenderedPageBreak/>
              <w:br w:type="page"/>
              <w:t xml:space="preserve">Summary of changes – Model </w:t>
            </w:r>
            <w:r w:rsidR="005A323F">
              <w:t>F</w:t>
            </w:r>
            <w:r w:rsidRPr="00DF5908">
              <w:t xml:space="preserve">inancial </w:t>
            </w:r>
            <w:r w:rsidR="005A323F">
              <w:t>S</w:t>
            </w:r>
            <w:r w:rsidRPr="00DF5908">
              <w:t>tatements</w:t>
            </w:r>
          </w:p>
        </w:tc>
      </w:tr>
      <w:tr w:rsidR="00C70A7E" w:rsidRPr="00DF5908" w:rsidTr="00C269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3" w:type="pct"/>
            <w:shd w:val="clear" w:color="auto" w:fill="749CC9" w:themeFill="accent3"/>
          </w:tcPr>
          <w:p w:rsidR="00C70A7E" w:rsidRPr="00DF5908" w:rsidRDefault="00C70A7E" w:rsidP="00F04E7E">
            <w:pPr>
              <w:pStyle w:val="Tableheader"/>
              <w:rPr>
                <w:sz w:val="18"/>
                <w:szCs w:val="18"/>
              </w:rPr>
            </w:pPr>
            <w:r w:rsidRPr="00DF5908">
              <w:rPr>
                <w:sz w:val="18"/>
                <w:szCs w:val="18"/>
              </w:rPr>
              <w:t xml:space="preserve">Subject matter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pct"/>
            <w:shd w:val="clear" w:color="auto" w:fill="749CC9" w:themeFill="accent3"/>
          </w:tcPr>
          <w:p w:rsidR="00C70A7E" w:rsidRPr="00DF5908" w:rsidRDefault="00C70A7E" w:rsidP="00F04E7E">
            <w:pPr>
              <w:pStyle w:val="Tableheader"/>
              <w:rPr>
                <w:sz w:val="18"/>
                <w:szCs w:val="18"/>
              </w:rPr>
            </w:pPr>
            <w:r w:rsidRPr="00DF5908">
              <w:rPr>
                <w:sz w:val="18"/>
                <w:szCs w:val="18"/>
              </w:rPr>
              <w:t>Source of change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05" w:type="pct"/>
            <w:shd w:val="clear" w:color="auto" w:fill="749CC9" w:themeFill="accent3"/>
          </w:tcPr>
          <w:p w:rsidR="00C70A7E" w:rsidRPr="00DF5908" w:rsidRDefault="00C70A7E" w:rsidP="00C70A7E">
            <w:pPr>
              <w:pStyle w:val="Tableheader"/>
              <w:rPr>
                <w:sz w:val="18"/>
                <w:szCs w:val="18"/>
              </w:rPr>
            </w:pPr>
            <w:r w:rsidRPr="00DF5908">
              <w:rPr>
                <w:sz w:val="18"/>
                <w:szCs w:val="18"/>
              </w:rPr>
              <w:t xml:space="preserve">Summary of changes applied to the relevant sections in the </w:t>
            </w:r>
            <w:r w:rsidR="005442FE">
              <w:rPr>
                <w:sz w:val="18"/>
                <w:szCs w:val="18"/>
              </w:rPr>
              <w:t xml:space="preserve">Model </w:t>
            </w:r>
            <w:r>
              <w:rPr>
                <w:sz w:val="18"/>
                <w:szCs w:val="18"/>
              </w:rPr>
              <w:t>Financial Statements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602" w:type="pct"/>
            <w:shd w:val="clear" w:color="auto" w:fill="749CC9" w:themeFill="accent3"/>
          </w:tcPr>
          <w:p w:rsidR="00C70A7E" w:rsidRPr="00DF5908" w:rsidRDefault="00C70A7E" w:rsidP="001C4C3D">
            <w:pPr>
              <w:pStyle w:val="Tableheader"/>
              <w:jc w:val="center"/>
              <w:rPr>
                <w:sz w:val="18"/>
                <w:szCs w:val="18"/>
              </w:rPr>
            </w:pPr>
            <w:r w:rsidRPr="00DF5908">
              <w:rPr>
                <w:sz w:val="18"/>
                <w:szCs w:val="18"/>
              </w:rPr>
              <w:t>Page reference</w:t>
            </w:r>
          </w:p>
        </w:tc>
      </w:tr>
      <w:tr w:rsidR="00F023EE" w:rsidRPr="00DF5908" w:rsidTr="00C269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:rsidR="00F023EE" w:rsidRPr="0050705C" w:rsidRDefault="00F023EE" w:rsidP="00AC76C3">
            <w:pPr>
              <w:pStyle w:val="Tabletext"/>
              <w:rPr>
                <w:rFonts w:ascii="Arial" w:hAnsi="Arial" w:cs="Arial"/>
                <w:color w:val="D50032"/>
              </w:rPr>
            </w:pPr>
            <w:r w:rsidRPr="0050705C">
              <w:rPr>
                <w:rFonts w:ascii="Arial" w:hAnsi="Arial" w:cs="Arial"/>
                <w:color w:val="D50032"/>
              </w:rPr>
              <w:t>[Revised]</w:t>
            </w:r>
          </w:p>
          <w:p w:rsidR="00F023EE" w:rsidRPr="006C55DD" w:rsidRDefault="00F023EE" w:rsidP="00AC76C3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Independent Auditor’s Report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pct"/>
          </w:tcPr>
          <w:p w:rsidR="00F023EE" w:rsidRDefault="00F023EE" w:rsidP="00AC76C3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Australian Auditing Standards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05" w:type="pct"/>
          </w:tcPr>
          <w:p w:rsidR="00F023EE" w:rsidRDefault="00F023EE" w:rsidP="00AC76C3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Independent Auditor’s Report (IAR) has been updated to reflect the new layout of the IAR for compliance with the relevant Australian Auditing Standards.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" w:type="pct"/>
          </w:tcPr>
          <w:p w:rsidR="00F023EE" w:rsidRPr="00CF05F4" w:rsidRDefault="007B6A10" w:rsidP="00AC76C3">
            <w:pPr>
              <w:pStyle w:val="Tabletextcentre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</w:tr>
      <w:tr w:rsidR="00F023EE" w:rsidRPr="00DF5908" w:rsidTr="00C269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:rsidR="00F023EE" w:rsidRPr="0050705C" w:rsidRDefault="00F023EE" w:rsidP="00AC76C3">
            <w:pPr>
              <w:pStyle w:val="Tabletext"/>
              <w:rPr>
                <w:rFonts w:ascii="Arial" w:hAnsi="Arial" w:cs="Arial"/>
                <w:color w:val="D50032"/>
              </w:rPr>
            </w:pPr>
            <w:r w:rsidRPr="0050705C">
              <w:rPr>
                <w:rFonts w:ascii="Arial" w:hAnsi="Arial" w:cs="Arial"/>
                <w:color w:val="D50032"/>
              </w:rPr>
              <w:t>[New]</w:t>
            </w:r>
          </w:p>
          <w:p w:rsidR="00F023EE" w:rsidRDefault="00F023EE" w:rsidP="00AC76C3">
            <w:pPr>
              <w:pStyle w:val="Tabletex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New Accounting Standards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pct"/>
          </w:tcPr>
          <w:p w:rsidR="00F023EE" w:rsidRDefault="00F023EE" w:rsidP="00AC76C3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VAGO’s recommendation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05" w:type="pct"/>
          </w:tcPr>
          <w:p w:rsidR="00F023EE" w:rsidRPr="00822BAB" w:rsidRDefault="00F023EE" w:rsidP="000D34DF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Preparers</w:t>
            </w:r>
            <w:r w:rsidR="000D34DF">
              <w:rPr>
                <w:rFonts w:ascii="Arial" w:hAnsi="Arial" w:cs="Arial"/>
              </w:rPr>
              <w:t xml:space="preserve"> are required to consider the likely financial impact of application of the </w:t>
            </w:r>
            <w:r>
              <w:rPr>
                <w:rFonts w:ascii="Arial" w:hAnsi="Arial" w:cs="Arial"/>
              </w:rPr>
              <w:t>new accounting standards (i.e. AASB</w:t>
            </w:r>
            <w:r w:rsidR="00116208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 xml:space="preserve">16 </w:t>
            </w:r>
            <w:r>
              <w:rPr>
                <w:rFonts w:ascii="Arial" w:hAnsi="Arial" w:cs="Arial"/>
                <w:i/>
              </w:rPr>
              <w:t>Leases</w:t>
            </w:r>
            <w:r>
              <w:rPr>
                <w:rFonts w:ascii="Arial" w:hAnsi="Arial" w:cs="Arial"/>
              </w:rPr>
              <w:t xml:space="preserve">, AASB 15 </w:t>
            </w:r>
            <w:r w:rsidRPr="00117F46">
              <w:rPr>
                <w:rFonts w:ascii="Arial" w:hAnsi="Arial" w:cs="Arial"/>
                <w:i/>
              </w:rPr>
              <w:t>Revenue from Contracts with Customers</w:t>
            </w:r>
            <w:r>
              <w:rPr>
                <w:rFonts w:ascii="Arial" w:hAnsi="Arial" w:cs="Arial"/>
              </w:rPr>
              <w:t xml:space="preserve">, AASB 1058 </w:t>
            </w:r>
            <w:r w:rsidRPr="00003AD0">
              <w:rPr>
                <w:rFonts w:ascii="Arial" w:hAnsi="Arial" w:cs="Arial"/>
                <w:i/>
              </w:rPr>
              <w:t>Revenue from Contracts with Customers</w:t>
            </w:r>
            <w:r>
              <w:rPr>
                <w:rFonts w:ascii="Arial" w:hAnsi="Arial" w:cs="Arial"/>
              </w:rPr>
              <w:t xml:space="preserve"> and AASB 1059 </w:t>
            </w:r>
            <w:r w:rsidRPr="00003AD0">
              <w:rPr>
                <w:rFonts w:ascii="Arial" w:hAnsi="Arial" w:cs="Arial"/>
                <w:i/>
              </w:rPr>
              <w:t>Service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003AD0">
              <w:rPr>
                <w:rFonts w:ascii="Arial" w:hAnsi="Arial" w:cs="Arial"/>
                <w:i/>
              </w:rPr>
              <w:t>Concession Arrangements: Grantors</w:t>
            </w:r>
            <w:r w:rsidR="00812B90">
              <w:rPr>
                <w:rFonts w:ascii="Arial" w:hAnsi="Arial" w:cs="Arial"/>
              </w:rPr>
              <w:t>)</w:t>
            </w:r>
            <w:r w:rsidR="00270216">
              <w:rPr>
                <w:rFonts w:ascii="Arial" w:hAnsi="Arial" w:cs="Arial"/>
              </w:rPr>
              <w:t xml:space="preserve"> for disclosure.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" w:type="pct"/>
          </w:tcPr>
          <w:p w:rsidR="00F023EE" w:rsidRDefault="007B6A10" w:rsidP="00AC76C3">
            <w:pPr>
              <w:pStyle w:val="Tabletextcentre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</w:tr>
      <w:tr w:rsidR="00F023EE" w:rsidRPr="00DF5908" w:rsidTr="00C269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:rsidR="00F023EE" w:rsidRPr="0050705C" w:rsidRDefault="00F023EE" w:rsidP="00AC76C3">
            <w:pPr>
              <w:pStyle w:val="Tabletext"/>
              <w:rPr>
                <w:rFonts w:ascii="Arial" w:hAnsi="Arial" w:cs="Arial"/>
                <w:color w:val="D50032"/>
              </w:rPr>
            </w:pPr>
            <w:r w:rsidRPr="0050705C">
              <w:rPr>
                <w:rFonts w:ascii="Arial" w:hAnsi="Arial" w:cs="Arial"/>
                <w:color w:val="D50032"/>
              </w:rPr>
              <w:t>[Revised]</w:t>
            </w:r>
          </w:p>
          <w:p w:rsidR="00F023EE" w:rsidRPr="00CF05F4" w:rsidRDefault="00F023EE" w:rsidP="00AC76C3">
            <w:pPr>
              <w:pStyle w:val="Tabletext"/>
              <w:rPr>
                <w:rFonts w:ascii="Arial" w:hAnsi="Arial" w:cs="Arial"/>
                <w:color w:val="FF0000"/>
              </w:rPr>
            </w:pPr>
            <w:r w:rsidRPr="0039340E">
              <w:rPr>
                <w:rFonts w:ascii="Arial" w:hAnsi="Arial" w:cs="Arial"/>
              </w:rPr>
              <w:t xml:space="preserve">Guidance – Departmental outputs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pct"/>
          </w:tcPr>
          <w:p w:rsidR="00F023EE" w:rsidRPr="005B2B14" w:rsidRDefault="00F023EE" w:rsidP="00AC76C3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VAGO’s recommendation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05" w:type="pct"/>
          </w:tcPr>
          <w:p w:rsidR="00F023EE" w:rsidRDefault="00F023EE" w:rsidP="00AC76C3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link to the Financial Reporting Operations Framework and Budget Operations Framework on DTF website has been included in the guidance note as a reference to assist the preparers with the classification of controlled and administered items.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" w:type="pct"/>
          </w:tcPr>
          <w:p w:rsidR="00F023EE" w:rsidRDefault="008C37C6" w:rsidP="00AC76C3">
            <w:pPr>
              <w:pStyle w:val="Tabletextcentre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</w:tr>
      <w:tr w:rsidR="00F023EE" w:rsidRPr="00DF5908" w:rsidTr="00C269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:rsidR="00F023EE" w:rsidRPr="0050705C" w:rsidRDefault="00F023EE" w:rsidP="00AC76C3">
            <w:pPr>
              <w:pStyle w:val="Tabletext"/>
              <w:rPr>
                <w:rFonts w:ascii="Arial" w:hAnsi="Arial" w:cs="Arial"/>
                <w:color w:val="D50032"/>
              </w:rPr>
            </w:pPr>
            <w:r w:rsidRPr="0050705C">
              <w:rPr>
                <w:rFonts w:ascii="Arial" w:hAnsi="Arial" w:cs="Arial"/>
                <w:color w:val="D50032"/>
              </w:rPr>
              <w:t>[Revised]</w:t>
            </w:r>
          </w:p>
          <w:p w:rsidR="00F023EE" w:rsidRPr="00CF05F4" w:rsidRDefault="00F023EE" w:rsidP="00AC76C3">
            <w:pPr>
              <w:pStyle w:val="Tabletext"/>
              <w:rPr>
                <w:rFonts w:ascii="Arial" w:hAnsi="Arial" w:cs="Arial"/>
                <w:color w:val="FF0000"/>
              </w:rPr>
            </w:pPr>
            <w:r w:rsidRPr="00CF05F4">
              <w:rPr>
                <w:rFonts w:ascii="Arial" w:hAnsi="Arial" w:cs="Arial"/>
              </w:rPr>
              <w:t>Table 5.</w:t>
            </w:r>
            <w:r>
              <w:rPr>
                <w:rFonts w:ascii="Arial" w:hAnsi="Arial" w:cs="Arial"/>
              </w:rPr>
              <w:t>1.3</w:t>
            </w:r>
            <w:r w:rsidRPr="00CF05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Reconciliation of movements in carrying amount of property, plant and equipment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pct"/>
          </w:tcPr>
          <w:p w:rsidR="00F023EE" w:rsidRPr="00CF05F4" w:rsidRDefault="00F023EE" w:rsidP="00AC76C3">
            <w:pPr>
              <w:pStyle w:val="Tabletext"/>
              <w:rPr>
                <w:rFonts w:ascii="Arial" w:hAnsi="Arial" w:cs="Arial"/>
              </w:rPr>
            </w:pPr>
            <w:r w:rsidRPr="005B2B14">
              <w:rPr>
                <w:rFonts w:ascii="Arial" w:hAnsi="Arial" w:cs="Arial"/>
              </w:rPr>
              <w:t>AASB 2016-4</w:t>
            </w:r>
            <w:r>
              <w:rPr>
                <w:rFonts w:ascii="Arial" w:hAnsi="Arial" w:cs="Arial"/>
              </w:rPr>
              <w:t xml:space="preserve"> </w:t>
            </w:r>
            <w:r w:rsidRPr="00AC76C3">
              <w:rPr>
                <w:rFonts w:ascii="Arial" w:hAnsi="Arial" w:cs="Arial"/>
                <w:i/>
              </w:rPr>
              <w:t>Amendments to Australian Accounting Standards – Recoverable Amount of Non-Cash-Generating Specialised Assets of Not-for-Profit Entities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05" w:type="pct"/>
          </w:tcPr>
          <w:p w:rsidR="00F023EE" w:rsidRPr="008C37C6" w:rsidRDefault="00F023EE" w:rsidP="008C37C6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Impairment of assets line has been removed from the reconciliation table to reflect the amendments to impairment requirement for specialised assets held by Not-for-Profit entities in AASB 2016-4.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" w:type="pct"/>
          </w:tcPr>
          <w:p w:rsidR="00F023EE" w:rsidRDefault="007B6A10" w:rsidP="00AC76C3">
            <w:pPr>
              <w:pStyle w:val="Tabletextcentre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</w:tr>
      <w:tr w:rsidR="00F023EE" w:rsidRPr="00DF5908" w:rsidTr="00C269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:rsidR="00F023EE" w:rsidRPr="0050705C" w:rsidRDefault="00F023EE" w:rsidP="00AC76C3">
            <w:pPr>
              <w:pStyle w:val="Tabletext"/>
              <w:rPr>
                <w:rFonts w:ascii="Arial" w:hAnsi="Arial" w:cs="Arial"/>
                <w:color w:val="D50032"/>
              </w:rPr>
            </w:pPr>
            <w:r w:rsidRPr="0050705C">
              <w:rPr>
                <w:rFonts w:ascii="Arial" w:hAnsi="Arial" w:cs="Arial"/>
                <w:color w:val="D50032"/>
              </w:rPr>
              <w:t xml:space="preserve">[Revised] </w:t>
            </w:r>
          </w:p>
          <w:p w:rsidR="00F023EE" w:rsidRPr="005B2B14" w:rsidRDefault="00F023EE" w:rsidP="00AC76C3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Update of terminology to be consistent with AASB 2016-4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pct"/>
          </w:tcPr>
          <w:p w:rsidR="00F023EE" w:rsidRPr="005B2B14" w:rsidRDefault="00F023EE" w:rsidP="00827D29">
            <w:pPr>
              <w:pStyle w:val="Tabletext"/>
              <w:rPr>
                <w:rFonts w:ascii="Arial" w:hAnsi="Arial" w:cs="Arial"/>
              </w:rPr>
            </w:pPr>
            <w:r w:rsidRPr="005B2B14">
              <w:rPr>
                <w:rFonts w:ascii="Arial" w:hAnsi="Arial" w:cs="Arial"/>
              </w:rPr>
              <w:t>AASB 2016-4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05" w:type="pct"/>
          </w:tcPr>
          <w:p w:rsidR="00F023EE" w:rsidRPr="005B2B14" w:rsidRDefault="00F023EE" w:rsidP="00827D29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Valuation disclosures using the depreciated replacement method have been revised to the current replacement cost method to reflect the amendments in AASB 2016-4.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" w:type="pct"/>
          </w:tcPr>
          <w:p w:rsidR="00F023EE" w:rsidRPr="00AB5A10" w:rsidRDefault="008C37C6" w:rsidP="00112262">
            <w:pPr>
              <w:pStyle w:val="Tabletextcentre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  <w:r w:rsidR="00380C9E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281</w:t>
            </w:r>
          </w:p>
        </w:tc>
      </w:tr>
    </w:tbl>
    <w:p w:rsidR="007800B3" w:rsidRPr="00DF5908" w:rsidRDefault="007800B3" w:rsidP="005E6AE4">
      <w:pPr>
        <w:pStyle w:val="Tabletext"/>
      </w:pPr>
    </w:p>
    <w:p w:rsidR="005B3B9F" w:rsidRPr="00DF5908" w:rsidRDefault="005B3B9F">
      <w:pPr>
        <w:spacing w:before="0" w:after="200"/>
        <w:rPr>
          <w:sz w:val="17"/>
        </w:rPr>
      </w:pPr>
      <w:r w:rsidRPr="00DF5908">
        <w:br w:type="page"/>
      </w:r>
    </w:p>
    <w:tbl>
      <w:tblPr>
        <w:tblStyle w:val="DTFtexttable"/>
        <w:tblW w:w="5000" w:type="pct"/>
        <w:tblLook w:val="01A0" w:firstRow="1" w:lastRow="0" w:firstColumn="1" w:lastColumn="1" w:noHBand="0" w:noVBand="0"/>
      </w:tblPr>
      <w:tblGrid>
        <w:gridCol w:w="1587"/>
        <w:gridCol w:w="1819"/>
        <w:gridCol w:w="4570"/>
        <w:gridCol w:w="1164"/>
      </w:tblGrid>
      <w:tr w:rsidR="005B3B9F" w:rsidRPr="00DF5908" w:rsidTr="00A21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4"/>
          </w:tcPr>
          <w:p w:rsidR="005B3B9F" w:rsidRPr="00DF5908" w:rsidRDefault="005B3B9F" w:rsidP="005B3B9F">
            <w:pPr>
              <w:pStyle w:val="Tableheader"/>
            </w:pPr>
            <w:r w:rsidRPr="00DF5908">
              <w:lastRenderedPageBreak/>
              <w:br w:type="page"/>
              <w:t>Summary of changes – Appendices</w:t>
            </w:r>
          </w:p>
        </w:tc>
      </w:tr>
      <w:tr w:rsidR="00D27870" w:rsidRPr="00DF5908" w:rsidTr="00A21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8" w:type="pct"/>
            <w:shd w:val="clear" w:color="auto" w:fill="749CC9" w:themeFill="accent3"/>
          </w:tcPr>
          <w:p w:rsidR="00D27870" w:rsidRPr="00DF5908" w:rsidRDefault="00D27870" w:rsidP="005B3B9F">
            <w:pPr>
              <w:pStyle w:val="Tableheader"/>
              <w:rPr>
                <w:sz w:val="18"/>
                <w:szCs w:val="18"/>
              </w:rPr>
            </w:pPr>
            <w:r w:rsidRPr="00DF5908">
              <w:rPr>
                <w:sz w:val="18"/>
                <w:szCs w:val="18"/>
              </w:rPr>
              <w:t xml:space="preserve">Subject matter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pct"/>
            <w:shd w:val="clear" w:color="auto" w:fill="749CC9" w:themeFill="accent3"/>
          </w:tcPr>
          <w:p w:rsidR="00D27870" w:rsidRPr="00DF5908" w:rsidRDefault="00D27870" w:rsidP="005B3B9F">
            <w:pPr>
              <w:pStyle w:val="Tableheader"/>
              <w:rPr>
                <w:sz w:val="18"/>
                <w:szCs w:val="18"/>
              </w:rPr>
            </w:pPr>
            <w:r w:rsidRPr="00DF5908">
              <w:rPr>
                <w:sz w:val="18"/>
                <w:szCs w:val="18"/>
              </w:rPr>
              <w:t>Source of change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  <w:shd w:val="clear" w:color="auto" w:fill="749CC9" w:themeFill="accent3"/>
          </w:tcPr>
          <w:p w:rsidR="00D27870" w:rsidRPr="00DF5908" w:rsidRDefault="00D27870" w:rsidP="00D27870">
            <w:pPr>
              <w:pStyle w:val="Tableheader"/>
              <w:rPr>
                <w:sz w:val="18"/>
                <w:szCs w:val="18"/>
              </w:rPr>
            </w:pPr>
            <w:r w:rsidRPr="00DF5908">
              <w:rPr>
                <w:sz w:val="18"/>
                <w:szCs w:val="18"/>
              </w:rPr>
              <w:t xml:space="preserve">Summary of changes applied to the relevant sections in the </w:t>
            </w:r>
            <w:r>
              <w:rPr>
                <w:sz w:val="18"/>
                <w:szCs w:val="18"/>
              </w:rPr>
              <w:t>Appendices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637" w:type="pct"/>
            <w:shd w:val="clear" w:color="auto" w:fill="749CC9" w:themeFill="accent3"/>
          </w:tcPr>
          <w:p w:rsidR="00D27870" w:rsidRPr="00DF5908" w:rsidRDefault="00D27870" w:rsidP="001C4C3D">
            <w:pPr>
              <w:pStyle w:val="Tableheader"/>
              <w:jc w:val="center"/>
              <w:rPr>
                <w:sz w:val="18"/>
                <w:szCs w:val="18"/>
              </w:rPr>
            </w:pPr>
            <w:r w:rsidRPr="00DF5908">
              <w:rPr>
                <w:sz w:val="18"/>
                <w:szCs w:val="18"/>
              </w:rPr>
              <w:t>Page reference</w:t>
            </w:r>
          </w:p>
        </w:tc>
      </w:tr>
      <w:tr w:rsidR="00D04355" w:rsidRPr="00DF5908" w:rsidTr="00A21D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</w:tcPr>
          <w:p w:rsidR="00D04355" w:rsidRPr="0050705C" w:rsidRDefault="00D04355" w:rsidP="00AC76C3">
            <w:pPr>
              <w:pStyle w:val="Tabletext"/>
              <w:rPr>
                <w:rFonts w:ascii="Arial" w:hAnsi="Arial" w:cs="Arial"/>
                <w:color w:val="D50032"/>
              </w:rPr>
            </w:pPr>
            <w:r w:rsidRPr="0050705C">
              <w:rPr>
                <w:rFonts w:ascii="Arial" w:hAnsi="Arial" w:cs="Arial"/>
                <w:color w:val="D50032"/>
              </w:rPr>
              <w:t>[Revised]</w:t>
            </w:r>
          </w:p>
          <w:p w:rsidR="00D04355" w:rsidRPr="0086122A" w:rsidRDefault="00D04355" w:rsidP="00AC76C3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Appendix 1 – Extracts of Whole of government financial statements and analysis of disclosures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pct"/>
          </w:tcPr>
          <w:p w:rsidR="00D04355" w:rsidRPr="00CF6E46" w:rsidRDefault="00D04355" w:rsidP="00AC76C3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update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</w:tcPr>
          <w:p w:rsidR="00D04355" w:rsidRPr="00CF6E46" w:rsidRDefault="00D04355" w:rsidP="00AC76C3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extract of the Whole of Government and General Government financial statements have been updated to reflect the suite of publications f</w:t>
            </w:r>
            <w:r w:rsidR="0050705C">
              <w:rPr>
                <w:rFonts w:ascii="Arial" w:hAnsi="Arial" w:cs="Arial"/>
              </w:rPr>
              <w:t xml:space="preserve">or the 2017-18 financial year.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" w:type="pct"/>
          </w:tcPr>
          <w:p w:rsidR="00D04355" w:rsidRPr="00CF6E46" w:rsidRDefault="006A492B" w:rsidP="006A492B">
            <w:pPr>
              <w:pStyle w:val="Tabletextcentre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</w:t>
            </w:r>
            <w:r w:rsidR="00D04355">
              <w:rPr>
                <w:rFonts w:ascii="Arial" w:hAnsi="Arial" w:cs="Arial"/>
              </w:rPr>
              <w:t>-25</w:t>
            </w:r>
            <w:r>
              <w:rPr>
                <w:rFonts w:ascii="Arial" w:hAnsi="Arial" w:cs="Arial"/>
              </w:rPr>
              <w:t>9</w:t>
            </w:r>
          </w:p>
        </w:tc>
      </w:tr>
      <w:tr w:rsidR="00D04355" w:rsidRPr="00DF5908" w:rsidTr="00A21D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</w:tcPr>
          <w:p w:rsidR="00D04355" w:rsidRPr="0050705C" w:rsidRDefault="00D04355" w:rsidP="00AC76C3">
            <w:pPr>
              <w:pStyle w:val="Tabletext"/>
              <w:rPr>
                <w:rFonts w:ascii="Arial" w:hAnsi="Arial" w:cs="Arial"/>
                <w:color w:val="D50032"/>
              </w:rPr>
            </w:pPr>
            <w:r w:rsidRPr="0050705C">
              <w:rPr>
                <w:rFonts w:ascii="Arial" w:hAnsi="Arial" w:cs="Arial"/>
                <w:color w:val="D50032"/>
              </w:rPr>
              <w:t>[New]</w:t>
            </w:r>
          </w:p>
          <w:p w:rsidR="00D04355" w:rsidDel="009006A8" w:rsidRDefault="00D04355" w:rsidP="002C4A68">
            <w:pPr>
              <w:pStyle w:val="Tabletext"/>
              <w:rPr>
                <w:rFonts w:ascii="Arial" w:hAnsi="Arial" w:cs="Arial"/>
                <w:color w:val="FF0000"/>
              </w:rPr>
            </w:pPr>
            <w:r w:rsidRPr="00971DBB">
              <w:rPr>
                <w:rFonts w:ascii="Arial" w:hAnsi="Arial" w:cs="Arial"/>
              </w:rPr>
              <w:t>Appendix 1</w:t>
            </w:r>
            <w:r w:rsidR="002C4A68">
              <w:rPr>
                <w:rFonts w:ascii="Arial" w:hAnsi="Arial" w:cs="Arial"/>
              </w:rPr>
              <w:t>1</w:t>
            </w:r>
            <w:r w:rsidRPr="00971DBB">
              <w:rPr>
                <w:rFonts w:ascii="Arial" w:hAnsi="Arial" w:cs="Arial"/>
              </w:rPr>
              <w:t xml:space="preserve"> – AASB 15 </w:t>
            </w:r>
            <w:r w:rsidRPr="00971DBB">
              <w:rPr>
                <w:rFonts w:ascii="Arial" w:hAnsi="Arial" w:cs="Arial"/>
                <w:i/>
              </w:rPr>
              <w:t xml:space="preserve">Revenue from </w:t>
            </w:r>
            <w:r>
              <w:rPr>
                <w:rFonts w:ascii="Arial" w:hAnsi="Arial" w:cs="Arial"/>
                <w:i/>
              </w:rPr>
              <w:t>C</w:t>
            </w:r>
            <w:r w:rsidRPr="00971DBB">
              <w:rPr>
                <w:rFonts w:ascii="Arial" w:hAnsi="Arial" w:cs="Arial"/>
                <w:i/>
              </w:rPr>
              <w:t xml:space="preserve">ontracts with </w:t>
            </w:r>
            <w:r>
              <w:rPr>
                <w:rFonts w:ascii="Arial" w:hAnsi="Arial" w:cs="Arial"/>
                <w:i/>
              </w:rPr>
              <w:t>C</w:t>
            </w:r>
            <w:r w:rsidRPr="00971DBB">
              <w:rPr>
                <w:rFonts w:ascii="Arial" w:hAnsi="Arial" w:cs="Arial"/>
                <w:i/>
              </w:rPr>
              <w:t>ustomers</w:t>
            </w:r>
            <w:r w:rsidRPr="00971DBB">
              <w:rPr>
                <w:rFonts w:ascii="Arial" w:hAnsi="Arial" w:cs="Arial"/>
              </w:rPr>
              <w:t xml:space="preserve"> and </w:t>
            </w:r>
            <w:r w:rsidRPr="00971DBB">
              <w:rPr>
                <w:rFonts w:ascii="Arial" w:hAnsi="Arial" w:cs="Arial"/>
                <w:i/>
              </w:rPr>
              <w:t xml:space="preserve">AASB 1058 Income </w:t>
            </w:r>
            <w:r>
              <w:rPr>
                <w:rFonts w:ascii="Arial" w:hAnsi="Arial" w:cs="Arial"/>
                <w:i/>
              </w:rPr>
              <w:t>of</w:t>
            </w:r>
            <w:r w:rsidRPr="00971DBB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N</w:t>
            </w:r>
            <w:r w:rsidRPr="00971DBB">
              <w:rPr>
                <w:rFonts w:ascii="Arial" w:hAnsi="Arial" w:cs="Arial"/>
                <w:i/>
              </w:rPr>
              <w:t>ot</w:t>
            </w:r>
            <w:r>
              <w:rPr>
                <w:rFonts w:ascii="Arial" w:hAnsi="Arial" w:cs="Arial"/>
                <w:i/>
              </w:rPr>
              <w:t>-</w:t>
            </w:r>
            <w:r w:rsidRPr="00971DBB">
              <w:rPr>
                <w:rFonts w:ascii="Arial" w:hAnsi="Arial" w:cs="Arial"/>
                <w:i/>
              </w:rPr>
              <w:t>for</w:t>
            </w:r>
            <w:r>
              <w:rPr>
                <w:rFonts w:ascii="Arial" w:hAnsi="Arial" w:cs="Arial"/>
                <w:i/>
              </w:rPr>
              <w:t>-P</w:t>
            </w:r>
            <w:r w:rsidRPr="00971DBB">
              <w:rPr>
                <w:rFonts w:ascii="Arial" w:hAnsi="Arial" w:cs="Arial"/>
                <w:i/>
              </w:rPr>
              <w:t xml:space="preserve">rofit </w:t>
            </w:r>
            <w:r>
              <w:rPr>
                <w:rFonts w:ascii="Arial" w:hAnsi="Arial" w:cs="Arial"/>
                <w:i/>
              </w:rPr>
              <w:t>E</w:t>
            </w:r>
            <w:r w:rsidRPr="00971DBB">
              <w:rPr>
                <w:rFonts w:ascii="Arial" w:hAnsi="Arial" w:cs="Arial"/>
                <w:i/>
              </w:rPr>
              <w:t>ntities</w:t>
            </w:r>
            <w:r w:rsidRPr="00971DBB">
              <w:rPr>
                <w:rFonts w:ascii="Arial" w:hAnsi="Arial" w:cs="Arial"/>
              </w:rPr>
              <w:t xml:space="preserve"> – assessment checklist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pct"/>
          </w:tcPr>
          <w:p w:rsidR="00D04355" w:rsidRPr="00971DBB" w:rsidRDefault="00D04355" w:rsidP="00AC76C3">
            <w:pPr>
              <w:pStyle w:val="Tabletext"/>
              <w:rPr>
                <w:rFonts w:ascii="Arial" w:hAnsi="Arial" w:cs="Arial"/>
                <w:highlight w:val="yellow"/>
              </w:rPr>
            </w:pPr>
            <w:r w:rsidRPr="00AB40C2">
              <w:rPr>
                <w:rFonts w:ascii="Arial" w:hAnsi="Arial" w:cs="Arial"/>
              </w:rPr>
              <w:t xml:space="preserve">AASB 15 </w:t>
            </w:r>
            <w:r w:rsidR="00311811" w:rsidRPr="0039340E">
              <w:rPr>
                <w:rFonts w:ascii="Arial" w:hAnsi="Arial" w:cs="Arial"/>
                <w:i/>
              </w:rPr>
              <w:t xml:space="preserve">Revenue from </w:t>
            </w:r>
            <w:r w:rsidR="00311811">
              <w:rPr>
                <w:rFonts w:ascii="Arial" w:hAnsi="Arial" w:cs="Arial"/>
                <w:i/>
              </w:rPr>
              <w:t>C</w:t>
            </w:r>
            <w:r w:rsidR="00311811" w:rsidRPr="0039340E">
              <w:rPr>
                <w:rFonts w:ascii="Arial" w:hAnsi="Arial" w:cs="Arial"/>
                <w:i/>
              </w:rPr>
              <w:t xml:space="preserve">ontracts with </w:t>
            </w:r>
            <w:r w:rsidR="00311811">
              <w:rPr>
                <w:rFonts w:ascii="Arial" w:hAnsi="Arial" w:cs="Arial"/>
                <w:i/>
              </w:rPr>
              <w:t>C</w:t>
            </w:r>
            <w:r w:rsidR="00311811" w:rsidRPr="0039340E">
              <w:rPr>
                <w:rFonts w:ascii="Arial" w:hAnsi="Arial" w:cs="Arial"/>
                <w:i/>
              </w:rPr>
              <w:t>ustomers</w:t>
            </w:r>
            <w:r w:rsidR="00311811" w:rsidRPr="00AB40C2">
              <w:rPr>
                <w:rFonts w:ascii="Arial" w:hAnsi="Arial" w:cs="Arial"/>
              </w:rPr>
              <w:t xml:space="preserve"> </w:t>
            </w:r>
            <w:r w:rsidRPr="00AB40C2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>AASB</w:t>
            </w:r>
            <w:r w:rsidR="0050705C">
              <w:rPr>
                <w:rFonts w:ascii="Arial" w:hAnsi="Arial" w:cs="Arial"/>
              </w:rPr>
              <w:t> </w:t>
            </w:r>
            <w:r w:rsidRPr="00AB40C2">
              <w:rPr>
                <w:rFonts w:ascii="Arial" w:hAnsi="Arial" w:cs="Arial"/>
              </w:rPr>
              <w:t xml:space="preserve">1058 </w:t>
            </w:r>
            <w:r w:rsidR="00311811" w:rsidRPr="0039340E">
              <w:rPr>
                <w:rFonts w:ascii="Arial" w:hAnsi="Arial" w:cs="Arial"/>
                <w:i/>
              </w:rPr>
              <w:t xml:space="preserve">Income </w:t>
            </w:r>
            <w:r w:rsidR="00311811">
              <w:rPr>
                <w:rFonts w:ascii="Arial" w:hAnsi="Arial" w:cs="Arial"/>
                <w:i/>
              </w:rPr>
              <w:t>of</w:t>
            </w:r>
            <w:r w:rsidR="00311811" w:rsidRPr="0039340E">
              <w:rPr>
                <w:rFonts w:ascii="Arial" w:hAnsi="Arial" w:cs="Arial"/>
                <w:i/>
              </w:rPr>
              <w:t xml:space="preserve"> </w:t>
            </w:r>
            <w:r w:rsidR="00311811">
              <w:rPr>
                <w:rFonts w:ascii="Arial" w:hAnsi="Arial" w:cs="Arial"/>
                <w:i/>
              </w:rPr>
              <w:t>N</w:t>
            </w:r>
            <w:r w:rsidR="00311811" w:rsidRPr="0039340E">
              <w:rPr>
                <w:rFonts w:ascii="Arial" w:hAnsi="Arial" w:cs="Arial"/>
                <w:i/>
              </w:rPr>
              <w:t>ot</w:t>
            </w:r>
            <w:r w:rsidR="00311811">
              <w:rPr>
                <w:rFonts w:ascii="Arial" w:hAnsi="Arial" w:cs="Arial"/>
                <w:i/>
              </w:rPr>
              <w:t>-</w:t>
            </w:r>
            <w:r w:rsidR="00311811" w:rsidRPr="0039340E">
              <w:rPr>
                <w:rFonts w:ascii="Arial" w:hAnsi="Arial" w:cs="Arial"/>
                <w:i/>
              </w:rPr>
              <w:t>for</w:t>
            </w:r>
            <w:r w:rsidR="00311811">
              <w:rPr>
                <w:rFonts w:ascii="Arial" w:hAnsi="Arial" w:cs="Arial"/>
                <w:i/>
              </w:rPr>
              <w:t>-P</w:t>
            </w:r>
            <w:r w:rsidR="00311811" w:rsidRPr="0039340E">
              <w:rPr>
                <w:rFonts w:ascii="Arial" w:hAnsi="Arial" w:cs="Arial"/>
                <w:i/>
              </w:rPr>
              <w:t xml:space="preserve">rofit </w:t>
            </w:r>
            <w:r w:rsidR="00311811">
              <w:rPr>
                <w:rFonts w:ascii="Arial" w:hAnsi="Arial" w:cs="Arial"/>
                <w:i/>
              </w:rPr>
              <w:t>E</w:t>
            </w:r>
            <w:r w:rsidR="00311811" w:rsidRPr="0039340E">
              <w:rPr>
                <w:rFonts w:ascii="Arial" w:hAnsi="Arial" w:cs="Arial"/>
                <w:i/>
              </w:rPr>
              <w:t>ntities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</w:tcPr>
          <w:p w:rsidR="00D04355" w:rsidRPr="0039340E" w:rsidRDefault="00D04355" w:rsidP="00DB0D59">
            <w:pPr>
              <w:pStyle w:val="Tabletext"/>
              <w:rPr>
                <w:rFonts w:ascii="Arial" w:hAnsi="Arial" w:cs="Arial"/>
              </w:rPr>
            </w:pPr>
            <w:r w:rsidRPr="0039340E">
              <w:rPr>
                <w:rFonts w:ascii="Arial" w:hAnsi="Arial" w:cs="Arial"/>
              </w:rPr>
              <w:t>Appendix 1</w:t>
            </w:r>
            <w:r w:rsidR="00DB0D59">
              <w:rPr>
                <w:rFonts w:ascii="Arial" w:hAnsi="Arial" w:cs="Arial"/>
              </w:rPr>
              <w:t>1</w:t>
            </w:r>
            <w:r w:rsidRPr="0039340E">
              <w:rPr>
                <w:rFonts w:ascii="Arial" w:hAnsi="Arial" w:cs="Arial"/>
              </w:rPr>
              <w:t xml:space="preserve"> has been added to </w:t>
            </w:r>
            <w:r>
              <w:rPr>
                <w:rFonts w:ascii="Arial" w:hAnsi="Arial" w:cs="Arial"/>
              </w:rPr>
              <w:t xml:space="preserve">support </w:t>
            </w:r>
            <w:r w:rsidRPr="0039340E">
              <w:rPr>
                <w:rFonts w:ascii="Arial" w:hAnsi="Arial" w:cs="Arial"/>
              </w:rPr>
              <w:t xml:space="preserve">preparers and assist them </w:t>
            </w:r>
            <w:r>
              <w:rPr>
                <w:rFonts w:ascii="Arial" w:hAnsi="Arial" w:cs="Arial"/>
              </w:rPr>
              <w:t xml:space="preserve">in identifying </w:t>
            </w:r>
            <w:r w:rsidRPr="0039340E">
              <w:rPr>
                <w:rFonts w:ascii="Arial" w:hAnsi="Arial" w:cs="Arial"/>
              </w:rPr>
              <w:t xml:space="preserve">whether particular transactions are caught within the scope of AASB 15 and </w:t>
            </w:r>
            <w:r>
              <w:rPr>
                <w:rFonts w:ascii="Arial" w:hAnsi="Arial" w:cs="Arial"/>
              </w:rPr>
              <w:t xml:space="preserve">AASB </w:t>
            </w:r>
            <w:r w:rsidRPr="0039340E">
              <w:rPr>
                <w:rFonts w:ascii="Arial" w:hAnsi="Arial" w:cs="Arial"/>
              </w:rPr>
              <w:t>1058</w:t>
            </w:r>
            <w:r w:rsidRPr="0039340E">
              <w:rPr>
                <w:rFonts w:ascii="Arial" w:hAnsi="Arial" w:cs="Arial"/>
                <w:i/>
              </w:rPr>
              <w:t xml:space="preserve"> </w:t>
            </w:r>
            <w:r w:rsidRPr="0039340E">
              <w:rPr>
                <w:rFonts w:ascii="Arial" w:hAnsi="Arial" w:cs="Arial"/>
              </w:rPr>
              <w:t xml:space="preserve">in </w:t>
            </w:r>
            <w:r>
              <w:rPr>
                <w:rFonts w:ascii="Arial" w:hAnsi="Arial" w:cs="Arial"/>
              </w:rPr>
              <w:t xml:space="preserve">their </w:t>
            </w:r>
            <w:r w:rsidRPr="0039340E">
              <w:rPr>
                <w:rFonts w:ascii="Arial" w:hAnsi="Arial" w:cs="Arial"/>
              </w:rPr>
              <w:t>preliminary assessment, and to provide guidance on the accou</w:t>
            </w:r>
            <w:r w:rsidRPr="0003594E">
              <w:rPr>
                <w:rFonts w:ascii="Arial" w:hAnsi="Arial" w:cs="Arial"/>
              </w:rPr>
              <w:t>nting treatment of the transac</w:t>
            </w:r>
            <w:r>
              <w:rPr>
                <w:rFonts w:ascii="Arial" w:hAnsi="Arial" w:cs="Arial"/>
              </w:rPr>
              <w:t>ti</w:t>
            </w:r>
            <w:r w:rsidRPr="0039340E">
              <w:rPr>
                <w:rFonts w:ascii="Arial" w:hAnsi="Arial" w:cs="Arial"/>
              </w:rPr>
              <w:t xml:space="preserve">ons under the </w:t>
            </w:r>
            <w:r>
              <w:rPr>
                <w:rFonts w:ascii="Arial" w:hAnsi="Arial" w:cs="Arial"/>
              </w:rPr>
              <w:t xml:space="preserve">new and revised accounting </w:t>
            </w:r>
            <w:r w:rsidRPr="0039340E">
              <w:rPr>
                <w:rFonts w:ascii="Arial" w:hAnsi="Arial" w:cs="Arial"/>
              </w:rPr>
              <w:t xml:space="preserve">standards.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" w:type="pct"/>
          </w:tcPr>
          <w:p w:rsidR="00D04355" w:rsidRDefault="001439F1" w:rsidP="006A492B">
            <w:pPr>
              <w:pStyle w:val="Tabletextcentre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6A492B">
              <w:rPr>
                <w:rFonts w:ascii="Arial" w:hAnsi="Arial" w:cs="Arial"/>
              </w:rPr>
              <w:t>4</w:t>
            </w:r>
            <w:r w:rsidR="00D04355">
              <w:rPr>
                <w:rFonts w:ascii="Arial" w:hAnsi="Arial" w:cs="Arial"/>
              </w:rPr>
              <w:t>-32</w:t>
            </w:r>
            <w:r w:rsidR="006A492B">
              <w:rPr>
                <w:rFonts w:ascii="Arial" w:hAnsi="Arial" w:cs="Arial"/>
              </w:rPr>
              <w:t>5</w:t>
            </w:r>
          </w:p>
        </w:tc>
      </w:tr>
      <w:tr w:rsidR="00D04355" w:rsidRPr="00DF5908" w:rsidTr="00A21D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</w:tcPr>
          <w:p w:rsidR="00D04355" w:rsidRPr="0050705C" w:rsidRDefault="00D04355" w:rsidP="00AC76C3">
            <w:pPr>
              <w:pStyle w:val="Tabletext"/>
              <w:rPr>
                <w:rFonts w:ascii="Arial" w:hAnsi="Arial" w:cs="Arial"/>
                <w:color w:val="D50032"/>
              </w:rPr>
            </w:pPr>
            <w:r w:rsidRPr="0050705C">
              <w:rPr>
                <w:rFonts w:ascii="Arial" w:hAnsi="Arial" w:cs="Arial"/>
                <w:color w:val="D50032"/>
              </w:rPr>
              <w:t xml:space="preserve">[New] </w:t>
            </w:r>
          </w:p>
          <w:p w:rsidR="00D04355" w:rsidRPr="00AB27E4" w:rsidRDefault="002C4A68" w:rsidP="00AC76C3">
            <w:pPr>
              <w:pStyle w:val="Tabletex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Appendix 12</w:t>
            </w:r>
            <w:r w:rsidR="00D04355" w:rsidRPr="00971DBB">
              <w:rPr>
                <w:rFonts w:ascii="Arial" w:hAnsi="Arial" w:cs="Arial"/>
              </w:rPr>
              <w:t xml:space="preserve"> – AASB 9 </w:t>
            </w:r>
            <w:r w:rsidR="00D04355" w:rsidRPr="00971DBB">
              <w:rPr>
                <w:rFonts w:ascii="Arial" w:hAnsi="Arial" w:cs="Arial"/>
                <w:i/>
              </w:rPr>
              <w:t xml:space="preserve">Financial instruments – </w:t>
            </w:r>
            <w:r w:rsidR="00D04355" w:rsidRPr="00971DBB">
              <w:rPr>
                <w:rFonts w:ascii="Arial" w:hAnsi="Arial" w:cs="Arial"/>
              </w:rPr>
              <w:t>assessment checklist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pct"/>
          </w:tcPr>
          <w:p w:rsidR="00D04355" w:rsidRPr="00971DBB" w:rsidRDefault="00D04355" w:rsidP="00AC76C3">
            <w:pPr>
              <w:pStyle w:val="Tabletext"/>
              <w:rPr>
                <w:rFonts w:ascii="Arial" w:hAnsi="Arial" w:cs="Arial"/>
                <w:highlight w:val="yellow"/>
              </w:rPr>
            </w:pPr>
            <w:r w:rsidRPr="00971DBB">
              <w:rPr>
                <w:rFonts w:ascii="Arial" w:hAnsi="Arial" w:cs="Arial"/>
              </w:rPr>
              <w:t>AASB 9</w:t>
            </w:r>
            <w:r w:rsidR="00C85E5D">
              <w:rPr>
                <w:rFonts w:ascii="Arial" w:hAnsi="Arial" w:cs="Arial"/>
              </w:rPr>
              <w:t xml:space="preserve"> </w:t>
            </w:r>
            <w:r w:rsidR="00C85E5D" w:rsidRPr="00003AD0">
              <w:rPr>
                <w:rFonts w:ascii="Arial" w:hAnsi="Arial" w:cs="Arial"/>
                <w:i/>
              </w:rPr>
              <w:t>Financial Instruments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</w:tcPr>
          <w:p w:rsidR="00D04355" w:rsidRPr="00003AD0" w:rsidRDefault="00D04355" w:rsidP="00DB0D59">
            <w:pPr>
              <w:pStyle w:val="Tabletext"/>
              <w:rPr>
                <w:rFonts w:ascii="Arial" w:hAnsi="Arial" w:cs="Arial"/>
                <w:i/>
              </w:rPr>
            </w:pPr>
            <w:r w:rsidRPr="0039340E">
              <w:rPr>
                <w:rFonts w:ascii="Arial" w:hAnsi="Arial" w:cs="Arial"/>
              </w:rPr>
              <w:t>Appendix 1</w:t>
            </w:r>
            <w:r w:rsidR="00DB0D59">
              <w:rPr>
                <w:rFonts w:ascii="Arial" w:hAnsi="Arial" w:cs="Arial"/>
              </w:rPr>
              <w:t>2</w:t>
            </w:r>
            <w:r w:rsidRPr="0039340E">
              <w:rPr>
                <w:rFonts w:ascii="Arial" w:hAnsi="Arial" w:cs="Arial"/>
              </w:rPr>
              <w:t xml:space="preserve"> has been added to </w:t>
            </w:r>
            <w:r w:rsidRPr="00003AD0">
              <w:rPr>
                <w:rFonts w:ascii="Arial" w:hAnsi="Arial" w:cs="Arial"/>
              </w:rPr>
              <w:t>provide accounting guidance under AASB 9</w:t>
            </w:r>
            <w:r w:rsidRPr="00003AD0">
              <w:rPr>
                <w:rFonts w:ascii="Arial" w:hAnsi="Arial" w:cs="Arial"/>
                <w:i/>
              </w:rPr>
              <w:t xml:space="preserve">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" w:type="pct"/>
          </w:tcPr>
          <w:p w:rsidR="00D04355" w:rsidRDefault="00D04355" w:rsidP="006A492B">
            <w:pPr>
              <w:pStyle w:val="Tabletextcentre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6A492B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-3</w:t>
            </w:r>
            <w:r w:rsidR="001439F1">
              <w:rPr>
                <w:rFonts w:ascii="Arial" w:hAnsi="Arial" w:cs="Arial"/>
              </w:rPr>
              <w:t>2</w:t>
            </w:r>
            <w:r w:rsidR="006A492B">
              <w:rPr>
                <w:rFonts w:ascii="Arial" w:hAnsi="Arial" w:cs="Arial"/>
              </w:rPr>
              <w:t>7</w:t>
            </w:r>
          </w:p>
        </w:tc>
      </w:tr>
      <w:tr w:rsidR="00D04355" w:rsidRPr="005B3B9F" w:rsidDel="007D7B44" w:rsidTr="00A21D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</w:tcPr>
          <w:p w:rsidR="00D04355" w:rsidRPr="0050705C" w:rsidRDefault="00D04355" w:rsidP="00AC76C3">
            <w:pPr>
              <w:pStyle w:val="Tabletext"/>
              <w:rPr>
                <w:rFonts w:ascii="Arial" w:hAnsi="Arial" w:cs="Arial"/>
                <w:color w:val="D50032"/>
              </w:rPr>
            </w:pPr>
            <w:r w:rsidRPr="0050705C">
              <w:rPr>
                <w:rFonts w:ascii="Arial" w:hAnsi="Arial" w:cs="Arial"/>
                <w:color w:val="D50032"/>
              </w:rPr>
              <w:t>[New]</w:t>
            </w:r>
          </w:p>
          <w:p w:rsidR="00D04355" w:rsidRPr="00971DBB" w:rsidRDefault="002C4A68" w:rsidP="00AC76C3">
            <w:pPr>
              <w:pStyle w:val="Tabletext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</w:rPr>
              <w:t>Appendix 13</w:t>
            </w:r>
            <w:r w:rsidR="00D04355" w:rsidRPr="00971DBB">
              <w:rPr>
                <w:rFonts w:ascii="Arial" w:hAnsi="Arial" w:cs="Arial"/>
              </w:rPr>
              <w:t xml:space="preserve"> – AASB 16 </w:t>
            </w:r>
            <w:r w:rsidR="00D04355" w:rsidRPr="00971DBB">
              <w:rPr>
                <w:rFonts w:ascii="Arial" w:hAnsi="Arial" w:cs="Arial"/>
                <w:i/>
              </w:rPr>
              <w:t xml:space="preserve">Leases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pct"/>
          </w:tcPr>
          <w:p w:rsidR="00D04355" w:rsidRPr="002C7C2B" w:rsidRDefault="00D04355" w:rsidP="00AC76C3">
            <w:pPr>
              <w:pStyle w:val="Tabletext"/>
              <w:rPr>
                <w:rFonts w:ascii="Arial" w:hAnsi="Arial" w:cs="Arial"/>
                <w:i/>
              </w:rPr>
            </w:pPr>
            <w:r w:rsidRPr="006E5700">
              <w:rPr>
                <w:rFonts w:ascii="Arial" w:hAnsi="Arial" w:cs="Arial"/>
              </w:rPr>
              <w:t xml:space="preserve">AASB 16 </w:t>
            </w:r>
            <w:r w:rsidR="002C7C2B">
              <w:rPr>
                <w:rFonts w:ascii="Arial" w:hAnsi="Arial" w:cs="Arial"/>
                <w:i/>
              </w:rPr>
              <w:t>Leases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</w:tcPr>
          <w:p w:rsidR="00D04355" w:rsidRPr="0039340E" w:rsidRDefault="00D04355" w:rsidP="00DB0D59">
            <w:pPr>
              <w:pStyle w:val="Tabletext"/>
              <w:rPr>
                <w:rFonts w:ascii="Arial" w:hAnsi="Arial" w:cs="Arial"/>
              </w:rPr>
            </w:pPr>
            <w:r w:rsidRPr="0039340E">
              <w:rPr>
                <w:rFonts w:ascii="Arial" w:hAnsi="Arial" w:cs="Arial"/>
              </w:rPr>
              <w:t>Appendix 1</w:t>
            </w:r>
            <w:r w:rsidR="00DB0D59">
              <w:rPr>
                <w:rFonts w:ascii="Arial" w:hAnsi="Arial" w:cs="Arial"/>
              </w:rPr>
              <w:t>3</w:t>
            </w:r>
            <w:r w:rsidRPr="003934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comprises of</w:t>
            </w:r>
            <w:r w:rsidRPr="0039340E">
              <w:rPr>
                <w:rFonts w:ascii="Arial" w:hAnsi="Arial" w:cs="Arial"/>
              </w:rPr>
              <w:t xml:space="preserve"> an assessment checklist to </w:t>
            </w:r>
            <w:r>
              <w:rPr>
                <w:rFonts w:ascii="Arial" w:hAnsi="Arial" w:cs="Arial"/>
              </w:rPr>
              <w:t xml:space="preserve">support </w:t>
            </w:r>
            <w:r w:rsidRPr="0039340E">
              <w:rPr>
                <w:rFonts w:ascii="Arial" w:hAnsi="Arial" w:cs="Arial"/>
              </w:rPr>
              <w:t xml:space="preserve">preparers </w:t>
            </w:r>
            <w:r>
              <w:rPr>
                <w:rFonts w:ascii="Arial" w:hAnsi="Arial" w:cs="Arial"/>
              </w:rPr>
              <w:t xml:space="preserve">with </w:t>
            </w:r>
            <w:r w:rsidRPr="0039340E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new leasing </w:t>
            </w:r>
            <w:r w:rsidRPr="0039340E">
              <w:rPr>
                <w:rFonts w:ascii="Arial" w:hAnsi="Arial" w:cs="Arial"/>
              </w:rPr>
              <w:t>standard</w:t>
            </w:r>
            <w:r>
              <w:rPr>
                <w:rFonts w:ascii="Arial" w:hAnsi="Arial" w:cs="Arial"/>
              </w:rPr>
              <w:t xml:space="preserve"> in </w:t>
            </w:r>
            <w:r w:rsidRPr="0039340E"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</w:rPr>
              <w:t xml:space="preserve">ing </w:t>
            </w:r>
            <w:r w:rsidRPr="0039340E">
              <w:rPr>
                <w:rFonts w:ascii="Arial" w:hAnsi="Arial" w:cs="Arial"/>
              </w:rPr>
              <w:t>the existence of a lease and a</w:t>
            </w:r>
            <w:r w:rsidR="00147227">
              <w:rPr>
                <w:rFonts w:ascii="Arial" w:hAnsi="Arial" w:cs="Arial"/>
              </w:rPr>
              <w:t>ccounting guidance under AASB 16</w:t>
            </w:r>
            <w:r w:rsidRPr="0039340E">
              <w:rPr>
                <w:rFonts w:ascii="Arial" w:hAnsi="Arial" w:cs="Arial"/>
                <w:i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" w:type="pct"/>
          </w:tcPr>
          <w:p w:rsidR="00D04355" w:rsidRDefault="001439F1" w:rsidP="006A492B">
            <w:pPr>
              <w:pStyle w:val="Tabletextcentre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6A492B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-33</w:t>
            </w:r>
            <w:r w:rsidR="006A492B">
              <w:rPr>
                <w:rFonts w:ascii="Arial" w:hAnsi="Arial" w:cs="Arial"/>
              </w:rPr>
              <w:t>4</w:t>
            </w:r>
          </w:p>
        </w:tc>
      </w:tr>
      <w:tr w:rsidR="002C4A68" w:rsidRPr="005B3B9F" w:rsidDel="007D7B44" w:rsidTr="00A21D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</w:tcPr>
          <w:p w:rsidR="002C4A68" w:rsidRPr="0050705C" w:rsidRDefault="002C4A68" w:rsidP="00AC76C3">
            <w:pPr>
              <w:pStyle w:val="Tabletext"/>
              <w:rPr>
                <w:rFonts w:ascii="Arial" w:hAnsi="Arial" w:cs="Arial"/>
                <w:color w:val="D50032"/>
              </w:rPr>
            </w:pPr>
            <w:r w:rsidRPr="0050705C">
              <w:rPr>
                <w:rFonts w:ascii="Arial" w:hAnsi="Arial" w:cs="Arial"/>
                <w:color w:val="D50032"/>
              </w:rPr>
              <w:t>[Revised]</w:t>
            </w:r>
          </w:p>
          <w:p w:rsidR="002C4A68" w:rsidRPr="006370FD" w:rsidRDefault="002C4A68" w:rsidP="00CC385D">
            <w:pPr>
              <w:pStyle w:val="Tabletex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Appendix </w:t>
            </w:r>
            <w:r w:rsidR="00CC385D">
              <w:rPr>
                <w:rFonts w:ascii="Arial" w:hAnsi="Arial" w:cs="Arial"/>
              </w:rPr>
              <w:t>14</w:t>
            </w:r>
            <w:r w:rsidRPr="00971DBB">
              <w:rPr>
                <w:rFonts w:ascii="Arial" w:hAnsi="Arial" w:cs="Arial"/>
              </w:rPr>
              <w:t xml:space="preserve"> – </w:t>
            </w:r>
            <w:r w:rsidR="00CC385D">
              <w:rPr>
                <w:rFonts w:ascii="Arial" w:hAnsi="Arial" w:cs="Arial"/>
              </w:rPr>
              <w:t>S</w:t>
            </w:r>
            <w:r w:rsidR="00CC385D" w:rsidRPr="00CC385D">
              <w:rPr>
                <w:rFonts w:ascii="Arial" w:hAnsi="Arial" w:cs="Arial"/>
              </w:rPr>
              <w:t>ummary of new/revised accounting standards effective for current and future reporting periods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pct"/>
          </w:tcPr>
          <w:p w:rsidR="002C4A68" w:rsidRPr="00DB0D59" w:rsidRDefault="00DB0D59" w:rsidP="00CC385D">
            <w:pPr>
              <w:pStyle w:val="Tabletex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AASB </w:t>
            </w:r>
            <w:r w:rsidR="00CC385D">
              <w:rPr>
                <w:rFonts w:ascii="Arial" w:hAnsi="Arial" w:cs="Arial"/>
              </w:rPr>
              <w:t>pronouncements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0" w:type="pct"/>
          </w:tcPr>
          <w:p w:rsidR="001E42BB" w:rsidRPr="0039340E" w:rsidRDefault="001E42BB" w:rsidP="00835C1F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Appendix 15 has been modified to </w:t>
            </w:r>
            <w:r w:rsidR="00CC385D">
              <w:rPr>
                <w:rFonts w:ascii="Arial" w:hAnsi="Arial" w:cs="Arial"/>
              </w:rPr>
              <w:t xml:space="preserve">show the AASB amendments that come into effect </w:t>
            </w:r>
            <w:r w:rsidR="00835C1F">
              <w:rPr>
                <w:rFonts w:ascii="Arial" w:hAnsi="Arial" w:cs="Arial"/>
              </w:rPr>
              <w:t xml:space="preserve">in </w:t>
            </w:r>
            <w:r w:rsidR="00DB7E36">
              <w:rPr>
                <w:rFonts w:ascii="Arial" w:hAnsi="Arial" w:cs="Arial"/>
              </w:rPr>
              <w:t xml:space="preserve">the 2017-18 </w:t>
            </w:r>
            <w:r w:rsidR="00835C1F">
              <w:rPr>
                <w:rFonts w:ascii="Arial" w:hAnsi="Arial" w:cs="Arial"/>
              </w:rPr>
              <w:t>and future reporting periods</w:t>
            </w:r>
            <w:r w:rsidR="00841317">
              <w:rPr>
                <w:rFonts w:ascii="Arial" w:hAnsi="Arial" w:cs="Arial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" w:type="pct"/>
          </w:tcPr>
          <w:p w:rsidR="002C4A68" w:rsidRDefault="004C3780" w:rsidP="006A492B">
            <w:pPr>
              <w:pStyle w:val="Tabletextcentre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="006A492B">
              <w:rPr>
                <w:rFonts w:ascii="Arial" w:hAnsi="Arial" w:cs="Arial"/>
              </w:rPr>
              <w:t>5-337</w:t>
            </w:r>
          </w:p>
        </w:tc>
      </w:tr>
    </w:tbl>
    <w:p w:rsidR="005B3B9F" w:rsidRPr="00045296" w:rsidRDefault="005B3B9F" w:rsidP="005E6AE4">
      <w:pPr>
        <w:pStyle w:val="Tabletext"/>
      </w:pPr>
    </w:p>
    <w:sectPr w:rsidR="005B3B9F" w:rsidRPr="00045296" w:rsidSect="00134CEA">
      <w:headerReference w:type="default" r:id="rId9"/>
      <w:footerReference w:type="even" r:id="rId10"/>
      <w:footerReference w:type="default" r:id="rId11"/>
      <w:pgSz w:w="11906" w:h="16838" w:code="9"/>
      <w:pgMar w:top="2160" w:right="1440" w:bottom="1350" w:left="1440" w:header="706" w:footer="46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DAF" w:rsidRDefault="00986DAF" w:rsidP="002D711A">
      <w:pPr>
        <w:spacing w:after="0" w:line="240" w:lineRule="auto"/>
      </w:pPr>
      <w:r>
        <w:separator/>
      </w:r>
    </w:p>
  </w:endnote>
  <w:endnote w:type="continuationSeparator" w:id="0">
    <w:p w:rsidR="00986DAF" w:rsidRDefault="00986DAF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213" w:rsidRPr="00014213" w:rsidRDefault="00014213" w:rsidP="00C022F9">
    <w:pPr>
      <w:pStyle w:val="Footer"/>
    </w:pPr>
    <w:r>
      <w:drawing>
        <wp:anchor distT="0" distB="0" distL="114300" distR="114300" simplePos="0" relativeHeight="251667456" behindDoc="0" locked="0" layoutInCell="1" allowOverlap="1" wp14:anchorId="2A84DA7C" wp14:editId="45BE8D7B">
          <wp:simplePos x="0" y="0"/>
          <wp:positionH relativeFrom="column">
            <wp:posOffset>4240861</wp:posOffset>
          </wp:positionH>
          <wp:positionV relativeFrom="page">
            <wp:posOffset>9493250</wp:posOffset>
          </wp:positionV>
          <wp:extent cx="1956435" cy="582930"/>
          <wp:effectExtent l="0" t="0" r="5715" b="7620"/>
          <wp:wrapNone/>
          <wp:docPr id="6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435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9E3" w:rsidRDefault="004669E3" w:rsidP="004669E3">
    <w:pPr>
      <w:pStyle w:val="Spacer"/>
    </w:pPr>
  </w:p>
  <w:p w:rsidR="0041689E" w:rsidRPr="00C022F9" w:rsidRDefault="0041689E" w:rsidP="0041689E">
    <w:pPr>
      <w:pStyle w:val="Footer"/>
      <w:spacing w:before="0"/>
    </w:pPr>
    <w:r w:rsidRPr="00C022F9">
      <w:rPr>
        <w:b/>
        <w:noProof w:val="0"/>
        <w:color w:val="0063A6" w:themeColor="accent1"/>
      </w:rPr>
      <w:fldChar w:fldCharType="begin"/>
    </w:r>
    <w:r w:rsidRPr="00C022F9">
      <w:rPr>
        <w:b/>
        <w:color w:val="0063A6" w:themeColor="accent1"/>
      </w:rPr>
      <w:instrText xml:space="preserve"> StyleRef “Title” </w:instrText>
    </w:r>
    <w:r w:rsidRPr="00C022F9">
      <w:rPr>
        <w:b/>
        <w:noProof w:val="0"/>
        <w:color w:val="0063A6" w:themeColor="accent1"/>
      </w:rPr>
      <w:fldChar w:fldCharType="separate"/>
    </w:r>
    <w:r w:rsidR="00C937DC">
      <w:rPr>
        <w:b/>
        <w:color w:val="0063A6" w:themeColor="accent1"/>
      </w:rPr>
      <w:t>Summary of changes applied to the 2017-18 Model Report</w:t>
    </w:r>
    <w:r w:rsidRPr="00C022F9">
      <w:rPr>
        <w:b/>
        <w:color w:val="0063A6" w:themeColor="accent1"/>
      </w:rPr>
      <w:fldChar w:fldCharType="end"/>
    </w:r>
    <w:r w:rsidRPr="00C022F9">
      <w:tab/>
      <w:t xml:space="preserve">Page </w:t>
    </w:r>
    <w:r w:rsidRPr="00DE60CC">
      <w:rPr>
        <w:rStyle w:val="PageNumber"/>
      </w:rPr>
      <w:fldChar w:fldCharType="begin"/>
    </w:r>
    <w:r w:rsidRPr="00DE60CC">
      <w:rPr>
        <w:rStyle w:val="PageNumber"/>
      </w:rPr>
      <w:instrText xml:space="preserve"> Page </w:instrText>
    </w:r>
    <w:r w:rsidRPr="00DE60CC">
      <w:rPr>
        <w:rStyle w:val="PageNumber"/>
      </w:rPr>
      <w:fldChar w:fldCharType="separate"/>
    </w:r>
    <w:r w:rsidR="00C937DC">
      <w:rPr>
        <w:rStyle w:val="PageNumber"/>
      </w:rPr>
      <w:t>1</w:t>
    </w:r>
    <w:r w:rsidRPr="00DE60C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DAF" w:rsidRDefault="00986DAF" w:rsidP="002D711A">
      <w:pPr>
        <w:spacing w:after="0" w:line="240" w:lineRule="auto"/>
      </w:pPr>
      <w:r>
        <w:separator/>
      </w:r>
    </w:p>
  </w:footnote>
  <w:footnote w:type="continuationSeparator" w:id="0">
    <w:p w:rsidR="00986DAF" w:rsidRDefault="00986DAF" w:rsidP="002D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89E" w:rsidRPr="0041689E" w:rsidRDefault="0004356D">
    <w:pPr>
      <w:pStyle w:val="Head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5A29703B" wp14:editId="02C37F66">
          <wp:simplePos x="0" y="0"/>
          <wp:positionH relativeFrom="column">
            <wp:posOffset>-309880</wp:posOffset>
          </wp:positionH>
          <wp:positionV relativeFrom="page">
            <wp:posOffset>308610</wp:posOffset>
          </wp:positionV>
          <wp:extent cx="1380490" cy="41148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3C4E">
      <w:rPr>
        <w:noProof/>
      </w:rPr>
      <w:drawing>
        <wp:anchor distT="0" distB="0" distL="114300" distR="114300" simplePos="0" relativeHeight="251669504" behindDoc="0" locked="0" layoutInCell="1" allowOverlap="1" wp14:anchorId="20FB181D" wp14:editId="5BD8E2E2">
          <wp:simplePos x="0" y="0"/>
          <wp:positionH relativeFrom="column">
            <wp:posOffset>-914400</wp:posOffset>
          </wp:positionH>
          <wp:positionV relativeFrom="page">
            <wp:posOffset>125095</wp:posOffset>
          </wp:positionV>
          <wp:extent cx="7589520" cy="740410"/>
          <wp:effectExtent l="0" t="0" r="0" b="2540"/>
          <wp:wrapNone/>
          <wp:docPr id="5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UM HEADER_9545 DTF Covers A4 Final_Blue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1270D9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26456FFD"/>
    <w:multiLevelType w:val="multilevel"/>
    <w:tmpl w:val="0EA8B9BE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90151C8"/>
    <w:multiLevelType w:val="multilevel"/>
    <w:tmpl w:val="27AA0C2E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08"/>
        </w:tabs>
        <w:ind w:left="1008" w:hanging="504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1512"/>
        </w:tabs>
        <w:ind w:left="151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2"/>
        </w:tabs>
        <w:ind w:left="2016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86"/>
        </w:tabs>
        <w:ind w:left="2520" w:hanging="50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90"/>
        </w:tabs>
        <w:ind w:left="3024" w:hanging="50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094"/>
        </w:tabs>
        <w:ind w:left="3528" w:hanging="50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98"/>
        </w:tabs>
        <w:ind w:left="4032" w:hanging="50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2"/>
        </w:tabs>
        <w:ind w:left="4536" w:hanging="504"/>
      </w:pPr>
      <w:rPr>
        <w:rFonts w:hint="default"/>
      </w:rPr>
    </w:lvl>
  </w:abstractNum>
  <w:abstractNum w:abstractNumId="3">
    <w:nsid w:val="2C631F58"/>
    <w:multiLevelType w:val="hybridMultilevel"/>
    <w:tmpl w:val="BF06C0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D3A6A"/>
    <w:multiLevelType w:val="multilevel"/>
    <w:tmpl w:val="D6E0041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5">
    <w:nsid w:val="59E56D44"/>
    <w:multiLevelType w:val="hybridMultilevel"/>
    <w:tmpl w:val="3C0C207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C9B418D"/>
    <w:multiLevelType w:val="hybridMultilevel"/>
    <w:tmpl w:val="F4B66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7E12E5"/>
    <w:multiLevelType w:val="hybridMultilevel"/>
    <w:tmpl w:val="A8B82154"/>
    <w:lvl w:ilvl="0" w:tplc="DB862236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44514"/>
    <w:multiLevelType w:val="multilevel"/>
    <w:tmpl w:val="0252461C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92"/>
        </w:tabs>
        <w:ind w:left="792" w:hanging="792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8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1"/>
  </w:num>
  <w:num w:numId="18">
    <w:abstractNumId w:val="1"/>
  </w:num>
  <w:num w:numId="19">
    <w:abstractNumId w:val="7"/>
  </w:num>
  <w:num w:numId="20">
    <w:abstractNumId w:val="0"/>
  </w:num>
  <w:num w:numId="21">
    <w:abstractNumId w:val="5"/>
  </w:num>
  <w:num w:numId="22">
    <w:abstractNumId w:val="3"/>
  </w:num>
  <w:num w:numId="23">
    <w:abstractNumId w:val="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AF"/>
    <w:rsid w:val="00012F6F"/>
    <w:rsid w:val="00014213"/>
    <w:rsid w:val="00014B55"/>
    <w:rsid w:val="00020E3E"/>
    <w:rsid w:val="00023BF3"/>
    <w:rsid w:val="00026811"/>
    <w:rsid w:val="0004356D"/>
    <w:rsid w:val="00045296"/>
    <w:rsid w:val="00063926"/>
    <w:rsid w:val="00075E6C"/>
    <w:rsid w:val="000761ED"/>
    <w:rsid w:val="00077411"/>
    <w:rsid w:val="000958CB"/>
    <w:rsid w:val="000B29AD"/>
    <w:rsid w:val="000C6372"/>
    <w:rsid w:val="000D34DF"/>
    <w:rsid w:val="000E392D"/>
    <w:rsid w:val="000F4288"/>
    <w:rsid w:val="000F7165"/>
    <w:rsid w:val="00102379"/>
    <w:rsid w:val="001065D6"/>
    <w:rsid w:val="00112262"/>
    <w:rsid w:val="001147D6"/>
    <w:rsid w:val="00116208"/>
    <w:rsid w:val="00121252"/>
    <w:rsid w:val="00124609"/>
    <w:rsid w:val="001254CE"/>
    <w:rsid w:val="00134CEA"/>
    <w:rsid w:val="001422CC"/>
    <w:rsid w:val="001439F1"/>
    <w:rsid w:val="00147227"/>
    <w:rsid w:val="0015423E"/>
    <w:rsid w:val="001575BE"/>
    <w:rsid w:val="00157C9F"/>
    <w:rsid w:val="001617B6"/>
    <w:rsid w:val="00165E66"/>
    <w:rsid w:val="00175BAC"/>
    <w:rsid w:val="001A728C"/>
    <w:rsid w:val="001C4C3D"/>
    <w:rsid w:val="001C7BAE"/>
    <w:rsid w:val="001E31FA"/>
    <w:rsid w:val="001E42BB"/>
    <w:rsid w:val="001E64F6"/>
    <w:rsid w:val="00222135"/>
    <w:rsid w:val="00222BEB"/>
    <w:rsid w:val="00225E60"/>
    <w:rsid w:val="0023202C"/>
    <w:rsid w:val="00236203"/>
    <w:rsid w:val="00242C1C"/>
    <w:rsid w:val="00245043"/>
    <w:rsid w:val="00257760"/>
    <w:rsid w:val="00267DA4"/>
    <w:rsid w:val="00270216"/>
    <w:rsid w:val="00280666"/>
    <w:rsid w:val="00292D36"/>
    <w:rsid w:val="00297033"/>
    <w:rsid w:val="00297281"/>
    <w:rsid w:val="002B16C9"/>
    <w:rsid w:val="002B67A7"/>
    <w:rsid w:val="002C4A68"/>
    <w:rsid w:val="002C54E0"/>
    <w:rsid w:val="002C7C2B"/>
    <w:rsid w:val="002D711A"/>
    <w:rsid w:val="002D7336"/>
    <w:rsid w:val="002E3396"/>
    <w:rsid w:val="002F7661"/>
    <w:rsid w:val="003043E0"/>
    <w:rsid w:val="0031149C"/>
    <w:rsid w:val="00311811"/>
    <w:rsid w:val="00362A32"/>
    <w:rsid w:val="003655FB"/>
    <w:rsid w:val="00377B38"/>
    <w:rsid w:val="00380C9E"/>
    <w:rsid w:val="0038771C"/>
    <w:rsid w:val="0039405B"/>
    <w:rsid w:val="003A1C92"/>
    <w:rsid w:val="003A541A"/>
    <w:rsid w:val="003A6923"/>
    <w:rsid w:val="003A6D63"/>
    <w:rsid w:val="003B73C7"/>
    <w:rsid w:val="003C2C67"/>
    <w:rsid w:val="003C5BA4"/>
    <w:rsid w:val="003E1F2A"/>
    <w:rsid w:val="003E3E26"/>
    <w:rsid w:val="003F1295"/>
    <w:rsid w:val="003F1C34"/>
    <w:rsid w:val="003F76FC"/>
    <w:rsid w:val="004002EB"/>
    <w:rsid w:val="0041689E"/>
    <w:rsid w:val="004236C8"/>
    <w:rsid w:val="00427681"/>
    <w:rsid w:val="00433DB7"/>
    <w:rsid w:val="00453750"/>
    <w:rsid w:val="00456941"/>
    <w:rsid w:val="004669E3"/>
    <w:rsid w:val="004702EA"/>
    <w:rsid w:val="00482D02"/>
    <w:rsid w:val="004A7519"/>
    <w:rsid w:val="004B2852"/>
    <w:rsid w:val="004B56F2"/>
    <w:rsid w:val="004C2793"/>
    <w:rsid w:val="004C3780"/>
    <w:rsid w:val="004D3518"/>
    <w:rsid w:val="004D62D6"/>
    <w:rsid w:val="00506E2C"/>
    <w:rsid w:val="0050705C"/>
    <w:rsid w:val="0053416C"/>
    <w:rsid w:val="00541C2F"/>
    <w:rsid w:val="00543AF1"/>
    <w:rsid w:val="005442FE"/>
    <w:rsid w:val="005461F2"/>
    <w:rsid w:val="0054680E"/>
    <w:rsid w:val="00563527"/>
    <w:rsid w:val="00577054"/>
    <w:rsid w:val="0058124E"/>
    <w:rsid w:val="00584301"/>
    <w:rsid w:val="005875A3"/>
    <w:rsid w:val="005A323F"/>
    <w:rsid w:val="005A3416"/>
    <w:rsid w:val="005B27FE"/>
    <w:rsid w:val="005B3B9F"/>
    <w:rsid w:val="005C3E6D"/>
    <w:rsid w:val="005C6BBF"/>
    <w:rsid w:val="005D26E4"/>
    <w:rsid w:val="005E6AE4"/>
    <w:rsid w:val="005F61DF"/>
    <w:rsid w:val="006023F9"/>
    <w:rsid w:val="00610559"/>
    <w:rsid w:val="006332F6"/>
    <w:rsid w:val="006361E7"/>
    <w:rsid w:val="00652625"/>
    <w:rsid w:val="006534B2"/>
    <w:rsid w:val="006535B0"/>
    <w:rsid w:val="0065615D"/>
    <w:rsid w:val="00657011"/>
    <w:rsid w:val="006650B5"/>
    <w:rsid w:val="006651B1"/>
    <w:rsid w:val="00665778"/>
    <w:rsid w:val="006A492B"/>
    <w:rsid w:val="006A5B34"/>
    <w:rsid w:val="006A5F5B"/>
    <w:rsid w:val="006C5A51"/>
    <w:rsid w:val="006C600F"/>
    <w:rsid w:val="006C77A9"/>
    <w:rsid w:val="006F6693"/>
    <w:rsid w:val="00707FE8"/>
    <w:rsid w:val="00713DA8"/>
    <w:rsid w:val="007243B4"/>
    <w:rsid w:val="00724962"/>
    <w:rsid w:val="00724A0F"/>
    <w:rsid w:val="007320B4"/>
    <w:rsid w:val="00732162"/>
    <w:rsid w:val="00736732"/>
    <w:rsid w:val="00750CBE"/>
    <w:rsid w:val="00754BA6"/>
    <w:rsid w:val="00766B5A"/>
    <w:rsid w:val="007751F5"/>
    <w:rsid w:val="007800B3"/>
    <w:rsid w:val="007834F2"/>
    <w:rsid w:val="00791020"/>
    <w:rsid w:val="007A5F82"/>
    <w:rsid w:val="007B6A10"/>
    <w:rsid w:val="007C5689"/>
    <w:rsid w:val="007E514F"/>
    <w:rsid w:val="007F1A4C"/>
    <w:rsid w:val="008022C3"/>
    <w:rsid w:val="0080289A"/>
    <w:rsid w:val="008041E6"/>
    <w:rsid w:val="008065D2"/>
    <w:rsid w:val="00812B90"/>
    <w:rsid w:val="0082194C"/>
    <w:rsid w:val="008220C4"/>
    <w:rsid w:val="008222FF"/>
    <w:rsid w:val="008241FF"/>
    <w:rsid w:val="00827D29"/>
    <w:rsid w:val="00835C1F"/>
    <w:rsid w:val="008411E9"/>
    <w:rsid w:val="00841317"/>
    <w:rsid w:val="0084200F"/>
    <w:rsid w:val="00843B2C"/>
    <w:rsid w:val="00895C7E"/>
    <w:rsid w:val="008A3B15"/>
    <w:rsid w:val="008A4900"/>
    <w:rsid w:val="008C37C6"/>
    <w:rsid w:val="008D0281"/>
    <w:rsid w:val="008D3290"/>
    <w:rsid w:val="008E3C4E"/>
    <w:rsid w:val="008F6D45"/>
    <w:rsid w:val="00903C75"/>
    <w:rsid w:val="00905BEB"/>
    <w:rsid w:val="00914478"/>
    <w:rsid w:val="0092476E"/>
    <w:rsid w:val="00933C87"/>
    <w:rsid w:val="00941B26"/>
    <w:rsid w:val="00942D58"/>
    <w:rsid w:val="00955547"/>
    <w:rsid w:val="009622B2"/>
    <w:rsid w:val="009805E3"/>
    <w:rsid w:val="009834C0"/>
    <w:rsid w:val="00986AAC"/>
    <w:rsid w:val="00986DAF"/>
    <w:rsid w:val="00986E93"/>
    <w:rsid w:val="009A1DA2"/>
    <w:rsid w:val="009A3704"/>
    <w:rsid w:val="009A4739"/>
    <w:rsid w:val="009A674F"/>
    <w:rsid w:val="009B199C"/>
    <w:rsid w:val="009B54C8"/>
    <w:rsid w:val="009B61F1"/>
    <w:rsid w:val="009B62E0"/>
    <w:rsid w:val="009C3D88"/>
    <w:rsid w:val="009E3858"/>
    <w:rsid w:val="009E70DD"/>
    <w:rsid w:val="009F2ED9"/>
    <w:rsid w:val="009F3231"/>
    <w:rsid w:val="009F5C58"/>
    <w:rsid w:val="00A023A0"/>
    <w:rsid w:val="00A1562B"/>
    <w:rsid w:val="00A170F4"/>
    <w:rsid w:val="00A21D12"/>
    <w:rsid w:val="00A2559E"/>
    <w:rsid w:val="00A25FD9"/>
    <w:rsid w:val="00A425FB"/>
    <w:rsid w:val="00A46BA8"/>
    <w:rsid w:val="00A47634"/>
    <w:rsid w:val="00A5515A"/>
    <w:rsid w:val="00A612FE"/>
    <w:rsid w:val="00A746C7"/>
    <w:rsid w:val="00A83C4E"/>
    <w:rsid w:val="00AA26B8"/>
    <w:rsid w:val="00AB3FE2"/>
    <w:rsid w:val="00AB7306"/>
    <w:rsid w:val="00AC3A1E"/>
    <w:rsid w:val="00AC432D"/>
    <w:rsid w:val="00AC7A52"/>
    <w:rsid w:val="00AD2403"/>
    <w:rsid w:val="00AD3322"/>
    <w:rsid w:val="00AD5CD5"/>
    <w:rsid w:val="00AD7864"/>
    <w:rsid w:val="00AD7E4E"/>
    <w:rsid w:val="00AF4D58"/>
    <w:rsid w:val="00AF6666"/>
    <w:rsid w:val="00B10154"/>
    <w:rsid w:val="00B37860"/>
    <w:rsid w:val="00B42DD7"/>
    <w:rsid w:val="00B81B44"/>
    <w:rsid w:val="00B9053B"/>
    <w:rsid w:val="00B96C9B"/>
    <w:rsid w:val="00BA4533"/>
    <w:rsid w:val="00BC3422"/>
    <w:rsid w:val="00C015B9"/>
    <w:rsid w:val="00C0165F"/>
    <w:rsid w:val="00C022F9"/>
    <w:rsid w:val="00C032EA"/>
    <w:rsid w:val="00C06EB5"/>
    <w:rsid w:val="00C1145F"/>
    <w:rsid w:val="00C2690D"/>
    <w:rsid w:val="00C55401"/>
    <w:rsid w:val="00C56A6A"/>
    <w:rsid w:val="00C60A95"/>
    <w:rsid w:val="00C637E1"/>
    <w:rsid w:val="00C70A7E"/>
    <w:rsid w:val="00C70D50"/>
    <w:rsid w:val="00C829C5"/>
    <w:rsid w:val="00C85E5D"/>
    <w:rsid w:val="00C907D7"/>
    <w:rsid w:val="00C92338"/>
    <w:rsid w:val="00C937DC"/>
    <w:rsid w:val="00CA1FC2"/>
    <w:rsid w:val="00CA7C3A"/>
    <w:rsid w:val="00CC2DB2"/>
    <w:rsid w:val="00CC385D"/>
    <w:rsid w:val="00CC3B91"/>
    <w:rsid w:val="00CC5F87"/>
    <w:rsid w:val="00CD0307"/>
    <w:rsid w:val="00CD18EE"/>
    <w:rsid w:val="00CD3D1B"/>
    <w:rsid w:val="00CF7DCA"/>
    <w:rsid w:val="00D021B1"/>
    <w:rsid w:val="00D04355"/>
    <w:rsid w:val="00D11CA3"/>
    <w:rsid w:val="00D211E9"/>
    <w:rsid w:val="00D2312F"/>
    <w:rsid w:val="00D269C1"/>
    <w:rsid w:val="00D27870"/>
    <w:rsid w:val="00D326C2"/>
    <w:rsid w:val="00D40611"/>
    <w:rsid w:val="00D44953"/>
    <w:rsid w:val="00D53503"/>
    <w:rsid w:val="00D542F3"/>
    <w:rsid w:val="00D5644B"/>
    <w:rsid w:val="00D56E25"/>
    <w:rsid w:val="00D61700"/>
    <w:rsid w:val="00D718D7"/>
    <w:rsid w:val="00D814B7"/>
    <w:rsid w:val="00D90688"/>
    <w:rsid w:val="00D94648"/>
    <w:rsid w:val="00DA3AAD"/>
    <w:rsid w:val="00DA4121"/>
    <w:rsid w:val="00DA6F2A"/>
    <w:rsid w:val="00DB0D59"/>
    <w:rsid w:val="00DB0E25"/>
    <w:rsid w:val="00DB312B"/>
    <w:rsid w:val="00DB3E3B"/>
    <w:rsid w:val="00DB7E36"/>
    <w:rsid w:val="00DC5654"/>
    <w:rsid w:val="00DC658F"/>
    <w:rsid w:val="00DC72F8"/>
    <w:rsid w:val="00DD341E"/>
    <w:rsid w:val="00DE0452"/>
    <w:rsid w:val="00DE60CC"/>
    <w:rsid w:val="00DF5908"/>
    <w:rsid w:val="00E26B32"/>
    <w:rsid w:val="00E346A2"/>
    <w:rsid w:val="00E407B6"/>
    <w:rsid w:val="00E41EA2"/>
    <w:rsid w:val="00E41EF1"/>
    <w:rsid w:val="00E42942"/>
    <w:rsid w:val="00E468A6"/>
    <w:rsid w:val="00E46BA7"/>
    <w:rsid w:val="00E71BDF"/>
    <w:rsid w:val="00E83CA7"/>
    <w:rsid w:val="00EA7EF3"/>
    <w:rsid w:val="00EC171D"/>
    <w:rsid w:val="00ED487E"/>
    <w:rsid w:val="00EE6810"/>
    <w:rsid w:val="00EE7A0D"/>
    <w:rsid w:val="00EE7B94"/>
    <w:rsid w:val="00EE7C97"/>
    <w:rsid w:val="00F023EE"/>
    <w:rsid w:val="00F04E7E"/>
    <w:rsid w:val="00F076EA"/>
    <w:rsid w:val="00F12061"/>
    <w:rsid w:val="00F17CE1"/>
    <w:rsid w:val="00F2115C"/>
    <w:rsid w:val="00F22ABA"/>
    <w:rsid w:val="00F36B12"/>
    <w:rsid w:val="00F36B66"/>
    <w:rsid w:val="00F4239A"/>
    <w:rsid w:val="00F60F9F"/>
    <w:rsid w:val="00F64F08"/>
    <w:rsid w:val="00F734F5"/>
    <w:rsid w:val="00F81377"/>
    <w:rsid w:val="00F966B1"/>
    <w:rsid w:val="00F97D48"/>
    <w:rsid w:val="00FA0311"/>
    <w:rsid w:val="00FC42E5"/>
    <w:rsid w:val="00FC7AF6"/>
    <w:rsid w:val="00FD640F"/>
    <w:rsid w:val="00FD6B4C"/>
    <w:rsid w:val="00FF4E3A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/>
    <w:lsdException w:name="index 2" w:semiHidden="0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uiPriority="39"/>
    <w:lsdException w:name="toc 8" w:uiPriority="39"/>
    <w:lsdException w:name="toc 9" w:uiPriority="39"/>
    <w:lsdException w:name="Normal Indent" w:semiHidden="0" w:uiPriority="4" w:qFormat="1"/>
    <w:lsdException w:name="header" w:semiHidden="0"/>
    <w:lsdException w:name="footer" w:semiHidden="0" w:uiPriority="24"/>
    <w:lsdException w:name="index heading" w:semiHidden="0"/>
    <w:lsdException w:name="caption" w:semiHidden="0" w:uiPriority="35"/>
    <w:lsdException w:name="page number" w:semiHidden="0" w:uiPriority="49"/>
    <w:lsdException w:name="Title" w:semiHidden="0"/>
    <w:lsdException w:name="Default Paragraph Font" w:uiPriority="1" w:unhideWhenUsed="1"/>
    <w:lsdException w:name="Body Text" w:uiPriority="49"/>
    <w:lsdException w:name="Subtitle" w:semiHidden="0"/>
    <w:lsdException w:name="Hyperlink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/>
  </w:latentStyles>
  <w:style w:type="paragraph" w:default="1" w:styleId="Normal">
    <w:name w:val="Normal"/>
    <w:qFormat/>
    <w:rsid w:val="00AD7864"/>
    <w:pPr>
      <w:spacing w:before="160" w:after="100"/>
    </w:pPr>
    <w:rPr>
      <w:spacing w:val="2"/>
      <w:sz w:val="24"/>
    </w:rPr>
  </w:style>
  <w:style w:type="paragraph" w:styleId="Heading1">
    <w:name w:val="heading 1"/>
    <w:next w:val="Normal"/>
    <w:link w:val="Heading1Char"/>
    <w:qFormat/>
    <w:rsid w:val="00EC171D"/>
    <w:pPr>
      <w:keepNext/>
      <w:keepLines/>
      <w:spacing w:before="600" w:after="88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C171D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EC171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C17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6A5F5B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C171D"/>
    <w:pPr>
      <w:tabs>
        <w:tab w:val="right" w:leader="dot" w:pos="9000"/>
      </w:tabs>
      <w:ind w:right="432"/>
    </w:pPr>
    <w:rPr>
      <w:szCs w:val="24"/>
    </w:rPr>
  </w:style>
  <w:style w:type="paragraph" w:styleId="TOC2">
    <w:name w:val="toc 2"/>
    <w:next w:val="Normal"/>
    <w:uiPriority w:val="39"/>
    <w:rsid w:val="00EC171D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C171D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EC171D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EC171D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50705C"/>
    <w:pPr>
      <w:numPr>
        <w:numId w:val="1"/>
      </w:numPr>
      <w:spacing w:before="100" w:after="100" w:line="240" w:lineRule="auto"/>
    </w:pPr>
    <w:rPr>
      <w:rFonts w:eastAsia="Times New Roman" w:cs="Calibri"/>
      <w:spacing w:val="2"/>
      <w:sz w:val="24"/>
    </w:rPr>
  </w:style>
  <w:style w:type="paragraph" w:customStyle="1" w:styleId="Bullet2">
    <w:name w:val="Bullet 2"/>
    <w:basedOn w:val="Bullet1"/>
    <w:uiPriority w:val="1"/>
    <w:qFormat/>
    <w:rsid w:val="00EC171D"/>
    <w:pPr>
      <w:numPr>
        <w:ilvl w:val="1"/>
      </w:numPr>
    </w:pPr>
  </w:style>
  <w:style w:type="paragraph" w:customStyle="1" w:styleId="Bulletindent">
    <w:name w:val="Bullet indent"/>
    <w:basedOn w:val="Bullet2"/>
    <w:uiPriority w:val="5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4"/>
    <w:qFormat/>
    <w:rsid w:val="00EC171D"/>
    <w:pPr>
      <w:numPr>
        <w:ilvl w:val="2"/>
        <w:numId w:val="4"/>
      </w:numPr>
    </w:pPr>
  </w:style>
  <w:style w:type="paragraph" w:customStyle="1" w:styleId="Heading2numbered">
    <w:name w:val="Heading 2 numbered"/>
    <w:basedOn w:val="Heading2"/>
    <w:next w:val="NormalIndent"/>
    <w:uiPriority w:val="4"/>
    <w:qFormat/>
    <w:rsid w:val="00EC171D"/>
    <w:pPr>
      <w:numPr>
        <w:ilvl w:val="3"/>
        <w:numId w:val="4"/>
      </w:numPr>
    </w:pPr>
  </w:style>
  <w:style w:type="paragraph" w:customStyle="1" w:styleId="Heading3numbered">
    <w:name w:val="Heading 3 numbered"/>
    <w:basedOn w:val="Heading3"/>
    <w:next w:val="NormalIndent"/>
    <w:uiPriority w:val="4"/>
    <w:qFormat/>
    <w:rsid w:val="00EC171D"/>
    <w:pPr>
      <w:numPr>
        <w:ilvl w:val="4"/>
        <w:numId w:val="4"/>
      </w:numPr>
    </w:pPr>
  </w:style>
  <w:style w:type="character" w:customStyle="1" w:styleId="Heading3Char">
    <w:name w:val="Heading 3 Char"/>
    <w:basedOn w:val="DefaultParagraphFont"/>
    <w:link w:val="Heading3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4"/>
    <w:qFormat/>
    <w:rsid w:val="00EC171D"/>
    <w:pPr>
      <w:numPr>
        <w:ilvl w:val="5"/>
        <w:numId w:val="4"/>
      </w:numPr>
    </w:pPr>
  </w:style>
  <w:style w:type="character" w:customStyle="1" w:styleId="Heading4Char">
    <w:name w:val="Heading 4 Char"/>
    <w:basedOn w:val="DefaultParagraphFont"/>
    <w:link w:val="Heading4"/>
    <w:rsid w:val="00EC171D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4"/>
    <w:qFormat/>
    <w:rsid w:val="00EC171D"/>
    <w:pPr>
      <w:spacing w:line="252" w:lineRule="auto"/>
      <w:ind w:left="792"/>
    </w:pPr>
  </w:style>
  <w:style w:type="paragraph" w:customStyle="1" w:styleId="NoteNormal">
    <w:name w:val="Note Normal"/>
    <w:basedOn w:val="Normal"/>
    <w:uiPriority w:val="49"/>
    <w:rsid w:val="00EC171D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9"/>
    <w:rsid w:val="00EC171D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EC171D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9"/>
    <w:rsid w:val="00EC171D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36"/>
      <w:szCs w:val="40"/>
      <w:lang w:eastAsia="en-US"/>
    </w:rPr>
  </w:style>
  <w:style w:type="paragraph" w:styleId="Title">
    <w:name w:val="Title"/>
    <w:link w:val="TitleChar"/>
    <w:uiPriority w:val="99"/>
    <w:rsid w:val="00EC171D"/>
    <w:pPr>
      <w:spacing w:after="30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60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EC171D"/>
    <w:rPr>
      <w:rFonts w:asciiTheme="majorHAnsi" w:eastAsia="Times New Roman" w:hAnsiTheme="majorHAnsi" w:cstheme="majorHAnsi"/>
      <w:b/>
      <w:color w:val="0063A6" w:themeColor="accent1"/>
      <w:spacing w:val="-2"/>
      <w:sz w:val="60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5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EC1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71D"/>
    <w:rPr>
      <w:spacing w:val="2"/>
    </w:rPr>
  </w:style>
  <w:style w:type="paragraph" w:styleId="Footer">
    <w:name w:val="footer"/>
    <w:basedOn w:val="Normal"/>
    <w:link w:val="FooterChar"/>
    <w:uiPriority w:val="24"/>
    <w:rsid w:val="00EC171D"/>
    <w:pPr>
      <w:tabs>
        <w:tab w:val="right" w:pos="9026"/>
      </w:tabs>
      <w:spacing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EC171D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EC171D"/>
    <w:rPr>
      <w:b w:val="0"/>
      <w:color w:val="4C4C4C"/>
    </w:rPr>
  </w:style>
  <w:style w:type="paragraph" w:styleId="TOCHeading">
    <w:name w:val="TOC Heading"/>
    <w:basedOn w:val="Heading1"/>
    <w:next w:val="Normal"/>
    <w:uiPriority w:val="39"/>
    <w:rsid w:val="00EC171D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EC171D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C171D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6A5F5B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6A5F5B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6"/>
    <w:qFormat/>
    <w:rsid w:val="00652625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6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5"/>
    <w:qFormat/>
    <w:rsid w:val="00EC171D"/>
    <w:pPr>
      <w:numPr>
        <w:ilvl w:val="7"/>
        <w:numId w:val="4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5"/>
    <w:qFormat/>
    <w:rsid w:val="00EC171D"/>
    <w:pPr>
      <w:numPr>
        <w:ilvl w:val="6"/>
        <w:numId w:val="4"/>
      </w:numPr>
      <w:spacing w:before="100"/>
    </w:pPr>
  </w:style>
  <w:style w:type="paragraph" w:customStyle="1" w:styleId="Listnum">
    <w:name w:val="List num"/>
    <w:basedOn w:val="Normal"/>
    <w:qFormat/>
    <w:rsid w:val="00EC171D"/>
    <w:pPr>
      <w:numPr>
        <w:numId w:val="4"/>
      </w:numPr>
    </w:pPr>
  </w:style>
  <w:style w:type="paragraph" w:customStyle="1" w:styleId="Listnum2">
    <w:name w:val="List num 2"/>
    <w:basedOn w:val="Normal"/>
    <w:qFormat/>
    <w:rsid w:val="00EC171D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6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6"/>
    <w:qFormat/>
    <w:rsid w:val="00EC171D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7"/>
    <w:rsid w:val="00D211E9"/>
    <w:pPr>
      <w:numPr>
        <w:numId w:val="18"/>
      </w:numPr>
    </w:pPr>
  </w:style>
  <w:style w:type="paragraph" w:customStyle="1" w:styleId="Tabledash">
    <w:name w:val="Table dash"/>
    <w:basedOn w:val="Tablebullet"/>
    <w:uiPriority w:val="7"/>
    <w:rsid w:val="00D211E9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6"/>
    <w:qFormat/>
    <w:rsid w:val="00D211E9"/>
    <w:pPr>
      <w:ind w:left="288"/>
    </w:pPr>
  </w:style>
  <w:style w:type="paragraph" w:customStyle="1" w:styleId="Numpara">
    <w:name w:val="Num para"/>
    <w:basedOn w:val="ListParagraph"/>
    <w:uiPriority w:val="3"/>
    <w:qFormat/>
    <w:rsid w:val="006361E7"/>
    <w:pPr>
      <w:numPr>
        <w:numId w:val="19"/>
      </w:numPr>
      <w:tabs>
        <w:tab w:val="num" w:pos="504"/>
        <w:tab w:val="left" w:pos="540"/>
      </w:tabs>
      <w:ind w:left="504" w:hanging="504"/>
    </w:pPr>
  </w:style>
  <w:style w:type="paragraph" w:styleId="ListParagraph">
    <w:name w:val="List Paragraph"/>
    <w:basedOn w:val="Normal"/>
    <w:uiPriority w:val="34"/>
    <w:qFormat/>
    <w:rsid w:val="006361E7"/>
    <w:pPr>
      <w:ind w:left="720"/>
      <w:contextualSpacing/>
    </w:pPr>
  </w:style>
  <w:style w:type="table" w:customStyle="1" w:styleId="Summarytable">
    <w:name w:val="Summary table"/>
    <w:basedOn w:val="TableNormal"/>
    <w:uiPriority w:val="99"/>
    <w:rsid w:val="005E6AE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BFBFBF"/>
      </w:tblBorders>
      <w:tblCellMar>
        <w:left w:w="57" w:type="dxa"/>
        <w:right w:w="57" w:type="dxa"/>
      </w:tblCellMar>
    </w:tblPr>
    <w:trPr>
      <w:cantSplit/>
    </w:trPr>
    <w:tblStylePr w:type="firstRow">
      <w:rPr>
        <w:color w:val="auto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B9DD6"/>
      </w:tcPr>
    </w:tblStylePr>
  </w:style>
  <w:style w:type="table" w:customStyle="1" w:styleId="Summarytable1">
    <w:name w:val="Summary table1"/>
    <w:basedOn w:val="TableNormal"/>
    <w:uiPriority w:val="99"/>
    <w:rsid w:val="0095554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BFBFBF"/>
      </w:tblBorders>
      <w:tblCellMar>
        <w:left w:w="57" w:type="dxa"/>
        <w:right w:w="57" w:type="dxa"/>
      </w:tblCellMar>
    </w:tblPr>
    <w:trPr>
      <w:cantSplit/>
    </w:trPr>
    <w:tblStylePr w:type="firstRow">
      <w:rPr>
        <w:color w:val="auto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B9DD6"/>
      </w:tcPr>
    </w:tblStylePr>
  </w:style>
  <w:style w:type="table" w:customStyle="1" w:styleId="Summarytable2">
    <w:name w:val="Summary table2"/>
    <w:basedOn w:val="TableNormal"/>
    <w:uiPriority w:val="99"/>
    <w:rsid w:val="007800B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BFBFBF"/>
      </w:tblBorders>
      <w:tblCellMar>
        <w:left w:w="57" w:type="dxa"/>
        <w:right w:w="57" w:type="dxa"/>
      </w:tblCellMar>
    </w:tblPr>
    <w:trPr>
      <w:cantSplit/>
    </w:trPr>
    <w:tblStylePr w:type="firstRow">
      <w:rPr>
        <w:color w:val="auto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B9DD6"/>
      </w:tcPr>
    </w:tblStylePr>
  </w:style>
  <w:style w:type="table" w:customStyle="1" w:styleId="Summarytable3">
    <w:name w:val="Summary table3"/>
    <w:basedOn w:val="TableNormal"/>
    <w:uiPriority w:val="99"/>
    <w:rsid w:val="00F04E7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BFBFBF"/>
      </w:tblBorders>
      <w:tblCellMar>
        <w:left w:w="57" w:type="dxa"/>
        <w:right w:w="57" w:type="dxa"/>
      </w:tblCellMar>
    </w:tblPr>
    <w:trPr>
      <w:cantSplit/>
    </w:trPr>
    <w:tblStylePr w:type="firstRow">
      <w:rPr>
        <w:color w:val="auto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B9DD6"/>
      </w:tcPr>
    </w:tblStylePr>
  </w:style>
  <w:style w:type="table" w:customStyle="1" w:styleId="Summarytable4">
    <w:name w:val="Summary table4"/>
    <w:basedOn w:val="TableNormal"/>
    <w:uiPriority w:val="99"/>
    <w:rsid w:val="005B3B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BFBFBF"/>
      </w:tblBorders>
      <w:tblCellMar>
        <w:left w:w="57" w:type="dxa"/>
        <w:right w:w="57" w:type="dxa"/>
      </w:tblCellMar>
    </w:tblPr>
    <w:trPr>
      <w:cantSplit/>
    </w:trPr>
    <w:tblStylePr w:type="firstRow">
      <w:rPr>
        <w:color w:val="auto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B9DD6"/>
      </w:tcPr>
    </w:tblStylePr>
  </w:style>
  <w:style w:type="paragraph" w:customStyle="1" w:styleId="Listnum3">
    <w:name w:val="List num 3"/>
    <w:basedOn w:val="Normal"/>
    <w:rsid w:val="000761ED"/>
    <w:pPr>
      <w:tabs>
        <w:tab w:val="num" w:pos="1512"/>
      </w:tabs>
      <w:spacing w:before="0" w:after="0" w:line="240" w:lineRule="auto"/>
      <w:ind w:left="1512" w:hanging="504"/>
    </w:pPr>
    <w:rPr>
      <w:rFonts w:eastAsia="Times New Roman" w:cs="Times New Roman"/>
      <w:color w:val="000000" w:themeColor="text1"/>
      <w:sz w:val="20"/>
      <w:lang w:eastAsia="en-US"/>
    </w:rPr>
  </w:style>
  <w:style w:type="paragraph" w:customStyle="1" w:styleId="Reference">
    <w:name w:val="Reference"/>
    <w:basedOn w:val="Normal"/>
    <w:link w:val="ReferenceChar"/>
    <w:qFormat/>
    <w:rsid w:val="00A83C4E"/>
    <w:pPr>
      <w:spacing w:before="20" w:after="20" w:line="240" w:lineRule="auto"/>
    </w:pPr>
    <w:rPr>
      <w:rFonts w:eastAsia="Tahoma" w:cs="Arial"/>
      <w:iCs/>
      <w:noProof/>
      <w:color w:val="0072CE" w:themeColor="accent4"/>
      <w:sz w:val="14"/>
      <w:szCs w:val="14"/>
    </w:rPr>
  </w:style>
  <w:style w:type="character" w:customStyle="1" w:styleId="ReferenceChar">
    <w:name w:val="Reference Char"/>
    <w:link w:val="Reference"/>
    <w:rsid w:val="00A83C4E"/>
    <w:rPr>
      <w:rFonts w:eastAsia="Tahoma" w:cs="Arial"/>
      <w:iCs/>
      <w:noProof/>
      <w:color w:val="0072CE" w:themeColor="accent4"/>
      <w:spacing w:val="2"/>
      <w:sz w:val="14"/>
      <w:szCs w:val="14"/>
    </w:rPr>
  </w:style>
  <w:style w:type="paragraph" w:customStyle="1" w:styleId="Referencered">
    <w:name w:val="Reference red"/>
    <w:basedOn w:val="Reference"/>
    <w:qFormat/>
    <w:rsid w:val="00A83C4E"/>
    <w:pPr>
      <w:keepNext/>
      <w:spacing w:before="0" w:after="0"/>
    </w:pPr>
    <w:rPr>
      <w:rFonts w:ascii="Arial" w:hAnsi="Arial" w:cs="Arial Narrow"/>
      <w:iCs w:val="0"/>
      <w:noProof w:val="0"/>
      <w:color w:val="AF272F"/>
      <w:spacing w:val="0"/>
      <w:szCs w:val="16"/>
    </w:rPr>
  </w:style>
  <w:style w:type="character" w:styleId="FollowedHyperlink">
    <w:name w:val="FollowedHyperlink"/>
    <w:basedOn w:val="DefaultParagraphFont"/>
    <w:uiPriority w:val="99"/>
    <w:semiHidden/>
    <w:rsid w:val="00C55401"/>
    <w:rPr>
      <w:color w:val="8A2A2B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/>
    <w:lsdException w:name="index 2" w:semiHidden="0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uiPriority="39"/>
    <w:lsdException w:name="toc 8" w:uiPriority="39"/>
    <w:lsdException w:name="toc 9" w:uiPriority="39"/>
    <w:lsdException w:name="Normal Indent" w:semiHidden="0" w:uiPriority="4" w:qFormat="1"/>
    <w:lsdException w:name="header" w:semiHidden="0"/>
    <w:lsdException w:name="footer" w:semiHidden="0" w:uiPriority="24"/>
    <w:lsdException w:name="index heading" w:semiHidden="0"/>
    <w:lsdException w:name="caption" w:semiHidden="0" w:uiPriority="35"/>
    <w:lsdException w:name="page number" w:semiHidden="0" w:uiPriority="49"/>
    <w:lsdException w:name="Title" w:semiHidden="0"/>
    <w:lsdException w:name="Default Paragraph Font" w:uiPriority="1" w:unhideWhenUsed="1"/>
    <w:lsdException w:name="Body Text" w:uiPriority="49"/>
    <w:lsdException w:name="Subtitle" w:semiHidden="0"/>
    <w:lsdException w:name="Hyperlink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/>
  </w:latentStyles>
  <w:style w:type="paragraph" w:default="1" w:styleId="Normal">
    <w:name w:val="Normal"/>
    <w:qFormat/>
    <w:rsid w:val="00AD7864"/>
    <w:pPr>
      <w:spacing w:before="160" w:after="100"/>
    </w:pPr>
    <w:rPr>
      <w:spacing w:val="2"/>
      <w:sz w:val="24"/>
    </w:rPr>
  </w:style>
  <w:style w:type="paragraph" w:styleId="Heading1">
    <w:name w:val="heading 1"/>
    <w:next w:val="Normal"/>
    <w:link w:val="Heading1Char"/>
    <w:qFormat/>
    <w:rsid w:val="00EC171D"/>
    <w:pPr>
      <w:keepNext/>
      <w:keepLines/>
      <w:spacing w:before="600" w:after="88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C171D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EC171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C17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6A5F5B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C171D"/>
    <w:pPr>
      <w:tabs>
        <w:tab w:val="right" w:leader="dot" w:pos="9000"/>
      </w:tabs>
      <w:ind w:right="432"/>
    </w:pPr>
    <w:rPr>
      <w:szCs w:val="24"/>
    </w:rPr>
  </w:style>
  <w:style w:type="paragraph" w:styleId="TOC2">
    <w:name w:val="toc 2"/>
    <w:next w:val="Normal"/>
    <w:uiPriority w:val="39"/>
    <w:rsid w:val="00EC171D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C171D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EC171D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EC171D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50705C"/>
    <w:pPr>
      <w:numPr>
        <w:numId w:val="1"/>
      </w:numPr>
      <w:spacing w:before="100" w:after="100" w:line="240" w:lineRule="auto"/>
    </w:pPr>
    <w:rPr>
      <w:rFonts w:eastAsia="Times New Roman" w:cs="Calibri"/>
      <w:spacing w:val="2"/>
      <w:sz w:val="24"/>
    </w:rPr>
  </w:style>
  <w:style w:type="paragraph" w:customStyle="1" w:styleId="Bullet2">
    <w:name w:val="Bullet 2"/>
    <w:basedOn w:val="Bullet1"/>
    <w:uiPriority w:val="1"/>
    <w:qFormat/>
    <w:rsid w:val="00EC171D"/>
    <w:pPr>
      <w:numPr>
        <w:ilvl w:val="1"/>
      </w:numPr>
    </w:pPr>
  </w:style>
  <w:style w:type="paragraph" w:customStyle="1" w:styleId="Bulletindent">
    <w:name w:val="Bullet indent"/>
    <w:basedOn w:val="Bullet2"/>
    <w:uiPriority w:val="5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4"/>
    <w:qFormat/>
    <w:rsid w:val="00EC171D"/>
    <w:pPr>
      <w:numPr>
        <w:ilvl w:val="2"/>
        <w:numId w:val="4"/>
      </w:numPr>
    </w:pPr>
  </w:style>
  <w:style w:type="paragraph" w:customStyle="1" w:styleId="Heading2numbered">
    <w:name w:val="Heading 2 numbered"/>
    <w:basedOn w:val="Heading2"/>
    <w:next w:val="NormalIndent"/>
    <w:uiPriority w:val="4"/>
    <w:qFormat/>
    <w:rsid w:val="00EC171D"/>
    <w:pPr>
      <w:numPr>
        <w:ilvl w:val="3"/>
        <w:numId w:val="4"/>
      </w:numPr>
    </w:pPr>
  </w:style>
  <w:style w:type="paragraph" w:customStyle="1" w:styleId="Heading3numbered">
    <w:name w:val="Heading 3 numbered"/>
    <w:basedOn w:val="Heading3"/>
    <w:next w:val="NormalIndent"/>
    <w:uiPriority w:val="4"/>
    <w:qFormat/>
    <w:rsid w:val="00EC171D"/>
    <w:pPr>
      <w:numPr>
        <w:ilvl w:val="4"/>
        <w:numId w:val="4"/>
      </w:numPr>
    </w:pPr>
  </w:style>
  <w:style w:type="character" w:customStyle="1" w:styleId="Heading3Char">
    <w:name w:val="Heading 3 Char"/>
    <w:basedOn w:val="DefaultParagraphFont"/>
    <w:link w:val="Heading3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4"/>
    <w:qFormat/>
    <w:rsid w:val="00EC171D"/>
    <w:pPr>
      <w:numPr>
        <w:ilvl w:val="5"/>
        <w:numId w:val="4"/>
      </w:numPr>
    </w:pPr>
  </w:style>
  <w:style w:type="character" w:customStyle="1" w:styleId="Heading4Char">
    <w:name w:val="Heading 4 Char"/>
    <w:basedOn w:val="DefaultParagraphFont"/>
    <w:link w:val="Heading4"/>
    <w:rsid w:val="00EC171D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4"/>
    <w:qFormat/>
    <w:rsid w:val="00EC171D"/>
    <w:pPr>
      <w:spacing w:line="252" w:lineRule="auto"/>
      <w:ind w:left="792"/>
    </w:pPr>
  </w:style>
  <w:style w:type="paragraph" w:customStyle="1" w:styleId="NoteNormal">
    <w:name w:val="Note Normal"/>
    <w:basedOn w:val="Normal"/>
    <w:uiPriority w:val="49"/>
    <w:rsid w:val="00EC171D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9"/>
    <w:rsid w:val="00EC171D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EC171D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9"/>
    <w:rsid w:val="00EC171D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36"/>
      <w:szCs w:val="40"/>
      <w:lang w:eastAsia="en-US"/>
    </w:rPr>
  </w:style>
  <w:style w:type="paragraph" w:styleId="Title">
    <w:name w:val="Title"/>
    <w:link w:val="TitleChar"/>
    <w:uiPriority w:val="99"/>
    <w:rsid w:val="00EC171D"/>
    <w:pPr>
      <w:spacing w:after="30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60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EC171D"/>
    <w:rPr>
      <w:rFonts w:asciiTheme="majorHAnsi" w:eastAsia="Times New Roman" w:hAnsiTheme="majorHAnsi" w:cstheme="majorHAnsi"/>
      <w:b/>
      <w:color w:val="0063A6" w:themeColor="accent1"/>
      <w:spacing w:val="-2"/>
      <w:sz w:val="60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5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EC1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71D"/>
    <w:rPr>
      <w:spacing w:val="2"/>
    </w:rPr>
  </w:style>
  <w:style w:type="paragraph" w:styleId="Footer">
    <w:name w:val="footer"/>
    <w:basedOn w:val="Normal"/>
    <w:link w:val="FooterChar"/>
    <w:uiPriority w:val="24"/>
    <w:rsid w:val="00EC171D"/>
    <w:pPr>
      <w:tabs>
        <w:tab w:val="right" w:pos="9026"/>
      </w:tabs>
      <w:spacing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EC171D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EC171D"/>
    <w:rPr>
      <w:b w:val="0"/>
      <w:color w:val="4C4C4C"/>
    </w:rPr>
  </w:style>
  <w:style w:type="paragraph" w:styleId="TOCHeading">
    <w:name w:val="TOC Heading"/>
    <w:basedOn w:val="Heading1"/>
    <w:next w:val="Normal"/>
    <w:uiPriority w:val="39"/>
    <w:rsid w:val="00EC171D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EC171D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C171D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6A5F5B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6A5F5B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6"/>
    <w:qFormat/>
    <w:rsid w:val="00652625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6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5"/>
    <w:qFormat/>
    <w:rsid w:val="00EC171D"/>
    <w:pPr>
      <w:numPr>
        <w:ilvl w:val="7"/>
        <w:numId w:val="4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5"/>
    <w:qFormat/>
    <w:rsid w:val="00EC171D"/>
    <w:pPr>
      <w:numPr>
        <w:ilvl w:val="6"/>
        <w:numId w:val="4"/>
      </w:numPr>
      <w:spacing w:before="100"/>
    </w:pPr>
  </w:style>
  <w:style w:type="paragraph" w:customStyle="1" w:styleId="Listnum">
    <w:name w:val="List num"/>
    <w:basedOn w:val="Normal"/>
    <w:qFormat/>
    <w:rsid w:val="00EC171D"/>
    <w:pPr>
      <w:numPr>
        <w:numId w:val="4"/>
      </w:numPr>
    </w:pPr>
  </w:style>
  <w:style w:type="paragraph" w:customStyle="1" w:styleId="Listnum2">
    <w:name w:val="List num 2"/>
    <w:basedOn w:val="Normal"/>
    <w:qFormat/>
    <w:rsid w:val="00EC171D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6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6"/>
    <w:qFormat/>
    <w:rsid w:val="00EC171D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7"/>
    <w:rsid w:val="00D211E9"/>
    <w:pPr>
      <w:numPr>
        <w:numId w:val="18"/>
      </w:numPr>
    </w:pPr>
  </w:style>
  <w:style w:type="paragraph" w:customStyle="1" w:styleId="Tabledash">
    <w:name w:val="Table dash"/>
    <w:basedOn w:val="Tablebullet"/>
    <w:uiPriority w:val="7"/>
    <w:rsid w:val="00D211E9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6"/>
    <w:qFormat/>
    <w:rsid w:val="00D211E9"/>
    <w:pPr>
      <w:ind w:left="288"/>
    </w:pPr>
  </w:style>
  <w:style w:type="paragraph" w:customStyle="1" w:styleId="Numpara">
    <w:name w:val="Num para"/>
    <w:basedOn w:val="ListParagraph"/>
    <w:uiPriority w:val="3"/>
    <w:qFormat/>
    <w:rsid w:val="006361E7"/>
    <w:pPr>
      <w:numPr>
        <w:numId w:val="19"/>
      </w:numPr>
      <w:tabs>
        <w:tab w:val="num" w:pos="504"/>
        <w:tab w:val="left" w:pos="540"/>
      </w:tabs>
      <w:ind w:left="504" w:hanging="504"/>
    </w:pPr>
  </w:style>
  <w:style w:type="paragraph" w:styleId="ListParagraph">
    <w:name w:val="List Paragraph"/>
    <w:basedOn w:val="Normal"/>
    <w:uiPriority w:val="34"/>
    <w:qFormat/>
    <w:rsid w:val="006361E7"/>
    <w:pPr>
      <w:ind w:left="720"/>
      <w:contextualSpacing/>
    </w:pPr>
  </w:style>
  <w:style w:type="table" w:customStyle="1" w:styleId="Summarytable">
    <w:name w:val="Summary table"/>
    <w:basedOn w:val="TableNormal"/>
    <w:uiPriority w:val="99"/>
    <w:rsid w:val="005E6AE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BFBFBF"/>
      </w:tblBorders>
      <w:tblCellMar>
        <w:left w:w="57" w:type="dxa"/>
        <w:right w:w="57" w:type="dxa"/>
      </w:tblCellMar>
    </w:tblPr>
    <w:trPr>
      <w:cantSplit/>
    </w:trPr>
    <w:tblStylePr w:type="firstRow">
      <w:rPr>
        <w:color w:val="auto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B9DD6"/>
      </w:tcPr>
    </w:tblStylePr>
  </w:style>
  <w:style w:type="table" w:customStyle="1" w:styleId="Summarytable1">
    <w:name w:val="Summary table1"/>
    <w:basedOn w:val="TableNormal"/>
    <w:uiPriority w:val="99"/>
    <w:rsid w:val="0095554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BFBFBF"/>
      </w:tblBorders>
      <w:tblCellMar>
        <w:left w:w="57" w:type="dxa"/>
        <w:right w:w="57" w:type="dxa"/>
      </w:tblCellMar>
    </w:tblPr>
    <w:trPr>
      <w:cantSplit/>
    </w:trPr>
    <w:tblStylePr w:type="firstRow">
      <w:rPr>
        <w:color w:val="auto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B9DD6"/>
      </w:tcPr>
    </w:tblStylePr>
  </w:style>
  <w:style w:type="table" w:customStyle="1" w:styleId="Summarytable2">
    <w:name w:val="Summary table2"/>
    <w:basedOn w:val="TableNormal"/>
    <w:uiPriority w:val="99"/>
    <w:rsid w:val="007800B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BFBFBF"/>
      </w:tblBorders>
      <w:tblCellMar>
        <w:left w:w="57" w:type="dxa"/>
        <w:right w:w="57" w:type="dxa"/>
      </w:tblCellMar>
    </w:tblPr>
    <w:trPr>
      <w:cantSplit/>
    </w:trPr>
    <w:tblStylePr w:type="firstRow">
      <w:rPr>
        <w:color w:val="auto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B9DD6"/>
      </w:tcPr>
    </w:tblStylePr>
  </w:style>
  <w:style w:type="table" w:customStyle="1" w:styleId="Summarytable3">
    <w:name w:val="Summary table3"/>
    <w:basedOn w:val="TableNormal"/>
    <w:uiPriority w:val="99"/>
    <w:rsid w:val="00F04E7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BFBFBF"/>
      </w:tblBorders>
      <w:tblCellMar>
        <w:left w:w="57" w:type="dxa"/>
        <w:right w:w="57" w:type="dxa"/>
      </w:tblCellMar>
    </w:tblPr>
    <w:trPr>
      <w:cantSplit/>
    </w:trPr>
    <w:tblStylePr w:type="firstRow">
      <w:rPr>
        <w:color w:val="auto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B9DD6"/>
      </w:tcPr>
    </w:tblStylePr>
  </w:style>
  <w:style w:type="table" w:customStyle="1" w:styleId="Summarytable4">
    <w:name w:val="Summary table4"/>
    <w:basedOn w:val="TableNormal"/>
    <w:uiPriority w:val="99"/>
    <w:rsid w:val="005B3B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BFBFBF"/>
      </w:tblBorders>
      <w:tblCellMar>
        <w:left w:w="57" w:type="dxa"/>
        <w:right w:w="57" w:type="dxa"/>
      </w:tblCellMar>
    </w:tblPr>
    <w:trPr>
      <w:cantSplit/>
    </w:trPr>
    <w:tblStylePr w:type="firstRow">
      <w:rPr>
        <w:color w:val="auto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B9DD6"/>
      </w:tcPr>
    </w:tblStylePr>
  </w:style>
  <w:style w:type="paragraph" w:customStyle="1" w:styleId="Listnum3">
    <w:name w:val="List num 3"/>
    <w:basedOn w:val="Normal"/>
    <w:rsid w:val="000761ED"/>
    <w:pPr>
      <w:tabs>
        <w:tab w:val="num" w:pos="1512"/>
      </w:tabs>
      <w:spacing w:before="0" w:after="0" w:line="240" w:lineRule="auto"/>
      <w:ind w:left="1512" w:hanging="504"/>
    </w:pPr>
    <w:rPr>
      <w:rFonts w:eastAsia="Times New Roman" w:cs="Times New Roman"/>
      <w:color w:val="000000" w:themeColor="text1"/>
      <w:sz w:val="20"/>
      <w:lang w:eastAsia="en-US"/>
    </w:rPr>
  </w:style>
  <w:style w:type="paragraph" w:customStyle="1" w:styleId="Reference">
    <w:name w:val="Reference"/>
    <w:basedOn w:val="Normal"/>
    <w:link w:val="ReferenceChar"/>
    <w:qFormat/>
    <w:rsid w:val="00A83C4E"/>
    <w:pPr>
      <w:spacing w:before="20" w:after="20" w:line="240" w:lineRule="auto"/>
    </w:pPr>
    <w:rPr>
      <w:rFonts w:eastAsia="Tahoma" w:cs="Arial"/>
      <w:iCs/>
      <w:noProof/>
      <w:color w:val="0072CE" w:themeColor="accent4"/>
      <w:sz w:val="14"/>
      <w:szCs w:val="14"/>
    </w:rPr>
  </w:style>
  <w:style w:type="character" w:customStyle="1" w:styleId="ReferenceChar">
    <w:name w:val="Reference Char"/>
    <w:link w:val="Reference"/>
    <w:rsid w:val="00A83C4E"/>
    <w:rPr>
      <w:rFonts w:eastAsia="Tahoma" w:cs="Arial"/>
      <w:iCs/>
      <w:noProof/>
      <w:color w:val="0072CE" w:themeColor="accent4"/>
      <w:spacing w:val="2"/>
      <w:sz w:val="14"/>
      <w:szCs w:val="14"/>
    </w:rPr>
  </w:style>
  <w:style w:type="paragraph" w:customStyle="1" w:styleId="Referencered">
    <w:name w:val="Reference red"/>
    <w:basedOn w:val="Reference"/>
    <w:qFormat/>
    <w:rsid w:val="00A83C4E"/>
    <w:pPr>
      <w:keepNext/>
      <w:spacing w:before="0" w:after="0"/>
    </w:pPr>
    <w:rPr>
      <w:rFonts w:ascii="Arial" w:hAnsi="Arial" w:cs="Arial Narrow"/>
      <w:iCs w:val="0"/>
      <w:noProof w:val="0"/>
      <w:color w:val="AF272F"/>
      <w:spacing w:val="0"/>
      <w:szCs w:val="16"/>
    </w:rPr>
  </w:style>
  <w:style w:type="character" w:styleId="FollowedHyperlink">
    <w:name w:val="FollowedHyperlink"/>
    <w:basedOn w:val="DefaultParagraphFont"/>
    <w:uiPriority w:val="99"/>
    <w:semiHidden/>
    <w:rsid w:val="00C55401"/>
    <w:rPr>
      <w:color w:val="8A2A2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FDTF001\DTF_APPS01$\DTF\ZEN\Template\Corporate\Portrait.dotx" TargetMode="External"/></Relationships>
</file>

<file path=word/theme/theme1.xml><?xml version="1.0" encoding="utf-8"?>
<a:theme xmlns:a="http://schemas.openxmlformats.org/drawingml/2006/main" name="Office Theme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0063A6"/>
      </a:accent1>
      <a:accent2>
        <a:srgbClr val="0F0248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1CCB9-AA3A-42E0-888C-7CB9DC5D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Portrait.dotx</Template>
  <TotalTime>1487</TotalTime>
  <Pages>8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13454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Marsal</dc:creator>
  <cp:lastModifiedBy>Julie Marsal</cp:lastModifiedBy>
  <cp:revision>88</cp:revision>
  <cp:lastPrinted>2018-05-31T04:56:00Z</cp:lastPrinted>
  <dcterms:created xsi:type="dcterms:W3CDTF">2018-04-18T00:46:00Z</dcterms:created>
  <dcterms:modified xsi:type="dcterms:W3CDTF">2018-05-31T04:58:00Z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2571e6a5-6812-4c24-bab9-285e1017943e</vt:lpwstr>
  </property>
  <property fmtid="{D5CDD505-2E9C-101B-9397-08002B2CF9AE}" pid="3" name="PSPFClassification">
    <vt:lpwstr>Do Not Mark</vt:lpwstr>
  </property>
</Properties>
</file>