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A7" w:rsidRPr="00AA2DA9" w:rsidRDefault="00152B6B" w:rsidP="008E2A31">
      <w:pPr>
        <w:pStyle w:val="Title"/>
        <w:pBdr>
          <w:bottom w:val="none" w:sz="0" w:space="0" w:color="auto"/>
        </w:pBdr>
        <w:rPr>
          <w:rFonts w:ascii="Arial" w:hAnsi="Arial" w:cs="Arial"/>
          <w:color w:val="FF0000"/>
        </w:rPr>
      </w:pPr>
      <w:bookmarkStart w:id="0" w:name="_GoBack"/>
      <w:bookmarkEnd w:id="0"/>
      <w:r w:rsidRPr="00AA2DA9">
        <w:rPr>
          <w:rFonts w:ascii="Arial" w:hAnsi="Arial" w:cs="Arial"/>
          <w:color w:val="FF0000"/>
        </w:rPr>
        <w:t xml:space="preserve">Deborah </w:t>
      </w:r>
      <w:proofErr w:type="spellStart"/>
      <w:r w:rsidRPr="00AA2DA9">
        <w:rPr>
          <w:rFonts w:ascii="Arial" w:hAnsi="Arial" w:cs="Arial"/>
          <w:color w:val="FF0000"/>
        </w:rPr>
        <w:t>Pollett</w:t>
      </w:r>
      <w:proofErr w:type="spellEnd"/>
    </w:p>
    <w:p w:rsidR="007A3CA7" w:rsidRPr="00AA2DA9" w:rsidRDefault="00AA2DA9" w:rsidP="008E2A31">
      <w:pPr>
        <w:pStyle w:val="Title"/>
        <w:pBdr>
          <w:bottom w:val="none" w:sz="0" w:space="0" w:color="auto"/>
        </w:pBdr>
        <w:rPr>
          <w:rFonts w:ascii="Arial" w:hAnsi="Arial" w:cs="Arial"/>
          <w:color w:val="FF0000"/>
          <w:sz w:val="32"/>
          <w:szCs w:val="32"/>
        </w:rPr>
      </w:pPr>
      <w:r w:rsidRPr="00AA2DA9">
        <w:rPr>
          <w:rFonts w:ascii="Arial" w:hAnsi="Arial" w:cs="Arial"/>
          <w:color w:val="FF0000"/>
          <w:sz w:val="32"/>
          <w:szCs w:val="32"/>
        </w:rPr>
        <w:t>Farrago Business Consultants Pty Ltd</w:t>
      </w:r>
    </w:p>
    <w:p w:rsidR="00F456ED" w:rsidRPr="00AA2DA9" w:rsidRDefault="000C660C" w:rsidP="001C0F2B">
      <w:pPr>
        <w:pStyle w:val="Subtitle"/>
        <w:rPr>
          <w:rFonts w:ascii="Arial" w:hAnsi="Arial" w:cs="Arial"/>
          <w:color w:val="FF0000"/>
        </w:rPr>
      </w:pPr>
      <w:r w:rsidRPr="00AA2DA9">
        <w:rPr>
          <w:rFonts w:ascii="Arial" w:hAnsi="Arial" w:cs="Arial"/>
          <w:color w:val="FF0000"/>
        </w:rPr>
        <w:t>Accredited Investment Management Facilitator</w:t>
      </w:r>
    </w:p>
    <w:p w:rsidR="008F499A" w:rsidRPr="00AA2DA9" w:rsidRDefault="008F499A" w:rsidP="001C0F2B">
      <w:pPr>
        <w:pStyle w:val="Heading1"/>
        <w:rPr>
          <w:rFonts w:ascii="Arial" w:hAnsi="Arial" w:cs="Arial"/>
          <w:b w:val="0"/>
          <w:bCs w:val="0"/>
          <w:color w:val="FF0000"/>
        </w:rPr>
      </w:pPr>
      <w:r w:rsidRPr="00AA2DA9">
        <w:rPr>
          <w:rFonts w:ascii="Arial" w:hAnsi="Arial" w:cs="Arial"/>
          <w:b w:val="0"/>
          <w:bCs w:val="0"/>
          <w:color w:val="FF0000"/>
        </w:rPr>
        <w:t xml:space="preserve">Organisation Overview </w:t>
      </w:r>
    </w:p>
    <w:p w:rsidR="00152B6B" w:rsidRPr="00EF3D64" w:rsidRDefault="00AA2DA9" w:rsidP="00152B6B">
      <w:pPr>
        <w:pStyle w:val="NormalWeb"/>
        <w:spacing w:before="60" w:after="60"/>
        <w:rPr>
          <w:color w:val="000000"/>
          <w:sz w:val="22"/>
          <w:szCs w:val="22"/>
        </w:rPr>
      </w:pPr>
      <w:r>
        <w:rPr>
          <w:color w:val="000000"/>
          <w:sz w:val="22"/>
          <w:szCs w:val="22"/>
        </w:rPr>
        <w:t>Farrago</w:t>
      </w:r>
      <w:r w:rsidR="00152B6B" w:rsidRPr="00EF3D64">
        <w:rPr>
          <w:color w:val="000000"/>
          <w:sz w:val="22"/>
          <w:szCs w:val="22"/>
        </w:rPr>
        <w:t xml:space="preserve"> is a </w:t>
      </w:r>
      <w:r>
        <w:rPr>
          <w:color w:val="000000"/>
          <w:sz w:val="22"/>
          <w:szCs w:val="22"/>
        </w:rPr>
        <w:t xml:space="preserve">niche </w:t>
      </w:r>
      <w:r w:rsidR="00152B6B" w:rsidRPr="00EF3D64">
        <w:rPr>
          <w:color w:val="000000"/>
          <w:sz w:val="22"/>
          <w:szCs w:val="22"/>
        </w:rPr>
        <w:t>consultancy delivering services exclusively tailored f</w:t>
      </w:r>
      <w:r>
        <w:rPr>
          <w:color w:val="000000"/>
          <w:sz w:val="22"/>
          <w:szCs w:val="22"/>
        </w:rPr>
        <w:t>or the Victorian Public Sector.</w:t>
      </w:r>
    </w:p>
    <w:p w:rsidR="00F56981" w:rsidRPr="00EF3D64" w:rsidRDefault="00AA2DA9" w:rsidP="00AA2DA9">
      <w:pPr>
        <w:pStyle w:val="NormalWeb"/>
        <w:spacing w:before="60" w:after="60"/>
        <w:rPr>
          <w:sz w:val="22"/>
        </w:rPr>
      </w:pPr>
      <w:r>
        <w:rPr>
          <w:color w:val="000000"/>
          <w:sz w:val="22"/>
          <w:szCs w:val="22"/>
        </w:rPr>
        <w:t>Our team members have</w:t>
      </w:r>
      <w:r w:rsidR="00152B6B" w:rsidRPr="00EF3D64">
        <w:rPr>
          <w:color w:val="000000"/>
          <w:sz w:val="22"/>
          <w:szCs w:val="22"/>
        </w:rPr>
        <w:t xml:space="preserve"> extensive skills and experience in </w:t>
      </w:r>
      <w:r>
        <w:rPr>
          <w:color w:val="000000"/>
          <w:sz w:val="22"/>
          <w:szCs w:val="22"/>
        </w:rPr>
        <w:t>managing investments in complex environments and have held senior positions in the private and public sector.</w:t>
      </w:r>
    </w:p>
    <w:p w:rsidR="008F499A" w:rsidRPr="00AA2DA9" w:rsidRDefault="008F499A" w:rsidP="00EF3D64">
      <w:pPr>
        <w:pStyle w:val="Heading1"/>
        <w:rPr>
          <w:rFonts w:ascii="Arial" w:hAnsi="Arial" w:cs="Arial"/>
          <w:b w:val="0"/>
          <w:bCs w:val="0"/>
          <w:color w:val="FF0000"/>
        </w:rPr>
      </w:pPr>
      <w:r w:rsidRPr="00AA2DA9">
        <w:rPr>
          <w:rFonts w:ascii="Arial" w:hAnsi="Arial" w:cs="Arial"/>
          <w:b w:val="0"/>
          <w:bCs w:val="0"/>
          <w:color w:val="FF0000"/>
        </w:rPr>
        <w:t>Facilitator Profile</w:t>
      </w:r>
    </w:p>
    <w:p w:rsidR="008E2A31" w:rsidRPr="008E2A31" w:rsidRDefault="008E2A31" w:rsidP="008E2A31">
      <w:pPr>
        <w:pStyle w:val="NormalWeb"/>
        <w:spacing w:before="60" w:after="60"/>
        <w:rPr>
          <w:color w:val="000000"/>
          <w:sz w:val="22"/>
          <w:szCs w:val="22"/>
        </w:rPr>
      </w:pPr>
      <w:r w:rsidRPr="008E2A31">
        <w:rPr>
          <w:color w:val="000000"/>
          <w:sz w:val="22"/>
          <w:szCs w:val="22"/>
        </w:rPr>
        <w:t xml:space="preserve">Deborah has a wide range of senior management experience in the construction, energy, facilities management and government sectors, including </w:t>
      </w:r>
      <w:r w:rsidR="00AA2DA9">
        <w:rPr>
          <w:color w:val="000000"/>
          <w:sz w:val="22"/>
          <w:szCs w:val="22"/>
        </w:rPr>
        <w:t xml:space="preserve">Managing Partner Cube Management Solutions, </w:t>
      </w:r>
      <w:r w:rsidRPr="008E2A31">
        <w:rPr>
          <w:color w:val="000000"/>
          <w:sz w:val="22"/>
          <w:szCs w:val="22"/>
        </w:rPr>
        <w:t>Chief Finance Officer at Emergency Communications Victoria (a State Owned Body), Director of Operations at Delaware North and Director of Finance for Serco – Government Services. This enables Deborah to navigate the interface between the public and private sectors.</w:t>
      </w:r>
    </w:p>
    <w:p w:rsidR="008E2A31" w:rsidRPr="008E2A31" w:rsidRDefault="008E2A31" w:rsidP="008E2A31">
      <w:pPr>
        <w:pStyle w:val="NormalWeb"/>
        <w:spacing w:before="60" w:after="60"/>
        <w:rPr>
          <w:color w:val="000000"/>
          <w:sz w:val="22"/>
          <w:szCs w:val="22"/>
        </w:rPr>
      </w:pPr>
      <w:r w:rsidRPr="008E2A31">
        <w:rPr>
          <w:color w:val="000000"/>
          <w:sz w:val="22"/>
          <w:szCs w:val="22"/>
        </w:rPr>
        <w:t xml:space="preserve">Her breadth of exposure across the Victorian Public Sector encompasses a number of departmental and </w:t>
      </w:r>
      <w:proofErr w:type="spellStart"/>
      <w:r w:rsidRPr="008E2A31">
        <w:rPr>
          <w:color w:val="000000"/>
          <w:sz w:val="22"/>
          <w:szCs w:val="22"/>
        </w:rPr>
        <w:t>organisational</w:t>
      </w:r>
      <w:proofErr w:type="spellEnd"/>
      <w:r w:rsidRPr="008E2A31">
        <w:rPr>
          <w:color w:val="000000"/>
          <w:sz w:val="22"/>
          <w:szCs w:val="22"/>
        </w:rPr>
        <w:t xml:space="preserve"> restructures and strategic operational reviews. She has developed business cases and funding submissions across a broad range of VPS projects and regularly advises on commercial and project governance matters. Deborah has implemented legislation, assisted with major State procurement projects and facilitated diverse strategic and corporate planning sessions across the sector.</w:t>
      </w:r>
    </w:p>
    <w:p w:rsidR="00F456ED" w:rsidRPr="00EF3D64" w:rsidRDefault="00EF3D64" w:rsidP="00EF3D64">
      <w:pPr>
        <w:pStyle w:val="NormalWeb"/>
        <w:spacing w:before="60" w:after="60"/>
        <w:rPr>
          <w:color w:val="000000"/>
          <w:sz w:val="22"/>
          <w:szCs w:val="22"/>
        </w:rPr>
      </w:pPr>
      <w:r w:rsidRPr="00EF3D64">
        <w:rPr>
          <w:color w:val="000000"/>
          <w:sz w:val="22"/>
          <w:szCs w:val="22"/>
        </w:rPr>
        <w:t xml:space="preserve">Deborah is a Gateway and Investment Logic Mapping practitioner and a </w:t>
      </w:r>
      <w:r w:rsidR="008F499A" w:rsidRPr="00EF3D64">
        <w:rPr>
          <w:color w:val="000000"/>
          <w:sz w:val="22"/>
          <w:szCs w:val="22"/>
        </w:rPr>
        <w:t xml:space="preserve">competent facilitator </w:t>
      </w:r>
      <w:r w:rsidR="008E2A31">
        <w:rPr>
          <w:color w:val="000000"/>
          <w:sz w:val="22"/>
          <w:szCs w:val="22"/>
        </w:rPr>
        <w:t>assisting her clients bring clarity to often complex investment decisions.</w:t>
      </w:r>
    </w:p>
    <w:p w:rsidR="00E50972" w:rsidRPr="00AA2DA9" w:rsidRDefault="008F499A" w:rsidP="00EF3D64">
      <w:pPr>
        <w:pStyle w:val="Heading1"/>
        <w:rPr>
          <w:rFonts w:ascii="Arial" w:hAnsi="Arial" w:cs="Arial"/>
          <w:b w:val="0"/>
          <w:bCs w:val="0"/>
          <w:color w:val="FF0000"/>
        </w:rPr>
      </w:pPr>
      <w:r w:rsidRPr="00AA2DA9">
        <w:rPr>
          <w:rFonts w:ascii="Arial" w:hAnsi="Arial" w:cs="Arial"/>
          <w:b w:val="0"/>
          <w:bCs w:val="0"/>
          <w:color w:val="FF0000"/>
        </w:rPr>
        <w:t xml:space="preserve">About Investment Management </w:t>
      </w:r>
    </w:p>
    <w:p w:rsidR="001C0F2B" w:rsidRPr="00EF3D64" w:rsidRDefault="001B06A1" w:rsidP="00EF3D64">
      <w:pPr>
        <w:pStyle w:val="NormalWeb"/>
        <w:spacing w:before="60" w:after="60"/>
        <w:rPr>
          <w:color w:val="000000"/>
          <w:sz w:val="22"/>
          <w:szCs w:val="22"/>
        </w:rPr>
      </w:pPr>
      <w:r w:rsidRPr="00EF3D64">
        <w:rPr>
          <w:color w:val="000000"/>
          <w:sz w:val="22"/>
          <w:szCs w:val="22"/>
        </w:rPr>
        <w:t xml:space="preserve">The Investment Management Standard (IMS) is a collection of simple, commonsense ideas and practices that help </w:t>
      </w:r>
      <w:proofErr w:type="spellStart"/>
      <w:r w:rsidRPr="00EF3D64">
        <w:rPr>
          <w:color w:val="000000"/>
          <w:sz w:val="22"/>
          <w:szCs w:val="22"/>
        </w:rPr>
        <w:t>organisation</w:t>
      </w:r>
      <w:proofErr w:type="spellEnd"/>
      <w:r w:rsidRPr="00EF3D64">
        <w:rPr>
          <w:color w:val="000000"/>
          <w:sz w:val="22"/>
          <w:szCs w:val="22"/>
        </w:rPr>
        <w:t xml:space="preserve"> to direct resources to deliver the best outcomes.</w:t>
      </w:r>
    </w:p>
    <w:p w:rsidR="001B0F21" w:rsidRPr="00EF3D64" w:rsidRDefault="001B06A1" w:rsidP="00EF3D64">
      <w:pPr>
        <w:pStyle w:val="NormalWeb"/>
        <w:spacing w:before="60" w:after="60"/>
        <w:rPr>
          <w:rFonts w:cstheme="minorHAnsi"/>
          <w:sz w:val="22"/>
          <w:szCs w:val="22"/>
        </w:rPr>
      </w:pPr>
      <w:r w:rsidRPr="00EF3D64">
        <w:rPr>
          <w:color w:val="000000"/>
          <w:sz w:val="22"/>
          <w:szCs w:val="22"/>
        </w:rPr>
        <w:t xml:space="preserve">The standard has been evolving since 2004 as a response to investment practices that were increasingly complex but failed to focus on the real need for an investment or the benefits that would be delivered. Its uses have expanded to the point that it is now a system that can support the primary investment decision-making functions of any </w:t>
      </w:r>
      <w:proofErr w:type="spellStart"/>
      <w:r w:rsidRPr="00EF3D64">
        <w:rPr>
          <w:color w:val="000000"/>
          <w:sz w:val="22"/>
          <w:szCs w:val="22"/>
        </w:rPr>
        <w:t>organisation</w:t>
      </w:r>
      <w:proofErr w:type="spellEnd"/>
      <w:r w:rsidRPr="00EF3D64">
        <w:rPr>
          <w:color w:val="000000"/>
          <w:sz w:val="22"/>
          <w:szCs w:val="22"/>
        </w:rPr>
        <w:t xml:space="preserve"> on multiple levels, from a decision about a single investment initiative to whole-of-</w:t>
      </w:r>
      <w:proofErr w:type="spellStart"/>
      <w:r w:rsidRPr="00EF3D64">
        <w:rPr>
          <w:color w:val="000000"/>
          <w:sz w:val="22"/>
          <w:szCs w:val="22"/>
        </w:rPr>
        <w:t>organisation</w:t>
      </w:r>
      <w:proofErr w:type="spellEnd"/>
      <w:r w:rsidRPr="00EF3D64">
        <w:rPr>
          <w:color w:val="000000"/>
          <w:sz w:val="22"/>
          <w:szCs w:val="22"/>
        </w:rPr>
        <w:t xml:space="preserve"> decisions that refocu</w:t>
      </w:r>
      <w:r w:rsidR="001C0F2B" w:rsidRPr="00EF3D64">
        <w:rPr>
          <w:color w:val="000000"/>
          <w:sz w:val="22"/>
          <w:szCs w:val="22"/>
        </w:rPr>
        <w:t xml:space="preserve">s the </w:t>
      </w:r>
      <w:proofErr w:type="spellStart"/>
      <w:r w:rsidR="001C0F2B" w:rsidRPr="00EF3D64">
        <w:rPr>
          <w:color w:val="000000"/>
          <w:sz w:val="22"/>
          <w:szCs w:val="22"/>
        </w:rPr>
        <w:t>organisation’s</w:t>
      </w:r>
      <w:proofErr w:type="spellEnd"/>
      <w:r w:rsidR="001C0F2B" w:rsidRPr="00EF3D64">
        <w:rPr>
          <w:color w:val="000000"/>
          <w:sz w:val="22"/>
          <w:szCs w:val="22"/>
        </w:rPr>
        <w:t xml:space="preserve"> direction. </w:t>
      </w:r>
      <w:r w:rsidR="00F608FD" w:rsidRPr="00EF3D64">
        <w:rPr>
          <w:color w:val="000000"/>
          <w:sz w:val="22"/>
          <w:szCs w:val="22"/>
        </w:rPr>
        <w:t xml:space="preserve">For more information on </w:t>
      </w:r>
      <w:r w:rsidR="00022B3F" w:rsidRPr="00EF3D64">
        <w:rPr>
          <w:color w:val="000000"/>
          <w:sz w:val="22"/>
          <w:szCs w:val="22"/>
        </w:rPr>
        <w:t>how</w:t>
      </w:r>
      <w:r w:rsidR="00751BCF" w:rsidRPr="00EF3D64">
        <w:rPr>
          <w:color w:val="000000"/>
          <w:sz w:val="22"/>
          <w:szCs w:val="22"/>
        </w:rPr>
        <w:t xml:space="preserve"> IMS can be used to </w:t>
      </w:r>
      <w:r w:rsidRPr="00EF3D64">
        <w:rPr>
          <w:color w:val="000000"/>
          <w:sz w:val="22"/>
          <w:szCs w:val="22"/>
        </w:rPr>
        <w:t>aid</w:t>
      </w:r>
      <w:r w:rsidR="00751BCF" w:rsidRPr="00EF3D64">
        <w:rPr>
          <w:color w:val="000000"/>
          <w:sz w:val="22"/>
          <w:szCs w:val="22"/>
        </w:rPr>
        <w:t xml:space="preserve"> your </w:t>
      </w:r>
      <w:proofErr w:type="spellStart"/>
      <w:r w:rsidR="00751BCF" w:rsidRPr="00EF3D64">
        <w:rPr>
          <w:color w:val="000000"/>
          <w:sz w:val="22"/>
          <w:szCs w:val="22"/>
        </w:rPr>
        <w:t>organisation</w:t>
      </w:r>
      <w:proofErr w:type="spellEnd"/>
      <w:r w:rsidR="00F608FD" w:rsidRPr="00EF3D64">
        <w:rPr>
          <w:color w:val="000000"/>
          <w:sz w:val="22"/>
          <w:szCs w:val="22"/>
        </w:rPr>
        <w:t xml:space="preserve"> </w:t>
      </w:r>
      <w:r w:rsidR="005A4434" w:rsidRPr="00EF3D64">
        <w:rPr>
          <w:color w:val="000000"/>
          <w:sz w:val="22"/>
          <w:szCs w:val="22"/>
        </w:rPr>
        <w:t>go to</w:t>
      </w:r>
      <w:r w:rsidR="00EF3D64" w:rsidRPr="00EF3D64">
        <w:rPr>
          <w:rFonts w:cstheme="minorHAnsi"/>
          <w:sz w:val="22"/>
          <w:szCs w:val="22"/>
        </w:rPr>
        <w:t xml:space="preserve"> </w:t>
      </w:r>
      <w:hyperlink r:id="rId8" w:history="1">
        <w:r w:rsidR="00EF3D64" w:rsidRPr="00EF3D64">
          <w:rPr>
            <w:rStyle w:val="Hyperlink"/>
            <w:rFonts w:cstheme="minorHAnsi"/>
            <w:sz w:val="22"/>
            <w:szCs w:val="22"/>
          </w:rPr>
          <w:t>www.dtf.vic.gov/investmentmanagement</w:t>
        </w:r>
      </w:hyperlink>
      <w:r w:rsidR="00022B3F" w:rsidRPr="00EF3D64">
        <w:rPr>
          <w:rFonts w:cstheme="minorHAnsi"/>
          <w:sz w:val="22"/>
          <w:szCs w:val="22"/>
        </w:rPr>
        <w:t>.</w:t>
      </w:r>
      <w:r w:rsidR="005A4434" w:rsidRPr="00EF3D64">
        <w:rPr>
          <w:rFonts w:cstheme="minorHAnsi"/>
          <w:sz w:val="22"/>
          <w:szCs w:val="22"/>
        </w:rPr>
        <w:t xml:space="preserve"> </w:t>
      </w:r>
    </w:p>
    <w:p w:rsidR="00BC4B0C" w:rsidRDefault="00BC4B0C">
      <w:pPr>
        <w:rPr>
          <w:rFonts w:ascii="Arial" w:eastAsiaTheme="majorEastAsia" w:hAnsi="Arial" w:cs="Arial"/>
          <w:b/>
          <w:bCs/>
          <w:color w:val="365F91" w:themeColor="accent1" w:themeShade="BF"/>
          <w:sz w:val="28"/>
          <w:szCs w:val="28"/>
        </w:rPr>
      </w:pPr>
      <w:r>
        <w:rPr>
          <w:rFonts w:ascii="Arial" w:hAnsi="Arial" w:cs="Arial"/>
        </w:rPr>
        <w:br w:type="page"/>
      </w:r>
    </w:p>
    <w:p w:rsidR="00A919FC" w:rsidRPr="00AA2DA9" w:rsidRDefault="00A0042A" w:rsidP="00EF3D64">
      <w:pPr>
        <w:pStyle w:val="Heading1"/>
        <w:rPr>
          <w:rFonts w:ascii="Arial" w:hAnsi="Arial" w:cs="Arial"/>
          <w:b w:val="0"/>
          <w:bCs w:val="0"/>
          <w:color w:val="FF0000"/>
        </w:rPr>
      </w:pPr>
      <w:r w:rsidRPr="00AA2DA9">
        <w:rPr>
          <w:rFonts w:ascii="Arial" w:hAnsi="Arial" w:cs="Arial"/>
          <w:b w:val="0"/>
          <w:bCs w:val="0"/>
          <w:color w:val="FF0000"/>
        </w:rPr>
        <w:lastRenderedPageBreak/>
        <w:t>Costs</w:t>
      </w:r>
    </w:p>
    <w:p w:rsidR="001B06A1" w:rsidRPr="00EF3D64" w:rsidRDefault="000327B6" w:rsidP="00EF3D64">
      <w:pPr>
        <w:pStyle w:val="NormalWeb"/>
        <w:spacing w:before="60" w:after="60"/>
        <w:rPr>
          <w:sz w:val="22"/>
          <w:szCs w:val="22"/>
        </w:rPr>
      </w:pPr>
      <w:r w:rsidRPr="00EF3D64">
        <w:rPr>
          <w:b/>
          <w:sz w:val="22"/>
          <w:szCs w:val="22"/>
        </w:rPr>
        <w:t>Note:</w:t>
      </w:r>
      <w:r w:rsidRPr="00EF3D64">
        <w:rPr>
          <w:sz w:val="22"/>
          <w:szCs w:val="22"/>
        </w:rPr>
        <w:t xml:space="preserve"> As part of the engagement you might choose to do one or all workshop for the particular </w:t>
      </w:r>
      <w:proofErr w:type="spellStart"/>
      <w:r w:rsidRPr="00EF3D64">
        <w:rPr>
          <w:sz w:val="22"/>
          <w:szCs w:val="22"/>
        </w:rPr>
        <w:t>practise</w:t>
      </w:r>
      <w:proofErr w:type="spellEnd"/>
      <w:r w:rsidRPr="00EF3D64">
        <w:rPr>
          <w:b/>
          <w:sz w:val="22"/>
          <w:szCs w:val="22"/>
        </w:rPr>
        <w:t xml:space="preserve">. </w:t>
      </w:r>
      <w:r w:rsidRPr="00EF3D64">
        <w:rPr>
          <w:sz w:val="22"/>
          <w:szCs w:val="22"/>
        </w:rPr>
        <w:t>Consult the facilitator and make yourself familiar with</w:t>
      </w:r>
      <w:r w:rsidR="001B06A1" w:rsidRPr="00EF3D64">
        <w:rPr>
          <w:sz w:val="22"/>
          <w:szCs w:val="22"/>
        </w:rPr>
        <w:t xml:space="preserve"> </w:t>
      </w:r>
      <w:r w:rsidR="00F50F1A" w:rsidRPr="00EF3D64">
        <w:rPr>
          <w:sz w:val="22"/>
          <w:szCs w:val="22"/>
        </w:rPr>
        <w:t xml:space="preserve">the </w:t>
      </w:r>
      <w:hyperlink r:id="rId9" w:history="1">
        <w:r w:rsidR="00F50F1A" w:rsidRPr="00EF3D64">
          <w:rPr>
            <w:rStyle w:val="Hyperlink"/>
            <w:sz w:val="22"/>
            <w:szCs w:val="22"/>
          </w:rPr>
          <w:t xml:space="preserve">investment management </w:t>
        </w:r>
        <w:proofErr w:type="spellStart"/>
        <w:r w:rsidR="00BC4B0C">
          <w:rPr>
            <w:rStyle w:val="Hyperlink"/>
            <w:sz w:val="22"/>
            <w:szCs w:val="22"/>
          </w:rPr>
          <w:t>practis</w:t>
        </w:r>
        <w:r w:rsidR="00BC4B0C" w:rsidRPr="00EF3D64">
          <w:rPr>
            <w:rStyle w:val="Hyperlink"/>
            <w:sz w:val="22"/>
            <w:szCs w:val="22"/>
          </w:rPr>
          <w:t>es</w:t>
        </w:r>
        <w:proofErr w:type="spellEnd"/>
      </w:hyperlink>
      <w:r w:rsidR="001B06A1" w:rsidRPr="00EF3D64">
        <w:rPr>
          <w:sz w:val="22"/>
          <w:szCs w:val="22"/>
        </w:rPr>
        <w:t>.</w:t>
      </w:r>
      <w:r w:rsidR="001C0F2B" w:rsidRPr="00EF3D64">
        <w:rPr>
          <w:sz w:val="22"/>
          <w:szCs w:val="22"/>
        </w:rPr>
        <w:t xml:space="preserve"> </w:t>
      </w:r>
      <w:r w:rsidRPr="00EF3D64">
        <w:rPr>
          <w:sz w:val="22"/>
          <w:szCs w:val="22"/>
        </w:rPr>
        <w:t xml:space="preserve">If any prior IMS workshops have been developed on your investment make sure you inform the facilitator. </w:t>
      </w:r>
    </w:p>
    <w:tbl>
      <w:tblPr>
        <w:tblStyle w:val="TableGrid"/>
        <w:tblW w:w="5000" w:type="pct"/>
        <w:tblLook w:val="04A0" w:firstRow="1" w:lastRow="0" w:firstColumn="1" w:lastColumn="0" w:noHBand="0" w:noVBand="1"/>
      </w:tblPr>
      <w:tblGrid>
        <w:gridCol w:w="5753"/>
        <w:gridCol w:w="1744"/>
        <w:gridCol w:w="1745"/>
      </w:tblGrid>
      <w:tr w:rsidR="001C0F2B" w:rsidRPr="00EF3D64" w:rsidTr="00F56981">
        <w:trPr>
          <w:trHeight w:val="185"/>
        </w:trPr>
        <w:tc>
          <w:tcPr>
            <w:tcW w:w="5753" w:type="dxa"/>
            <w:vMerge w:val="restart"/>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Service</w:t>
            </w:r>
          </w:p>
        </w:tc>
        <w:tc>
          <w:tcPr>
            <w:tcW w:w="3489" w:type="dxa"/>
            <w:gridSpan w:val="2"/>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Cost (</w:t>
            </w:r>
            <w:proofErr w:type="spellStart"/>
            <w:r w:rsidRPr="00EF3D64">
              <w:rPr>
                <w:rFonts w:ascii="Arial" w:hAnsi="Arial" w:cs="Arial"/>
                <w:sz w:val="22"/>
                <w:szCs w:val="22"/>
              </w:rPr>
              <w:t>inc.</w:t>
            </w:r>
            <w:proofErr w:type="spellEnd"/>
            <w:r w:rsidRPr="00EF3D64">
              <w:rPr>
                <w:rFonts w:ascii="Arial" w:hAnsi="Arial" w:cs="Arial"/>
                <w:sz w:val="22"/>
                <w:szCs w:val="22"/>
              </w:rPr>
              <w:t xml:space="preserve"> GST)</w:t>
            </w:r>
          </w:p>
        </w:tc>
      </w:tr>
      <w:tr w:rsidR="001C0F2B" w:rsidRPr="00EF3D64" w:rsidTr="00F56981">
        <w:trPr>
          <w:trHeight w:val="185"/>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Per Workshop</w:t>
            </w:r>
          </w:p>
        </w:tc>
        <w:tc>
          <w:tcPr>
            <w:tcW w:w="1745" w:type="dxa"/>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Package</w:t>
            </w:r>
          </w:p>
        </w:tc>
      </w:tr>
      <w:tr w:rsidR="001C0F2B" w:rsidRPr="00EF3D64" w:rsidTr="00F56981">
        <w:tc>
          <w:tcPr>
            <w:tcW w:w="9242" w:type="dxa"/>
            <w:gridSpan w:val="3"/>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 xml:space="preserve">Shape new Investments </w:t>
            </w:r>
          </w:p>
        </w:tc>
      </w:tr>
      <w:tr w:rsidR="001C0F2B" w:rsidRPr="00EF3D64" w:rsidTr="00F56981">
        <w:trPr>
          <w:trHeight w:val="184"/>
        </w:trPr>
        <w:tc>
          <w:tcPr>
            <w:tcW w:w="5753" w:type="dxa"/>
            <w:vMerge w:val="restart"/>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Problem Definition</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Benefit Definition</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Strategic Response</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Solution Definition</w:t>
            </w:r>
          </w:p>
        </w:tc>
        <w:tc>
          <w:tcPr>
            <w:tcW w:w="1744" w:type="dxa"/>
          </w:tcPr>
          <w:p w:rsidR="001C0F2B" w:rsidRPr="00EF3D64" w:rsidRDefault="001C0F2B" w:rsidP="00D958C3">
            <w:pPr>
              <w:pStyle w:val="TableText"/>
              <w:rPr>
                <w:rFonts w:ascii="Arial" w:hAnsi="Arial" w:cs="Arial"/>
                <w:sz w:val="22"/>
                <w:szCs w:val="22"/>
              </w:rPr>
            </w:pPr>
            <w:r w:rsidRPr="00EF3D64">
              <w:rPr>
                <w:rFonts w:ascii="Arial" w:hAnsi="Arial" w:cs="Arial"/>
                <w:sz w:val="22"/>
                <w:szCs w:val="22"/>
              </w:rPr>
              <w:t>$</w:t>
            </w:r>
            <w:r w:rsidR="00D958C3">
              <w:rPr>
                <w:rFonts w:ascii="Arial" w:hAnsi="Arial" w:cs="Arial"/>
                <w:sz w:val="22"/>
                <w:szCs w:val="22"/>
              </w:rPr>
              <w:t>1,650</w:t>
            </w:r>
          </w:p>
        </w:tc>
        <w:tc>
          <w:tcPr>
            <w:tcW w:w="1745" w:type="dxa"/>
            <w:vMerge w:val="restart"/>
            <w:vAlign w:val="center"/>
          </w:tcPr>
          <w:p w:rsidR="001C0F2B" w:rsidRPr="00EF3D64" w:rsidRDefault="001C0F2B" w:rsidP="00721DDD">
            <w:pPr>
              <w:pStyle w:val="TableText"/>
              <w:rPr>
                <w:rFonts w:ascii="Arial" w:hAnsi="Arial" w:cs="Arial"/>
                <w:sz w:val="22"/>
                <w:szCs w:val="22"/>
              </w:rPr>
            </w:pPr>
            <w:r w:rsidRPr="00EF3D64">
              <w:rPr>
                <w:rFonts w:ascii="Arial" w:hAnsi="Arial" w:cs="Arial"/>
                <w:sz w:val="22"/>
                <w:szCs w:val="22"/>
              </w:rPr>
              <w:t>$</w:t>
            </w:r>
            <w:r w:rsidR="00721DDD">
              <w:rPr>
                <w:rFonts w:ascii="Arial" w:hAnsi="Arial" w:cs="Arial"/>
                <w:sz w:val="22"/>
                <w:szCs w:val="22"/>
              </w:rPr>
              <w:t>6,000</w:t>
            </w:r>
          </w:p>
        </w:tc>
      </w:tr>
      <w:tr w:rsidR="001C0F2B" w:rsidRPr="00EF3D64" w:rsidTr="00F56981">
        <w:trPr>
          <w:trHeight w:val="182"/>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D958C3" w:rsidP="000579AF">
            <w:pPr>
              <w:pStyle w:val="TableText"/>
              <w:rPr>
                <w:rFonts w:ascii="Arial" w:hAnsi="Arial" w:cs="Arial"/>
                <w:sz w:val="22"/>
                <w:szCs w:val="22"/>
              </w:rPr>
            </w:pPr>
            <w:r>
              <w:rPr>
                <w:rFonts w:ascii="Arial" w:hAnsi="Arial" w:cs="Arial"/>
                <w:sz w:val="22"/>
                <w:szCs w:val="22"/>
              </w:rPr>
              <w:t>$1,650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rPr>
          <w:trHeight w:val="182"/>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721DDD" w:rsidP="000579AF">
            <w:pPr>
              <w:pStyle w:val="TableText"/>
              <w:rPr>
                <w:rFonts w:ascii="Arial" w:hAnsi="Arial" w:cs="Arial"/>
                <w:sz w:val="22"/>
                <w:szCs w:val="22"/>
              </w:rPr>
            </w:pPr>
            <w:r>
              <w:rPr>
                <w:rFonts w:ascii="Arial" w:hAnsi="Arial" w:cs="Arial"/>
                <w:sz w:val="22"/>
                <w:szCs w:val="22"/>
              </w:rPr>
              <w:t>$1,650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rPr>
          <w:trHeight w:val="182"/>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721DDD" w:rsidP="000579AF">
            <w:pPr>
              <w:pStyle w:val="TableText"/>
              <w:rPr>
                <w:rFonts w:ascii="Arial" w:hAnsi="Arial" w:cs="Arial"/>
                <w:sz w:val="22"/>
                <w:szCs w:val="22"/>
              </w:rPr>
            </w:pPr>
            <w:r>
              <w:rPr>
                <w:rFonts w:ascii="Arial" w:hAnsi="Arial" w:cs="Arial"/>
                <w:sz w:val="22"/>
                <w:szCs w:val="22"/>
              </w:rPr>
              <w:t>$1,650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c>
          <w:tcPr>
            <w:tcW w:w="9242" w:type="dxa"/>
            <w:gridSpan w:val="3"/>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Prioritise investment proposals</w:t>
            </w:r>
            <w:r w:rsidRPr="00EF3D64">
              <w:rPr>
                <w:rFonts w:ascii="Arial" w:hAnsi="Arial" w:cs="Arial"/>
                <w:color w:val="0000FF"/>
                <w:sz w:val="22"/>
                <w:szCs w:val="22"/>
                <w:u w:val="single"/>
                <w:lang w:eastAsia="en-AU"/>
              </w:rPr>
              <w:t xml:space="preserve"> </w:t>
            </w:r>
          </w:p>
        </w:tc>
      </w:tr>
      <w:tr w:rsidR="001C0F2B" w:rsidRPr="00EF3D64" w:rsidTr="00F56981">
        <w:trPr>
          <w:trHeight w:val="184"/>
        </w:trPr>
        <w:tc>
          <w:tcPr>
            <w:tcW w:w="5753" w:type="dxa"/>
            <w:vMerge w:val="restart"/>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Problem Definition (Program)</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Benefit definition (Program)</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Strategic Response</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Solution Definition (Program)</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Investment Prioritisation (Optional)</w:t>
            </w:r>
          </w:p>
        </w:tc>
        <w:tc>
          <w:tcPr>
            <w:tcW w:w="1744" w:type="dxa"/>
          </w:tcPr>
          <w:p w:rsidR="001C0F2B" w:rsidRPr="00EF3D64" w:rsidRDefault="001C0F2B" w:rsidP="00721DDD">
            <w:pPr>
              <w:pStyle w:val="TableText"/>
              <w:rPr>
                <w:rFonts w:ascii="Arial" w:hAnsi="Arial" w:cs="Arial"/>
                <w:sz w:val="22"/>
                <w:szCs w:val="22"/>
              </w:rPr>
            </w:pPr>
            <w:r w:rsidRPr="00EF3D64">
              <w:rPr>
                <w:rFonts w:ascii="Arial" w:hAnsi="Arial" w:cs="Arial"/>
                <w:sz w:val="22"/>
                <w:szCs w:val="22"/>
              </w:rPr>
              <w:t>$</w:t>
            </w:r>
            <w:r w:rsidR="00721DDD">
              <w:rPr>
                <w:rFonts w:ascii="Arial" w:hAnsi="Arial" w:cs="Arial"/>
                <w:sz w:val="22"/>
                <w:szCs w:val="22"/>
              </w:rPr>
              <w:t>1,650</w:t>
            </w:r>
          </w:p>
        </w:tc>
        <w:tc>
          <w:tcPr>
            <w:tcW w:w="1745" w:type="dxa"/>
            <w:vMerge w:val="restart"/>
            <w:vAlign w:val="center"/>
          </w:tcPr>
          <w:p w:rsidR="001C0F2B" w:rsidRPr="00EF3D64" w:rsidRDefault="00721DDD" w:rsidP="000579AF">
            <w:pPr>
              <w:pStyle w:val="TableText"/>
              <w:rPr>
                <w:rFonts w:ascii="Arial" w:hAnsi="Arial" w:cs="Arial"/>
                <w:sz w:val="22"/>
                <w:szCs w:val="22"/>
              </w:rPr>
            </w:pPr>
            <w:r>
              <w:rPr>
                <w:rFonts w:ascii="Arial" w:hAnsi="Arial" w:cs="Arial"/>
                <w:sz w:val="22"/>
                <w:szCs w:val="22"/>
              </w:rPr>
              <w:t>$8,000</w:t>
            </w:r>
          </w:p>
        </w:tc>
      </w:tr>
      <w:tr w:rsidR="001C0F2B" w:rsidRPr="00EF3D64" w:rsidTr="00F56981">
        <w:trPr>
          <w:trHeight w:val="184"/>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721DDD" w:rsidP="000579AF">
            <w:pPr>
              <w:pStyle w:val="TableText"/>
              <w:rPr>
                <w:rFonts w:ascii="Arial" w:hAnsi="Arial" w:cs="Arial"/>
                <w:sz w:val="22"/>
                <w:szCs w:val="22"/>
              </w:rPr>
            </w:pPr>
            <w:r>
              <w:rPr>
                <w:rFonts w:ascii="Arial" w:hAnsi="Arial" w:cs="Arial"/>
                <w:sz w:val="22"/>
                <w:szCs w:val="22"/>
              </w:rPr>
              <w:t>$1,650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rPr>
          <w:trHeight w:val="184"/>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721DDD" w:rsidP="000579AF">
            <w:pPr>
              <w:pStyle w:val="TableText"/>
              <w:rPr>
                <w:rFonts w:ascii="Arial" w:hAnsi="Arial" w:cs="Arial"/>
                <w:sz w:val="22"/>
                <w:szCs w:val="22"/>
              </w:rPr>
            </w:pPr>
            <w:r>
              <w:rPr>
                <w:rFonts w:ascii="Arial" w:hAnsi="Arial" w:cs="Arial"/>
                <w:sz w:val="22"/>
                <w:szCs w:val="22"/>
              </w:rPr>
              <w:t>$1,750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rPr>
          <w:trHeight w:val="184"/>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721DDD" w:rsidP="000579AF">
            <w:pPr>
              <w:pStyle w:val="TableText"/>
              <w:rPr>
                <w:rFonts w:ascii="Arial" w:hAnsi="Arial" w:cs="Arial"/>
                <w:sz w:val="22"/>
                <w:szCs w:val="22"/>
              </w:rPr>
            </w:pPr>
            <w:r>
              <w:rPr>
                <w:rFonts w:ascii="Arial" w:hAnsi="Arial" w:cs="Arial"/>
                <w:sz w:val="22"/>
                <w:szCs w:val="22"/>
              </w:rPr>
              <w:t>$1,650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rPr>
          <w:trHeight w:val="184"/>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721DDD" w:rsidP="000579AF">
            <w:pPr>
              <w:pStyle w:val="TableText"/>
              <w:rPr>
                <w:rFonts w:ascii="Arial" w:hAnsi="Arial" w:cs="Arial"/>
                <w:sz w:val="22"/>
                <w:szCs w:val="22"/>
              </w:rPr>
            </w:pPr>
            <w:r>
              <w:rPr>
                <w:rFonts w:ascii="Arial" w:hAnsi="Arial" w:cs="Arial"/>
                <w:sz w:val="22"/>
                <w:szCs w:val="22"/>
              </w:rPr>
              <w:t>$1,750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c>
          <w:tcPr>
            <w:tcW w:w="9242" w:type="dxa"/>
            <w:gridSpan w:val="3"/>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Develop new policy</w:t>
            </w:r>
          </w:p>
        </w:tc>
      </w:tr>
      <w:tr w:rsidR="00721DDD" w:rsidRPr="00EF3D64" w:rsidTr="00F56981">
        <w:trPr>
          <w:trHeight w:val="184"/>
        </w:trPr>
        <w:tc>
          <w:tcPr>
            <w:tcW w:w="5753" w:type="dxa"/>
            <w:vMerge w:val="restart"/>
          </w:tcPr>
          <w:p w:rsidR="00721DDD" w:rsidRPr="00EF3D64" w:rsidRDefault="00721DDD" w:rsidP="000579AF">
            <w:pPr>
              <w:pStyle w:val="TableText"/>
              <w:rPr>
                <w:rFonts w:ascii="Arial" w:hAnsi="Arial" w:cs="Arial"/>
                <w:sz w:val="22"/>
                <w:szCs w:val="22"/>
              </w:rPr>
            </w:pPr>
            <w:r w:rsidRPr="00EF3D64">
              <w:rPr>
                <w:rFonts w:ascii="Arial" w:hAnsi="Arial" w:cs="Arial"/>
                <w:sz w:val="22"/>
                <w:szCs w:val="22"/>
              </w:rPr>
              <w:t>Problem Definition (Program)</w:t>
            </w:r>
          </w:p>
          <w:p w:rsidR="00721DDD" w:rsidRPr="00EF3D64" w:rsidRDefault="00721DDD" w:rsidP="000579AF">
            <w:pPr>
              <w:pStyle w:val="TableText"/>
              <w:rPr>
                <w:rFonts w:ascii="Arial" w:hAnsi="Arial" w:cs="Arial"/>
                <w:sz w:val="22"/>
                <w:szCs w:val="22"/>
              </w:rPr>
            </w:pPr>
            <w:r w:rsidRPr="00EF3D64">
              <w:rPr>
                <w:rFonts w:ascii="Arial" w:hAnsi="Arial" w:cs="Arial"/>
                <w:sz w:val="22"/>
                <w:szCs w:val="22"/>
              </w:rPr>
              <w:t>Benefit definition (Program)</w:t>
            </w:r>
          </w:p>
          <w:p w:rsidR="00721DDD" w:rsidRPr="00EF3D64" w:rsidRDefault="00721DDD" w:rsidP="000579AF">
            <w:pPr>
              <w:pStyle w:val="TableText"/>
              <w:rPr>
                <w:rFonts w:ascii="Arial" w:hAnsi="Arial" w:cs="Arial"/>
                <w:sz w:val="22"/>
                <w:szCs w:val="22"/>
              </w:rPr>
            </w:pPr>
            <w:r w:rsidRPr="00EF3D64">
              <w:rPr>
                <w:rFonts w:ascii="Arial" w:hAnsi="Arial" w:cs="Arial"/>
                <w:sz w:val="22"/>
                <w:szCs w:val="22"/>
              </w:rPr>
              <w:t>Strategic Response</w:t>
            </w:r>
          </w:p>
          <w:p w:rsidR="00721DDD" w:rsidRPr="00EF3D64" w:rsidRDefault="00721DDD" w:rsidP="000579AF">
            <w:pPr>
              <w:pStyle w:val="TableText"/>
              <w:rPr>
                <w:rFonts w:ascii="Arial" w:hAnsi="Arial" w:cs="Arial"/>
                <w:sz w:val="22"/>
                <w:szCs w:val="22"/>
              </w:rPr>
            </w:pPr>
            <w:r w:rsidRPr="00EF3D64">
              <w:rPr>
                <w:rFonts w:ascii="Arial" w:hAnsi="Arial" w:cs="Arial"/>
                <w:sz w:val="22"/>
                <w:szCs w:val="22"/>
              </w:rPr>
              <w:t>Solution Definition (Program)</w:t>
            </w:r>
          </w:p>
        </w:tc>
        <w:tc>
          <w:tcPr>
            <w:tcW w:w="1744" w:type="dxa"/>
          </w:tcPr>
          <w:p w:rsidR="00721DDD" w:rsidRPr="00EF3D64" w:rsidRDefault="00721DDD" w:rsidP="00721DDD">
            <w:pPr>
              <w:pStyle w:val="TableText"/>
              <w:rPr>
                <w:rFonts w:ascii="Arial" w:hAnsi="Arial" w:cs="Arial"/>
                <w:sz w:val="22"/>
                <w:szCs w:val="22"/>
              </w:rPr>
            </w:pPr>
            <w:r w:rsidRPr="00EF3D64">
              <w:rPr>
                <w:rFonts w:ascii="Arial" w:hAnsi="Arial" w:cs="Arial"/>
                <w:sz w:val="22"/>
                <w:szCs w:val="22"/>
              </w:rPr>
              <w:t>$</w:t>
            </w:r>
            <w:r>
              <w:rPr>
                <w:rFonts w:ascii="Arial" w:hAnsi="Arial" w:cs="Arial"/>
                <w:sz w:val="22"/>
                <w:szCs w:val="22"/>
              </w:rPr>
              <w:t>1,650</w:t>
            </w:r>
          </w:p>
        </w:tc>
        <w:tc>
          <w:tcPr>
            <w:tcW w:w="1745" w:type="dxa"/>
            <w:vMerge w:val="restart"/>
            <w:vAlign w:val="center"/>
          </w:tcPr>
          <w:p w:rsidR="00721DDD" w:rsidRPr="00EF3D64" w:rsidRDefault="00721DDD" w:rsidP="00721DDD">
            <w:pPr>
              <w:pStyle w:val="TableText"/>
              <w:rPr>
                <w:rFonts w:ascii="Arial" w:hAnsi="Arial" w:cs="Arial"/>
                <w:sz w:val="22"/>
                <w:szCs w:val="22"/>
              </w:rPr>
            </w:pPr>
            <w:r w:rsidRPr="00EF3D64">
              <w:rPr>
                <w:rFonts w:ascii="Arial" w:hAnsi="Arial" w:cs="Arial"/>
                <w:sz w:val="22"/>
                <w:szCs w:val="22"/>
              </w:rPr>
              <w:t>$</w:t>
            </w:r>
            <w:r>
              <w:rPr>
                <w:rFonts w:ascii="Arial" w:hAnsi="Arial" w:cs="Arial"/>
                <w:sz w:val="22"/>
                <w:szCs w:val="22"/>
              </w:rPr>
              <w:t>6,000</w:t>
            </w:r>
          </w:p>
        </w:tc>
      </w:tr>
      <w:tr w:rsidR="00721DDD" w:rsidRPr="00EF3D64" w:rsidTr="00F56981">
        <w:trPr>
          <w:trHeight w:val="182"/>
        </w:trPr>
        <w:tc>
          <w:tcPr>
            <w:tcW w:w="5753" w:type="dxa"/>
            <w:vMerge/>
          </w:tcPr>
          <w:p w:rsidR="00721DDD" w:rsidRPr="00EF3D64" w:rsidRDefault="00721DDD" w:rsidP="000579AF">
            <w:pPr>
              <w:pStyle w:val="TableText"/>
              <w:rPr>
                <w:rFonts w:ascii="Arial" w:hAnsi="Arial" w:cs="Arial"/>
                <w:sz w:val="22"/>
                <w:szCs w:val="22"/>
              </w:rPr>
            </w:pPr>
          </w:p>
        </w:tc>
        <w:tc>
          <w:tcPr>
            <w:tcW w:w="1744" w:type="dxa"/>
          </w:tcPr>
          <w:p w:rsidR="00721DDD" w:rsidRPr="00EF3D64" w:rsidRDefault="00721DDD" w:rsidP="00721DDD">
            <w:pPr>
              <w:pStyle w:val="TableText"/>
              <w:rPr>
                <w:rFonts w:ascii="Arial" w:hAnsi="Arial" w:cs="Arial"/>
                <w:sz w:val="22"/>
                <w:szCs w:val="22"/>
              </w:rPr>
            </w:pPr>
            <w:r>
              <w:rPr>
                <w:rFonts w:ascii="Arial" w:hAnsi="Arial" w:cs="Arial"/>
                <w:sz w:val="22"/>
                <w:szCs w:val="22"/>
              </w:rPr>
              <w:t>$1,650</w:t>
            </w:r>
          </w:p>
        </w:tc>
        <w:tc>
          <w:tcPr>
            <w:tcW w:w="1745" w:type="dxa"/>
            <w:vMerge/>
          </w:tcPr>
          <w:p w:rsidR="00721DDD" w:rsidRPr="00EF3D64" w:rsidRDefault="00721DDD" w:rsidP="000579AF">
            <w:pPr>
              <w:pStyle w:val="TableText"/>
              <w:rPr>
                <w:rFonts w:ascii="Arial" w:hAnsi="Arial" w:cs="Arial"/>
                <w:sz w:val="22"/>
                <w:szCs w:val="22"/>
              </w:rPr>
            </w:pPr>
          </w:p>
        </w:tc>
      </w:tr>
      <w:tr w:rsidR="00721DDD" w:rsidRPr="00EF3D64" w:rsidTr="00F56981">
        <w:trPr>
          <w:trHeight w:val="182"/>
        </w:trPr>
        <w:tc>
          <w:tcPr>
            <w:tcW w:w="5753" w:type="dxa"/>
            <w:vMerge/>
          </w:tcPr>
          <w:p w:rsidR="00721DDD" w:rsidRPr="00EF3D64" w:rsidRDefault="00721DDD" w:rsidP="000579AF">
            <w:pPr>
              <w:pStyle w:val="TableText"/>
              <w:rPr>
                <w:rFonts w:ascii="Arial" w:hAnsi="Arial" w:cs="Arial"/>
                <w:sz w:val="22"/>
                <w:szCs w:val="22"/>
              </w:rPr>
            </w:pPr>
          </w:p>
        </w:tc>
        <w:tc>
          <w:tcPr>
            <w:tcW w:w="1744" w:type="dxa"/>
          </w:tcPr>
          <w:p w:rsidR="00721DDD" w:rsidRPr="00EF3D64" w:rsidRDefault="00721DDD" w:rsidP="00721DDD">
            <w:pPr>
              <w:pStyle w:val="TableText"/>
              <w:rPr>
                <w:rFonts w:ascii="Arial" w:hAnsi="Arial" w:cs="Arial"/>
                <w:sz w:val="22"/>
                <w:szCs w:val="22"/>
              </w:rPr>
            </w:pPr>
            <w:r>
              <w:rPr>
                <w:rFonts w:ascii="Arial" w:hAnsi="Arial" w:cs="Arial"/>
                <w:sz w:val="22"/>
                <w:szCs w:val="22"/>
              </w:rPr>
              <w:t>$1,650</w:t>
            </w:r>
          </w:p>
        </w:tc>
        <w:tc>
          <w:tcPr>
            <w:tcW w:w="1745" w:type="dxa"/>
            <w:vMerge/>
          </w:tcPr>
          <w:p w:rsidR="00721DDD" w:rsidRPr="00EF3D64" w:rsidRDefault="00721DDD" w:rsidP="000579AF">
            <w:pPr>
              <w:pStyle w:val="TableText"/>
              <w:rPr>
                <w:rFonts w:ascii="Arial" w:hAnsi="Arial" w:cs="Arial"/>
                <w:sz w:val="22"/>
                <w:szCs w:val="22"/>
              </w:rPr>
            </w:pPr>
          </w:p>
        </w:tc>
      </w:tr>
      <w:tr w:rsidR="00721DDD" w:rsidRPr="00EF3D64" w:rsidTr="00F56981">
        <w:trPr>
          <w:trHeight w:val="182"/>
        </w:trPr>
        <w:tc>
          <w:tcPr>
            <w:tcW w:w="5753" w:type="dxa"/>
            <w:vMerge/>
          </w:tcPr>
          <w:p w:rsidR="00721DDD" w:rsidRPr="00EF3D64" w:rsidRDefault="00721DDD" w:rsidP="000579AF">
            <w:pPr>
              <w:pStyle w:val="TableText"/>
              <w:rPr>
                <w:rFonts w:ascii="Arial" w:hAnsi="Arial" w:cs="Arial"/>
                <w:sz w:val="22"/>
                <w:szCs w:val="22"/>
              </w:rPr>
            </w:pPr>
          </w:p>
        </w:tc>
        <w:tc>
          <w:tcPr>
            <w:tcW w:w="1744" w:type="dxa"/>
          </w:tcPr>
          <w:p w:rsidR="00721DDD" w:rsidRPr="00EF3D64" w:rsidRDefault="00721DDD" w:rsidP="00721DDD">
            <w:pPr>
              <w:pStyle w:val="TableText"/>
              <w:rPr>
                <w:rFonts w:ascii="Arial" w:hAnsi="Arial" w:cs="Arial"/>
                <w:sz w:val="22"/>
                <w:szCs w:val="22"/>
              </w:rPr>
            </w:pPr>
            <w:r>
              <w:rPr>
                <w:rFonts w:ascii="Arial" w:hAnsi="Arial" w:cs="Arial"/>
                <w:sz w:val="22"/>
                <w:szCs w:val="22"/>
              </w:rPr>
              <w:t>$1,650</w:t>
            </w:r>
          </w:p>
        </w:tc>
        <w:tc>
          <w:tcPr>
            <w:tcW w:w="1745" w:type="dxa"/>
            <w:vMerge/>
          </w:tcPr>
          <w:p w:rsidR="00721DDD" w:rsidRPr="00EF3D64" w:rsidRDefault="00721DDD" w:rsidP="000579AF">
            <w:pPr>
              <w:pStyle w:val="TableText"/>
              <w:rPr>
                <w:rFonts w:ascii="Arial" w:hAnsi="Arial" w:cs="Arial"/>
                <w:sz w:val="22"/>
                <w:szCs w:val="22"/>
              </w:rPr>
            </w:pPr>
          </w:p>
        </w:tc>
      </w:tr>
      <w:tr w:rsidR="001C0F2B" w:rsidRPr="00EF3D64" w:rsidTr="00F56981">
        <w:tc>
          <w:tcPr>
            <w:tcW w:w="9242" w:type="dxa"/>
            <w:gridSpan w:val="3"/>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 xml:space="preserve">Re-focus an organisation to </w:t>
            </w:r>
            <w:hyperlink r:id="rId10" w:tgtFrame="_top" w:tooltip="Clarify an organisation's role and improve its effectiveness" w:history="1">
              <w:r w:rsidRPr="00EF3D64">
                <w:rPr>
                  <w:rFonts w:ascii="Arial" w:hAnsi="Arial" w:cs="Arial"/>
                  <w:sz w:val="22"/>
                  <w:szCs w:val="22"/>
                </w:rPr>
                <w:t>improve its effectiveness</w:t>
              </w:r>
            </w:hyperlink>
          </w:p>
        </w:tc>
      </w:tr>
      <w:tr w:rsidR="001C0F2B" w:rsidRPr="00EF3D64" w:rsidTr="00F56981">
        <w:trPr>
          <w:trHeight w:val="184"/>
        </w:trPr>
        <w:tc>
          <w:tcPr>
            <w:tcW w:w="5753" w:type="dxa"/>
            <w:vMerge w:val="restart"/>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Organisational Expectation</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Current Effectiveness</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Potential Changes</w:t>
            </w:r>
          </w:p>
          <w:p w:rsidR="001C0F2B" w:rsidRPr="00EF3D64" w:rsidRDefault="001C0F2B" w:rsidP="000579AF">
            <w:pPr>
              <w:pStyle w:val="TableText"/>
              <w:rPr>
                <w:rFonts w:ascii="Arial" w:hAnsi="Arial" w:cs="Arial"/>
                <w:sz w:val="22"/>
                <w:szCs w:val="22"/>
              </w:rPr>
            </w:pPr>
            <w:r w:rsidRPr="00EF3D64">
              <w:rPr>
                <w:rFonts w:ascii="Arial" w:hAnsi="Arial" w:cs="Arial"/>
                <w:sz w:val="22"/>
                <w:szCs w:val="22"/>
              </w:rPr>
              <w:t>Intended Changes</w:t>
            </w:r>
          </w:p>
        </w:tc>
        <w:tc>
          <w:tcPr>
            <w:tcW w:w="1744" w:type="dxa"/>
          </w:tcPr>
          <w:p w:rsidR="001C0F2B" w:rsidRPr="00EF3D64" w:rsidRDefault="001C0F2B" w:rsidP="00721DDD">
            <w:pPr>
              <w:pStyle w:val="TableText"/>
              <w:rPr>
                <w:rFonts w:ascii="Arial" w:hAnsi="Arial" w:cs="Arial"/>
                <w:sz w:val="22"/>
                <w:szCs w:val="22"/>
              </w:rPr>
            </w:pPr>
            <w:r w:rsidRPr="00EF3D64">
              <w:rPr>
                <w:rFonts w:ascii="Arial" w:hAnsi="Arial" w:cs="Arial"/>
                <w:sz w:val="22"/>
                <w:szCs w:val="22"/>
              </w:rPr>
              <w:t>$</w:t>
            </w:r>
            <w:r w:rsidR="00721DDD">
              <w:rPr>
                <w:rFonts w:ascii="Arial" w:hAnsi="Arial" w:cs="Arial"/>
                <w:sz w:val="22"/>
                <w:szCs w:val="22"/>
              </w:rPr>
              <w:t>1,750</w:t>
            </w:r>
          </w:p>
        </w:tc>
        <w:tc>
          <w:tcPr>
            <w:tcW w:w="1745" w:type="dxa"/>
            <w:vMerge w:val="restart"/>
            <w:vAlign w:val="center"/>
          </w:tcPr>
          <w:p w:rsidR="001C0F2B" w:rsidRPr="00EF3D64" w:rsidRDefault="00721DDD" w:rsidP="000579AF">
            <w:pPr>
              <w:pStyle w:val="TableText"/>
              <w:rPr>
                <w:rFonts w:ascii="Arial" w:hAnsi="Arial" w:cs="Arial"/>
                <w:sz w:val="22"/>
                <w:szCs w:val="22"/>
              </w:rPr>
            </w:pPr>
            <w:r>
              <w:rPr>
                <w:rFonts w:ascii="Arial" w:hAnsi="Arial" w:cs="Arial"/>
                <w:sz w:val="22"/>
                <w:szCs w:val="22"/>
              </w:rPr>
              <w:t>$6,500</w:t>
            </w:r>
          </w:p>
        </w:tc>
      </w:tr>
      <w:tr w:rsidR="001C0F2B" w:rsidRPr="00EF3D64" w:rsidTr="00F56981">
        <w:trPr>
          <w:trHeight w:val="182"/>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721DDD" w:rsidP="000579AF">
            <w:pPr>
              <w:pStyle w:val="TableText"/>
              <w:rPr>
                <w:rFonts w:ascii="Arial" w:hAnsi="Arial" w:cs="Arial"/>
                <w:sz w:val="22"/>
                <w:szCs w:val="22"/>
              </w:rPr>
            </w:pPr>
            <w:r>
              <w:rPr>
                <w:rFonts w:ascii="Arial" w:hAnsi="Arial" w:cs="Arial"/>
                <w:sz w:val="22"/>
                <w:szCs w:val="22"/>
              </w:rPr>
              <w:t>$1,750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rPr>
          <w:trHeight w:val="182"/>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721DDD" w:rsidP="000579AF">
            <w:pPr>
              <w:pStyle w:val="TableText"/>
              <w:rPr>
                <w:rFonts w:ascii="Arial" w:hAnsi="Arial" w:cs="Arial"/>
                <w:sz w:val="22"/>
                <w:szCs w:val="22"/>
              </w:rPr>
            </w:pPr>
            <w:r>
              <w:rPr>
                <w:rFonts w:ascii="Arial" w:hAnsi="Arial" w:cs="Arial"/>
                <w:sz w:val="22"/>
                <w:szCs w:val="22"/>
              </w:rPr>
              <w:t>$1,750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rPr>
          <w:trHeight w:val="182"/>
        </w:trPr>
        <w:tc>
          <w:tcPr>
            <w:tcW w:w="5753" w:type="dxa"/>
            <w:vMerge/>
          </w:tcPr>
          <w:p w:rsidR="001C0F2B" w:rsidRPr="00EF3D64" w:rsidRDefault="001C0F2B" w:rsidP="000579AF">
            <w:pPr>
              <w:pStyle w:val="TableText"/>
              <w:rPr>
                <w:rFonts w:ascii="Arial" w:hAnsi="Arial" w:cs="Arial"/>
                <w:sz w:val="22"/>
                <w:szCs w:val="22"/>
              </w:rPr>
            </w:pPr>
          </w:p>
        </w:tc>
        <w:tc>
          <w:tcPr>
            <w:tcW w:w="1744" w:type="dxa"/>
          </w:tcPr>
          <w:p w:rsidR="001C0F2B" w:rsidRPr="00EF3D64" w:rsidRDefault="00721DDD" w:rsidP="000579AF">
            <w:pPr>
              <w:pStyle w:val="TableText"/>
              <w:rPr>
                <w:rFonts w:ascii="Arial" w:hAnsi="Arial" w:cs="Arial"/>
                <w:sz w:val="22"/>
                <w:szCs w:val="22"/>
              </w:rPr>
            </w:pPr>
            <w:r>
              <w:rPr>
                <w:rFonts w:ascii="Arial" w:hAnsi="Arial" w:cs="Arial"/>
                <w:sz w:val="22"/>
                <w:szCs w:val="22"/>
              </w:rPr>
              <w:t>$1,750</w:t>
            </w:r>
          </w:p>
        </w:tc>
        <w:tc>
          <w:tcPr>
            <w:tcW w:w="1745" w:type="dxa"/>
            <w:vMerge/>
          </w:tcPr>
          <w:p w:rsidR="001C0F2B" w:rsidRPr="00EF3D64" w:rsidRDefault="001C0F2B" w:rsidP="000579AF">
            <w:pPr>
              <w:pStyle w:val="TableText"/>
              <w:rPr>
                <w:rFonts w:ascii="Arial" w:hAnsi="Arial" w:cs="Arial"/>
                <w:sz w:val="22"/>
                <w:szCs w:val="22"/>
              </w:rPr>
            </w:pPr>
          </w:p>
        </w:tc>
      </w:tr>
      <w:tr w:rsidR="001C0F2B" w:rsidRPr="00EF3D64" w:rsidTr="00F56981">
        <w:tc>
          <w:tcPr>
            <w:tcW w:w="9242" w:type="dxa"/>
            <w:gridSpan w:val="3"/>
          </w:tcPr>
          <w:p w:rsidR="001C0F2B" w:rsidRPr="00EF3D64" w:rsidRDefault="001C0F2B" w:rsidP="000579AF">
            <w:pPr>
              <w:pStyle w:val="TableText"/>
              <w:rPr>
                <w:rFonts w:ascii="Arial" w:hAnsi="Arial" w:cs="Arial"/>
                <w:sz w:val="22"/>
                <w:szCs w:val="22"/>
              </w:rPr>
            </w:pPr>
            <w:r w:rsidRPr="00EF3D64">
              <w:rPr>
                <w:rFonts w:ascii="Arial" w:hAnsi="Arial" w:cs="Arial"/>
                <w:sz w:val="22"/>
                <w:szCs w:val="22"/>
              </w:rPr>
              <w:t>Monitor an organisation’s outcomes</w:t>
            </w:r>
          </w:p>
        </w:tc>
      </w:tr>
      <w:tr w:rsidR="00BC4B0C" w:rsidRPr="00EF3D64" w:rsidTr="00F56981">
        <w:trPr>
          <w:trHeight w:val="184"/>
        </w:trPr>
        <w:tc>
          <w:tcPr>
            <w:tcW w:w="5753" w:type="dxa"/>
            <w:vMerge w:val="restart"/>
          </w:tcPr>
          <w:p w:rsidR="00BC4B0C" w:rsidRPr="00EF3D64" w:rsidRDefault="00BC4B0C" w:rsidP="000579AF">
            <w:pPr>
              <w:pStyle w:val="TableText"/>
              <w:rPr>
                <w:rFonts w:ascii="Arial" w:hAnsi="Arial" w:cs="Arial"/>
                <w:sz w:val="22"/>
                <w:szCs w:val="22"/>
              </w:rPr>
            </w:pPr>
            <w:r w:rsidRPr="00EF3D64">
              <w:rPr>
                <w:rFonts w:ascii="Arial" w:hAnsi="Arial" w:cs="Arial"/>
                <w:sz w:val="22"/>
                <w:szCs w:val="22"/>
              </w:rPr>
              <w:t>Organisational Expectation</w:t>
            </w:r>
          </w:p>
          <w:p w:rsidR="00BC4B0C" w:rsidRPr="00EF3D64" w:rsidRDefault="00BC4B0C" w:rsidP="000579AF">
            <w:pPr>
              <w:pStyle w:val="TableText"/>
              <w:rPr>
                <w:rFonts w:ascii="Arial" w:hAnsi="Arial" w:cs="Arial"/>
                <w:sz w:val="22"/>
                <w:szCs w:val="22"/>
              </w:rPr>
            </w:pPr>
            <w:r w:rsidRPr="00EF3D64">
              <w:rPr>
                <w:rFonts w:ascii="Arial" w:hAnsi="Arial" w:cs="Arial"/>
                <w:sz w:val="22"/>
                <w:szCs w:val="22"/>
              </w:rPr>
              <w:t>Benefit Definition (Organisation)</w:t>
            </w:r>
          </w:p>
          <w:p w:rsidR="00BC4B0C" w:rsidRPr="00EF3D64" w:rsidRDefault="00BC4B0C" w:rsidP="000579AF">
            <w:pPr>
              <w:pStyle w:val="TableText"/>
              <w:rPr>
                <w:rFonts w:ascii="Arial" w:hAnsi="Arial" w:cs="Arial"/>
                <w:sz w:val="22"/>
                <w:szCs w:val="22"/>
              </w:rPr>
            </w:pPr>
            <w:r w:rsidRPr="00EF3D64">
              <w:rPr>
                <w:rFonts w:ascii="Arial" w:hAnsi="Arial" w:cs="Arial"/>
                <w:sz w:val="22"/>
                <w:szCs w:val="22"/>
              </w:rPr>
              <w:t>Benefit Validation (Organisation)</w:t>
            </w:r>
          </w:p>
          <w:p w:rsidR="00BC4B0C" w:rsidRPr="00EF3D64" w:rsidRDefault="00BC4B0C" w:rsidP="000579AF">
            <w:pPr>
              <w:pStyle w:val="TableText"/>
              <w:rPr>
                <w:rFonts w:ascii="Arial" w:hAnsi="Arial" w:cs="Arial"/>
                <w:sz w:val="22"/>
                <w:szCs w:val="22"/>
              </w:rPr>
            </w:pPr>
            <w:r w:rsidRPr="00EF3D64">
              <w:rPr>
                <w:rFonts w:ascii="Arial" w:hAnsi="Arial" w:cs="Arial"/>
                <w:sz w:val="22"/>
                <w:szCs w:val="22"/>
              </w:rPr>
              <w:t xml:space="preserve">Organisational Effectiveness </w:t>
            </w:r>
          </w:p>
        </w:tc>
        <w:tc>
          <w:tcPr>
            <w:tcW w:w="1744" w:type="dxa"/>
          </w:tcPr>
          <w:p w:rsidR="00BC4B0C" w:rsidRPr="00EF3D64" w:rsidRDefault="00BC4B0C" w:rsidP="00FA45D4">
            <w:pPr>
              <w:pStyle w:val="TableText"/>
              <w:rPr>
                <w:rFonts w:ascii="Arial" w:hAnsi="Arial" w:cs="Arial"/>
                <w:sz w:val="22"/>
                <w:szCs w:val="22"/>
              </w:rPr>
            </w:pPr>
            <w:r w:rsidRPr="00EF3D64">
              <w:rPr>
                <w:rFonts w:ascii="Arial" w:hAnsi="Arial" w:cs="Arial"/>
                <w:sz w:val="22"/>
                <w:szCs w:val="22"/>
              </w:rPr>
              <w:t>$</w:t>
            </w:r>
            <w:r>
              <w:rPr>
                <w:rFonts w:ascii="Arial" w:hAnsi="Arial" w:cs="Arial"/>
                <w:sz w:val="22"/>
                <w:szCs w:val="22"/>
              </w:rPr>
              <w:t>1,750</w:t>
            </w:r>
          </w:p>
        </w:tc>
        <w:tc>
          <w:tcPr>
            <w:tcW w:w="1745" w:type="dxa"/>
            <w:vMerge w:val="restart"/>
            <w:vAlign w:val="center"/>
          </w:tcPr>
          <w:p w:rsidR="00BC4B0C" w:rsidRPr="00EF3D64" w:rsidRDefault="00BC4B0C" w:rsidP="000579AF">
            <w:pPr>
              <w:pStyle w:val="TableText"/>
              <w:rPr>
                <w:rFonts w:ascii="Arial" w:hAnsi="Arial" w:cs="Arial"/>
                <w:sz w:val="22"/>
                <w:szCs w:val="22"/>
              </w:rPr>
            </w:pPr>
            <w:r>
              <w:rPr>
                <w:rFonts w:ascii="Arial" w:hAnsi="Arial" w:cs="Arial"/>
                <w:sz w:val="22"/>
                <w:szCs w:val="22"/>
              </w:rPr>
              <w:t>$6,500</w:t>
            </w:r>
          </w:p>
        </w:tc>
      </w:tr>
      <w:tr w:rsidR="00BC4B0C" w:rsidRPr="00EF3D64" w:rsidTr="00F56981">
        <w:trPr>
          <w:trHeight w:val="182"/>
        </w:trPr>
        <w:tc>
          <w:tcPr>
            <w:tcW w:w="5753" w:type="dxa"/>
            <w:vMerge/>
          </w:tcPr>
          <w:p w:rsidR="00BC4B0C" w:rsidRPr="00EF3D64" w:rsidRDefault="00BC4B0C" w:rsidP="000579AF">
            <w:pPr>
              <w:pStyle w:val="TableText"/>
              <w:rPr>
                <w:rFonts w:ascii="Arial" w:hAnsi="Arial" w:cs="Arial"/>
                <w:sz w:val="22"/>
                <w:szCs w:val="22"/>
              </w:rPr>
            </w:pPr>
          </w:p>
        </w:tc>
        <w:tc>
          <w:tcPr>
            <w:tcW w:w="1744" w:type="dxa"/>
          </w:tcPr>
          <w:p w:rsidR="00BC4B0C" w:rsidRPr="00EF3D64" w:rsidRDefault="00BC4B0C" w:rsidP="00FA45D4">
            <w:pPr>
              <w:pStyle w:val="TableText"/>
              <w:rPr>
                <w:rFonts w:ascii="Arial" w:hAnsi="Arial" w:cs="Arial"/>
                <w:sz w:val="22"/>
                <w:szCs w:val="22"/>
              </w:rPr>
            </w:pPr>
            <w:r>
              <w:rPr>
                <w:rFonts w:ascii="Arial" w:hAnsi="Arial" w:cs="Arial"/>
                <w:sz w:val="22"/>
                <w:szCs w:val="22"/>
              </w:rPr>
              <w:t>$1,750</w:t>
            </w:r>
          </w:p>
        </w:tc>
        <w:tc>
          <w:tcPr>
            <w:tcW w:w="1745" w:type="dxa"/>
            <w:vMerge/>
          </w:tcPr>
          <w:p w:rsidR="00BC4B0C" w:rsidRPr="00EF3D64" w:rsidRDefault="00BC4B0C" w:rsidP="000579AF">
            <w:pPr>
              <w:pStyle w:val="TableText"/>
              <w:rPr>
                <w:rFonts w:ascii="Arial" w:hAnsi="Arial" w:cs="Arial"/>
                <w:sz w:val="22"/>
                <w:szCs w:val="22"/>
              </w:rPr>
            </w:pPr>
          </w:p>
        </w:tc>
      </w:tr>
      <w:tr w:rsidR="00BC4B0C" w:rsidRPr="00EF3D64" w:rsidTr="00F56981">
        <w:trPr>
          <w:trHeight w:val="182"/>
        </w:trPr>
        <w:tc>
          <w:tcPr>
            <w:tcW w:w="5753" w:type="dxa"/>
            <w:vMerge/>
          </w:tcPr>
          <w:p w:rsidR="00BC4B0C" w:rsidRPr="00EF3D64" w:rsidRDefault="00BC4B0C" w:rsidP="000579AF">
            <w:pPr>
              <w:pStyle w:val="TableText"/>
              <w:rPr>
                <w:rFonts w:ascii="Arial" w:hAnsi="Arial" w:cs="Arial"/>
                <w:sz w:val="22"/>
                <w:szCs w:val="22"/>
              </w:rPr>
            </w:pPr>
          </w:p>
        </w:tc>
        <w:tc>
          <w:tcPr>
            <w:tcW w:w="1744" w:type="dxa"/>
          </w:tcPr>
          <w:p w:rsidR="00BC4B0C" w:rsidRPr="00EF3D64" w:rsidRDefault="00BC4B0C" w:rsidP="00FA45D4">
            <w:pPr>
              <w:pStyle w:val="TableText"/>
              <w:rPr>
                <w:rFonts w:ascii="Arial" w:hAnsi="Arial" w:cs="Arial"/>
                <w:sz w:val="22"/>
                <w:szCs w:val="22"/>
              </w:rPr>
            </w:pPr>
            <w:r>
              <w:rPr>
                <w:rFonts w:ascii="Arial" w:hAnsi="Arial" w:cs="Arial"/>
                <w:sz w:val="22"/>
                <w:szCs w:val="22"/>
              </w:rPr>
              <w:t>$1,750</w:t>
            </w:r>
          </w:p>
        </w:tc>
        <w:tc>
          <w:tcPr>
            <w:tcW w:w="1745" w:type="dxa"/>
            <w:vMerge/>
          </w:tcPr>
          <w:p w:rsidR="00BC4B0C" w:rsidRPr="00EF3D64" w:rsidRDefault="00BC4B0C" w:rsidP="000579AF">
            <w:pPr>
              <w:pStyle w:val="TableText"/>
              <w:rPr>
                <w:rFonts w:ascii="Arial" w:hAnsi="Arial" w:cs="Arial"/>
                <w:sz w:val="22"/>
                <w:szCs w:val="22"/>
              </w:rPr>
            </w:pPr>
          </w:p>
        </w:tc>
      </w:tr>
      <w:tr w:rsidR="00BC4B0C" w:rsidRPr="00EF3D64" w:rsidTr="00F56981">
        <w:trPr>
          <w:trHeight w:val="182"/>
        </w:trPr>
        <w:tc>
          <w:tcPr>
            <w:tcW w:w="5753" w:type="dxa"/>
            <w:vMerge/>
          </w:tcPr>
          <w:p w:rsidR="00BC4B0C" w:rsidRPr="00EF3D64" w:rsidRDefault="00BC4B0C" w:rsidP="000579AF">
            <w:pPr>
              <w:pStyle w:val="TableText"/>
              <w:rPr>
                <w:rFonts w:ascii="Arial" w:hAnsi="Arial" w:cs="Arial"/>
                <w:sz w:val="22"/>
                <w:szCs w:val="22"/>
              </w:rPr>
            </w:pPr>
          </w:p>
        </w:tc>
        <w:tc>
          <w:tcPr>
            <w:tcW w:w="1744" w:type="dxa"/>
          </w:tcPr>
          <w:p w:rsidR="00BC4B0C" w:rsidRPr="00EF3D64" w:rsidRDefault="00BC4B0C" w:rsidP="00FA45D4">
            <w:pPr>
              <w:pStyle w:val="TableText"/>
              <w:rPr>
                <w:rFonts w:ascii="Arial" w:hAnsi="Arial" w:cs="Arial"/>
                <w:sz w:val="22"/>
                <w:szCs w:val="22"/>
              </w:rPr>
            </w:pPr>
            <w:r>
              <w:rPr>
                <w:rFonts w:ascii="Arial" w:hAnsi="Arial" w:cs="Arial"/>
                <w:sz w:val="22"/>
                <w:szCs w:val="22"/>
              </w:rPr>
              <w:t>$1,750</w:t>
            </w:r>
          </w:p>
        </w:tc>
        <w:tc>
          <w:tcPr>
            <w:tcW w:w="1745" w:type="dxa"/>
            <w:vMerge/>
          </w:tcPr>
          <w:p w:rsidR="00BC4B0C" w:rsidRPr="00EF3D64" w:rsidRDefault="00BC4B0C" w:rsidP="000579AF">
            <w:pPr>
              <w:pStyle w:val="TableText"/>
              <w:rPr>
                <w:rFonts w:ascii="Arial" w:hAnsi="Arial" w:cs="Arial"/>
                <w:sz w:val="22"/>
                <w:szCs w:val="22"/>
              </w:rPr>
            </w:pPr>
          </w:p>
        </w:tc>
      </w:tr>
    </w:tbl>
    <w:p w:rsidR="000579AF" w:rsidRPr="008E2A31" w:rsidRDefault="006D2D22" w:rsidP="000579AF">
      <w:pPr>
        <w:pStyle w:val="Heading1"/>
        <w:rPr>
          <w:rFonts w:ascii="Arial" w:hAnsi="Arial" w:cs="Arial"/>
          <w:b w:val="0"/>
          <w:bCs w:val="0"/>
          <w:color w:val="00629E"/>
        </w:rPr>
      </w:pPr>
      <w:r w:rsidRPr="008E2A31">
        <w:rPr>
          <w:rFonts w:ascii="Arial" w:hAnsi="Arial" w:cs="Arial"/>
          <w:b w:val="0"/>
          <w:bCs w:val="0"/>
          <w:color w:val="00629E"/>
        </w:rPr>
        <w:t>Contact Details</w:t>
      </w:r>
    </w:p>
    <w:p w:rsidR="006D2D22" w:rsidRPr="00EF3D64" w:rsidRDefault="00EF3D64" w:rsidP="00F56981">
      <w:pPr>
        <w:pStyle w:val="NoSpacing"/>
        <w:rPr>
          <w:rFonts w:ascii="Arial" w:hAnsi="Arial" w:cs="Arial"/>
        </w:rPr>
      </w:pPr>
      <w:r w:rsidRPr="00EF3D64">
        <w:rPr>
          <w:rFonts w:ascii="Arial" w:hAnsi="Arial" w:cs="Arial"/>
        </w:rPr>
        <w:t xml:space="preserve">Deborah </w:t>
      </w:r>
      <w:proofErr w:type="spellStart"/>
      <w:r w:rsidRPr="00EF3D64">
        <w:rPr>
          <w:rFonts w:ascii="Arial" w:hAnsi="Arial" w:cs="Arial"/>
        </w:rPr>
        <w:t>Pollett</w:t>
      </w:r>
      <w:proofErr w:type="spellEnd"/>
    </w:p>
    <w:p w:rsidR="006D2D22" w:rsidRDefault="00AA2DA9" w:rsidP="00F56981">
      <w:pPr>
        <w:pStyle w:val="NoSpacing"/>
        <w:rPr>
          <w:rFonts w:ascii="Arial" w:hAnsi="Arial" w:cs="Arial"/>
        </w:rPr>
      </w:pPr>
      <w:r>
        <w:rPr>
          <w:rFonts w:ascii="Arial" w:hAnsi="Arial" w:cs="Arial"/>
        </w:rPr>
        <w:t>Farrago</w:t>
      </w:r>
    </w:p>
    <w:p w:rsidR="00AA2DA9" w:rsidRPr="00EF3D64" w:rsidRDefault="00AA2DA9" w:rsidP="00F56981">
      <w:pPr>
        <w:pStyle w:val="NoSpacing"/>
        <w:rPr>
          <w:rFonts w:ascii="Arial" w:hAnsi="Arial" w:cs="Arial"/>
          <w:szCs w:val="24"/>
        </w:rPr>
      </w:pPr>
      <w:r>
        <w:rPr>
          <w:rFonts w:ascii="Arial" w:hAnsi="Arial" w:cs="Arial"/>
        </w:rPr>
        <w:t>0408237266 or deborah@farrago.net.au</w:t>
      </w:r>
    </w:p>
    <w:sectPr w:rsidR="00AA2DA9" w:rsidRPr="00EF3D64" w:rsidSect="000579AF">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E2A" w:rsidRDefault="001B4E2A" w:rsidP="007A3CA7">
      <w:pPr>
        <w:spacing w:after="0" w:line="240" w:lineRule="auto"/>
      </w:pPr>
      <w:r>
        <w:separator/>
      </w:r>
    </w:p>
  </w:endnote>
  <w:endnote w:type="continuationSeparator" w:id="0">
    <w:p w:rsidR="001B4E2A" w:rsidRDefault="001B4E2A" w:rsidP="007A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E2A" w:rsidRDefault="001B4E2A" w:rsidP="007A3CA7">
      <w:pPr>
        <w:spacing w:after="0" w:line="240" w:lineRule="auto"/>
      </w:pPr>
      <w:r>
        <w:separator/>
      </w:r>
    </w:p>
  </w:footnote>
  <w:footnote w:type="continuationSeparator" w:id="0">
    <w:p w:rsidR="001B4E2A" w:rsidRDefault="001B4E2A" w:rsidP="007A3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9EA670"/>
    <w:lvl w:ilvl="0">
      <w:start w:val="1"/>
      <w:numFmt w:val="decimal"/>
      <w:lvlText w:val="%1."/>
      <w:lvlJc w:val="left"/>
      <w:pPr>
        <w:tabs>
          <w:tab w:val="num" w:pos="1492"/>
        </w:tabs>
        <w:ind w:left="1492" w:hanging="360"/>
      </w:pPr>
    </w:lvl>
  </w:abstractNum>
  <w:abstractNum w:abstractNumId="1">
    <w:nsid w:val="FFFFFF7D"/>
    <w:multiLevelType w:val="singleLevel"/>
    <w:tmpl w:val="1602972C"/>
    <w:lvl w:ilvl="0">
      <w:start w:val="1"/>
      <w:numFmt w:val="decimal"/>
      <w:lvlText w:val="%1."/>
      <w:lvlJc w:val="left"/>
      <w:pPr>
        <w:tabs>
          <w:tab w:val="num" w:pos="1209"/>
        </w:tabs>
        <w:ind w:left="1209" w:hanging="360"/>
      </w:pPr>
    </w:lvl>
  </w:abstractNum>
  <w:abstractNum w:abstractNumId="2">
    <w:nsid w:val="FFFFFF7E"/>
    <w:multiLevelType w:val="singleLevel"/>
    <w:tmpl w:val="8C84222A"/>
    <w:lvl w:ilvl="0">
      <w:start w:val="1"/>
      <w:numFmt w:val="decimal"/>
      <w:lvlText w:val="%1."/>
      <w:lvlJc w:val="left"/>
      <w:pPr>
        <w:tabs>
          <w:tab w:val="num" w:pos="926"/>
        </w:tabs>
        <w:ind w:left="926" w:hanging="360"/>
      </w:pPr>
    </w:lvl>
  </w:abstractNum>
  <w:abstractNum w:abstractNumId="3">
    <w:nsid w:val="FFFFFF7F"/>
    <w:multiLevelType w:val="singleLevel"/>
    <w:tmpl w:val="C6342BCA"/>
    <w:lvl w:ilvl="0">
      <w:start w:val="1"/>
      <w:numFmt w:val="decimal"/>
      <w:lvlText w:val="%1."/>
      <w:lvlJc w:val="left"/>
      <w:pPr>
        <w:tabs>
          <w:tab w:val="num" w:pos="643"/>
        </w:tabs>
        <w:ind w:left="643" w:hanging="360"/>
      </w:pPr>
    </w:lvl>
  </w:abstractNum>
  <w:abstractNum w:abstractNumId="4">
    <w:nsid w:val="FFFFFF80"/>
    <w:multiLevelType w:val="singleLevel"/>
    <w:tmpl w:val="E4CC2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CC1D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BE01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F66E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44A5A4"/>
    <w:lvl w:ilvl="0">
      <w:start w:val="1"/>
      <w:numFmt w:val="decimal"/>
      <w:lvlText w:val="%1."/>
      <w:lvlJc w:val="left"/>
      <w:pPr>
        <w:tabs>
          <w:tab w:val="num" w:pos="360"/>
        </w:tabs>
        <w:ind w:left="360" w:hanging="360"/>
      </w:pPr>
    </w:lvl>
  </w:abstractNum>
  <w:abstractNum w:abstractNumId="9">
    <w:nsid w:val="FFFFFF89"/>
    <w:multiLevelType w:val="singleLevel"/>
    <w:tmpl w:val="F536D4E8"/>
    <w:lvl w:ilvl="0">
      <w:start w:val="1"/>
      <w:numFmt w:val="bullet"/>
      <w:lvlText w:val=""/>
      <w:lvlJc w:val="left"/>
      <w:pPr>
        <w:tabs>
          <w:tab w:val="num" w:pos="360"/>
        </w:tabs>
        <w:ind w:left="360" w:hanging="360"/>
      </w:pPr>
      <w:rPr>
        <w:rFonts w:ascii="Symbol" w:hAnsi="Symbol" w:hint="default"/>
      </w:rPr>
    </w:lvl>
  </w:abstractNum>
  <w:abstractNum w:abstractNumId="10">
    <w:nsid w:val="00394C1F"/>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F850A3"/>
    <w:multiLevelType w:val="hybridMultilevel"/>
    <w:tmpl w:val="3B7C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9C72DE"/>
    <w:multiLevelType w:val="hybridMultilevel"/>
    <w:tmpl w:val="EFCC1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FF463F"/>
    <w:multiLevelType w:val="hybridMultilevel"/>
    <w:tmpl w:val="4C888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1C7264E"/>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0354D3B"/>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1451035"/>
    <w:multiLevelType w:val="hybridMultilevel"/>
    <w:tmpl w:val="E32E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E2A7FF5"/>
    <w:multiLevelType w:val="hybridMultilevel"/>
    <w:tmpl w:val="3B883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4"/>
  </w:num>
  <w:num w:numId="4">
    <w:abstractNumId w:val="11"/>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59"/>
    <w:rsid w:val="00022B3F"/>
    <w:rsid w:val="000327B6"/>
    <w:rsid w:val="000579AF"/>
    <w:rsid w:val="00064160"/>
    <w:rsid w:val="000A12BB"/>
    <w:rsid w:val="000C660C"/>
    <w:rsid w:val="001007EF"/>
    <w:rsid w:val="00130792"/>
    <w:rsid w:val="00152B6B"/>
    <w:rsid w:val="001646CF"/>
    <w:rsid w:val="001B06A1"/>
    <w:rsid w:val="001B0F21"/>
    <w:rsid w:val="001B4E2A"/>
    <w:rsid w:val="001C0F2B"/>
    <w:rsid w:val="002A2124"/>
    <w:rsid w:val="00365619"/>
    <w:rsid w:val="003778A0"/>
    <w:rsid w:val="003A3B61"/>
    <w:rsid w:val="003A5A97"/>
    <w:rsid w:val="003B6D3B"/>
    <w:rsid w:val="003C156B"/>
    <w:rsid w:val="003C7090"/>
    <w:rsid w:val="003D3F7A"/>
    <w:rsid w:val="00411180"/>
    <w:rsid w:val="004857F7"/>
    <w:rsid w:val="00527196"/>
    <w:rsid w:val="005858C8"/>
    <w:rsid w:val="00595635"/>
    <w:rsid w:val="005A4434"/>
    <w:rsid w:val="005D229A"/>
    <w:rsid w:val="005D3805"/>
    <w:rsid w:val="005D5DEB"/>
    <w:rsid w:val="006B2215"/>
    <w:rsid w:val="006D2D22"/>
    <w:rsid w:val="006E1346"/>
    <w:rsid w:val="00721DDD"/>
    <w:rsid w:val="00726FEF"/>
    <w:rsid w:val="00744E4E"/>
    <w:rsid w:val="00751BCF"/>
    <w:rsid w:val="007805B8"/>
    <w:rsid w:val="007A3CA7"/>
    <w:rsid w:val="007B10C1"/>
    <w:rsid w:val="007E04F9"/>
    <w:rsid w:val="008E2A31"/>
    <w:rsid w:val="008F2687"/>
    <w:rsid w:val="008F499A"/>
    <w:rsid w:val="009400B0"/>
    <w:rsid w:val="00943A55"/>
    <w:rsid w:val="00973959"/>
    <w:rsid w:val="009C28C8"/>
    <w:rsid w:val="009D227F"/>
    <w:rsid w:val="009F3566"/>
    <w:rsid w:val="00A0042A"/>
    <w:rsid w:val="00A32A0A"/>
    <w:rsid w:val="00A455CE"/>
    <w:rsid w:val="00A64F48"/>
    <w:rsid w:val="00A919FC"/>
    <w:rsid w:val="00AA2DA9"/>
    <w:rsid w:val="00B7541E"/>
    <w:rsid w:val="00B755A2"/>
    <w:rsid w:val="00B96A55"/>
    <w:rsid w:val="00BB077D"/>
    <w:rsid w:val="00BC4B0C"/>
    <w:rsid w:val="00BC6878"/>
    <w:rsid w:val="00C14BFC"/>
    <w:rsid w:val="00C41019"/>
    <w:rsid w:val="00C75E71"/>
    <w:rsid w:val="00D059AF"/>
    <w:rsid w:val="00D40EA5"/>
    <w:rsid w:val="00D425BC"/>
    <w:rsid w:val="00D958C3"/>
    <w:rsid w:val="00DD2FD5"/>
    <w:rsid w:val="00DF49EF"/>
    <w:rsid w:val="00E27586"/>
    <w:rsid w:val="00E50972"/>
    <w:rsid w:val="00E51060"/>
    <w:rsid w:val="00EB0C04"/>
    <w:rsid w:val="00EC29D7"/>
    <w:rsid w:val="00EF1624"/>
    <w:rsid w:val="00EF2A02"/>
    <w:rsid w:val="00EF3D64"/>
    <w:rsid w:val="00F21C4E"/>
    <w:rsid w:val="00F456ED"/>
    <w:rsid w:val="00F50F1A"/>
    <w:rsid w:val="00F56981"/>
    <w:rsid w:val="00F608FD"/>
    <w:rsid w:val="00F727B9"/>
    <w:rsid w:val="00FB5480"/>
    <w:rsid w:val="00FB5C29"/>
    <w:rsid w:val="00FF7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81"/>
    <w:rPr>
      <w:sz w:val="20"/>
    </w:rPr>
  </w:style>
  <w:style w:type="paragraph" w:styleId="Heading1">
    <w:name w:val="heading 1"/>
    <w:basedOn w:val="Normal"/>
    <w:next w:val="Normal"/>
    <w:link w:val="Heading1Char"/>
    <w:uiPriority w:val="9"/>
    <w:qFormat/>
    <w:rsid w:val="00F56981"/>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9FC"/>
    <w:rPr>
      <w:color w:val="0000FF" w:themeColor="hyperlink"/>
      <w:u w:val="single"/>
    </w:rPr>
  </w:style>
  <w:style w:type="paragraph" w:styleId="ListParagraph">
    <w:name w:val="List Paragraph"/>
    <w:basedOn w:val="Normal"/>
    <w:uiPriority w:val="34"/>
    <w:qFormat/>
    <w:rsid w:val="003A5A97"/>
    <w:pPr>
      <w:ind w:left="720"/>
      <w:contextualSpacing/>
    </w:pPr>
  </w:style>
  <w:style w:type="paragraph" w:styleId="BalloonText">
    <w:name w:val="Balloon Text"/>
    <w:basedOn w:val="Normal"/>
    <w:link w:val="BalloonTextChar"/>
    <w:uiPriority w:val="99"/>
    <w:semiHidden/>
    <w:unhideWhenUsed/>
    <w:rsid w:val="000C6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0C"/>
    <w:rPr>
      <w:rFonts w:ascii="Tahoma" w:hAnsi="Tahoma" w:cs="Tahoma"/>
      <w:sz w:val="16"/>
      <w:szCs w:val="16"/>
    </w:rPr>
  </w:style>
  <w:style w:type="paragraph" w:styleId="Header">
    <w:name w:val="header"/>
    <w:basedOn w:val="Normal"/>
    <w:link w:val="HeaderChar"/>
    <w:uiPriority w:val="99"/>
    <w:unhideWhenUsed/>
    <w:rsid w:val="007A3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A7"/>
  </w:style>
  <w:style w:type="paragraph" w:styleId="Footer">
    <w:name w:val="footer"/>
    <w:basedOn w:val="Normal"/>
    <w:link w:val="FooterChar"/>
    <w:uiPriority w:val="99"/>
    <w:unhideWhenUsed/>
    <w:rsid w:val="007A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A7"/>
  </w:style>
  <w:style w:type="character" w:customStyle="1" w:styleId="apple-converted-space">
    <w:name w:val="apple-converted-space"/>
    <w:basedOn w:val="DefaultParagraphFont"/>
    <w:rsid w:val="001B06A1"/>
  </w:style>
  <w:style w:type="paragraph" w:styleId="Title">
    <w:name w:val="Title"/>
    <w:basedOn w:val="Normal"/>
    <w:next w:val="Normal"/>
    <w:link w:val="TitleChar"/>
    <w:uiPriority w:val="10"/>
    <w:qFormat/>
    <w:rsid w:val="001C0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F2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C0F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0F2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698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qFormat/>
    <w:rsid w:val="00F56981"/>
    <w:pPr>
      <w:spacing w:after="0" w:line="240" w:lineRule="auto"/>
    </w:pPr>
    <w:rPr>
      <w:rFonts w:cstheme="minorHAnsi"/>
      <w:sz w:val="18"/>
      <w:szCs w:val="24"/>
    </w:rPr>
  </w:style>
  <w:style w:type="paragraph" w:styleId="NoSpacing">
    <w:name w:val="No Spacing"/>
    <w:uiPriority w:val="1"/>
    <w:qFormat/>
    <w:rsid w:val="00F56981"/>
    <w:pPr>
      <w:spacing w:after="0" w:line="240" w:lineRule="auto"/>
    </w:pPr>
  </w:style>
  <w:style w:type="paragraph" w:styleId="CommentText">
    <w:name w:val="annotation text"/>
    <w:basedOn w:val="Normal"/>
    <w:link w:val="CommentTextChar"/>
    <w:uiPriority w:val="99"/>
    <w:unhideWhenUsed/>
    <w:rsid w:val="00B755A2"/>
    <w:pPr>
      <w:spacing w:after="0" w:line="240" w:lineRule="auto"/>
    </w:pPr>
    <w:rPr>
      <w:sz w:val="16"/>
      <w:szCs w:val="20"/>
    </w:rPr>
  </w:style>
  <w:style w:type="character" w:customStyle="1" w:styleId="CommentTextChar">
    <w:name w:val="Comment Text Char"/>
    <w:basedOn w:val="DefaultParagraphFont"/>
    <w:link w:val="CommentText"/>
    <w:uiPriority w:val="99"/>
    <w:rsid w:val="00B755A2"/>
    <w:rPr>
      <w:sz w:val="16"/>
      <w:szCs w:val="20"/>
    </w:rPr>
  </w:style>
  <w:style w:type="character" w:styleId="FollowedHyperlink">
    <w:name w:val="FollowedHyperlink"/>
    <w:basedOn w:val="DefaultParagraphFont"/>
    <w:uiPriority w:val="99"/>
    <w:semiHidden/>
    <w:unhideWhenUsed/>
    <w:rsid w:val="00F50F1A"/>
    <w:rPr>
      <w:color w:val="800080" w:themeColor="followedHyperlink"/>
      <w:u w:val="single"/>
    </w:rPr>
  </w:style>
  <w:style w:type="paragraph" w:styleId="NormalWeb">
    <w:name w:val="Normal (Web)"/>
    <w:basedOn w:val="Normal"/>
    <w:next w:val="Normal"/>
    <w:uiPriority w:val="99"/>
    <w:rsid w:val="00152B6B"/>
    <w:pPr>
      <w:autoSpaceDE w:val="0"/>
      <w:autoSpaceDN w:val="0"/>
      <w:adjustRightInd w:val="0"/>
      <w:spacing w:after="0" w:line="240" w:lineRule="auto"/>
    </w:pPr>
    <w:rPr>
      <w:rFonts w:ascii="Arial"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81"/>
    <w:rPr>
      <w:sz w:val="20"/>
    </w:rPr>
  </w:style>
  <w:style w:type="paragraph" w:styleId="Heading1">
    <w:name w:val="heading 1"/>
    <w:basedOn w:val="Normal"/>
    <w:next w:val="Normal"/>
    <w:link w:val="Heading1Char"/>
    <w:uiPriority w:val="9"/>
    <w:qFormat/>
    <w:rsid w:val="00F56981"/>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9FC"/>
    <w:rPr>
      <w:color w:val="0000FF" w:themeColor="hyperlink"/>
      <w:u w:val="single"/>
    </w:rPr>
  </w:style>
  <w:style w:type="paragraph" w:styleId="ListParagraph">
    <w:name w:val="List Paragraph"/>
    <w:basedOn w:val="Normal"/>
    <w:uiPriority w:val="34"/>
    <w:qFormat/>
    <w:rsid w:val="003A5A97"/>
    <w:pPr>
      <w:ind w:left="720"/>
      <w:contextualSpacing/>
    </w:pPr>
  </w:style>
  <w:style w:type="paragraph" w:styleId="BalloonText">
    <w:name w:val="Balloon Text"/>
    <w:basedOn w:val="Normal"/>
    <w:link w:val="BalloonTextChar"/>
    <w:uiPriority w:val="99"/>
    <w:semiHidden/>
    <w:unhideWhenUsed/>
    <w:rsid w:val="000C6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0C"/>
    <w:rPr>
      <w:rFonts w:ascii="Tahoma" w:hAnsi="Tahoma" w:cs="Tahoma"/>
      <w:sz w:val="16"/>
      <w:szCs w:val="16"/>
    </w:rPr>
  </w:style>
  <w:style w:type="paragraph" w:styleId="Header">
    <w:name w:val="header"/>
    <w:basedOn w:val="Normal"/>
    <w:link w:val="HeaderChar"/>
    <w:uiPriority w:val="99"/>
    <w:unhideWhenUsed/>
    <w:rsid w:val="007A3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A7"/>
  </w:style>
  <w:style w:type="paragraph" w:styleId="Footer">
    <w:name w:val="footer"/>
    <w:basedOn w:val="Normal"/>
    <w:link w:val="FooterChar"/>
    <w:uiPriority w:val="99"/>
    <w:unhideWhenUsed/>
    <w:rsid w:val="007A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A7"/>
  </w:style>
  <w:style w:type="character" w:customStyle="1" w:styleId="apple-converted-space">
    <w:name w:val="apple-converted-space"/>
    <w:basedOn w:val="DefaultParagraphFont"/>
    <w:rsid w:val="001B06A1"/>
  </w:style>
  <w:style w:type="paragraph" w:styleId="Title">
    <w:name w:val="Title"/>
    <w:basedOn w:val="Normal"/>
    <w:next w:val="Normal"/>
    <w:link w:val="TitleChar"/>
    <w:uiPriority w:val="10"/>
    <w:qFormat/>
    <w:rsid w:val="001C0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F2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C0F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0F2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698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qFormat/>
    <w:rsid w:val="00F56981"/>
    <w:pPr>
      <w:spacing w:after="0" w:line="240" w:lineRule="auto"/>
    </w:pPr>
    <w:rPr>
      <w:rFonts w:cstheme="minorHAnsi"/>
      <w:sz w:val="18"/>
      <w:szCs w:val="24"/>
    </w:rPr>
  </w:style>
  <w:style w:type="paragraph" w:styleId="NoSpacing">
    <w:name w:val="No Spacing"/>
    <w:uiPriority w:val="1"/>
    <w:qFormat/>
    <w:rsid w:val="00F56981"/>
    <w:pPr>
      <w:spacing w:after="0" w:line="240" w:lineRule="auto"/>
    </w:pPr>
  </w:style>
  <w:style w:type="paragraph" w:styleId="CommentText">
    <w:name w:val="annotation text"/>
    <w:basedOn w:val="Normal"/>
    <w:link w:val="CommentTextChar"/>
    <w:uiPriority w:val="99"/>
    <w:unhideWhenUsed/>
    <w:rsid w:val="00B755A2"/>
    <w:pPr>
      <w:spacing w:after="0" w:line="240" w:lineRule="auto"/>
    </w:pPr>
    <w:rPr>
      <w:sz w:val="16"/>
      <w:szCs w:val="20"/>
    </w:rPr>
  </w:style>
  <w:style w:type="character" w:customStyle="1" w:styleId="CommentTextChar">
    <w:name w:val="Comment Text Char"/>
    <w:basedOn w:val="DefaultParagraphFont"/>
    <w:link w:val="CommentText"/>
    <w:uiPriority w:val="99"/>
    <w:rsid w:val="00B755A2"/>
    <w:rPr>
      <w:sz w:val="16"/>
      <w:szCs w:val="20"/>
    </w:rPr>
  </w:style>
  <w:style w:type="character" w:styleId="FollowedHyperlink">
    <w:name w:val="FollowedHyperlink"/>
    <w:basedOn w:val="DefaultParagraphFont"/>
    <w:uiPriority w:val="99"/>
    <w:semiHidden/>
    <w:unhideWhenUsed/>
    <w:rsid w:val="00F50F1A"/>
    <w:rPr>
      <w:color w:val="800080" w:themeColor="followedHyperlink"/>
      <w:u w:val="single"/>
    </w:rPr>
  </w:style>
  <w:style w:type="paragraph" w:styleId="NormalWeb">
    <w:name w:val="Normal (Web)"/>
    <w:basedOn w:val="Normal"/>
    <w:next w:val="Normal"/>
    <w:uiPriority w:val="99"/>
    <w:rsid w:val="00152B6B"/>
    <w:pPr>
      <w:autoSpaceDE w:val="0"/>
      <w:autoSpaceDN w:val="0"/>
      <w:adjustRightInd w:val="0"/>
      <w:spacing w:after="0" w:line="240" w:lineRule="auto"/>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f.vic.gov/investmentmanage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tf.vic.gov.au/CA25713E0002EF43/pages/the-practices-clarify-an-organisation's-roles" TargetMode="External"/><Relationship Id="rId4" Type="http://schemas.openxmlformats.org/officeDocument/2006/relationships/settings" Target="settings.xml"/><Relationship Id="rId9" Type="http://schemas.openxmlformats.org/officeDocument/2006/relationships/hyperlink" Target="http://www.dtf.vic.gov.au/investmen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Facilitator Profile - Deborah Pollett Cube Management Solutions 280812</vt:lpstr>
    </vt:vector>
  </TitlesOfParts>
  <Company>Hewlett-Packard</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 Profile - Deborah Pollett Cube Management Solutions 280812</dc:title>
  <dc:creator>Eldar</dc:creator>
  <dc:description>TRIM Record Number: in TRIM database:PT</dc:description>
  <cp:lastModifiedBy>Elizabeth Ascroft</cp:lastModifiedBy>
  <cp:revision>2</cp:revision>
  <cp:lastPrinted>2012-08-02T06:05:00Z</cp:lastPrinted>
  <dcterms:created xsi:type="dcterms:W3CDTF">2018-02-14T03:05:00Z</dcterms:created>
  <dcterms:modified xsi:type="dcterms:W3CDTF">2018-02-14T03:05:00Z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411fc6e8-fcae-4390-8260-f99ff66c2fec</vt:lpwstr>
  </property>
  <property fmtid="{D5CDD505-2E9C-101B-9397-08002B2CF9AE}" pid="3" name="PSPFClassification">
    <vt:lpwstr>Do Not Mark</vt:lpwstr>
  </property>
</Properties>
</file>