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39" w:rsidRDefault="00771463" w:rsidP="00771463">
      <w:pPr>
        <w:pStyle w:val="Title"/>
      </w:pPr>
      <w:r w:rsidRPr="00771463">
        <w:t>Investment management</w:t>
      </w:r>
    </w:p>
    <w:p w:rsidR="00771463" w:rsidRDefault="00771463" w:rsidP="00840813">
      <w:pPr>
        <w:pStyle w:val="Heading1"/>
      </w:pPr>
      <w:r>
        <w:t>Guidance –</w:t>
      </w:r>
      <w:r w:rsidRPr="00771463">
        <w:t xml:space="preserve"> How many workshops</w:t>
      </w:r>
    </w:p>
    <w:p w:rsidR="00771463" w:rsidRDefault="00771463" w:rsidP="00771463">
      <w:r w:rsidRPr="00771463">
        <w:t>The practices of the Investment Management Standard can be used to shape investment of any size and type - from simple investments of less than $20K to highly complex investments costing billions of dollars. In each case the practices follow the same line of enquiry:</w:t>
      </w:r>
    </w:p>
    <w:p w:rsidR="00771463" w:rsidRDefault="00771463" w:rsidP="00771463">
      <w:r>
        <w:rPr>
          <w:noProof/>
        </w:rPr>
        <mc:AlternateContent>
          <mc:Choice Requires="wpg">
            <w:drawing>
              <wp:inline distT="0" distB="0" distL="0" distR="0">
                <wp:extent cx="5734050" cy="781050"/>
                <wp:effectExtent l="0" t="0" r="19050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781050"/>
                          <a:chOff x="993" y="5023"/>
                          <a:chExt cx="9640" cy="1082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181" y="5535"/>
                            <a:ext cx="32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A5A5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5641" y="5535"/>
                            <a:ext cx="32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A5A5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5023"/>
                            <a:ext cx="2188" cy="1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463" w:rsidRPr="00771463" w:rsidRDefault="00771463" w:rsidP="00493827">
                              <w:pPr>
                                <w:spacing w:before="20" w:after="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71463">
                                <w:rPr>
                                  <w:rFonts w:ascii="Arial" w:hAnsi="Arial" w:cs="Arial"/>
                                </w:rPr>
                                <w:t>What is the problem?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10" y="5023"/>
                            <a:ext cx="2188" cy="1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463" w:rsidRPr="00771463" w:rsidRDefault="00771463" w:rsidP="00493827">
                              <w:pPr>
                                <w:spacing w:before="20" w:after="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71463">
                                <w:rPr>
                                  <w:rFonts w:ascii="Arial" w:hAnsi="Arial" w:cs="Arial"/>
                                </w:rPr>
                                <w:t>What benefits need to be delivered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5023"/>
                            <a:ext cx="2190" cy="1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463" w:rsidRPr="00771463" w:rsidRDefault="00771463" w:rsidP="00493827">
                              <w:pPr>
                                <w:spacing w:before="20" w:after="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71463">
                                <w:rPr>
                                  <w:rFonts w:ascii="Arial" w:hAnsi="Arial" w:cs="Arial"/>
                                </w:rPr>
                                <w:t>What is the preferred strategic response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45" y="5023"/>
                            <a:ext cx="2188" cy="1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463" w:rsidRPr="00771463" w:rsidRDefault="00771463" w:rsidP="00493827">
                              <w:pPr>
                                <w:spacing w:before="20" w:after="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71463">
                                <w:rPr>
                                  <w:rFonts w:ascii="Arial" w:hAnsi="Arial" w:cs="Arial"/>
                                </w:rPr>
                                <w:t>What is the preferred solution?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131" y="5535"/>
                            <a:ext cx="32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A5A5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51.5pt;height:61.5pt;mso-position-horizontal-relative:char;mso-position-vertical-relative:line" coordorigin="993,5023" coordsize="9640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181;top:5535;width: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fXxsEAAADaAAAADwAAAGRycy9kb3ducmV2LnhtbESPwarCMBRE94L/EK7gRjSt8ESrUVQQ&#10;XLjwVT/g2lzbYnNTm6j1780D4S2HmTnDLFatqcSTGldaVhCPIhDEmdUl5wrOp91wCsJ5ZI2VZVLw&#10;JgerZbezwETbF//SM/W5CBB2CSoovK8TKV1WkEE3sjVx8K62MeiDbHKpG3wFuKnkOIom0mDJYaHA&#10;mrYFZbf0YRTkl91sHZl48BPf98eUNwdzHRyU6vfa9RyEp9b/h7/tvVYwhr8r4QbI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59fGwQAAANoAAAAPAAAAAAAAAAAAAAAA&#10;AKECAABkcnMvZG93bnJldi54bWxQSwUGAAAAAAQABAD5AAAAjwMAAAAA&#10;" strokecolor="#5a5a5a" strokeweight="2.25pt">
                  <v:stroke endarrow="block"/>
                </v:shape>
                <v:shape id="AutoShape 4" o:spid="_x0000_s1028" type="#_x0000_t32" style="position:absolute;left:5641;top:5535;width: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tyXcMAAADaAAAADwAAAGRycy9kb3ducmV2LnhtbESPQYvCMBSE74L/IbyFvYhNu6Ks1Si6&#10;IHjwoHV/wLN5tmWbl9pE7f57Iwgeh5n5hpkvO1OLG7WusqwgiWIQxLnVFRcKfo+b4TcI55E11pZJ&#10;wT85WC76vTmm2t75QLfMFyJA2KWooPS+SaV0eUkGXWQb4uCdbWvQB9kWUrd4D3BTy684nkiDFYeF&#10;Ehv6KSn/y65GQXHaTFexSQbj5LLdZ7zemfNgp9TnR7eagfDU+Xf41d5qBSN4Xgk3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rcl3DAAAA2gAAAA8AAAAAAAAAAAAA&#10;AAAAoQIAAGRycy9kb3ducmV2LnhtbFBLBQYAAAAABAAEAPkAAACRAwAAAAA=&#10;" strokecolor="#5a5a5a" strokeweight="2.2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993;top:5023;width:2188;height: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JAMEA&#10;AADaAAAADwAAAGRycy9kb3ducmV2LnhtbESPT2sCMRTE7wW/Q3iCt5q1i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fiQDBAAAA2gAAAA8AAAAAAAAAAAAAAAAAmAIAAGRycy9kb3du&#10;cmV2LnhtbFBLBQYAAAAABAAEAPUAAACGAwAAAAA=&#10;">
                  <v:textbox>
                    <w:txbxContent>
                      <w:p w:rsidR="00771463" w:rsidRPr="00771463" w:rsidRDefault="00771463" w:rsidP="00493827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71463">
                          <w:rPr>
                            <w:rFonts w:ascii="Arial" w:hAnsi="Arial" w:cs="Arial"/>
                          </w:rPr>
                          <w:t>What is the problem?</w:t>
                        </w:r>
                      </w:p>
                    </w:txbxContent>
                  </v:textbox>
                </v:shape>
                <v:shape id="Text Box 6" o:spid="_x0000_s1030" type="#_x0000_t202" style="position:absolute;left:3510;top:5023;width:2188;height: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sm8EA&#10;AADaAAAADwAAAGRycy9kb3ducmV2LnhtbESPT2sCMRTE7wW/Q3iCt5q1o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TLJvBAAAA2gAAAA8AAAAAAAAAAAAAAAAAmAIAAGRycy9kb3du&#10;cmV2LnhtbFBLBQYAAAAABAAEAPUAAACGAwAAAAA=&#10;">
                  <v:textbox>
                    <w:txbxContent>
                      <w:p w:rsidR="00771463" w:rsidRPr="00771463" w:rsidRDefault="00771463" w:rsidP="00493827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71463">
                          <w:rPr>
                            <w:rFonts w:ascii="Arial" w:hAnsi="Arial" w:cs="Arial"/>
                          </w:rPr>
                          <w:t>What benefits need to be delivered</w:t>
                        </w:r>
                      </w:p>
                    </w:txbxContent>
                  </v:textbox>
                </v:shape>
                <v:shape id="Text Box 7" o:spid="_x0000_s1031" type="#_x0000_t202" style="position:absolute;left:5955;top:5023;width:2190;height: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y7MAA&#10;AADaAAAADwAAAGRycy9kb3ducmV2LnhtbESPQWsCMRSE7wX/Q3iCt5rVg5TVKIsi9KJQFc+P5Lm7&#10;unkJSbqu/74pFHocZuYbZrUZbCd6CrF1rGA2LUAQa2darhVczvv3DxAxIRvsHJOCF0XYrEdvKyyN&#10;e/IX9adUiwzhWKKCJiVfShl1Qxbj1Hni7N1csJiyDLU0AZ8Zbjs5L4qFtNhyXmjQ07Yh/Th9WwWH&#10;6rAtjqG3lb/e7h16rXc+KjUZD9USRKIh/Yf/2p9GwQJ+r+Qb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Gy7MAAAADaAAAADwAAAAAAAAAAAAAAAACYAgAAZHJzL2Rvd25y&#10;ZXYueG1sUEsFBgAAAAAEAAQA9QAAAIUDAAAAAA==&#10;">
                  <v:textbox>
                    <w:txbxContent>
                      <w:p w:rsidR="00771463" w:rsidRPr="00771463" w:rsidRDefault="00771463" w:rsidP="00493827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71463">
                          <w:rPr>
                            <w:rFonts w:ascii="Arial" w:hAnsi="Arial" w:cs="Arial"/>
                          </w:rPr>
                          <w:t>What is the preferred strategic response</w:t>
                        </w:r>
                      </w:p>
                    </w:txbxContent>
                  </v:textbox>
                </v:shape>
                <v:shape id="Text Box 8" o:spid="_x0000_s1032" type="#_x0000_t202" style="position:absolute;left:8445;top:5023;width:2188;height: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4mnsEA&#10;AADaAAAADwAAAGRycy9kb3ducmV2LnhtbESPT2sCMRTE7wW/Q3iCt5q1B9HVKItS6MWCf/D8SJ67&#10;q5uXkKTr9ts3hUKPw8z8hllvB9uJnkJsHSuYTQsQxNqZlmsFl/P76wJETMgGO8ek4JsibDejlzWW&#10;xj35SP0p1SJDOJaooEnJl1JG3ZDFOHWeOHs3FyymLEMtTcBnhttOvhXFXFpsOS806GnXkH6cvqyC&#10;Q3XYFZ+ht5W/3u4deq33Pio1GQ/VCkSiIf2H/9ofRsESfq/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eJp7BAAAA2gAAAA8AAAAAAAAAAAAAAAAAmAIAAGRycy9kb3du&#10;cmV2LnhtbFBLBQYAAAAABAAEAPUAAACGAwAAAAA=&#10;">
                  <v:textbox>
                    <w:txbxContent>
                      <w:p w:rsidR="00771463" w:rsidRPr="00771463" w:rsidRDefault="00771463" w:rsidP="00493827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71463">
                          <w:rPr>
                            <w:rFonts w:ascii="Arial" w:hAnsi="Arial" w:cs="Arial"/>
                          </w:rPr>
                          <w:t>What is the preferred solution?</w:t>
                        </w:r>
                      </w:p>
                    </w:txbxContent>
                  </v:textbox>
                </v:shape>
                <v:shape id="AutoShape 9" o:spid="_x0000_s1033" type="#_x0000_t32" style="position:absolute;left:8131;top:5535;width: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s53sQAAADbAAAADwAAAGRycy9kb3ducmV2LnhtbESPQWvCQBCF7wX/wzKCF9FNCi01uooK&#10;ggcPNvYHjNkxCWZnY3ar8d93DkJvM7w3732zWPWuUXfqQu3ZQDpNQBEX3tZcGvg57SZfoEJEtth4&#10;JgNPCrBaDt4WmFn/4G+657FUEsIhQwNVjG2mdSgqchimviUW7eI7h1HWrtS2w4eEu0a/J8mndliz&#10;NFTY0rai4pr/OgPleTdbJy4df6S3/THnzcFdxgdjRsN+PQcVqY//5tf13gq+0MsvMoBe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uznexAAAANsAAAAPAAAAAAAAAAAA&#10;AAAAAKECAABkcnMvZG93bnJldi54bWxQSwUGAAAAAAQABAD5AAAAkgMAAAAA&#10;" strokecolor="#5a5a5a" strokeweight="2.25pt">
                  <v:stroke endarrow="block"/>
                </v:shape>
                <w10:anchorlock/>
              </v:group>
            </w:pict>
          </mc:Fallback>
        </mc:AlternateContent>
      </w:r>
    </w:p>
    <w:p w:rsidR="00771463" w:rsidRDefault="00771463" w:rsidP="00771463">
      <w:r>
        <w:t>However the number of workshops required will be between one and four depending upon the complexity of the potential investment.</w:t>
      </w:r>
    </w:p>
    <w:p w:rsidR="00771463" w:rsidRDefault="00771463" w:rsidP="00771463">
      <w:r>
        <w:t>The factors that affect complexity are:</w:t>
      </w:r>
    </w:p>
    <w:tbl>
      <w:tblPr>
        <w:tblStyle w:val="DTFtexttable"/>
        <w:tblW w:w="0" w:type="auto"/>
        <w:tblLook w:val="0620" w:firstRow="1" w:lastRow="0" w:firstColumn="0" w:lastColumn="0" w:noHBand="1" w:noVBand="1"/>
      </w:tblPr>
      <w:tblGrid>
        <w:gridCol w:w="2410"/>
        <w:gridCol w:w="6647"/>
      </w:tblGrid>
      <w:tr w:rsidR="00771463" w:rsidRPr="00493827" w:rsidTr="00771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</w:tcPr>
          <w:p w:rsidR="00771463" w:rsidRPr="005B72E5" w:rsidRDefault="00771463" w:rsidP="00771463">
            <w:pPr>
              <w:pStyle w:val="Tableheader"/>
            </w:pPr>
            <w:r w:rsidRPr="005B72E5">
              <w:t xml:space="preserve">Cost </w:t>
            </w:r>
          </w:p>
        </w:tc>
        <w:tc>
          <w:tcPr>
            <w:tcW w:w="6647" w:type="dxa"/>
          </w:tcPr>
          <w:p w:rsidR="00771463" w:rsidRPr="005B72E5" w:rsidRDefault="00771463" w:rsidP="00771463">
            <w:pPr>
              <w:pStyle w:val="Tableheader"/>
            </w:pPr>
            <w:r w:rsidRPr="005B72E5">
              <w:t xml:space="preserve">Cost is usually a good proxy of general complexity  </w:t>
            </w:r>
          </w:p>
        </w:tc>
      </w:tr>
      <w:tr w:rsidR="00771463" w:rsidRPr="00493827" w:rsidTr="00771463">
        <w:tc>
          <w:tcPr>
            <w:tcW w:w="2410" w:type="dxa"/>
          </w:tcPr>
          <w:p w:rsidR="00771463" w:rsidRPr="00771463" w:rsidRDefault="00771463" w:rsidP="00771463">
            <w:pPr>
              <w:pStyle w:val="Tabletext"/>
              <w:rPr>
                <w:b/>
              </w:rPr>
            </w:pPr>
            <w:r w:rsidRPr="00771463">
              <w:rPr>
                <w:b/>
              </w:rPr>
              <w:t xml:space="preserve">Solution </w:t>
            </w:r>
          </w:p>
        </w:tc>
        <w:tc>
          <w:tcPr>
            <w:tcW w:w="6647" w:type="dxa"/>
          </w:tcPr>
          <w:p w:rsidR="00771463" w:rsidRPr="005B72E5" w:rsidRDefault="00771463" w:rsidP="00771463">
            <w:pPr>
              <w:pStyle w:val="Tabletext"/>
            </w:pPr>
            <w:r w:rsidRPr="005B72E5">
              <w:t xml:space="preserve">Certainty in some cases (usually very low cost investments) there is a known solution that really can’t be challenged </w:t>
            </w:r>
          </w:p>
        </w:tc>
      </w:tr>
      <w:tr w:rsidR="00771463" w:rsidRPr="00493827" w:rsidTr="00771463">
        <w:tc>
          <w:tcPr>
            <w:tcW w:w="2410" w:type="dxa"/>
          </w:tcPr>
          <w:p w:rsidR="00771463" w:rsidRPr="00771463" w:rsidRDefault="00771463" w:rsidP="00771463">
            <w:pPr>
              <w:pStyle w:val="Tabletext"/>
              <w:rPr>
                <w:b/>
              </w:rPr>
            </w:pPr>
            <w:r w:rsidRPr="00771463">
              <w:rPr>
                <w:b/>
              </w:rPr>
              <w:t xml:space="preserve">Stakeholder complexity </w:t>
            </w:r>
          </w:p>
        </w:tc>
        <w:tc>
          <w:tcPr>
            <w:tcW w:w="6647" w:type="dxa"/>
          </w:tcPr>
          <w:p w:rsidR="00771463" w:rsidRPr="005B72E5" w:rsidRDefault="00771463" w:rsidP="00771463">
            <w:pPr>
              <w:pStyle w:val="Tabletext"/>
            </w:pPr>
            <w:r w:rsidRPr="005B72E5">
              <w:t xml:space="preserve">The number of individual stakeholder groups that will need to be brought along for the ride to ensure the investment is well developed and likely to succeed </w:t>
            </w:r>
          </w:p>
        </w:tc>
      </w:tr>
      <w:tr w:rsidR="00771463" w:rsidRPr="00493827" w:rsidTr="00771463">
        <w:tc>
          <w:tcPr>
            <w:tcW w:w="2410" w:type="dxa"/>
          </w:tcPr>
          <w:p w:rsidR="00771463" w:rsidRPr="00771463" w:rsidRDefault="00771463" w:rsidP="00771463">
            <w:pPr>
              <w:pStyle w:val="Tabletext"/>
              <w:rPr>
                <w:b/>
              </w:rPr>
            </w:pPr>
            <w:r w:rsidRPr="00771463">
              <w:rPr>
                <w:b/>
              </w:rPr>
              <w:t>Public accountability</w:t>
            </w:r>
          </w:p>
        </w:tc>
        <w:tc>
          <w:tcPr>
            <w:tcW w:w="6647" w:type="dxa"/>
          </w:tcPr>
          <w:p w:rsidR="00771463" w:rsidRPr="005B72E5" w:rsidRDefault="00771463" w:rsidP="00771463">
            <w:pPr>
              <w:pStyle w:val="Tabletext"/>
            </w:pPr>
            <w:r w:rsidRPr="005B72E5">
              <w:t xml:space="preserve">The likely ultimate need for public accountability will require that the logic for the investment is well argued and supported by documentary evidence </w:t>
            </w:r>
          </w:p>
        </w:tc>
      </w:tr>
      <w:tr w:rsidR="00771463" w:rsidRPr="005B72E5" w:rsidTr="00771463">
        <w:tc>
          <w:tcPr>
            <w:tcW w:w="2410" w:type="dxa"/>
          </w:tcPr>
          <w:p w:rsidR="00771463" w:rsidRPr="00771463" w:rsidRDefault="00771463" w:rsidP="00771463">
            <w:pPr>
              <w:pStyle w:val="Tabletext"/>
              <w:rPr>
                <w:b/>
              </w:rPr>
            </w:pPr>
            <w:r w:rsidRPr="00771463">
              <w:rPr>
                <w:b/>
              </w:rPr>
              <w:t>Benefit maturity</w:t>
            </w:r>
          </w:p>
        </w:tc>
        <w:tc>
          <w:tcPr>
            <w:tcW w:w="6647" w:type="dxa"/>
          </w:tcPr>
          <w:p w:rsidR="00771463" w:rsidRPr="005B72E5" w:rsidRDefault="00771463" w:rsidP="00771463">
            <w:pPr>
              <w:pStyle w:val="Tabletext"/>
            </w:pPr>
            <w:r w:rsidRPr="005B72E5">
              <w:t xml:space="preserve">The need to define the benefits/KPIs that must be delivered to successfully respond to the problem is pivotal to these practices. While some organisations have well established measurement practices, many don’t. </w:t>
            </w:r>
          </w:p>
        </w:tc>
      </w:tr>
    </w:tbl>
    <w:p w:rsidR="00771463" w:rsidRDefault="00771463" w:rsidP="00771463"/>
    <w:p w:rsidR="00771463" w:rsidRDefault="00771463" w:rsidP="00771463">
      <w:r w:rsidRPr="00771463">
        <w:t>The above table can be used as a guide to determine whether an investment is likely to be Low, Medium or High complexity. Figure 1 provides an indication of the number of workshops required based on the investment complexity.</w:t>
      </w:r>
    </w:p>
    <w:p w:rsidR="00771463" w:rsidRDefault="00771463" w:rsidP="00771463"/>
    <w:tbl>
      <w:tblPr>
        <w:tblStyle w:val="DTFtexttable"/>
        <w:tblW w:w="0" w:type="auto"/>
        <w:tblLook w:val="0620" w:firstRow="1" w:lastRow="0" w:firstColumn="0" w:lastColumn="0" w:noHBand="1" w:noVBand="1"/>
      </w:tblPr>
      <w:tblGrid>
        <w:gridCol w:w="3387"/>
        <w:gridCol w:w="1429"/>
        <w:gridCol w:w="1417"/>
        <w:gridCol w:w="1418"/>
        <w:gridCol w:w="1417"/>
      </w:tblGrid>
      <w:tr w:rsidR="00771463" w:rsidRPr="00493827" w:rsidTr="00771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8" w:type="dxa"/>
            <w:gridSpan w:val="5"/>
          </w:tcPr>
          <w:p w:rsidR="00771463" w:rsidRPr="005B72E5" w:rsidRDefault="00771463" w:rsidP="00771463">
            <w:pPr>
              <w:pStyle w:val="Tableheader"/>
              <w:jc w:val="center"/>
            </w:pPr>
            <w:r w:rsidRPr="005B72E5">
              <w:t>Number of workshops</w:t>
            </w:r>
          </w:p>
        </w:tc>
      </w:tr>
      <w:tr w:rsidR="00771463" w:rsidRPr="005B72E5" w:rsidTr="00771463">
        <w:tc>
          <w:tcPr>
            <w:tcW w:w="3387" w:type="dxa"/>
            <w:shd w:val="clear" w:color="auto" w:fill="D9D9D6" w:themeFill="background2"/>
          </w:tcPr>
          <w:p w:rsidR="00771463" w:rsidRPr="005B72E5" w:rsidRDefault="00771463" w:rsidP="000D6EB0">
            <w:pPr>
              <w:pStyle w:val="FactSheetNormal"/>
              <w:rPr>
                <w:b/>
                <w:sz w:val="22"/>
              </w:rPr>
            </w:pPr>
            <w:r>
              <w:rPr>
                <w:b/>
                <w:sz w:val="22"/>
              </w:rPr>
              <w:t>Investment Complexity</w:t>
            </w:r>
          </w:p>
        </w:tc>
        <w:tc>
          <w:tcPr>
            <w:tcW w:w="1429" w:type="dxa"/>
            <w:shd w:val="clear" w:color="auto" w:fill="D9D9D6" w:themeFill="background2"/>
          </w:tcPr>
          <w:p w:rsidR="00771463" w:rsidRPr="005B72E5" w:rsidRDefault="00771463" w:rsidP="000D6EB0">
            <w:pPr>
              <w:pStyle w:val="FactSheetNormal"/>
              <w:jc w:val="center"/>
              <w:rPr>
                <w:b/>
                <w:sz w:val="22"/>
              </w:rPr>
            </w:pPr>
            <w:r w:rsidRPr="005B72E5">
              <w:rPr>
                <w:b/>
                <w:sz w:val="22"/>
              </w:rPr>
              <w:t>1</w:t>
            </w:r>
          </w:p>
        </w:tc>
        <w:tc>
          <w:tcPr>
            <w:tcW w:w="1417" w:type="dxa"/>
            <w:shd w:val="clear" w:color="auto" w:fill="D9D9D6" w:themeFill="background2"/>
          </w:tcPr>
          <w:p w:rsidR="00771463" w:rsidRPr="005B72E5" w:rsidRDefault="00771463" w:rsidP="000D6EB0">
            <w:pPr>
              <w:pStyle w:val="FactSheetNormal"/>
              <w:jc w:val="center"/>
              <w:rPr>
                <w:b/>
                <w:sz w:val="22"/>
              </w:rPr>
            </w:pPr>
            <w:r w:rsidRPr="005B72E5">
              <w:rPr>
                <w:b/>
                <w:sz w:val="22"/>
              </w:rPr>
              <w:t>2</w:t>
            </w:r>
          </w:p>
        </w:tc>
        <w:tc>
          <w:tcPr>
            <w:tcW w:w="1418" w:type="dxa"/>
            <w:shd w:val="clear" w:color="auto" w:fill="D9D9D6" w:themeFill="background2"/>
          </w:tcPr>
          <w:p w:rsidR="00771463" w:rsidRPr="005B72E5" w:rsidRDefault="00771463" w:rsidP="000D6EB0">
            <w:pPr>
              <w:pStyle w:val="FactSheetNormal"/>
              <w:jc w:val="center"/>
              <w:rPr>
                <w:b/>
                <w:sz w:val="22"/>
              </w:rPr>
            </w:pPr>
            <w:r w:rsidRPr="005B72E5">
              <w:rPr>
                <w:b/>
                <w:sz w:val="22"/>
              </w:rPr>
              <w:t>3</w:t>
            </w:r>
          </w:p>
        </w:tc>
        <w:tc>
          <w:tcPr>
            <w:tcW w:w="1417" w:type="dxa"/>
            <w:shd w:val="clear" w:color="auto" w:fill="D9D9D6" w:themeFill="background2"/>
          </w:tcPr>
          <w:p w:rsidR="00771463" w:rsidRPr="005B72E5" w:rsidRDefault="00771463" w:rsidP="000D6EB0">
            <w:pPr>
              <w:pStyle w:val="FactSheetNormal"/>
              <w:jc w:val="center"/>
              <w:rPr>
                <w:b/>
                <w:sz w:val="22"/>
              </w:rPr>
            </w:pPr>
            <w:r w:rsidRPr="005B72E5">
              <w:rPr>
                <w:b/>
                <w:sz w:val="22"/>
              </w:rPr>
              <w:t>4</w:t>
            </w:r>
          </w:p>
        </w:tc>
      </w:tr>
      <w:tr w:rsidR="00771463" w:rsidRPr="00493827" w:rsidTr="00771463">
        <w:tc>
          <w:tcPr>
            <w:tcW w:w="3387" w:type="dxa"/>
            <w:shd w:val="clear" w:color="auto" w:fill="D9D9D6" w:themeFill="background2"/>
          </w:tcPr>
          <w:p w:rsidR="00771463" w:rsidRPr="005B72E5" w:rsidRDefault="00771463" w:rsidP="000D6EB0">
            <w:pPr>
              <w:pStyle w:val="FactSheetNormal"/>
              <w:rPr>
                <w:b/>
                <w:sz w:val="22"/>
              </w:rPr>
            </w:pPr>
            <w:r w:rsidRPr="005B72E5">
              <w:rPr>
                <w:b/>
                <w:sz w:val="22"/>
              </w:rPr>
              <w:t>Low</w:t>
            </w:r>
          </w:p>
        </w:tc>
        <w:tc>
          <w:tcPr>
            <w:tcW w:w="1429" w:type="dxa"/>
            <w:shd w:val="clear" w:color="auto" w:fill="ABC3DE" w:themeFill="accent3" w:themeFillTint="99"/>
          </w:tcPr>
          <w:p w:rsidR="00771463" w:rsidRPr="005B72E5" w:rsidRDefault="00771463" w:rsidP="00771463">
            <w:pPr>
              <w:pStyle w:val="FactSheetNormal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771463" w:rsidRPr="005B72E5" w:rsidRDefault="00771463" w:rsidP="000D6EB0">
            <w:pPr>
              <w:pStyle w:val="FactSheetNormal"/>
              <w:rPr>
                <w:sz w:val="22"/>
              </w:rPr>
            </w:pPr>
          </w:p>
        </w:tc>
        <w:tc>
          <w:tcPr>
            <w:tcW w:w="1418" w:type="dxa"/>
          </w:tcPr>
          <w:p w:rsidR="00771463" w:rsidRPr="005B72E5" w:rsidRDefault="00771463" w:rsidP="000D6EB0">
            <w:pPr>
              <w:pStyle w:val="FactSheetNormal"/>
              <w:rPr>
                <w:sz w:val="22"/>
              </w:rPr>
            </w:pPr>
          </w:p>
        </w:tc>
        <w:tc>
          <w:tcPr>
            <w:tcW w:w="1417" w:type="dxa"/>
          </w:tcPr>
          <w:p w:rsidR="00771463" w:rsidRPr="005B72E5" w:rsidRDefault="00771463" w:rsidP="000D6EB0">
            <w:pPr>
              <w:pStyle w:val="FactSheetNormal"/>
              <w:rPr>
                <w:sz w:val="22"/>
              </w:rPr>
            </w:pPr>
          </w:p>
        </w:tc>
      </w:tr>
      <w:tr w:rsidR="00771463" w:rsidRPr="00493827" w:rsidTr="00771463">
        <w:tc>
          <w:tcPr>
            <w:tcW w:w="3387" w:type="dxa"/>
            <w:shd w:val="clear" w:color="auto" w:fill="D9D9D6" w:themeFill="background2"/>
          </w:tcPr>
          <w:p w:rsidR="00771463" w:rsidRPr="005B72E5" w:rsidRDefault="00771463" w:rsidP="000D6EB0">
            <w:pPr>
              <w:pStyle w:val="FactSheetNormal"/>
              <w:rPr>
                <w:b/>
                <w:sz w:val="22"/>
              </w:rPr>
            </w:pPr>
            <w:r w:rsidRPr="005B72E5">
              <w:rPr>
                <w:b/>
                <w:sz w:val="22"/>
              </w:rPr>
              <w:t>Medium</w:t>
            </w:r>
          </w:p>
        </w:tc>
        <w:tc>
          <w:tcPr>
            <w:tcW w:w="1429" w:type="dxa"/>
          </w:tcPr>
          <w:p w:rsidR="00771463" w:rsidRPr="005B72E5" w:rsidRDefault="00771463" w:rsidP="000D6EB0">
            <w:pPr>
              <w:pStyle w:val="FactSheetNormal"/>
              <w:rPr>
                <w:sz w:val="22"/>
              </w:rPr>
            </w:pPr>
          </w:p>
        </w:tc>
        <w:tc>
          <w:tcPr>
            <w:tcW w:w="1417" w:type="dxa"/>
            <w:shd w:val="clear" w:color="auto" w:fill="ABC3DE" w:themeFill="accent3" w:themeFillTint="99"/>
          </w:tcPr>
          <w:p w:rsidR="00771463" w:rsidRPr="005B72E5" w:rsidRDefault="00771463" w:rsidP="000D6EB0">
            <w:pPr>
              <w:pStyle w:val="FactSheetNormal"/>
              <w:rPr>
                <w:sz w:val="22"/>
              </w:rPr>
            </w:pPr>
          </w:p>
        </w:tc>
        <w:tc>
          <w:tcPr>
            <w:tcW w:w="1418" w:type="dxa"/>
            <w:shd w:val="clear" w:color="auto" w:fill="ABC3DE" w:themeFill="accent3" w:themeFillTint="99"/>
          </w:tcPr>
          <w:p w:rsidR="00771463" w:rsidRPr="005B72E5" w:rsidRDefault="00771463" w:rsidP="000D6EB0">
            <w:pPr>
              <w:pStyle w:val="FactSheetNormal"/>
              <w:rPr>
                <w:sz w:val="22"/>
              </w:rPr>
            </w:pPr>
          </w:p>
        </w:tc>
        <w:tc>
          <w:tcPr>
            <w:tcW w:w="1417" w:type="dxa"/>
          </w:tcPr>
          <w:p w:rsidR="00771463" w:rsidRPr="005B72E5" w:rsidRDefault="00771463" w:rsidP="000D6EB0">
            <w:pPr>
              <w:pStyle w:val="FactSheetNormal"/>
              <w:rPr>
                <w:sz w:val="22"/>
              </w:rPr>
            </w:pPr>
          </w:p>
        </w:tc>
      </w:tr>
      <w:tr w:rsidR="00771463" w:rsidRPr="00493827" w:rsidTr="00771463">
        <w:tc>
          <w:tcPr>
            <w:tcW w:w="3387" w:type="dxa"/>
            <w:shd w:val="clear" w:color="auto" w:fill="D9D9D6" w:themeFill="background2"/>
          </w:tcPr>
          <w:p w:rsidR="00771463" w:rsidRPr="005B72E5" w:rsidRDefault="00771463" w:rsidP="000D6EB0">
            <w:pPr>
              <w:pStyle w:val="FactSheetNormal"/>
              <w:rPr>
                <w:b/>
                <w:sz w:val="22"/>
              </w:rPr>
            </w:pPr>
            <w:r w:rsidRPr="005B72E5">
              <w:rPr>
                <w:b/>
                <w:sz w:val="22"/>
              </w:rPr>
              <w:t>High</w:t>
            </w:r>
          </w:p>
        </w:tc>
        <w:tc>
          <w:tcPr>
            <w:tcW w:w="1429" w:type="dxa"/>
          </w:tcPr>
          <w:p w:rsidR="00771463" w:rsidRPr="005B72E5" w:rsidRDefault="00771463" w:rsidP="000D6EB0">
            <w:pPr>
              <w:pStyle w:val="FactSheetNormal"/>
              <w:rPr>
                <w:sz w:val="22"/>
              </w:rPr>
            </w:pPr>
          </w:p>
        </w:tc>
        <w:tc>
          <w:tcPr>
            <w:tcW w:w="1417" w:type="dxa"/>
          </w:tcPr>
          <w:p w:rsidR="00771463" w:rsidRPr="005B72E5" w:rsidRDefault="00771463" w:rsidP="000D6EB0">
            <w:pPr>
              <w:pStyle w:val="FactSheetNormal"/>
              <w:rPr>
                <w:sz w:val="22"/>
              </w:rPr>
            </w:pPr>
          </w:p>
        </w:tc>
        <w:tc>
          <w:tcPr>
            <w:tcW w:w="1418" w:type="dxa"/>
            <w:shd w:val="clear" w:color="auto" w:fill="ABC3DE" w:themeFill="accent3" w:themeFillTint="99"/>
          </w:tcPr>
          <w:p w:rsidR="00771463" w:rsidRPr="005B72E5" w:rsidRDefault="00771463" w:rsidP="000D6EB0">
            <w:pPr>
              <w:pStyle w:val="FactSheetNormal"/>
              <w:rPr>
                <w:sz w:val="22"/>
              </w:rPr>
            </w:pPr>
          </w:p>
        </w:tc>
        <w:tc>
          <w:tcPr>
            <w:tcW w:w="1417" w:type="dxa"/>
            <w:shd w:val="clear" w:color="auto" w:fill="ABC3DE" w:themeFill="accent3" w:themeFillTint="99"/>
          </w:tcPr>
          <w:p w:rsidR="00771463" w:rsidRPr="005B72E5" w:rsidRDefault="00771463" w:rsidP="000D6EB0">
            <w:pPr>
              <w:pStyle w:val="FactSheetNormal"/>
              <w:rPr>
                <w:sz w:val="22"/>
              </w:rPr>
            </w:pPr>
          </w:p>
        </w:tc>
      </w:tr>
    </w:tbl>
    <w:p w:rsidR="00771463" w:rsidRDefault="00771463" w:rsidP="00771463"/>
    <w:p w:rsidR="00771463" w:rsidRDefault="00771463">
      <w:pPr>
        <w:spacing w:before="0" w:after="200"/>
      </w:pPr>
      <w:r>
        <w:br w:type="page"/>
      </w:r>
    </w:p>
    <w:p w:rsidR="00771463" w:rsidRDefault="00771463" w:rsidP="00771463">
      <w:pPr>
        <w:pStyle w:val="Heading1"/>
      </w:pPr>
      <w:r>
        <w:lastRenderedPageBreak/>
        <w:t xml:space="preserve">What documents will be produced? </w:t>
      </w:r>
    </w:p>
    <w:p w:rsidR="00771463" w:rsidRDefault="00771463" w:rsidP="00771463">
      <w:r>
        <w:t>The investment management standard can produce four documents when shaping new investments. However the documents that will be produced are dependent upon the workshops that are undertaken. Figure 2 provides some guidance.</w:t>
      </w:r>
    </w:p>
    <w:tbl>
      <w:tblPr>
        <w:tblStyle w:val="DTFtexttable"/>
        <w:tblW w:w="0" w:type="auto"/>
        <w:tblLook w:val="0620" w:firstRow="1" w:lastRow="0" w:firstColumn="0" w:lastColumn="0" w:noHBand="1" w:noVBand="1"/>
      </w:tblPr>
      <w:tblGrid>
        <w:gridCol w:w="2307"/>
        <w:gridCol w:w="1701"/>
        <w:gridCol w:w="1701"/>
        <w:gridCol w:w="1701"/>
        <w:gridCol w:w="1701"/>
      </w:tblGrid>
      <w:tr w:rsidR="00771463" w:rsidRPr="00493827" w:rsidTr="00771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11" w:type="dxa"/>
            <w:gridSpan w:val="5"/>
          </w:tcPr>
          <w:p w:rsidR="00771463" w:rsidRPr="005B72E5" w:rsidRDefault="00771463" w:rsidP="00771463">
            <w:pPr>
              <w:pStyle w:val="Tableheader"/>
              <w:jc w:val="center"/>
              <w:rPr>
                <w:sz w:val="22"/>
              </w:rPr>
            </w:pPr>
            <w:r w:rsidRPr="005B72E5">
              <w:t>Documents produced</w:t>
            </w:r>
          </w:p>
        </w:tc>
      </w:tr>
      <w:tr w:rsidR="00771463" w:rsidRPr="00493827" w:rsidTr="00771463">
        <w:tc>
          <w:tcPr>
            <w:tcW w:w="2307" w:type="dxa"/>
            <w:shd w:val="clear" w:color="auto" w:fill="D9D9D6" w:themeFill="background2"/>
          </w:tcPr>
          <w:p w:rsidR="00771463" w:rsidRPr="00771463" w:rsidRDefault="00771463" w:rsidP="00771463">
            <w:pPr>
              <w:pStyle w:val="Tabletext"/>
              <w:rPr>
                <w:b/>
              </w:rPr>
            </w:pPr>
            <w:r w:rsidRPr="00771463">
              <w:rPr>
                <w:b/>
              </w:rPr>
              <w:t xml:space="preserve">Investment </w:t>
            </w:r>
            <w:r>
              <w:rPr>
                <w:b/>
              </w:rPr>
              <w:br/>
            </w:r>
            <w:r w:rsidRPr="00771463">
              <w:rPr>
                <w:b/>
              </w:rPr>
              <w:t>complexity</w:t>
            </w:r>
          </w:p>
        </w:tc>
        <w:tc>
          <w:tcPr>
            <w:tcW w:w="1701" w:type="dxa"/>
            <w:shd w:val="clear" w:color="auto" w:fill="D9D9D6" w:themeFill="background2"/>
          </w:tcPr>
          <w:p w:rsidR="00771463" w:rsidRPr="00771463" w:rsidRDefault="00771463" w:rsidP="00771463">
            <w:pPr>
              <w:pStyle w:val="Tabletext"/>
              <w:jc w:val="center"/>
              <w:rPr>
                <w:b/>
              </w:rPr>
            </w:pPr>
            <w:r w:rsidRPr="00771463">
              <w:rPr>
                <w:b/>
              </w:rPr>
              <w:t>Investment logic map</w:t>
            </w:r>
          </w:p>
        </w:tc>
        <w:tc>
          <w:tcPr>
            <w:tcW w:w="1701" w:type="dxa"/>
            <w:shd w:val="clear" w:color="auto" w:fill="D9D9D6" w:themeFill="background2"/>
          </w:tcPr>
          <w:p w:rsidR="00771463" w:rsidRPr="00771463" w:rsidRDefault="00771463" w:rsidP="00771463">
            <w:pPr>
              <w:pStyle w:val="Tabletext"/>
              <w:jc w:val="center"/>
              <w:rPr>
                <w:b/>
              </w:rPr>
            </w:pPr>
            <w:r w:rsidRPr="00771463">
              <w:rPr>
                <w:b/>
              </w:rPr>
              <w:t>Benefit management plan</w:t>
            </w:r>
          </w:p>
        </w:tc>
        <w:tc>
          <w:tcPr>
            <w:tcW w:w="1701" w:type="dxa"/>
            <w:shd w:val="clear" w:color="auto" w:fill="D9D9D6" w:themeFill="background2"/>
          </w:tcPr>
          <w:p w:rsidR="00771463" w:rsidRPr="00771463" w:rsidRDefault="00771463" w:rsidP="00771463">
            <w:pPr>
              <w:pStyle w:val="Tabletext"/>
              <w:jc w:val="center"/>
              <w:rPr>
                <w:b/>
              </w:rPr>
            </w:pPr>
            <w:r w:rsidRPr="00771463">
              <w:rPr>
                <w:b/>
              </w:rPr>
              <w:t>Strategic option analysis</w:t>
            </w:r>
          </w:p>
        </w:tc>
        <w:tc>
          <w:tcPr>
            <w:tcW w:w="1701" w:type="dxa"/>
            <w:shd w:val="clear" w:color="auto" w:fill="D9D9D6" w:themeFill="background2"/>
          </w:tcPr>
          <w:p w:rsidR="00771463" w:rsidRPr="00771463" w:rsidRDefault="00771463" w:rsidP="00771463">
            <w:pPr>
              <w:pStyle w:val="Tabletext"/>
              <w:jc w:val="center"/>
              <w:rPr>
                <w:b/>
              </w:rPr>
            </w:pPr>
            <w:r w:rsidRPr="00771463">
              <w:rPr>
                <w:b/>
              </w:rPr>
              <w:t>Investment concept brief</w:t>
            </w:r>
          </w:p>
        </w:tc>
      </w:tr>
      <w:tr w:rsidR="00771463" w:rsidRPr="00493827" w:rsidTr="00771463">
        <w:tc>
          <w:tcPr>
            <w:tcW w:w="2307" w:type="dxa"/>
            <w:shd w:val="clear" w:color="auto" w:fill="D9D9D6" w:themeFill="background2"/>
          </w:tcPr>
          <w:p w:rsidR="00771463" w:rsidRPr="00771463" w:rsidRDefault="00771463" w:rsidP="00771463">
            <w:pPr>
              <w:pStyle w:val="Tabletext"/>
              <w:rPr>
                <w:b/>
              </w:rPr>
            </w:pPr>
            <w:r w:rsidRPr="00771463">
              <w:rPr>
                <w:b/>
              </w:rPr>
              <w:t>Low</w:t>
            </w:r>
          </w:p>
        </w:tc>
        <w:tc>
          <w:tcPr>
            <w:tcW w:w="1701" w:type="dxa"/>
            <w:shd w:val="clear" w:color="auto" w:fill="78BE20"/>
          </w:tcPr>
          <w:p w:rsidR="00771463" w:rsidRPr="00771463" w:rsidRDefault="00771463" w:rsidP="00771463">
            <w:pPr>
              <w:pStyle w:val="Tabletext"/>
              <w:jc w:val="center"/>
            </w:pPr>
            <w:r w:rsidRPr="00771463">
              <w:t>Yes</w:t>
            </w:r>
          </w:p>
        </w:tc>
        <w:tc>
          <w:tcPr>
            <w:tcW w:w="1701" w:type="dxa"/>
            <w:shd w:val="clear" w:color="auto" w:fill="D06767" w:themeFill="accent6" w:themeFillTint="99"/>
          </w:tcPr>
          <w:p w:rsidR="00771463" w:rsidRPr="00771463" w:rsidRDefault="00771463" w:rsidP="00771463">
            <w:pPr>
              <w:pStyle w:val="Tabletext"/>
              <w:jc w:val="center"/>
              <w:rPr>
                <w:color w:val="FFFFFF"/>
              </w:rPr>
            </w:pPr>
            <w:r w:rsidRPr="00771463">
              <w:rPr>
                <w:color w:val="FFFFFF"/>
              </w:rPr>
              <w:t>No</w:t>
            </w:r>
          </w:p>
        </w:tc>
        <w:tc>
          <w:tcPr>
            <w:tcW w:w="1701" w:type="dxa"/>
            <w:shd w:val="clear" w:color="auto" w:fill="D06767" w:themeFill="accent6" w:themeFillTint="99"/>
          </w:tcPr>
          <w:p w:rsidR="00771463" w:rsidRPr="00771463" w:rsidRDefault="00771463" w:rsidP="00771463">
            <w:pPr>
              <w:pStyle w:val="Tabletext"/>
              <w:jc w:val="center"/>
              <w:rPr>
                <w:color w:val="FFFFFF"/>
              </w:rPr>
            </w:pPr>
            <w:r w:rsidRPr="00771463">
              <w:rPr>
                <w:color w:val="FFFFFF"/>
              </w:rPr>
              <w:t>No</w:t>
            </w:r>
          </w:p>
        </w:tc>
        <w:tc>
          <w:tcPr>
            <w:tcW w:w="1701" w:type="dxa"/>
            <w:shd w:val="clear" w:color="auto" w:fill="D06767" w:themeFill="accent6" w:themeFillTint="99"/>
          </w:tcPr>
          <w:p w:rsidR="00771463" w:rsidRPr="00771463" w:rsidRDefault="00771463" w:rsidP="00771463">
            <w:pPr>
              <w:pStyle w:val="Tabletext"/>
              <w:jc w:val="center"/>
              <w:rPr>
                <w:color w:val="FFFFFF"/>
              </w:rPr>
            </w:pPr>
            <w:r w:rsidRPr="00771463">
              <w:rPr>
                <w:color w:val="FFFFFF"/>
              </w:rPr>
              <w:t>No</w:t>
            </w:r>
          </w:p>
        </w:tc>
      </w:tr>
      <w:tr w:rsidR="00771463" w:rsidRPr="00493827" w:rsidTr="00771463">
        <w:tc>
          <w:tcPr>
            <w:tcW w:w="2307" w:type="dxa"/>
            <w:shd w:val="clear" w:color="auto" w:fill="D9D9D6" w:themeFill="background2"/>
          </w:tcPr>
          <w:p w:rsidR="00771463" w:rsidRPr="00771463" w:rsidRDefault="00771463" w:rsidP="00771463">
            <w:pPr>
              <w:pStyle w:val="Tabletext"/>
              <w:rPr>
                <w:b/>
              </w:rPr>
            </w:pPr>
            <w:r w:rsidRPr="00771463">
              <w:rPr>
                <w:b/>
              </w:rPr>
              <w:t>Medium</w:t>
            </w:r>
          </w:p>
        </w:tc>
        <w:tc>
          <w:tcPr>
            <w:tcW w:w="1701" w:type="dxa"/>
            <w:shd w:val="clear" w:color="auto" w:fill="78BE20"/>
          </w:tcPr>
          <w:p w:rsidR="00771463" w:rsidRPr="00771463" w:rsidRDefault="00771463" w:rsidP="00771463">
            <w:pPr>
              <w:pStyle w:val="Tabletext"/>
              <w:jc w:val="center"/>
            </w:pPr>
            <w:r w:rsidRPr="00771463">
              <w:t>Yes</w:t>
            </w:r>
          </w:p>
        </w:tc>
        <w:tc>
          <w:tcPr>
            <w:tcW w:w="1701" w:type="dxa"/>
            <w:shd w:val="clear" w:color="auto" w:fill="F3E500"/>
          </w:tcPr>
          <w:p w:rsidR="00771463" w:rsidRPr="00771463" w:rsidRDefault="00771463" w:rsidP="00771463">
            <w:pPr>
              <w:pStyle w:val="Tabletext"/>
              <w:jc w:val="center"/>
            </w:pPr>
            <w:r w:rsidRPr="00771463">
              <w:t>At least a Benefit map</w:t>
            </w:r>
          </w:p>
        </w:tc>
        <w:tc>
          <w:tcPr>
            <w:tcW w:w="1701" w:type="dxa"/>
            <w:shd w:val="clear" w:color="auto" w:fill="F3E500"/>
          </w:tcPr>
          <w:p w:rsidR="00771463" w:rsidRPr="00771463" w:rsidRDefault="00771463" w:rsidP="00771463">
            <w:pPr>
              <w:pStyle w:val="Tabletext"/>
              <w:jc w:val="center"/>
            </w:pPr>
            <w:r w:rsidRPr="00771463">
              <w:t>Maybe</w:t>
            </w:r>
          </w:p>
        </w:tc>
        <w:tc>
          <w:tcPr>
            <w:tcW w:w="1701" w:type="dxa"/>
            <w:shd w:val="clear" w:color="auto" w:fill="78BE20"/>
          </w:tcPr>
          <w:p w:rsidR="00771463" w:rsidRPr="00771463" w:rsidRDefault="00771463" w:rsidP="00771463">
            <w:pPr>
              <w:pStyle w:val="Tabletext"/>
              <w:jc w:val="center"/>
            </w:pPr>
            <w:r w:rsidRPr="00771463">
              <w:t>Yes</w:t>
            </w:r>
          </w:p>
        </w:tc>
      </w:tr>
      <w:tr w:rsidR="00771463" w:rsidRPr="00493827" w:rsidTr="00771463">
        <w:tc>
          <w:tcPr>
            <w:tcW w:w="2307" w:type="dxa"/>
            <w:shd w:val="clear" w:color="auto" w:fill="D9D9D6" w:themeFill="background2"/>
          </w:tcPr>
          <w:p w:rsidR="00771463" w:rsidRPr="00771463" w:rsidRDefault="00771463" w:rsidP="00771463">
            <w:pPr>
              <w:pStyle w:val="Tabletext"/>
              <w:rPr>
                <w:b/>
              </w:rPr>
            </w:pPr>
            <w:r w:rsidRPr="00771463">
              <w:rPr>
                <w:b/>
              </w:rPr>
              <w:t>High</w:t>
            </w:r>
          </w:p>
        </w:tc>
        <w:tc>
          <w:tcPr>
            <w:tcW w:w="1701" w:type="dxa"/>
            <w:shd w:val="clear" w:color="auto" w:fill="78BE20"/>
          </w:tcPr>
          <w:p w:rsidR="00771463" w:rsidRPr="00771463" w:rsidRDefault="00771463" w:rsidP="00771463">
            <w:pPr>
              <w:pStyle w:val="Tabletext"/>
              <w:jc w:val="center"/>
            </w:pPr>
            <w:r w:rsidRPr="00771463">
              <w:t>Yes</w:t>
            </w:r>
          </w:p>
        </w:tc>
        <w:tc>
          <w:tcPr>
            <w:tcW w:w="1701" w:type="dxa"/>
            <w:shd w:val="clear" w:color="auto" w:fill="78BE20"/>
          </w:tcPr>
          <w:p w:rsidR="00771463" w:rsidRPr="00771463" w:rsidRDefault="00771463" w:rsidP="00771463">
            <w:pPr>
              <w:pStyle w:val="Tabletext"/>
              <w:jc w:val="center"/>
            </w:pPr>
            <w:r w:rsidRPr="00771463">
              <w:t>Yes</w:t>
            </w:r>
          </w:p>
        </w:tc>
        <w:tc>
          <w:tcPr>
            <w:tcW w:w="1701" w:type="dxa"/>
            <w:shd w:val="clear" w:color="auto" w:fill="78BE20"/>
          </w:tcPr>
          <w:p w:rsidR="00771463" w:rsidRPr="00771463" w:rsidRDefault="00771463" w:rsidP="00771463">
            <w:pPr>
              <w:pStyle w:val="Tabletext"/>
              <w:jc w:val="center"/>
            </w:pPr>
            <w:r w:rsidRPr="00771463">
              <w:t>Yes</w:t>
            </w:r>
          </w:p>
        </w:tc>
        <w:tc>
          <w:tcPr>
            <w:tcW w:w="1701" w:type="dxa"/>
            <w:shd w:val="clear" w:color="auto" w:fill="78BE20"/>
          </w:tcPr>
          <w:p w:rsidR="00771463" w:rsidRPr="00771463" w:rsidRDefault="00771463" w:rsidP="00771463">
            <w:pPr>
              <w:pStyle w:val="Tabletext"/>
              <w:jc w:val="center"/>
            </w:pPr>
            <w:r w:rsidRPr="00771463">
              <w:t>Yes</w:t>
            </w:r>
          </w:p>
        </w:tc>
      </w:tr>
    </w:tbl>
    <w:p w:rsidR="00771463" w:rsidRDefault="00771463" w:rsidP="00771463"/>
    <w:p w:rsidR="00771463" w:rsidRDefault="00771463" w:rsidP="00771463"/>
    <w:p w:rsidR="00771463" w:rsidRDefault="00771463" w:rsidP="00771463">
      <w:bookmarkStart w:id="0" w:name="_GoBack"/>
      <w:bookmarkEnd w:id="0"/>
    </w:p>
    <w:sectPr w:rsidR="00771463" w:rsidSect="00F417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63" w:rsidRDefault="00771463" w:rsidP="002D711A">
      <w:pPr>
        <w:spacing w:after="0" w:line="240" w:lineRule="auto"/>
      </w:pPr>
      <w:r>
        <w:separator/>
      </w:r>
    </w:p>
  </w:endnote>
  <w:endnote w:type="continuationSeparator" w:id="0">
    <w:p w:rsidR="00771463" w:rsidRDefault="00771463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AE" w:rsidRDefault="009010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Default="00F417C3" w:rsidP="004669E3">
    <w:pPr>
      <w:pStyle w:val="Spacer"/>
    </w:pPr>
  </w:p>
  <w:p w:rsidR="00F417C3" w:rsidRPr="00C022F9" w:rsidRDefault="00F417C3" w:rsidP="0041689E">
    <w:pPr>
      <w:pStyle w:val="Footer"/>
    </w:pPr>
    <w:r w:rsidRPr="00C022F9">
      <w:rPr>
        <w:b/>
        <w:noProof w:val="0"/>
        <w:color w:val="0063A6" w:themeColor="accent1"/>
      </w:rPr>
      <w:fldChar w:fldCharType="begin"/>
    </w:r>
    <w:r w:rsidRPr="00C022F9">
      <w:rPr>
        <w:b/>
        <w:color w:val="0063A6" w:themeColor="accent1"/>
      </w:rPr>
      <w:instrText xml:space="preserve"> StyleRef “Title” </w:instrText>
    </w:r>
    <w:r w:rsidRPr="00C022F9">
      <w:rPr>
        <w:b/>
        <w:noProof w:val="0"/>
        <w:color w:val="0063A6" w:themeColor="accent1"/>
      </w:rPr>
      <w:fldChar w:fldCharType="separate"/>
    </w:r>
    <w:r w:rsidR="009010AE">
      <w:rPr>
        <w:b/>
        <w:color w:val="0063A6" w:themeColor="accent1"/>
      </w:rPr>
      <w:t>Investment management</w:t>
    </w:r>
    <w:r w:rsidRPr="00C022F9">
      <w:rPr>
        <w:b/>
        <w:color w:val="0063A6" w:themeColor="accent1"/>
      </w:rPr>
      <w:fldChar w:fldCharType="end"/>
    </w:r>
    <w:r w:rsidR="006738C4"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9010AE"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AE" w:rsidRDefault="009010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63" w:rsidRDefault="00771463" w:rsidP="002D711A">
      <w:pPr>
        <w:spacing w:after="0" w:line="240" w:lineRule="auto"/>
      </w:pPr>
      <w:r>
        <w:separator/>
      </w:r>
    </w:p>
  </w:footnote>
  <w:footnote w:type="continuationSeparator" w:id="0">
    <w:p w:rsidR="00771463" w:rsidRDefault="00771463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AE" w:rsidRDefault="009010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Pr="0041689E" w:rsidRDefault="00F417C3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4A831F73" wp14:editId="235A5360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5B3D401F" wp14:editId="57D1D295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AE" w:rsidRDefault="009010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63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5E6C"/>
    <w:rsid w:val="000B29A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A3DD1"/>
    <w:rsid w:val="001C7BAE"/>
    <w:rsid w:val="001D717E"/>
    <w:rsid w:val="001E31FA"/>
    <w:rsid w:val="001E64F6"/>
    <w:rsid w:val="00200BB3"/>
    <w:rsid w:val="00222BEB"/>
    <w:rsid w:val="00225E60"/>
    <w:rsid w:val="00227C39"/>
    <w:rsid w:val="0023202C"/>
    <w:rsid w:val="00236203"/>
    <w:rsid w:val="00245043"/>
    <w:rsid w:val="00257760"/>
    <w:rsid w:val="00292D36"/>
    <w:rsid w:val="00297281"/>
    <w:rsid w:val="002C54E0"/>
    <w:rsid w:val="002D711A"/>
    <w:rsid w:val="002D7336"/>
    <w:rsid w:val="002E3396"/>
    <w:rsid w:val="0031149C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41CA"/>
    <w:rsid w:val="004D3518"/>
    <w:rsid w:val="004D62D6"/>
    <w:rsid w:val="0053416C"/>
    <w:rsid w:val="00541C2F"/>
    <w:rsid w:val="00563527"/>
    <w:rsid w:val="0058124E"/>
    <w:rsid w:val="00584301"/>
    <w:rsid w:val="005875A3"/>
    <w:rsid w:val="005A3416"/>
    <w:rsid w:val="005B27FE"/>
    <w:rsid w:val="005C3E6D"/>
    <w:rsid w:val="005F331D"/>
    <w:rsid w:val="005F61DF"/>
    <w:rsid w:val="006023F9"/>
    <w:rsid w:val="00610559"/>
    <w:rsid w:val="006332F6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91C09"/>
    <w:rsid w:val="006A5B34"/>
    <w:rsid w:val="006A5F5B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71463"/>
    <w:rsid w:val="007834F2"/>
    <w:rsid w:val="00791020"/>
    <w:rsid w:val="007A5F82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0813"/>
    <w:rsid w:val="008411E9"/>
    <w:rsid w:val="0084200F"/>
    <w:rsid w:val="00843B2C"/>
    <w:rsid w:val="008471C4"/>
    <w:rsid w:val="008A4900"/>
    <w:rsid w:val="008D0281"/>
    <w:rsid w:val="008E3C4E"/>
    <w:rsid w:val="008F6D45"/>
    <w:rsid w:val="009010AE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81B44"/>
    <w:rsid w:val="00B9053B"/>
    <w:rsid w:val="00BC3422"/>
    <w:rsid w:val="00C015B9"/>
    <w:rsid w:val="00C022F9"/>
    <w:rsid w:val="00C032EA"/>
    <w:rsid w:val="00C06EB5"/>
    <w:rsid w:val="00C1145F"/>
    <w:rsid w:val="00C637E1"/>
    <w:rsid w:val="00C70D50"/>
    <w:rsid w:val="00C8243E"/>
    <w:rsid w:val="00C907D7"/>
    <w:rsid w:val="00C92338"/>
    <w:rsid w:val="00CA7C3A"/>
    <w:rsid w:val="00CC2DB2"/>
    <w:rsid w:val="00CD0307"/>
    <w:rsid w:val="00CD3D1B"/>
    <w:rsid w:val="00CE62B3"/>
    <w:rsid w:val="00CF7DCA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E26B32"/>
    <w:rsid w:val="00E31444"/>
    <w:rsid w:val="00E407B6"/>
    <w:rsid w:val="00E41EF1"/>
    <w:rsid w:val="00E42942"/>
    <w:rsid w:val="00E468A6"/>
    <w:rsid w:val="00E71BDF"/>
    <w:rsid w:val="00E83CA7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FactSheetNormal">
    <w:name w:val="Fact Sheet Normal"/>
    <w:basedOn w:val="Normal"/>
    <w:rsid w:val="00771463"/>
    <w:pPr>
      <w:spacing w:before="100" w:after="60" w:line="240" w:lineRule="auto"/>
    </w:pPr>
    <w:rPr>
      <w:rFonts w:ascii="Calibri" w:eastAsia="Times New Roman" w:hAnsi="Calibri" w:cs="Calibri"/>
      <w:spacing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FactSheetNormal">
    <w:name w:val="Fact Sheet Normal"/>
    <w:basedOn w:val="Normal"/>
    <w:rsid w:val="00771463"/>
    <w:pPr>
      <w:spacing w:before="100" w:after="60" w:line="240" w:lineRule="auto"/>
    </w:pPr>
    <w:rPr>
      <w:rFonts w:ascii="Calibri" w:eastAsia="Times New Roman" w:hAnsi="Calibri" w:cs="Calibri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BE05-B46F-4A4C-9C0E-67F97956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2017-06-14T04:37:00Z</dcterms:created>
  <dcterms:modified xsi:type="dcterms:W3CDTF">2017-06-14T04:37:00Z</dcterms:modified>
</cp:coreProperties>
</file>