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4C" w:rsidRPr="009E5E0A" w:rsidRDefault="00A40F4C" w:rsidP="00A40F4C">
      <w:pPr>
        <w:pStyle w:val="Header"/>
        <w:rPr>
          <w:rFonts w:asciiTheme="minorHAnsi" w:hAnsiTheme="minorHAnsi" w:cs="Arial"/>
          <w:b/>
        </w:rPr>
      </w:pPr>
      <w:r w:rsidRPr="009E5E0A">
        <w:rPr>
          <w:rFonts w:asciiTheme="minorHAnsi" w:hAnsiTheme="minorHAnsi" w:cs="Arial"/>
          <w:b/>
        </w:rPr>
        <w:t>Community Support Fund</w:t>
      </w:r>
    </w:p>
    <w:p w:rsidR="00E23EBB" w:rsidRPr="009E5E0A" w:rsidRDefault="00E4232D" w:rsidP="002E2F3E">
      <w:pPr>
        <w:pStyle w:val="Header"/>
        <w:spacing w:after="120"/>
        <w:rPr>
          <w:rFonts w:asciiTheme="minorHAnsi" w:hAnsiTheme="minorHAnsi" w:cs="Arial"/>
          <w:b/>
        </w:rPr>
      </w:pPr>
      <w:r w:rsidRPr="009E5E0A">
        <w:rPr>
          <w:rFonts w:asciiTheme="minorHAnsi" w:hAnsiTheme="minorHAnsi" w:cs="Arial"/>
          <w:b/>
        </w:rPr>
        <w:t xml:space="preserve">Expenditure by program </w:t>
      </w:r>
      <w:r w:rsidR="00F340FD" w:rsidRPr="009E5E0A">
        <w:rPr>
          <w:rFonts w:asciiTheme="minorHAnsi" w:hAnsiTheme="minorHAnsi" w:cs="Arial"/>
          <w:b/>
        </w:rPr>
        <w:t>from 1 July 2015 to 30 June 2016</w:t>
      </w:r>
    </w:p>
    <w:tbl>
      <w:tblPr>
        <w:tblW w:w="1037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firstRow="1" w:lastRow="0" w:firstColumn="1" w:lastColumn="0" w:noHBand="0" w:noVBand="0"/>
      </w:tblPr>
      <w:tblGrid>
        <w:gridCol w:w="2581"/>
        <w:gridCol w:w="4536"/>
        <w:gridCol w:w="1417"/>
        <w:gridCol w:w="1843"/>
      </w:tblGrid>
      <w:tr w:rsidR="00F667A2" w:rsidRPr="009E5E0A" w:rsidTr="00D32318">
        <w:trPr>
          <w:cantSplit/>
          <w:tblHeader/>
        </w:trPr>
        <w:tc>
          <w:tcPr>
            <w:tcW w:w="2581" w:type="dxa"/>
            <w:tcBorders>
              <w:top w:val="single" w:sz="4" w:space="0" w:color="auto"/>
              <w:left w:val="single" w:sz="4" w:space="0" w:color="auto"/>
              <w:bottom w:val="single" w:sz="4" w:space="0" w:color="auto"/>
              <w:right w:val="single" w:sz="4" w:space="0" w:color="auto"/>
            </w:tcBorders>
            <w:shd w:val="clear" w:color="auto" w:fill="1665A1"/>
          </w:tcPr>
          <w:p w:rsidR="00F667A2" w:rsidRPr="009E5E0A" w:rsidRDefault="00F667A2" w:rsidP="00A37B61">
            <w:pPr>
              <w:rPr>
                <w:rFonts w:asciiTheme="minorHAnsi" w:hAnsiTheme="minorHAnsi"/>
                <w:color w:val="FFFFFF"/>
              </w:rPr>
            </w:pPr>
            <w:r w:rsidRPr="009E5E0A">
              <w:rPr>
                <w:rFonts w:asciiTheme="minorHAnsi" w:hAnsiTheme="minorHAnsi"/>
                <w:color w:val="FFFFFF"/>
              </w:rPr>
              <w:t>Program name</w:t>
            </w:r>
          </w:p>
        </w:tc>
        <w:tc>
          <w:tcPr>
            <w:tcW w:w="4536" w:type="dxa"/>
            <w:tcBorders>
              <w:top w:val="single" w:sz="4" w:space="0" w:color="auto"/>
              <w:left w:val="single" w:sz="4" w:space="0" w:color="auto"/>
              <w:bottom w:val="single" w:sz="4" w:space="0" w:color="auto"/>
              <w:right w:val="single" w:sz="4" w:space="0" w:color="auto"/>
            </w:tcBorders>
            <w:shd w:val="clear" w:color="auto" w:fill="1665A1"/>
          </w:tcPr>
          <w:p w:rsidR="00F667A2" w:rsidRPr="009E5E0A" w:rsidRDefault="00F667A2" w:rsidP="00A37B61">
            <w:pPr>
              <w:rPr>
                <w:rFonts w:asciiTheme="minorHAnsi" w:hAnsiTheme="minorHAnsi"/>
                <w:color w:val="FFFFFF"/>
              </w:rPr>
            </w:pPr>
            <w:r w:rsidRPr="009E5E0A">
              <w:rPr>
                <w:rFonts w:asciiTheme="minorHAnsi" w:hAnsiTheme="minorHAnsi"/>
                <w:color w:val="FFFFFF"/>
              </w:rPr>
              <w:t>Program description and links</w:t>
            </w:r>
          </w:p>
        </w:tc>
        <w:tc>
          <w:tcPr>
            <w:tcW w:w="1417" w:type="dxa"/>
            <w:tcBorders>
              <w:top w:val="single" w:sz="4" w:space="0" w:color="auto"/>
              <w:left w:val="single" w:sz="4" w:space="0" w:color="auto"/>
              <w:bottom w:val="single" w:sz="4" w:space="0" w:color="auto"/>
              <w:right w:val="single" w:sz="4" w:space="0" w:color="auto"/>
            </w:tcBorders>
            <w:shd w:val="clear" w:color="auto" w:fill="1665A1"/>
          </w:tcPr>
          <w:p w:rsidR="00F667A2" w:rsidRPr="009E5E0A" w:rsidRDefault="00F667A2" w:rsidP="00A37B61">
            <w:pPr>
              <w:rPr>
                <w:rFonts w:asciiTheme="minorHAnsi" w:hAnsiTheme="minorHAnsi"/>
                <w:color w:val="FFFFFF"/>
              </w:rPr>
            </w:pPr>
            <w:r w:rsidRPr="009E5E0A">
              <w:rPr>
                <w:rFonts w:asciiTheme="minorHAnsi" w:hAnsiTheme="minorHAnsi"/>
                <w:color w:val="FFFFFF"/>
              </w:rPr>
              <w:t>Portfolio</w:t>
            </w:r>
          </w:p>
        </w:tc>
        <w:tc>
          <w:tcPr>
            <w:tcW w:w="1843" w:type="dxa"/>
            <w:tcBorders>
              <w:top w:val="single" w:sz="4" w:space="0" w:color="auto"/>
              <w:left w:val="single" w:sz="4" w:space="0" w:color="auto"/>
              <w:bottom w:val="single" w:sz="4" w:space="0" w:color="auto"/>
              <w:right w:val="single" w:sz="4" w:space="0" w:color="auto"/>
            </w:tcBorders>
            <w:shd w:val="clear" w:color="auto" w:fill="1665A1"/>
          </w:tcPr>
          <w:p w:rsidR="00F667A2" w:rsidRPr="009E5E0A" w:rsidRDefault="00F667A2" w:rsidP="00A37B61">
            <w:pPr>
              <w:jc w:val="center"/>
              <w:rPr>
                <w:rFonts w:asciiTheme="minorHAnsi" w:hAnsiTheme="minorHAnsi"/>
                <w:color w:val="FFFFFF"/>
                <w:highlight w:val="yellow"/>
              </w:rPr>
            </w:pPr>
            <w:r w:rsidRPr="009E5E0A">
              <w:rPr>
                <w:rFonts w:asciiTheme="minorHAnsi" w:hAnsiTheme="minorHAnsi"/>
                <w:color w:val="FFFFFF"/>
              </w:rPr>
              <w:t>$</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D520E7">
            <w:pPr>
              <w:rPr>
                <w:rFonts w:asciiTheme="minorHAnsi" w:hAnsiTheme="minorHAnsi"/>
              </w:rPr>
            </w:pPr>
            <w:r w:rsidRPr="009E5E0A">
              <w:rPr>
                <w:rFonts w:asciiTheme="minorHAnsi" w:hAnsiTheme="minorHAnsi"/>
              </w:rPr>
              <w:t>Victorian Responsible Gambling Foundation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D520E7">
            <w:pPr>
              <w:rPr>
                <w:rFonts w:asciiTheme="minorHAnsi" w:hAnsiTheme="minorHAnsi"/>
              </w:rPr>
            </w:pPr>
            <w:r w:rsidRPr="009E5E0A">
              <w:rPr>
                <w:rFonts w:asciiTheme="minorHAnsi" w:hAnsiTheme="minorHAnsi"/>
              </w:rPr>
              <w:t>The Foundation is a statutory authority with the objectives of reducing the prevalence of problem gambling and the severity of harm related to gambling, and of fostering responsible gambling.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D520E7">
            <w:pPr>
              <w:rPr>
                <w:rFonts w:asciiTheme="minorHAnsi" w:hAnsiTheme="minorHAnsi"/>
              </w:rPr>
            </w:pPr>
            <w:r w:rsidRPr="009E5E0A">
              <w:rPr>
                <w:rFonts w:asciiTheme="minorHAnsi" w:hAnsiTheme="minorHAnsi"/>
              </w:rPr>
              <w:t>Gaming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E92090" w:rsidP="00F340FD">
            <w:pPr>
              <w:jc w:val="right"/>
              <w:rPr>
                <w:rFonts w:asciiTheme="minorHAnsi" w:hAnsiTheme="minorHAnsi"/>
              </w:rPr>
            </w:pPr>
            <w:r w:rsidRPr="009E5E0A">
              <w:rPr>
                <w:rFonts w:asciiTheme="minorHAnsi" w:hAnsiTheme="minorHAnsi"/>
              </w:rPr>
              <w:t>2 359 </w:t>
            </w:r>
            <w:r w:rsidR="00F340FD" w:rsidRPr="009E5E0A">
              <w:rPr>
                <w:rFonts w:asciiTheme="minorHAnsi" w:hAnsiTheme="minorHAnsi"/>
              </w:rPr>
              <w:t xml:space="preserve">800.00 </w:t>
            </w:r>
          </w:p>
        </w:tc>
      </w:tr>
      <w:tr w:rsidR="00F340FD" w:rsidRPr="009E5E0A" w:rsidTr="005172AA">
        <w:trPr>
          <w:cantSplit/>
        </w:trPr>
        <w:tc>
          <w:tcPr>
            <w:tcW w:w="2581" w:type="dxa"/>
            <w:tcBorders>
              <w:top w:val="single" w:sz="4" w:space="0" w:color="auto"/>
              <w:left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Victorian Responsible Gambling Foundation 2015</w:t>
            </w:r>
            <w:r w:rsidRPr="009E5E0A">
              <w:rPr>
                <w:rFonts w:asciiTheme="minorHAnsi" w:hAnsiTheme="minorHAnsi"/>
              </w:rPr>
              <w:noBreakHyphen/>
              <w:t>16 to 2018</w:t>
            </w:r>
            <w:r w:rsidRPr="009E5E0A">
              <w:rPr>
                <w:rFonts w:asciiTheme="minorHAnsi" w:hAnsiTheme="minorHAnsi"/>
              </w:rPr>
              <w:noBreakHyphen/>
              <w:t>19</w:t>
            </w:r>
          </w:p>
        </w:tc>
        <w:tc>
          <w:tcPr>
            <w:tcW w:w="4536" w:type="dxa"/>
            <w:tcBorders>
              <w:top w:val="single" w:sz="4" w:space="0" w:color="auto"/>
              <w:left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The Foundation is a statutory authority with the objectives of reducing the prevalence of problem gambling and the severity of harm related to gambling, and of fostering responsible gambling.</w:t>
            </w:r>
          </w:p>
        </w:tc>
        <w:tc>
          <w:tcPr>
            <w:tcW w:w="1417" w:type="dxa"/>
            <w:tcBorders>
              <w:top w:val="single" w:sz="4" w:space="0" w:color="auto"/>
              <w:left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Gaming</w:t>
            </w:r>
          </w:p>
        </w:tc>
        <w:tc>
          <w:tcPr>
            <w:tcW w:w="1843" w:type="dxa"/>
            <w:tcBorders>
              <w:top w:val="single" w:sz="4" w:space="0" w:color="auto"/>
              <w:left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34 215 000.00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Alcohol and Other Drugs Strategy – Treatment Services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This funding pr</w:t>
            </w:r>
            <w:bookmarkStart w:id="0" w:name="_GoBack"/>
            <w:bookmarkEnd w:id="0"/>
            <w:r w:rsidRPr="009E5E0A">
              <w:rPr>
                <w:rFonts w:asciiTheme="minorHAnsi" w:hAnsiTheme="minorHAnsi"/>
              </w:rPr>
              <w:t>ovides for a range of services under the Drug Prevention and Control and Drug Treatment an</w:t>
            </w:r>
            <w:r w:rsidR="00D07E39" w:rsidRPr="009E5E0A">
              <w:rPr>
                <w:rFonts w:asciiTheme="minorHAnsi" w:hAnsiTheme="minorHAnsi"/>
              </w:rPr>
              <w:t>d Rehabilitation outputs in 2015 16</w:t>
            </w:r>
            <w:r w:rsidRPr="009E5E0A">
              <w:rPr>
                <w:rFonts w:asciiTheme="minorHAnsi" w:hAnsiTheme="minorHAnsi"/>
              </w:rPr>
              <w:t>. These include education, prevention, early intervention, treatment and support programs and activities, and targeted services for homeless, youth, forensic, Aboriginal and CALD population groups. Services are delivered both in the community and residential treatment settings.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Health</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40 000 000.00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 xml:space="preserve">Aquatic Access / Better Pools – DHHS (Formerly DTPLI)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This initiative forms part of the ‘Go For Your Life’ strategy. It contributes to community aquatic recreation projects that increase participation and/or improve access to aquatic based sport and recreation activities, particularly in disadvantaged areas. Projects supported include new major aquatic centres and the redevelopment of existing swimming pools.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Sport and Recreation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500 000.00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 xml:space="preserve">Community Commitments – DHHS (Formerly DTPLI)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 xml:space="preserve">This initiative responds to community sport and recreation needs by building and upgrading sports facilities; providing accessible, high quality facilities and building healthy, active communities for all Victorians.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Sport and Recreation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231 500.00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Community Facility Funding Program 2011</w:t>
            </w:r>
            <w:r w:rsidRPr="009E5E0A">
              <w:rPr>
                <w:rFonts w:asciiTheme="minorHAnsi" w:hAnsiTheme="minorHAnsi"/>
              </w:rPr>
              <w:noBreakHyphen/>
              <w:t>12 – DHHS (Formerly DTPLI)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cs="Calibri"/>
                <w:color w:val="000000"/>
              </w:rPr>
            </w:pPr>
            <w:r w:rsidRPr="009E5E0A">
              <w:rPr>
                <w:rFonts w:asciiTheme="minorHAnsi" w:hAnsiTheme="minorHAnsi" w:cs="Calibri"/>
                <w:color w:val="000000"/>
              </w:rPr>
              <w:t>This initiative contributes to community sport and recreation projects that increase participation and/or improve access to sport and recreation activities.  Projects supported include sporting facility developments and improvements, including but not limited to aquatic leisure centre developments, multi-purpose indoor stadiums, sports pavilions, playing surfaces, youth recreation facilities, and planning initiatives.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Sport and Recreation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200 000.00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Community Facility Funding Program 2012</w:t>
            </w:r>
            <w:r w:rsidRPr="009E5E0A">
              <w:rPr>
                <w:rFonts w:asciiTheme="minorHAnsi" w:hAnsiTheme="minorHAnsi"/>
              </w:rPr>
              <w:noBreakHyphen/>
              <w:t>13 to 2014</w:t>
            </w:r>
            <w:r w:rsidRPr="009E5E0A">
              <w:rPr>
                <w:rFonts w:asciiTheme="minorHAnsi" w:hAnsiTheme="minorHAnsi"/>
              </w:rPr>
              <w:noBreakHyphen/>
              <w:t>15 – DHHS (Formerly DTPLI)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This program aims to increase participation in sport and recreation and to address a shortfall in the quantity, quality and range of community sport and recreation facilities across Victorian communities.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Sport and Recreation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400 000.00</w:t>
            </w:r>
          </w:p>
        </w:tc>
      </w:tr>
      <w:tr w:rsidR="00F340FD" w:rsidRPr="009E5E0A" w:rsidTr="005172AA">
        <w:trPr>
          <w:cantSplit/>
        </w:trPr>
        <w:tc>
          <w:tcPr>
            <w:tcW w:w="2581" w:type="dxa"/>
            <w:tcBorders>
              <w:top w:val="single" w:sz="4" w:space="0" w:color="auto"/>
              <w:left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lastRenderedPageBreak/>
              <w:t>Community Facility Funding Program 2013</w:t>
            </w:r>
            <w:r w:rsidRPr="009E5E0A">
              <w:rPr>
                <w:rFonts w:asciiTheme="minorHAnsi" w:hAnsiTheme="minorHAnsi"/>
              </w:rPr>
              <w:noBreakHyphen/>
              <w:t>14 to 2015</w:t>
            </w:r>
            <w:r w:rsidRPr="009E5E0A">
              <w:rPr>
                <w:rFonts w:asciiTheme="minorHAnsi" w:hAnsiTheme="minorHAnsi"/>
              </w:rPr>
              <w:noBreakHyphen/>
              <w:t xml:space="preserve">16 – DHHS (Formerly DTPLI) </w:t>
            </w:r>
          </w:p>
        </w:tc>
        <w:tc>
          <w:tcPr>
            <w:tcW w:w="4536" w:type="dxa"/>
            <w:tcBorders>
              <w:top w:val="single" w:sz="4" w:space="0" w:color="auto"/>
              <w:left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This program aims to increase participation in sport and recreation and to address a shortfall in the quantity, quality and range of community sport and recreation facilities across Victorian communities.</w:t>
            </w:r>
          </w:p>
        </w:tc>
        <w:tc>
          <w:tcPr>
            <w:tcW w:w="1417" w:type="dxa"/>
            <w:tcBorders>
              <w:top w:val="single" w:sz="4" w:space="0" w:color="auto"/>
              <w:left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Sport and Recreation</w:t>
            </w:r>
          </w:p>
        </w:tc>
        <w:tc>
          <w:tcPr>
            <w:tcW w:w="1843" w:type="dxa"/>
            <w:tcBorders>
              <w:top w:val="single" w:sz="4" w:space="0" w:color="auto"/>
              <w:left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2 780 000.00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Community Facility Funding Program 2014</w:t>
            </w:r>
            <w:r w:rsidRPr="009E5E0A">
              <w:rPr>
                <w:rFonts w:asciiTheme="minorHAnsi" w:hAnsiTheme="minorHAnsi"/>
              </w:rPr>
              <w:noBreakHyphen/>
              <w:t>15 to 2016</w:t>
            </w:r>
            <w:r w:rsidRPr="009E5E0A">
              <w:rPr>
                <w:rFonts w:asciiTheme="minorHAnsi" w:hAnsiTheme="minorHAnsi"/>
              </w:rPr>
              <w:noBreakHyphen/>
              <w:t>17 – DHHS (Formerly DTPLI)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This program aims to increase participation in sport and recreation and to address a shortfall in the quantity, quality and range of community sport and recreation facilities across Victorian communities.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Sport and Recreation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10 748 000.00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Community Facility Funding Program 2015</w:t>
            </w:r>
            <w:r w:rsidRPr="009E5E0A">
              <w:rPr>
                <w:rFonts w:asciiTheme="minorHAnsi" w:hAnsiTheme="minorHAnsi"/>
              </w:rPr>
              <w:noBreakHyphen/>
              <w:t>16 – DHHS (Formerly DTPLI)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 xml:space="preserve">This program aims to increase participation in sports and recreation and to address a shortfall in the quantity, quality and range of community sport and recreation facilities in Victorian communities.  This includes leisure centres, indoor stadiums, pavilions, </w:t>
            </w:r>
            <w:r w:rsidR="0067448E" w:rsidRPr="009E5E0A">
              <w:rPr>
                <w:rFonts w:asciiTheme="minorHAnsi" w:hAnsiTheme="minorHAnsi"/>
              </w:rPr>
              <w:t xml:space="preserve">and </w:t>
            </w:r>
            <w:r w:rsidRPr="009E5E0A">
              <w:rPr>
                <w:rFonts w:asciiTheme="minorHAnsi" w:hAnsiTheme="minorHAnsi"/>
              </w:rPr>
              <w:t>flood lights.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Sport and Recreation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9 974 000.00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Community Sports Grants – DHHS (Formerly DTPLI)</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There are two categories available in this initiative, Planning and Building Community Infrastructure. This initiative helps to provide high quality, accessible community facilities across Victoria, that increases participation and improves access to sport and recreation facilities</w:t>
            </w:r>
            <w:r w:rsidR="00E73629" w:rsidRPr="009E5E0A">
              <w:rPr>
                <w:rFonts w:asciiTheme="minorHAnsi" w:hAnsiTheme="minorHAnsi"/>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Sport and Recreation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922 000.00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 xml:space="preserve">Extending Support for Soccer Facilities Program – DHHS (Formerly DTPLI)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 xml:space="preserve">The objective of the program is to ensure that all Victorian municipalities have the appropriate facilities to develop soccer participation, including developing facilities, particularly where a club is not already in existence.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Sport and Recreation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150 000.00</w:t>
            </w:r>
          </w:p>
        </w:tc>
      </w:tr>
      <w:tr w:rsidR="00F340FD" w:rsidRPr="009E5E0A" w:rsidTr="005172AA">
        <w:trPr>
          <w:cantSplit/>
        </w:trPr>
        <w:tc>
          <w:tcPr>
            <w:tcW w:w="2581" w:type="dxa"/>
            <w:tcBorders>
              <w:top w:val="single" w:sz="4" w:space="0" w:color="auto"/>
              <w:left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PilchConnect - Supporting Community Organisations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lang w:val="en-GB"/>
              </w:rPr>
            </w:pPr>
            <w:r w:rsidRPr="009E5E0A">
              <w:rPr>
                <w:rFonts w:asciiTheme="minorHAnsi" w:hAnsiTheme="minorHAnsi"/>
                <w:lang w:val="en-GB"/>
              </w:rPr>
              <w:t xml:space="preserve">PilchConnect is a service that provides free or low-cost support to not-for-profit community organisations on a range of legal and regulatory issues.  This initiative provides funding towards the operations of PilchConnect from 2012-13 to 2015-16.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Community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300 000.00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Social Traders 2012-13 to 2014-15 Supporting Development of Social Traders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spacing w:before="0" w:after="0"/>
              <w:rPr>
                <w:rFonts w:asciiTheme="minorHAnsi" w:hAnsiTheme="minorHAnsi"/>
              </w:rPr>
            </w:pPr>
            <w:r w:rsidRPr="009E5E0A">
              <w:rPr>
                <w:rFonts w:asciiTheme="minorHAnsi" w:hAnsiTheme="minorHAnsi"/>
              </w:rPr>
              <w:t>This program will increase the number and commercial viability of social enterprises across</w:t>
            </w:r>
          </w:p>
          <w:p w:rsidR="00F340FD" w:rsidRPr="009E5E0A" w:rsidRDefault="00F340FD" w:rsidP="007B62CF">
            <w:pPr>
              <w:spacing w:before="0"/>
              <w:rPr>
                <w:rFonts w:asciiTheme="minorHAnsi" w:hAnsiTheme="minorHAnsi"/>
              </w:rPr>
            </w:pPr>
            <w:r w:rsidRPr="009E5E0A">
              <w:rPr>
                <w:rFonts w:asciiTheme="minorHAnsi" w:hAnsiTheme="minorHAnsi"/>
              </w:rPr>
              <w:t xml:space="preserve">Victoria. It will provide social enterprises with business development support, analysis of market opportunities and seed funding.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Community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949 000.00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Community Support and Recreational Sports Package - DHHS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The program will support community service organisations to participate fully in delivering the Victorian Government’s drive to more effective service delivery that focusses on improving outcomes for vulnerable Victorians, building stronger communities and supporting families.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Community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286 658.00</w:t>
            </w:r>
          </w:p>
        </w:tc>
      </w:tr>
      <w:tr w:rsidR="00F340FD"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lastRenderedPageBreak/>
              <w:t>Children and Youth Area Partnerships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FA3F61">
            <w:pPr>
              <w:rPr>
                <w:rFonts w:asciiTheme="minorHAnsi" w:hAnsiTheme="minorHAnsi" w:cstheme="minorHAnsi"/>
                <w:szCs w:val="20"/>
                <w:lang w:eastAsia="en-US"/>
              </w:rPr>
            </w:pPr>
            <w:r w:rsidRPr="009E5E0A">
              <w:rPr>
                <w:rFonts w:asciiTheme="minorHAnsi" w:hAnsiTheme="minorHAnsi"/>
              </w:rPr>
              <w:t>Children and Youth Area Partnerships (Area Partnerships) is a Victorian Government initiative to improve outcomes for vulnerable children, young people and their families at the local level.  Area Partnerships bring together representatives in a local area from Commonwealth, State and local governments, the community sector and the broader community, who are most able to impact the outcomes for children and young people.</w:t>
            </w:r>
            <w:r w:rsidRPr="009E5E0A">
              <w:rPr>
                <w:rFonts w:asciiTheme="minorHAnsi" w:hAnsiTheme="minorHAnsi" w:cstheme="minorHAnsi"/>
                <w:szCs w:val="20"/>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rPr>
                <w:rFonts w:asciiTheme="minorHAnsi" w:hAnsiTheme="minorHAnsi"/>
              </w:rPr>
            </w:pPr>
            <w:r w:rsidRPr="009E5E0A">
              <w:rPr>
                <w:rFonts w:asciiTheme="minorHAnsi" w:hAnsiTheme="minorHAnsi"/>
              </w:rPr>
              <w:t>Community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40FD" w:rsidRPr="009E5E0A" w:rsidRDefault="00F340FD" w:rsidP="007B62CF">
            <w:pPr>
              <w:jc w:val="right"/>
              <w:rPr>
                <w:rFonts w:asciiTheme="minorHAnsi" w:hAnsiTheme="minorHAnsi"/>
              </w:rPr>
            </w:pPr>
            <w:r w:rsidRPr="009E5E0A">
              <w:rPr>
                <w:rFonts w:asciiTheme="minorHAnsi" w:hAnsiTheme="minorHAnsi"/>
              </w:rPr>
              <w:t>468 032.00</w:t>
            </w:r>
          </w:p>
        </w:tc>
      </w:tr>
      <w:tr w:rsidR="00EA462B"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Community Renewal</w:t>
            </w:r>
          </w:p>
          <w:p w:rsidR="00EA462B" w:rsidRPr="009E5E0A" w:rsidRDefault="00EA462B" w:rsidP="007B62CF">
            <w:pPr>
              <w:rPr>
                <w:rFonts w:asciiTheme="minorHAnsi" w:hAnsiTheme="minorHAnsi"/>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 xml:space="preserve">This place-based initiative enables residents, businesses, government and local organisations to come together to transform their community into a place of opportunity and activity. Community Renewal supports communities in urban neighbourhoods that are experiencing rapid change. It asks residents to make choices about how best to achieve new upgraded facilities and infrastructure,  ongoing community participation in local decision-making, new job and learning opportunities, and neighbourhood volunteering.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Community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jc w:val="right"/>
              <w:rPr>
                <w:rFonts w:asciiTheme="minorHAnsi" w:hAnsiTheme="minorHAnsi"/>
              </w:rPr>
            </w:pPr>
            <w:r w:rsidRPr="009E5E0A">
              <w:rPr>
                <w:rFonts w:asciiTheme="minorHAnsi" w:hAnsiTheme="minorHAnsi"/>
              </w:rPr>
              <w:t>71 816.72</w:t>
            </w:r>
          </w:p>
        </w:tc>
      </w:tr>
      <w:tr w:rsidR="00EA462B"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Pre-commitment Implementation Project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cs="Calibri"/>
                <w:color w:val="000000"/>
              </w:rPr>
            </w:pPr>
            <w:r w:rsidRPr="009E5E0A">
              <w:rPr>
                <w:rFonts w:asciiTheme="minorHAnsi" w:hAnsiTheme="minorHAnsi" w:cs="Calibri"/>
                <w:color w:val="000000"/>
              </w:rPr>
              <w:t>The Victorian Government is committed to implementing a voluntary Pre-commitment scheme for Victorian electronic gaming machines. The policy objectives for the scheme are to minimise harm by providing a tool to assist players to control their gambling and avoid escalation into harmful levels.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Gaming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jc w:val="right"/>
              <w:rPr>
                <w:rFonts w:asciiTheme="minorHAnsi" w:hAnsiTheme="minorHAnsi"/>
              </w:rPr>
            </w:pPr>
            <w:r w:rsidRPr="009E5E0A">
              <w:rPr>
                <w:rFonts w:asciiTheme="minorHAnsi" w:hAnsiTheme="minorHAnsi"/>
              </w:rPr>
              <w:t>1 202 271.08</w:t>
            </w:r>
          </w:p>
        </w:tc>
      </w:tr>
      <w:tr w:rsidR="00EA462B"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Pre-commitment Information Program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This program is to encourage an understanding of how pre-commitment works and encourage players to join the pre-commitment scheme.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Gaming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jc w:val="right"/>
              <w:rPr>
                <w:rFonts w:asciiTheme="minorHAnsi" w:hAnsiTheme="minorHAnsi"/>
              </w:rPr>
            </w:pPr>
            <w:r w:rsidRPr="009E5E0A">
              <w:rPr>
                <w:rFonts w:asciiTheme="minorHAnsi" w:hAnsiTheme="minorHAnsi"/>
              </w:rPr>
              <w:t>1 500 000.00</w:t>
            </w:r>
          </w:p>
        </w:tc>
      </w:tr>
      <w:tr w:rsidR="00EA462B"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Community Commitments – Formerly DoJ</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 xml:space="preserve">This particular program will support the Point Lonsdale Surf Life Saving Club in the provision of life saving services to the community through the design, planning and building of a new Surf Life Saving clubhouse. </w:t>
            </w:r>
          </w:p>
          <w:p w:rsidR="00EA462B" w:rsidRPr="009E5E0A" w:rsidRDefault="00EA462B" w:rsidP="007B62CF">
            <w:pPr>
              <w:rPr>
                <w:rFonts w:asciiTheme="minorHAnsi" w:hAnsiTheme="minorHAnsi"/>
              </w:rPr>
            </w:pPr>
            <w:r w:rsidRPr="009E5E0A">
              <w:rPr>
                <w:rFonts w:asciiTheme="minorHAnsi" w:hAnsiTheme="minorHAnsi"/>
              </w:rPr>
              <w:t xml:space="preserve">Total cost of project  $3.5 million </w:t>
            </w:r>
          </w:p>
          <w:p w:rsidR="00EA462B" w:rsidRPr="009E5E0A" w:rsidRDefault="00EA462B" w:rsidP="007B62CF">
            <w:pPr>
              <w:rPr>
                <w:rFonts w:asciiTheme="minorHAnsi" w:hAnsiTheme="minorHAnsi"/>
                <w:u w:val="single"/>
              </w:rPr>
            </w:pPr>
          </w:p>
          <w:p w:rsidR="00EA462B" w:rsidRPr="009E5E0A" w:rsidRDefault="00EA462B" w:rsidP="007B62CF">
            <w:pPr>
              <w:rPr>
                <w:rFonts w:asciiTheme="minorHAnsi" w:hAnsiTheme="minorHAnsi"/>
                <w:u w:val="single"/>
              </w:rPr>
            </w:pPr>
            <w:r w:rsidRPr="009E5E0A">
              <w:rPr>
                <w:rFonts w:asciiTheme="minorHAnsi" w:hAnsiTheme="minorHAnsi"/>
                <w:u w:val="single"/>
              </w:rPr>
              <w:t>Total Government Contribution $200,000</w:t>
            </w:r>
          </w:p>
          <w:p w:rsidR="00EA462B" w:rsidRPr="009E5E0A" w:rsidRDefault="00EA462B" w:rsidP="007B62CF">
            <w:pPr>
              <w:rPr>
                <w:rFonts w:asciiTheme="minorHAnsi" w:hAnsiTheme="minorHAnsi"/>
              </w:rPr>
            </w:pPr>
            <w:r w:rsidRPr="009E5E0A">
              <w:rPr>
                <w:rFonts w:asciiTheme="minorHAnsi" w:hAnsiTheme="minorHAnsi"/>
              </w:rPr>
              <w:t xml:space="preserve">Paid prior to 1 July 2015 = $100,000 for initiation and development of feasibility study. </w:t>
            </w:r>
          </w:p>
          <w:p w:rsidR="00EA462B" w:rsidRPr="009E5E0A" w:rsidRDefault="00EA462B" w:rsidP="007B62CF">
            <w:pPr>
              <w:rPr>
                <w:rFonts w:asciiTheme="minorHAnsi" w:hAnsiTheme="minorHAnsi"/>
              </w:rPr>
            </w:pPr>
          </w:p>
          <w:p w:rsidR="00EA462B" w:rsidRPr="009E5E0A" w:rsidRDefault="00EA462B" w:rsidP="007B62CF">
            <w:pPr>
              <w:rPr>
                <w:rFonts w:asciiTheme="minorHAnsi" w:hAnsiTheme="minorHAnsi"/>
              </w:rPr>
            </w:pPr>
            <w:r w:rsidRPr="009E5E0A">
              <w:rPr>
                <w:rFonts w:asciiTheme="minorHAnsi" w:hAnsiTheme="minorHAnsi"/>
              </w:rPr>
              <w:t xml:space="preserve">1 July 2015- 30 June 2016 - Finalisation of feasibility study and detailed design for planning permit $40,000. </w:t>
            </w:r>
          </w:p>
          <w:p w:rsidR="00EA462B" w:rsidRPr="009E5E0A" w:rsidRDefault="00EA462B" w:rsidP="007B62CF">
            <w:pPr>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 xml:space="preserve">Department of Justice &amp; Regulation, </w:t>
            </w:r>
          </w:p>
          <w:p w:rsidR="00EA462B" w:rsidRPr="009E5E0A" w:rsidRDefault="00EA462B" w:rsidP="007B62CF">
            <w:pPr>
              <w:rPr>
                <w:rFonts w:asciiTheme="minorHAnsi" w:hAnsiTheme="minorHAnsi"/>
              </w:rPr>
            </w:pPr>
          </w:p>
          <w:p w:rsidR="00EA462B" w:rsidRPr="009E5E0A" w:rsidRDefault="00EA462B" w:rsidP="007B62CF">
            <w:pPr>
              <w:rPr>
                <w:rFonts w:asciiTheme="minorHAnsi" w:hAnsiTheme="minorHAnsi"/>
              </w:rPr>
            </w:pPr>
            <w:r w:rsidRPr="009E5E0A">
              <w:rPr>
                <w:rFonts w:asciiTheme="minorHAnsi" w:hAnsiTheme="minorHAnsi"/>
              </w:rPr>
              <w:t xml:space="preserve">Emergency Services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jc w:val="right"/>
              <w:rPr>
                <w:rFonts w:asciiTheme="minorHAnsi" w:hAnsiTheme="minorHAnsi"/>
              </w:rPr>
            </w:pPr>
            <w:r w:rsidRPr="009E5E0A">
              <w:rPr>
                <w:rFonts w:asciiTheme="minorHAnsi" w:hAnsiTheme="minorHAnsi"/>
              </w:rPr>
              <w:t xml:space="preserve">40 000.00 </w:t>
            </w:r>
          </w:p>
        </w:tc>
      </w:tr>
      <w:tr w:rsidR="00EA462B"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lastRenderedPageBreak/>
              <w:t>Victorian Community Support Grants (and related administration)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Victorian Community Support Grants aim to build stronger, more active and inclusive neighbourhoods and communities. These grants support communities to build on their assets which range from local skills, knowledge and social connections through to facilities, buildings and other infrastructure.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Regional Development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5172AA" w:rsidP="007B62CF">
            <w:pPr>
              <w:jc w:val="right"/>
              <w:rPr>
                <w:rFonts w:asciiTheme="minorHAnsi" w:hAnsiTheme="minorHAnsi"/>
              </w:rPr>
            </w:pPr>
            <w:r w:rsidRPr="009E5E0A">
              <w:rPr>
                <w:rFonts w:asciiTheme="minorHAnsi" w:hAnsiTheme="minorHAnsi"/>
              </w:rPr>
              <w:t>152 </w:t>
            </w:r>
            <w:r w:rsidR="00EA462B" w:rsidRPr="009E5E0A">
              <w:rPr>
                <w:rFonts w:asciiTheme="minorHAnsi" w:hAnsiTheme="minorHAnsi"/>
              </w:rPr>
              <w:t>000</w:t>
            </w:r>
          </w:p>
          <w:p w:rsidR="00EA462B" w:rsidRPr="009E5E0A" w:rsidRDefault="00EA462B" w:rsidP="007B62CF">
            <w:pPr>
              <w:jc w:val="right"/>
              <w:rPr>
                <w:rFonts w:asciiTheme="minorHAnsi" w:hAnsiTheme="minorHAnsi"/>
              </w:rPr>
            </w:pPr>
          </w:p>
        </w:tc>
      </w:tr>
      <w:tr w:rsidR="00EA462B"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 xml:space="preserve">Benambra Hall Upgrade (Formerly DSDBI)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This program will restore a valued community asset and an important meeting place to benefit the community of Benambra.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Regional and Rural Development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jc w:val="right"/>
              <w:rPr>
                <w:rFonts w:asciiTheme="minorHAnsi" w:hAnsiTheme="minorHAnsi"/>
              </w:rPr>
            </w:pPr>
            <w:r w:rsidRPr="009E5E0A">
              <w:rPr>
                <w:rFonts w:asciiTheme="minorHAnsi" w:hAnsiTheme="minorHAnsi"/>
              </w:rPr>
              <w:t> 100 000</w:t>
            </w:r>
          </w:p>
        </w:tc>
      </w:tr>
      <w:tr w:rsidR="00EA462B"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Community Support and Recreational Sports Package - DELWP</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 xml:space="preserve">The Community Infrastructure Fund (CIF) is an initiative of Plan Melbourne. The fund will deliver liveable communities and neighbourhoods, and drive the vision for Melbourne as a global city of opportunity and choice.  This initiative invests in integrated planning and delivery of innovative local community infrastructure and place making infrastructure in growing areas of metropolitan Melbourne.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Planning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jc w:val="right"/>
              <w:rPr>
                <w:rFonts w:asciiTheme="minorHAnsi" w:hAnsiTheme="minorHAnsi"/>
              </w:rPr>
            </w:pPr>
            <w:r w:rsidRPr="009E5E0A">
              <w:rPr>
                <w:rFonts w:asciiTheme="minorHAnsi" w:hAnsiTheme="minorHAnsi"/>
              </w:rPr>
              <w:t>2 200 000.00</w:t>
            </w:r>
          </w:p>
        </w:tc>
      </w:tr>
      <w:tr w:rsidR="00EA462B"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Healing the Stolen Generations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This program supports the provision of services to members of the Stolen Generations to address the effects of removal, giving effect to the ongoing commitment to implement the recommendations of the National Inquiry into the Separation of Aboriginal and Torres Strait Islander Children from their Families, as articulated in the report titled Bringing Them Home.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Aboriginal Affairs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jc w:val="right"/>
              <w:rPr>
                <w:rFonts w:asciiTheme="minorHAnsi" w:hAnsiTheme="minorHAnsi"/>
              </w:rPr>
            </w:pPr>
            <w:r w:rsidRPr="009E5E0A">
              <w:rPr>
                <w:rFonts w:asciiTheme="minorHAnsi" w:hAnsiTheme="minorHAnsi"/>
              </w:rPr>
              <w:t>929 500.00</w:t>
            </w:r>
          </w:p>
        </w:tc>
      </w:tr>
      <w:tr w:rsidR="00EA462B"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VIYAC – Supporting Emerging Indigenous Leaders Program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This program supports the delivery of youth leadership by supporting the Koorie Youth Council (KYC) to advocate on Aboriginal issues and advise government and community organisations on a range of policy areas.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Aboriginal Affairs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jc w:val="right"/>
              <w:rPr>
                <w:rFonts w:asciiTheme="minorHAnsi" w:hAnsiTheme="minorHAnsi"/>
              </w:rPr>
            </w:pPr>
            <w:r w:rsidRPr="009E5E0A">
              <w:rPr>
                <w:rFonts w:asciiTheme="minorHAnsi" w:hAnsiTheme="minorHAnsi"/>
              </w:rPr>
              <w:t>199 225.0</w:t>
            </w:r>
          </w:p>
        </w:tc>
      </w:tr>
      <w:tr w:rsidR="00EA462B"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Promotion of the Premier's Spirit of ANZAC Prize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lang w:val="en-GB"/>
              </w:rPr>
            </w:pPr>
            <w:r w:rsidRPr="009E5E0A">
              <w:rPr>
                <w:rFonts w:asciiTheme="minorHAnsi" w:hAnsiTheme="minorHAnsi"/>
                <w:lang w:val="en-GB"/>
              </w:rPr>
              <w:t>This initiative improves the promotion of the Spirit of ANZAC Prize to years 9 and 10 students across Victoria by developing and distributing promotional materials to all Victorian secondary schools, and by targeting schools in under-represented regions.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rPr>
                <w:rFonts w:asciiTheme="minorHAnsi" w:hAnsiTheme="minorHAnsi"/>
              </w:rPr>
            </w:pPr>
            <w:r w:rsidRPr="009E5E0A">
              <w:rPr>
                <w:rFonts w:asciiTheme="minorHAnsi" w:hAnsiTheme="minorHAnsi"/>
              </w:rPr>
              <w:t xml:space="preserve">Veterans Branch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462B" w:rsidRPr="009E5E0A" w:rsidRDefault="00EA462B" w:rsidP="007B62CF">
            <w:pPr>
              <w:jc w:val="right"/>
              <w:rPr>
                <w:rFonts w:asciiTheme="minorHAnsi" w:hAnsiTheme="minorHAnsi"/>
              </w:rPr>
            </w:pPr>
            <w:r w:rsidRPr="009E5E0A">
              <w:rPr>
                <w:rFonts w:asciiTheme="minorHAnsi" w:hAnsiTheme="minorHAnsi"/>
              </w:rPr>
              <w:t xml:space="preserve">50 000.00 </w:t>
            </w:r>
          </w:p>
        </w:tc>
      </w:tr>
      <w:tr w:rsidR="000B6C85" w:rsidRPr="009E5E0A" w:rsidTr="005172AA">
        <w:trPr>
          <w:cantSplit/>
        </w:trPr>
        <w:tc>
          <w:tcPr>
            <w:tcW w:w="2581" w:type="dxa"/>
            <w:tcBorders>
              <w:top w:val="single" w:sz="4" w:space="0" w:color="auto"/>
              <w:left w:val="single" w:sz="4" w:space="0" w:color="auto"/>
              <w:bottom w:val="single" w:sz="4" w:space="0" w:color="auto"/>
              <w:right w:val="single" w:sz="4" w:space="0" w:color="auto"/>
            </w:tcBorders>
            <w:shd w:val="clear" w:color="auto" w:fill="auto"/>
          </w:tcPr>
          <w:p w:rsidR="000B6C85" w:rsidRPr="009E5E0A" w:rsidRDefault="000B6C85" w:rsidP="007B62CF">
            <w:pPr>
              <w:rPr>
                <w:rFonts w:asciiTheme="minorHAnsi" w:hAnsiTheme="minorHAnsi"/>
              </w:rPr>
            </w:pPr>
            <w:r w:rsidRPr="009E5E0A">
              <w:rPr>
                <w:rFonts w:asciiTheme="minorHAnsi" w:hAnsiTheme="minorHAnsi"/>
              </w:rPr>
              <w:lastRenderedPageBreak/>
              <w:t>Our Watch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B6C85" w:rsidRPr="009E5E0A" w:rsidRDefault="000B6C85" w:rsidP="007B62CF">
            <w:pPr>
              <w:rPr>
                <w:rFonts w:asciiTheme="minorHAnsi" w:hAnsiTheme="minorHAnsi"/>
                <w:lang w:val="en-GB"/>
              </w:rPr>
            </w:pPr>
            <w:r w:rsidRPr="009E5E0A">
              <w:rPr>
                <w:rFonts w:asciiTheme="minorHAnsi" w:hAnsiTheme="minorHAnsi"/>
                <w:lang w:val="en-GB"/>
              </w:rPr>
              <w:t>Our Watch is the national violence prevention foundation (formerly called the Foundation to Prevent Violence Against Women and Children). It was established by the Commonwealth and Victorian Governme</w:t>
            </w:r>
            <w:r w:rsidR="00BD12BA" w:rsidRPr="009E5E0A">
              <w:rPr>
                <w:rFonts w:asciiTheme="minorHAnsi" w:hAnsiTheme="minorHAnsi"/>
                <w:lang w:val="en-GB"/>
              </w:rPr>
              <w:t xml:space="preserve">nts and launched in July 2013. </w:t>
            </w:r>
            <w:r w:rsidRPr="009E5E0A">
              <w:rPr>
                <w:rFonts w:asciiTheme="minorHAnsi" w:hAnsiTheme="minorHAnsi"/>
                <w:lang w:val="en-GB"/>
              </w:rPr>
              <w:t xml:space="preserve">Our Watch was established as an independent company with Victorian and Commonwealth governments as the two Principal Members. Since that time the Northern Territory (September 2014) and South Australia (August 2014) have joined Our Watch. </w:t>
            </w:r>
          </w:p>
          <w:p w:rsidR="000B6C85" w:rsidRPr="009E5E0A" w:rsidRDefault="000B6C85" w:rsidP="007B62CF">
            <w:pPr>
              <w:rPr>
                <w:rFonts w:asciiTheme="minorHAnsi" w:hAnsiTheme="minorHAnsi"/>
                <w:lang w:val="en-GB"/>
              </w:rPr>
            </w:pPr>
            <w:r w:rsidRPr="009E5E0A">
              <w:rPr>
                <w:rFonts w:asciiTheme="minorHAnsi" w:hAnsiTheme="minorHAnsi"/>
                <w:lang w:val="en-GB"/>
              </w:rPr>
              <w:t>The key purpose of Our Watch is to promote the prevention of emotional abuse, sexual abuse, and physical abuse, specifically the prevention of violence against women and children.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6C85" w:rsidRPr="009E5E0A" w:rsidRDefault="000B6C85" w:rsidP="007B62CF">
            <w:pPr>
              <w:rPr>
                <w:rFonts w:asciiTheme="minorHAnsi" w:hAnsiTheme="minorHAnsi"/>
              </w:rPr>
            </w:pPr>
            <w:r w:rsidRPr="009E5E0A">
              <w:rPr>
                <w:rFonts w:asciiTheme="minorHAnsi" w:hAnsiTheme="minorHAnsi"/>
              </w:rPr>
              <w:t>Women’s Affairs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B6C85" w:rsidRPr="009E5E0A" w:rsidRDefault="000B6C85" w:rsidP="007B62CF">
            <w:pPr>
              <w:jc w:val="right"/>
              <w:rPr>
                <w:rFonts w:asciiTheme="minorHAnsi" w:hAnsiTheme="minorHAnsi"/>
              </w:rPr>
            </w:pPr>
            <w:r w:rsidRPr="009E5E0A">
              <w:rPr>
                <w:rFonts w:asciiTheme="minorHAnsi" w:hAnsiTheme="minorHAnsi"/>
              </w:rPr>
              <w:t>1 500 000.00</w:t>
            </w:r>
          </w:p>
        </w:tc>
      </w:tr>
      <w:tr w:rsidR="000B6C85" w:rsidRPr="009E5E0A" w:rsidTr="000B6C85">
        <w:tblPrEx>
          <w:tblCellMar>
            <w:left w:w="108" w:type="dxa"/>
            <w:right w:w="108" w:type="dxa"/>
          </w:tblCellMar>
        </w:tblPrEx>
        <w:trPr>
          <w:cantSplit/>
        </w:trPr>
        <w:tc>
          <w:tcPr>
            <w:tcW w:w="8534" w:type="dxa"/>
            <w:gridSpan w:val="3"/>
            <w:tcBorders>
              <w:top w:val="single" w:sz="4" w:space="0" w:color="auto"/>
              <w:left w:val="single" w:sz="4" w:space="0" w:color="auto"/>
              <w:bottom w:val="single" w:sz="4" w:space="0" w:color="auto"/>
              <w:right w:val="single" w:sz="4" w:space="0" w:color="auto"/>
            </w:tcBorders>
          </w:tcPr>
          <w:p w:rsidR="000B6C85" w:rsidRPr="009E5E0A" w:rsidRDefault="000B6C85" w:rsidP="00A37B61">
            <w:pPr>
              <w:spacing w:before="120" w:after="120"/>
              <w:rPr>
                <w:rFonts w:asciiTheme="minorHAnsi" w:hAnsiTheme="minorHAnsi" w:cs="Calibri"/>
                <w:lang w:val="en-CA" w:eastAsia="en-CA"/>
              </w:rPr>
            </w:pPr>
            <w:r w:rsidRPr="009E5E0A">
              <w:rPr>
                <w:rFonts w:asciiTheme="minorHAnsi" w:hAnsiTheme="minorHAnsi" w:cs="Calibri"/>
                <w:b/>
                <w:bCs/>
                <w:lang w:val="en-CA" w:eastAsia="en-CA"/>
              </w:rPr>
              <w:t>Total program expenditure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B6C85" w:rsidRPr="009E5E0A" w:rsidRDefault="00BF734F" w:rsidP="00A37B61">
            <w:pPr>
              <w:spacing w:before="120" w:after="120"/>
              <w:jc w:val="right"/>
              <w:rPr>
                <w:rFonts w:asciiTheme="minorHAnsi" w:hAnsiTheme="minorHAnsi" w:cs="Calibri"/>
                <w:b/>
                <w:lang w:eastAsia="en-CA"/>
              </w:rPr>
            </w:pPr>
            <w:r w:rsidRPr="009E5E0A">
              <w:rPr>
                <w:rFonts w:asciiTheme="minorHAnsi" w:hAnsiTheme="minorHAnsi" w:cs="Calibri"/>
                <w:b/>
                <w:lang w:eastAsia="en-CA"/>
              </w:rPr>
              <w:t>$112 428 802.80</w:t>
            </w:r>
          </w:p>
        </w:tc>
      </w:tr>
      <w:tr w:rsidR="000B6C85" w:rsidRPr="009E5E0A" w:rsidTr="00D32318">
        <w:tblPrEx>
          <w:tblCellMar>
            <w:left w:w="108" w:type="dxa"/>
            <w:right w:w="108" w:type="dxa"/>
          </w:tblCellMar>
        </w:tblPrEx>
        <w:trPr>
          <w:cantSplit/>
        </w:trPr>
        <w:tc>
          <w:tcPr>
            <w:tcW w:w="2581" w:type="dxa"/>
            <w:tcBorders>
              <w:top w:val="single" w:sz="4" w:space="0" w:color="auto"/>
              <w:left w:val="single" w:sz="4" w:space="0" w:color="auto"/>
              <w:bottom w:val="single" w:sz="4" w:space="0" w:color="auto"/>
              <w:right w:val="single" w:sz="4" w:space="0" w:color="auto"/>
            </w:tcBorders>
          </w:tcPr>
          <w:p w:rsidR="000B6C85" w:rsidRPr="009E5E0A" w:rsidRDefault="000B6C85" w:rsidP="00A37B61">
            <w:pPr>
              <w:spacing w:before="120" w:after="120"/>
              <w:rPr>
                <w:rFonts w:asciiTheme="minorHAnsi" w:hAnsiTheme="minorHAnsi" w:cs="Calibri"/>
                <w:lang w:val="en-CA" w:eastAsia="en-CA"/>
              </w:rPr>
            </w:pPr>
            <w:r w:rsidRPr="009E5E0A">
              <w:rPr>
                <w:rFonts w:asciiTheme="minorHAnsi" w:hAnsiTheme="minorHAnsi" w:cs="Calibri"/>
                <w:bCs/>
                <w:lang w:val="en-CA" w:eastAsia="en-CA"/>
              </w:rPr>
              <w:t>ANZAC Day Revenue to Veterans Fund</w:t>
            </w:r>
          </w:p>
        </w:tc>
        <w:tc>
          <w:tcPr>
            <w:tcW w:w="5953" w:type="dxa"/>
            <w:gridSpan w:val="2"/>
            <w:tcBorders>
              <w:top w:val="single" w:sz="4" w:space="0" w:color="auto"/>
              <w:left w:val="single" w:sz="4" w:space="0" w:color="auto"/>
              <w:bottom w:val="single" w:sz="4" w:space="0" w:color="auto"/>
              <w:right w:val="single" w:sz="4" w:space="0" w:color="auto"/>
            </w:tcBorders>
          </w:tcPr>
          <w:p w:rsidR="000B6C85" w:rsidRPr="009E5E0A" w:rsidRDefault="000B6C85" w:rsidP="00A37B61">
            <w:pPr>
              <w:spacing w:before="120" w:after="120"/>
              <w:rPr>
                <w:rFonts w:asciiTheme="minorHAnsi" w:hAnsiTheme="minorHAnsi" w:cs="Calibri"/>
                <w:lang w:val="en-CA" w:eastAsia="en-CA"/>
              </w:rPr>
            </w:pPr>
            <w:r w:rsidRPr="009E5E0A">
              <w:rPr>
                <w:rFonts w:asciiTheme="minorHAnsi" w:hAnsiTheme="minorHAnsi" w:cs="Calibri"/>
                <w:lang w:val="en-CA" w:eastAsia="en-CA"/>
              </w:rPr>
              <w:t>Payment of one day’s revenue from the Community Support Fund to the Victorian Veterans Fund.</w:t>
            </w:r>
          </w:p>
        </w:tc>
        <w:tc>
          <w:tcPr>
            <w:tcW w:w="1843" w:type="dxa"/>
            <w:tcBorders>
              <w:top w:val="single" w:sz="4" w:space="0" w:color="auto"/>
              <w:left w:val="single" w:sz="4" w:space="0" w:color="auto"/>
              <w:bottom w:val="single" w:sz="4" w:space="0" w:color="auto"/>
              <w:right w:val="single" w:sz="4" w:space="0" w:color="auto"/>
            </w:tcBorders>
          </w:tcPr>
          <w:p w:rsidR="000B6C85" w:rsidRPr="009E5E0A" w:rsidRDefault="000B6C85" w:rsidP="00A37B61">
            <w:pPr>
              <w:spacing w:before="120" w:after="120"/>
              <w:jc w:val="right"/>
              <w:rPr>
                <w:rFonts w:asciiTheme="minorHAnsi" w:hAnsiTheme="minorHAnsi" w:cs="Calibri"/>
                <w:lang w:val="en-CA" w:eastAsia="en-CA"/>
              </w:rPr>
            </w:pPr>
            <w:r w:rsidRPr="009E5E0A">
              <w:rPr>
                <w:rFonts w:asciiTheme="minorHAnsi" w:hAnsiTheme="minorHAnsi"/>
              </w:rPr>
              <w:t>264 399.90</w:t>
            </w:r>
          </w:p>
        </w:tc>
      </w:tr>
      <w:tr w:rsidR="000B6C85" w:rsidRPr="009E5E0A" w:rsidTr="00D32318">
        <w:tblPrEx>
          <w:tblCellMar>
            <w:left w:w="108" w:type="dxa"/>
            <w:right w:w="108" w:type="dxa"/>
          </w:tblCellMar>
        </w:tblPrEx>
        <w:trPr>
          <w:cantSplit/>
        </w:trPr>
        <w:tc>
          <w:tcPr>
            <w:tcW w:w="2581" w:type="dxa"/>
            <w:tcBorders>
              <w:top w:val="single" w:sz="4" w:space="0" w:color="auto"/>
              <w:left w:val="single" w:sz="4" w:space="0" w:color="auto"/>
              <w:bottom w:val="single" w:sz="4" w:space="0" w:color="auto"/>
              <w:right w:val="single" w:sz="4" w:space="0" w:color="auto"/>
            </w:tcBorders>
          </w:tcPr>
          <w:p w:rsidR="000B6C85" w:rsidRPr="009E5E0A" w:rsidRDefault="000B6C85" w:rsidP="00A37B61">
            <w:pPr>
              <w:spacing w:before="120" w:after="120"/>
              <w:rPr>
                <w:rFonts w:asciiTheme="minorHAnsi" w:hAnsiTheme="minorHAnsi" w:cs="Calibri"/>
                <w:lang w:val="en-CA" w:eastAsia="en-CA"/>
              </w:rPr>
            </w:pPr>
            <w:r w:rsidRPr="009E5E0A">
              <w:rPr>
                <w:rFonts w:asciiTheme="minorHAnsi" w:hAnsiTheme="minorHAnsi" w:cs="Calibri"/>
                <w:bCs/>
                <w:lang w:val="en-CA" w:eastAsia="en-CA"/>
              </w:rPr>
              <w:t>CSF Administration</w:t>
            </w:r>
          </w:p>
        </w:tc>
        <w:tc>
          <w:tcPr>
            <w:tcW w:w="5953" w:type="dxa"/>
            <w:gridSpan w:val="2"/>
            <w:tcBorders>
              <w:top w:val="single" w:sz="4" w:space="0" w:color="auto"/>
              <w:left w:val="single" w:sz="4" w:space="0" w:color="auto"/>
              <w:bottom w:val="single" w:sz="4" w:space="0" w:color="auto"/>
              <w:right w:val="single" w:sz="4" w:space="0" w:color="auto"/>
            </w:tcBorders>
          </w:tcPr>
          <w:p w:rsidR="000B6C85" w:rsidRPr="009E5E0A" w:rsidRDefault="000B6C85" w:rsidP="00A37B61">
            <w:pPr>
              <w:spacing w:before="120" w:after="120"/>
              <w:rPr>
                <w:rFonts w:asciiTheme="minorHAnsi" w:hAnsiTheme="minorHAnsi" w:cs="Calibri"/>
                <w:lang w:val="en-CA" w:eastAsia="en-CA"/>
              </w:rPr>
            </w:pPr>
            <w:r w:rsidRPr="009E5E0A">
              <w:rPr>
                <w:rFonts w:asciiTheme="minorHAnsi" w:hAnsiTheme="minorHAnsi" w:cs="Calibri"/>
                <w:lang w:val="en-CA" w:eastAsia="en-CA"/>
              </w:rPr>
              <w:t>Expenditure incurred in administering and managing the Fund and monitoring and reporting on the application of money from the Fund.</w:t>
            </w:r>
          </w:p>
        </w:tc>
        <w:tc>
          <w:tcPr>
            <w:tcW w:w="1843" w:type="dxa"/>
          </w:tcPr>
          <w:p w:rsidR="000B6C85" w:rsidRPr="009E5E0A" w:rsidRDefault="007D5EA0" w:rsidP="00817B8A">
            <w:pPr>
              <w:spacing w:before="120" w:after="120"/>
              <w:jc w:val="right"/>
              <w:rPr>
                <w:rFonts w:asciiTheme="minorHAnsi" w:hAnsiTheme="minorHAnsi" w:cs="Calibri"/>
                <w:lang w:val="en-CA" w:eastAsia="en-CA"/>
              </w:rPr>
            </w:pPr>
            <w:r w:rsidRPr="009E5E0A">
              <w:rPr>
                <w:rFonts w:asciiTheme="minorHAnsi" w:hAnsiTheme="minorHAnsi" w:cs="Calibri"/>
                <w:lang w:val="en-CA" w:eastAsia="en-CA"/>
              </w:rPr>
              <w:t>322 591.47</w:t>
            </w:r>
          </w:p>
        </w:tc>
      </w:tr>
      <w:tr w:rsidR="000B6C85" w:rsidRPr="009E5E0A" w:rsidTr="000B6C85">
        <w:tblPrEx>
          <w:tblCellMar>
            <w:left w:w="108" w:type="dxa"/>
            <w:right w:w="108" w:type="dxa"/>
          </w:tblCellMar>
        </w:tblPrEx>
        <w:trPr>
          <w:cantSplit/>
        </w:trPr>
        <w:tc>
          <w:tcPr>
            <w:tcW w:w="8534" w:type="dxa"/>
            <w:gridSpan w:val="3"/>
            <w:tcBorders>
              <w:top w:val="single" w:sz="4" w:space="0" w:color="auto"/>
              <w:left w:val="single" w:sz="4" w:space="0" w:color="auto"/>
              <w:bottom w:val="single" w:sz="4" w:space="0" w:color="auto"/>
              <w:right w:val="single" w:sz="4" w:space="0" w:color="auto"/>
            </w:tcBorders>
          </w:tcPr>
          <w:p w:rsidR="000B6C85" w:rsidRPr="009E5E0A" w:rsidRDefault="000B6C85" w:rsidP="00A37B61">
            <w:pPr>
              <w:spacing w:before="120" w:after="120"/>
              <w:rPr>
                <w:rFonts w:asciiTheme="minorHAnsi" w:hAnsiTheme="minorHAnsi" w:cs="Calibri"/>
                <w:b/>
                <w:lang w:val="en-CA" w:eastAsia="en-CA"/>
              </w:rPr>
            </w:pPr>
            <w:r w:rsidRPr="009E5E0A">
              <w:rPr>
                <w:rFonts w:asciiTheme="minorHAnsi" w:hAnsiTheme="minorHAnsi" w:cs="Calibri"/>
                <w:b/>
                <w:lang w:val="en-CA" w:eastAsia="en-CA"/>
              </w:rPr>
              <w:t>Total operating expenditure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B6C85" w:rsidRPr="009E5E0A" w:rsidRDefault="00343E41" w:rsidP="00BF734F">
            <w:pPr>
              <w:spacing w:before="120" w:after="120"/>
              <w:jc w:val="right"/>
              <w:rPr>
                <w:rFonts w:asciiTheme="minorHAnsi" w:hAnsiTheme="minorHAnsi" w:cs="Calibri"/>
                <w:b/>
                <w:lang w:val="en-CA" w:eastAsia="en-CA"/>
              </w:rPr>
            </w:pPr>
            <w:r w:rsidRPr="009E5E0A">
              <w:rPr>
                <w:rFonts w:asciiTheme="minorHAnsi" w:hAnsiTheme="minorHAnsi" w:cs="Calibri"/>
                <w:b/>
                <w:lang w:val="en-CA" w:eastAsia="en-CA"/>
              </w:rPr>
              <w:t>$</w:t>
            </w:r>
            <w:bookmarkStart w:id="1" w:name="OLE_LINK1"/>
            <w:r w:rsidR="007D5EA0" w:rsidRPr="009E5E0A">
              <w:rPr>
                <w:rFonts w:asciiTheme="minorHAnsi" w:hAnsiTheme="minorHAnsi" w:cs="Calibri"/>
                <w:b/>
                <w:lang w:val="en-CA" w:eastAsia="en-CA"/>
              </w:rPr>
              <w:t>113 015 794</w:t>
            </w:r>
            <w:r w:rsidRPr="009E5E0A">
              <w:rPr>
                <w:rFonts w:asciiTheme="minorHAnsi" w:hAnsiTheme="minorHAnsi" w:cs="Calibri"/>
                <w:b/>
                <w:lang w:val="en-CA" w:eastAsia="en-CA"/>
              </w:rPr>
              <w:t>.</w:t>
            </w:r>
            <w:bookmarkEnd w:id="1"/>
            <w:r w:rsidR="007D5EA0" w:rsidRPr="009E5E0A">
              <w:rPr>
                <w:rFonts w:asciiTheme="minorHAnsi" w:hAnsiTheme="minorHAnsi" w:cs="Calibri"/>
                <w:b/>
                <w:lang w:val="en-CA" w:eastAsia="en-CA"/>
              </w:rPr>
              <w:t>17</w:t>
            </w:r>
          </w:p>
        </w:tc>
      </w:tr>
    </w:tbl>
    <w:p w:rsidR="00E4232D" w:rsidRPr="009E5E0A" w:rsidRDefault="00E4232D" w:rsidP="00087413">
      <w:pPr>
        <w:pStyle w:val="Bullet"/>
        <w:numPr>
          <w:ilvl w:val="0"/>
          <w:numId w:val="0"/>
        </w:numPr>
        <w:rPr>
          <w:rStyle w:val="Hyperlink"/>
          <w:rFonts w:asciiTheme="minorHAnsi" w:hAnsiTheme="minorHAnsi"/>
        </w:rPr>
      </w:pPr>
    </w:p>
    <w:sectPr w:rsidR="00E4232D" w:rsidRPr="009E5E0A" w:rsidSect="00156883">
      <w:headerReference w:type="default" r:id="rId9"/>
      <w:footerReference w:type="even" r:id="rId10"/>
      <w:footerReference w:type="default" r:id="rId11"/>
      <w:footerReference w:type="first" r:id="rId12"/>
      <w:pgSz w:w="11906" w:h="16838"/>
      <w:pgMar w:top="1080" w:right="864" w:bottom="864" w:left="864" w:header="288"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147" w:rsidRDefault="00FE2147">
      <w:r>
        <w:separator/>
      </w:r>
    </w:p>
  </w:endnote>
  <w:endnote w:type="continuationSeparator" w:id="0">
    <w:p w:rsidR="00FE2147" w:rsidRDefault="00FE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5F" w:rsidRDefault="00427B5F" w:rsidP="009730B0">
    <w:pPr>
      <w:pStyle w:val="Footer"/>
      <w:spacing w:before="0" w:after="0"/>
      <w:jc w:val="center"/>
      <w:rPr>
        <w:rFonts w:ascii="Arial" w:hAnsi="Arial" w:cs="Arial"/>
        <w:b/>
        <w:color w:val="FF0000"/>
        <w:sz w:val="29"/>
      </w:rPr>
    </w:pPr>
    <w:bookmarkStart w:id="2" w:name="aliashProtectiveMarkings1FooterEvenPages"/>
  </w:p>
  <w:bookmarkEnd w:id="2"/>
  <w:p w:rsidR="00427B5F" w:rsidRDefault="00427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5EB" w:rsidRPr="00EF02B4" w:rsidRDefault="000355EB" w:rsidP="00EF02B4">
    <w:pPr>
      <w:pStyle w:val="Footer"/>
      <w:jc w:val="right"/>
    </w:pPr>
    <w:r w:rsidRPr="00EF02B4">
      <w:t xml:space="preserve">Page </w:t>
    </w:r>
    <w:r w:rsidRPr="00EF02B4">
      <w:rPr>
        <w:rStyle w:val="PageNumber"/>
      </w:rPr>
      <w:fldChar w:fldCharType="begin"/>
    </w:r>
    <w:r w:rsidRPr="00EF02B4">
      <w:rPr>
        <w:rStyle w:val="PageNumber"/>
      </w:rPr>
      <w:instrText xml:space="preserve"> PAGE </w:instrText>
    </w:r>
    <w:r w:rsidRPr="00EF02B4">
      <w:rPr>
        <w:rStyle w:val="PageNumber"/>
      </w:rPr>
      <w:fldChar w:fldCharType="separate"/>
    </w:r>
    <w:r w:rsidR="00EA1CD5">
      <w:rPr>
        <w:rStyle w:val="PageNumber"/>
        <w:noProof/>
      </w:rPr>
      <w:t>1</w:t>
    </w:r>
    <w:r w:rsidRPr="00EF02B4">
      <w:rPr>
        <w:rStyle w:val="PageNumber"/>
      </w:rPr>
      <w:fldChar w:fldCharType="end"/>
    </w:r>
    <w:r w:rsidRPr="00EF02B4">
      <w:rPr>
        <w:rStyle w:val="PageNumber"/>
      </w:rPr>
      <w:t xml:space="preserve"> of </w:t>
    </w:r>
    <w:r w:rsidRPr="00EF02B4">
      <w:rPr>
        <w:rStyle w:val="PageNumber"/>
      </w:rPr>
      <w:fldChar w:fldCharType="begin"/>
    </w:r>
    <w:r w:rsidRPr="00EF02B4">
      <w:rPr>
        <w:rStyle w:val="PageNumber"/>
      </w:rPr>
      <w:instrText xml:space="preserve"> NUMPAGES </w:instrText>
    </w:r>
    <w:r w:rsidRPr="00EF02B4">
      <w:rPr>
        <w:rStyle w:val="PageNumber"/>
      </w:rPr>
      <w:fldChar w:fldCharType="separate"/>
    </w:r>
    <w:r w:rsidR="00EA1CD5">
      <w:rPr>
        <w:rStyle w:val="PageNumber"/>
        <w:noProof/>
      </w:rPr>
      <w:t>5</w:t>
    </w:r>
    <w:r w:rsidRPr="00EF02B4">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5F" w:rsidRDefault="00427B5F" w:rsidP="009730B0">
    <w:pPr>
      <w:pStyle w:val="Footer"/>
      <w:spacing w:before="0" w:after="0"/>
      <w:jc w:val="center"/>
      <w:rPr>
        <w:rFonts w:ascii="Arial" w:hAnsi="Arial" w:cs="Arial"/>
        <w:b/>
        <w:color w:val="FF0000"/>
        <w:sz w:val="29"/>
      </w:rPr>
    </w:pPr>
    <w:bookmarkStart w:id="3" w:name="aliashProtectiveMarkings1FooterFirstPage"/>
  </w:p>
  <w:bookmarkEnd w:id="3"/>
  <w:p w:rsidR="00427B5F" w:rsidRDefault="00427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147" w:rsidRDefault="00FE2147">
      <w:r>
        <w:separator/>
      </w:r>
    </w:p>
  </w:footnote>
  <w:footnote w:type="continuationSeparator" w:id="0">
    <w:p w:rsidR="00FE2147" w:rsidRDefault="00FE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1C" w:rsidRDefault="005478B9" w:rsidP="00941503">
    <w:pPr>
      <w:pStyle w:val="Header"/>
      <w:ind w:right="-6"/>
      <w:jc w:val="right"/>
      <w:rPr>
        <w:noProof/>
      </w:rPr>
    </w:pPr>
    <w:r>
      <w:rPr>
        <w:noProof/>
      </w:rPr>
      <w:t>T</w:t>
    </w:r>
    <w:r w:rsidR="0075411C">
      <w:rPr>
        <w:noProof/>
      </w:rPr>
      <w:t>otal expenditure by program for 2015-16</w:t>
    </w:r>
  </w:p>
  <w:p w:rsidR="00941503" w:rsidRDefault="008E160E" w:rsidP="00941503">
    <w:pPr>
      <w:pStyle w:val="Header"/>
      <w:ind w:right="-6"/>
      <w:jc w:val="right"/>
      <w:rPr>
        <w:noProof/>
      </w:rPr>
    </w:pPr>
    <w:r>
      <w:rPr>
        <w:noProof/>
        <w:lang w:eastAsia="en-AU"/>
      </w:rPr>
      <w:drawing>
        <wp:anchor distT="0" distB="0" distL="114300" distR="114300" simplePos="0" relativeHeight="251657216" behindDoc="1" locked="0" layoutInCell="1" allowOverlap="1" wp14:anchorId="13E95CB7" wp14:editId="7A968D9A">
          <wp:simplePos x="0" y="0"/>
          <wp:positionH relativeFrom="page">
            <wp:posOffset>-635</wp:posOffset>
          </wp:positionH>
          <wp:positionV relativeFrom="page">
            <wp:posOffset>-635</wp:posOffset>
          </wp:positionV>
          <wp:extent cx="3484880" cy="367030"/>
          <wp:effectExtent l="0" t="0" r="1270" b="0"/>
          <wp:wrapNone/>
          <wp:docPr id="2" name="Picture 4" descr="Banner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880" cy="36703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7CC344D4" wp14:editId="6A346AD4">
          <wp:extent cx="2164080" cy="135890"/>
          <wp:effectExtent l="0" t="0" r="762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135890"/>
                  </a:xfrm>
                  <a:prstGeom prst="rect">
                    <a:avLst/>
                  </a:prstGeom>
                  <a:noFill/>
                  <a:ln>
                    <a:noFill/>
                  </a:ln>
                </pic:spPr>
              </pic:pic>
            </a:graphicData>
          </a:graphic>
        </wp:inline>
      </w:drawing>
    </w:r>
  </w:p>
  <w:p w:rsidR="00941503" w:rsidRDefault="00941503" w:rsidP="00941503">
    <w:pPr>
      <w:pStyle w:val="Header"/>
      <w:ind w:right="-6"/>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6861"/>
    <w:multiLevelType w:val="hybridMultilevel"/>
    <w:tmpl w:val="8ABE426E"/>
    <w:lvl w:ilvl="0" w:tplc="D376EB3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031BA6"/>
    <w:multiLevelType w:val="hybridMultilevel"/>
    <w:tmpl w:val="C88EA1EE"/>
    <w:lvl w:ilvl="0" w:tplc="9544BC5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781F35"/>
    <w:multiLevelType w:val="hybridMultilevel"/>
    <w:tmpl w:val="F3C8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68161B"/>
    <w:multiLevelType w:val="hybridMultilevel"/>
    <w:tmpl w:val="81BC9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8CA1483"/>
    <w:multiLevelType w:val="hybridMultilevel"/>
    <w:tmpl w:val="25601C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D47255E"/>
    <w:multiLevelType w:val="hybridMultilevel"/>
    <w:tmpl w:val="65F2840C"/>
    <w:lvl w:ilvl="0" w:tplc="0C09000B">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nsid w:val="5DDB732F"/>
    <w:multiLevelType w:val="hybridMultilevel"/>
    <w:tmpl w:val="279616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B">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65E07D6B"/>
    <w:multiLevelType w:val="hybridMultilevel"/>
    <w:tmpl w:val="8C5669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B7"/>
    <w:rsid w:val="00007C28"/>
    <w:rsid w:val="000233D8"/>
    <w:rsid w:val="00031534"/>
    <w:rsid w:val="000355EB"/>
    <w:rsid w:val="00041E91"/>
    <w:rsid w:val="00043185"/>
    <w:rsid w:val="00043D88"/>
    <w:rsid w:val="00050A64"/>
    <w:rsid w:val="00082736"/>
    <w:rsid w:val="00087413"/>
    <w:rsid w:val="000A5556"/>
    <w:rsid w:val="000A58A4"/>
    <w:rsid w:val="000B6C85"/>
    <w:rsid w:val="000F7271"/>
    <w:rsid w:val="000F7DD1"/>
    <w:rsid w:val="00106F80"/>
    <w:rsid w:val="00121CF3"/>
    <w:rsid w:val="00122341"/>
    <w:rsid w:val="00133CB0"/>
    <w:rsid w:val="0015109E"/>
    <w:rsid w:val="001566AB"/>
    <w:rsid w:val="00156883"/>
    <w:rsid w:val="001648B8"/>
    <w:rsid w:val="00176929"/>
    <w:rsid w:val="001800B9"/>
    <w:rsid w:val="0018250E"/>
    <w:rsid w:val="00183707"/>
    <w:rsid w:val="00185AAD"/>
    <w:rsid w:val="001900E7"/>
    <w:rsid w:val="001912AA"/>
    <w:rsid w:val="001A550C"/>
    <w:rsid w:val="001B1BA2"/>
    <w:rsid w:val="001C0E16"/>
    <w:rsid w:val="001C763E"/>
    <w:rsid w:val="001D1F3F"/>
    <w:rsid w:val="001F2C17"/>
    <w:rsid w:val="001F33D6"/>
    <w:rsid w:val="001F66C6"/>
    <w:rsid w:val="00201389"/>
    <w:rsid w:val="002024E1"/>
    <w:rsid w:val="00215C9A"/>
    <w:rsid w:val="00216A7A"/>
    <w:rsid w:val="00217E5E"/>
    <w:rsid w:val="002214DB"/>
    <w:rsid w:val="00227E47"/>
    <w:rsid w:val="0023277B"/>
    <w:rsid w:val="00243093"/>
    <w:rsid w:val="0025353F"/>
    <w:rsid w:val="002556A6"/>
    <w:rsid w:val="00272657"/>
    <w:rsid w:val="00277517"/>
    <w:rsid w:val="00277558"/>
    <w:rsid w:val="0029011C"/>
    <w:rsid w:val="00294FB2"/>
    <w:rsid w:val="00295A24"/>
    <w:rsid w:val="00296E81"/>
    <w:rsid w:val="002A1130"/>
    <w:rsid w:val="002A6512"/>
    <w:rsid w:val="002B75A2"/>
    <w:rsid w:val="002C2D89"/>
    <w:rsid w:val="002C49DD"/>
    <w:rsid w:val="002D6BE1"/>
    <w:rsid w:val="002D76CF"/>
    <w:rsid w:val="002E0AE3"/>
    <w:rsid w:val="002E2F3E"/>
    <w:rsid w:val="002F27B7"/>
    <w:rsid w:val="002F74E2"/>
    <w:rsid w:val="003037C0"/>
    <w:rsid w:val="00311B46"/>
    <w:rsid w:val="00313161"/>
    <w:rsid w:val="00313D74"/>
    <w:rsid w:val="0032314E"/>
    <w:rsid w:val="0033420D"/>
    <w:rsid w:val="00343E41"/>
    <w:rsid w:val="00347470"/>
    <w:rsid w:val="003676D2"/>
    <w:rsid w:val="003934E2"/>
    <w:rsid w:val="003A1359"/>
    <w:rsid w:val="003C0935"/>
    <w:rsid w:val="003D1237"/>
    <w:rsid w:val="003E01B8"/>
    <w:rsid w:val="003E1E17"/>
    <w:rsid w:val="003F6537"/>
    <w:rsid w:val="003F67A2"/>
    <w:rsid w:val="003F79CF"/>
    <w:rsid w:val="0040011F"/>
    <w:rsid w:val="00424201"/>
    <w:rsid w:val="00427B5F"/>
    <w:rsid w:val="00437AA9"/>
    <w:rsid w:val="004575F9"/>
    <w:rsid w:val="0046082A"/>
    <w:rsid w:val="00467E91"/>
    <w:rsid w:val="00476AFD"/>
    <w:rsid w:val="004816E6"/>
    <w:rsid w:val="00491926"/>
    <w:rsid w:val="0049718D"/>
    <w:rsid w:val="004A1137"/>
    <w:rsid w:val="004A17EC"/>
    <w:rsid w:val="004B510A"/>
    <w:rsid w:val="004C4340"/>
    <w:rsid w:val="005014AD"/>
    <w:rsid w:val="00501E10"/>
    <w:rsid w:val="005172AA"/>
    <w:rsid w:val="0052047A"/>
    <w:rsid w:val="0053514C"/>
    <w:rsid w:val="00543CCE"/>
    <w:rsid w:val="005478B9"/>
    <w:rsid w:val="00553C0C"/>
    <w:rsid w:val="00556EEF"/>
    <w:rsid w:val="005575DC"/>
    <w:rsid w:val="00557F22"/>
    <w:rsid w:val="00575FDC"/>
    <w:rsid w:val="00583F89"/>
    <w:rsid w:val="00584A9D"/>
    <w:rsid w:val="005871CF"/>
    <w:rsid w:val="0058781F"/>
    <w:rsid w:val="005C6FEB"/>
    <w:rsid w:val="005D1B18"/>
    <w:rsid w:val="005D1BDB"/>
    <w:rsid w:val="005E6FD0"/>
    <w:rsid w:val="005F3770"/>
    <w:rsid w:val="00601C1A"/>
    <w:rsid w:val="00613A52"/>
    <w:rsid w:val="0063273B"/>
    <w:rsid w:val="0064564B"/>
    <w:rsid w:val="0067448E"/>
    <w:rsid w:val="00675CDD"/>
    <w:rsid w:val="00675D35"/>
    <w:rsid w:val="0068236C"/>
    <w:rsid w:val="006A0122"/>
    <w:rsid w:val="006C00FE"/>
    <w:rsid w:val="006D0F4D"/>
    <w:rsid w:val="006D1ABE"/>
    <w:rsid w:val="006D3AC0"/>
    <w:rsid w:val="006E07DF"/>
    <w:rsid w:val="006E4C65"/>
    <w:rsid w:val="006F27F6"/>
    <w:rsid w:val="006F48D7"/>
    <w:rsid w:val="006F7D10"/>
    <w:rsid w:val="00712853"/>
    <w:rsid w:val="00733AE9"/>
    <w:rsid w:val="00737BBA"/>
    <w:rsid w:val="00742DA3"/>
    <w:rsid w:val="0075411C"/>
    <w:rsid w:val="007546F4"/>
    <w:rsid w:val="00761B15"/>
    <w:rsid w:val="00762D83"/>
    <w:rsid w:val="0076524D"/>
    <w:rsid w:val="007A527B"/>
    <w:rsid w:val="007A665A"/>
    <w:rsid w:val="007C0214"/>
    <w:rsid w:val="007D1A6E"/>
    <w:rsid w:val="007D5EA0"/>
    <w:rsid w:val="007D6428"/>
    <w:rsid w:val="007E5A05"/>
    <w:rsid w:val="00806A88"/>
    <w:rsid w:val="008077B7"/>
    <w:rsid w:val="00817B8A"/>
    <w:rsid w:val="00821505"/>
    <w:rsid w:val="008241E5"/>
    <w:rsid w:val="00826FC0"/>
    <w:rsid w:val="008426DD"/>
    <w:rsid w:val="00845B41"/>
    <w:rsid w:val="00872FE8"/>
    <w:rsid w:val="0088450E"/>
    <w:rsid w:val="008949C4"/>
    <w:rsid w:val="008A016C"/>
    <w:rsid w:val="008A0204"/>
    <w:rsid w:val="008A5284"/>
    <w:rsid w:val="008B3332"/>
    <w:rsid w:val="008E160E"/>
    <w:rsid w:val="008F1C6B"/>
    <w:rsid w:val="008F3A9C"/>
    <w:rsid w:val="00941503"/>
    <w:rsid w:val="00944640"/>
    <w:rsid w:val="009721A8"/>
    <w:rsid w:val="009730B0"/>
    <w:rsid w:val="009A3719"/>
    <w:rsid w:val="009C474F"/>
    <w:rsid w:val="009D3D3A"/>
    <w:rsid w:val="009E19A0"/>
    <w:rsid w:val="009E5E0A"/>
    <w:rsid w:val="009E7092"/>
    <w:rsid w:val="009F470F"/>
    <w:rsid w:val="00A00A93"/>
    <w:rsid w:val="00A07941"/>
    <w:rsid w:val="00A1045F"/>
    <w:rsid w:val="00A14E94"/>
    <w:rsid w:val="00A158A4"/>
    <w:rsid w:val="00A33353"/>
    <w:rsid w:val="00A36DCF"/>
    <w:rsid w:val="00A378AE"/>
    <w:rsid w:val="00A37B61"/>
    <w:rsid w:val="00A4013A"/>
    <w:rsid w:val="00A40EDF"/>
    <w:rsid w:val="00A40F4C"/>
    <w:rsid w:val="00A65686"/>
    <w:rsid w:val="00AA39B3"/>
    <w:rsid w:val="00AA4A94"/>
    <w:rsid w:val="00AB2C3F"/>
    <w:rsid w:val="00AC065B"/>
    <w:rsid w:val="00AE3615"/>
    <w:rsid w:val="00B01249"/>
    <w:rsid w:val="00B05EFA"/>
    <w:rsid w:val="00B111C4"/>
    <w:rsid w:val="00B21492"/>
    <w:rsid w:val="00B365CC"/>
    <w:rsid w:val="00B50E4C"/>
    <w:rsid w:val="00B621C5"/>
    <w:rsid w:val="00B8113A"/>
    <w:rsid w:val="00BA19A2"/>
    <w:rsid w:val="00BB11D5"/>
    <w:rsid w:val="00BB4DBE"/>
    <w:rsid w:val="00BB71E6"/>
    <w:rsid w:val="00BC3291"/>
    <w:rsid w:val="00BC4224"/>
    <w:rsid w:val="00BD12BA"/>
    <w:rsid w:val="00BF734F"/>
    <w:rsid w:val="00BF74B7"/>
    <w:rsid w:val="00C0224F"/>
    <w:rsid w:val="00C05651"/>
    <w:rsid w:val="00C0690E"/>
    <w:rsid w:val="00C25EB6"/>
    <w:rsid w:val="00C36010"/>
    <w:rsid w:val="00C367C8"/>
    <w:rsid w:val="00C4010D"/>
    <w:rsid w:val="00C4599E"/>
    <w:rsid w:val="00C64092"/>
    <w:rsid w:val="00C72CC6"/>
    <w:rsid w:val="00C83D8A"/>
    <w:rsid w:val="00C939CA"/>
    <w:rsid w:val="00C975D5"/>
    <w:rsid w:val="00CA312B"/>
    <w:rsid w:val="00CB29B3"/>
    <w:rsid w:val="00CD1087"/>
    <w:rsid w:val="00CE5E43"/>
    <w:rsid w:val="00CE6A61"/>
    <w:rsid w:val="00CE6C2C"/>
    <w:rsid w:val="00CF1704"/>
    <w:rsid w:val="00CF7762"/>
    <w:rsid w:val="00D038FC"/>
    <w:rsid w:val="00D05B64"/>
    <w:rsid w:val="00D07E39"/>
    <w:rsid w:val="00D07F65"/>
    <w:rsid w:val="00D10B55"/>
    <w:rsid w:val="00D17DB4"/>
    <w:rsid w:val="00D32318"/>
    <w:rsid w:val="00D416CF"/>
    <w:rsid w:val="00D442BE"/>
    <w:rsid w:val="00D454B6"/>
    <w:rsid w:val="00D57743"/>
    <w:rsid w:val="00D64793"/>
    <w:rsid w:val="00D74F8D"/>
    <w:rsid w:val="00D84FB5"/>
    <w:rsid w:val="00DA491E"/>
    <w:rsid w:val="00DC2B5C"/>
    <w:rsid w:val="00DF60AB"/>
    <w:rsid w:val="00E11B50"/>
    <w:rsid w:val="00E12540"/>
    <w:rsid w:val="00E23EBB"/>
    <w:rsid w:val="00E4232D"/>
    <w:rsid w:val="00E43E26"/>
    <w:rsid w:val="00E43F37"/>
    <w:rsid w:val="00E449EC"/>
    <w:rsid w:val="00E536AB"/>
    <w:rsid w:val="00E55278"/>
    <w:rsid w:val="00E62749"/>
    <w:rsid w:val="00E67EAA"/>
    <w:rsid w:val="00E7117A"/>
    <w:rsid w:val="00E73629"/>
    <w:rsid w:val="00E76AEE"/>
    <w:rsid w:val="00E77499"/>
    <w:rsid w:val="00E92090"/>
    <w:rsid w:val="00E96E8A"/>
    <w:rsid w:val="00EA195F"/>
    <w:rsid w:val="00EA1CD5"/>
    <w:rsid w:val="00EA2FFF"/>
    <w:rsid w:val="00EA462B"/>
    <w:rsid w:val="00EE64C7"/>
    <w:rsid w:val="00EF02B4"/>
    <w:rsid w:val="00F0649D"/>
    <w:rsid w:val="00F13830"/>
    <w:rsid w:val="00F171E1"/>
    <w:rsid w:val="00F24800"/>
    <w:rsid w:val="00F30B1A"/>
    <w:rsid w:val="00F3388E"/>
    <w:rsid w:val="00F340FD"/>
    <w:rsid w:val="00F36A5E"/>
    <w:rsid w:val="00F523CF"/>
    <w:rsid w:val="00F53A5B"/>
    <w:rsid w:val="00F55681"/>
    <w:rsid w:val="00F66157"/>
    <w:rsid w:val="00F667A2"/>
    <w:rsid w:val="00F7495A"/>
    <w:rsid w:val="00F80F49"/>
    <w:rsid w:val="00F833F5"/>
    <w:rsid w:val="00F8404B"/>
    <w:rsid w:val="00F91335"/>
    <w:rsid w:val="00FA0C11"/>
    <w:rsid w:val="00FA3F61"/>
    <w:rsid w:val="00FD45B7"/>
    <w:rsid w:val="00FD74AC"/>
    <w:rsid w:val="00FE2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24"/>
    <w:lsdException w:name="footer" w:uiPriority="99"/>
    <w:lsdException w:name="caption" w:semiHidden="1" w:unhideWhenUsed="1" w:qFormat="1"/>
    <w:lsdException w:name="Default Paragraph Font" w:uiPriority="1"/>
    <w:lsdException w:name="Hyperlink"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62749"/>
    <w:pPr>
      <w:spacing w:before="80" w:after="80"/>
    </w:pPr>
    <w:rPr>
      <w:rFonts w:ascii="Calibri" w:hAnsi="Calibri"/>
      <w:sz w:val="22"/>
      <w:szCs w:val="22"/>
    </w:rPr>
  </w:style>
  <w:style w:type="paragraph" w:styleId="Heading1">
    <w:name w:val="heading 1"/>
    <w:basedOn w:val="Normal"/>
    <w:next w:val="Normal"/>
    <w:link w:val="Heading1Char"/>
    <w:qFormat/>
    <w:rsid w:val="00EF02B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unhideWhenUsed/>
    <w:rsid w:val="00C72CC6"/>
    <w:pPr>
      <w:tabs>
        <w:tab w:val="center" w:pos="4513"/>
        <w:tab w:val="right" w:pos="9026"/>
      </w:tabs>
      <w:spacing w:before="0" w:after="0"/>
    </w:pPr>
    <w:rPr>
      <w:sz w:val="24"/>
      <w:szCs w:val="20"/>
      <w:lang w:eastAsia="en-US"/>
    </w:rPr>
  </w:style>
  <w:style w:type="paragraph" w:styleId="Footer">
    <w:name w:val="footer"/>
    <w:basedOn w:val="Normal"/>
    <w:link w:val="FooterChar"/>
    <w:uiPriority w:val="99"/>
    <w:unhideWhenUsed/>
    <w:rsid w:val="00EF02B4"/>
    <w:pPr>
      <w:tabs>
        <w:tab w:val="center" w:pos="4513"/>
        <w:tab w:val="right" w:pos="9026"/>
      </w:tabs>
    </w:pPr>
  </w:style>
  <w:style w:type="character" w:styleId="PageNumber">
    <w:name w:val="page number"/>
    <w:rsid w:val="00EF02B4"/>
    <w:rPr>
      <w:rFonts w:ascii="Calibri" w:hAnsi="Calibri"/>
    </w:rPr>
  </w:style>
  <w:style w:type="paragraph" w:styleId="BalloonText">
    <w:name w:val="Balloon Text"/>
    <w:basedOn w:val="Normal"/>
    <w:semiHidden/>
    <w:rsid w:val="00AA4A94"/>
    <w:rPr>
      <w:rFonts w:ascii="Tahoma" w:hAnsi="Tahoma" w:cs="Tahoma"/>
      <w:sz w:val="16"/>
      <w:szCs w:val="16"/>
    </w:rPr>
  </w:style>
  <w:style w:type="character" w:styleId="Hyperlink">
    <w:name w:val="Hyperlink"/>
    <w:qFormat/>
    <w:rsid w:val="002556A6"/>
    <w:rPr>
      <w:color w:val="7F7F7F"/>
      <w:u w:val="none"/>
    </w:rPr>
  </w:style>
  <w:style w:type="character" w:customStyle="1" w:styleId="FooterChar">
    <w:name w:val="Footer Char"/>
    <w:link w:val="Footer"/>
    <w:uiPriority w:val="99"/>
    <w:rsid w:val="00EF02B4"/>
    <w:rPr>
      <w:rFonts w:ascii="Calibri" w:hAnsi="Calibri"/>
      <w:sz w:val="22"/>
      <w:szCs w:val="22"/>
    </w:rPr>
  </w:style>
  <w:style w:type="character" w:customStyle="1" w:styleId="HeaderChar">
    <w:name w:val="Header Char"/>
    <w:link w:val="Header"/>
    <w:uiPriority w:val="99"/>
    <w:rsid w:val="00C72CC6"/>
    <w:rPr>
      <w:rFonts w:ascii="Calibri" w:hAnsi="Calibri"/>
      <w:sz w:val="24"/>
      <w:lang w:eastAsia="en-US"/>
    </w:rPr>
  </w:style>
  <w:style w:type="table" w:styleId="TableGrid">
    <w:name w:val="Table Grid"/>
    <w:basedOn w:val="TableNormal"/>
    <w:uiPriority w:val="59"/>
    <w:rsid w:val="00A40F4C"/>
    <w:rPr>
      <w:rFonts w:ascii="Calibri" w:hAnsi="Calibri"/>
    </w:rPr>
    <w:tblPr>
      <w:tblStyleRowBandSize w:val="1"/>
      <w:tblBorders>
        <w:bottom w:val="single" w:sz="4" w:space="0" w:color="auto"/>
        <w:insideH w:val="single" w:sz="4" w:space="0" w:color="auto"/>
      </w:tblBorders>
    </w:tblPr>
    <w:trPr>
      <w:cantSplit/>
    </w:trPr>
    <w:tcPr>
      <w:shd w:val="clear" w:color="auto" w:fill="auto"/>
    </w:tcPr>
    <w:tblStylePr w:type="firstRow">
      <w:rPr>
        <w:color w:val="FFFFFF"/>
      </w:rPr>
      <w:tblPr/>
      <w:tcPr>
        <w:tcBorders>
          <w:top w:val="nil"/>
          <w:left w:val="nil"/>
          <w:bottom w:val="nil"/>
          <w:right w:val="nil"/>
        </w:tcBorders>
        <w:shd w:val="clear" w:color="auto" w:fill="1665A1"/>
      </w:tcPr>
    </w:tblStylePr>
    <w:tblStylePr w:type="band2Horz">
      <w:pPr>
        <w:wordWrap/>
        <w:spacing w:beforeLines="0" w:before="40" w:beforeAutospacing="0" w:afterLines="0" w:after="40" w:afterAutospacing="0"/>
      </w:pPr>
      <w:tblPr/>
      <w:tcPr>
        <w:shd w:val="clear" w:color="auto" w:fill="F2F2F2"/>
      </w:tcPr>
    </w:tblStylePr>
  </w:style>
  <w:style w:type="paragraph" w:customStyle="1" w:styleId="Notes">
    <w:name w:val="Notes"/>
    <w:basedOn w:val="Normal"/>
    <w:qFormat/>
    <w:rsid w:val="00845B41"/>
    <w:rPr>
      <w:rFonts w:ascii="Arial" w:hAnsi="Arial" w:cs="Arial"/>
      <w:sz w:val="16"/>
      <w:szCs w:val="16"/>
    </w:rPr>
  </w:style>
  <w:style w:type="character" w:customStyle="1" w:styleId="Heading1Char">
    <w:name w:val="Heading 1 Char"/>
    <w:link w:val="Heading1"/>
    <w:rsid w:val="00EF02B4"/>
    <w:rPr>
      <w:rFonts w:ascii="Calibri" w:eastAsia="Times New Roman" w:hAnsi="Calibri" w:cs="Times New Roman"/>
      <w:b/>
      <w:bCs/>
      <w:kern w:val="32"/>
      <w:sz w:val="32"/>
      <w:szCs w:val="32"/>
    </w:rPr>
  </w:style>
  <w:style w:type="paragraph" w:customStyle="1" w:styleId="Bullet">
    <w:name w:val="Bullet"/>
    <w:basedOn w:val="Normal"/>
    <w:qFormat/>
    <w:rsid w:val="00087413"/>
    <w:pPr>
      <w:numPr>
        <w:numId w:val="3"/>
      </w:numPr>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24"/>
    <w:lsdException w:name="footer" w:uiPriority="99"/>
    <w:lsdException w:name="caption" w:semiHidden="1" w:unhideWhenUsed="1" w:qFormat="1"/>
    <w:lsdException w:name="Default Paragraph Font" w:uiPriority="1"/>
    <w:lsdException w:name="Hyperlink"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62749"/>
    <w:pPr>
      <w:spacing w:before="80" w:after="80"/>
    </w:pPr>
    <w:rPr>
      <w:rFonts w:ascii="Calibri" w:hAnsi="Calibri"/>
      <w:sz w:val="22"/>
      <w:szCs w:val="22"/>
    </w:rPr>
  </w:style>
  <w:style w:type="paragraph" w:styleId="Heading1">
    <w:name w:val="heading 1"/>
    <w:basedOn w:val="Normal"/>
    <w:next w:val="Normal"/>
    <w:link w:val="Heading1Char"/>
    <w:qFormat/>
    <w:rsid w:val="00EF02B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unhideWhenUsed/>
    <w:rsid w:val="00C72CC6"/>
    <w:pPr>
      <w:tabs>
        <w:tab w:val="center" w:pos="4513"/>
        <w:tab w:val="right" w:pos="9026"/>
      </w:tabs>
      <w:spacing w:before="0" w:after="0"/>
    </w:pPr>
    <w:rPr>
      <w:sz w:val="24"/>
      <w:szCs w:val="20"/>
      <w:lang w:eastAsia="en-US"/>
    </w:rPr>
  </w:style>
  <w:style w:type="paragraph" w:styleId="Footer">
    <w:name w:val="footer"/>
    <w:basedOn w:val="Normal"/>
    <w:link w:val="FooterChar"/>
    <w:uiPriority w:val="99"/>
    <w:unhideWhenUsed/>
    <w:rsid w:val="00EF02B4"/>
    <w:pPr>
      <w:tabs>
        <w:tab w:val="center" w:pos="4513"/>
        <w:tab w:val="right" w:pos="9026"/>
      </w:tabs>
    </w:pPr>
  </w:style>
  <w:style w:type="character" w:styleId="PageNumber">
    <w:name w:val="page number"/>
    <w:rsid w:val="00EF02B4"/>
    <w:rPr>
      <w:rFonts w:ascii="Calibri" w:hAnsi="Calibri"/>
    </w:rPr>
  </w:style>
  <w:style w:type="paragraph" w:styleId="BalloonText">
    <w:name w:val="Balloon Text"/>
    <w:basedOn w:val="Normal"/>
    <w:semiHidden/>
    <w:rsid w:val="00AA4A94"/>
    <w:rPr>
      <w:rFonts w:ascii="Tahoma" w:hAnsi="Tahoma" w:cs="Tahoma"/>
      <w:sz w:val="16"/>
      <w:szCs w:val="16"/>
    </w:rPr>
  </w:style>
  <w:style w:type="character" w:styleId="Hyperlink">
    <w:name w:val="Hyperlink"/>
    <w:qFormat/>
    <w:rsid w:val="002556A6"/>
    <w:rPr>
      <w:color w:val="7F7F7F"/>
      <w:u w:val="none"/>
    </w:rPr>
  </w:style>
  <w:style w:type="character" w:customStyle="1" w:styleId="FooterChar">
    <w:name w:val="Footer Char"/>
    <w:link w:val="Footer"/>
    <w:uiPriority w:val="99"/>
    <w:rsid w:val="00EF02B4"/>
    <w:rPr>
      <w:rFonts w:ascii="Calibri" w:hAnsi="Calibri"/>
      <w:sz w:val="22"/>
      <w:szCs w:val="22"/>
    </w:rPr>
  </w:style>
  <w:style w:type="character" w:customStyle="1" w:styleId="HeaderChar">
    <w:name w:val="Header Char"/>
    <w:link w:val="Header"/>
    <w:uiPriority w:val="99"/>
    <w:rsid w:val="00C72CC6"/>
    <w:rPr>
      <w:rFonts w:ascii="Calibri" w:hAnsi="Calibri"/>
      <w:sz w:val="24"/>
      <w:lang w:eastAsia="en-US"/>
    </w:rPr>
  </w:style>
  <w:style w:type="table" w:styleId="TableGrid">
    <w:name w:val="Table Grid"/>
    <w:basedOn w:val="TableNormal"/>
    <w:uiPriority w:val="59"/>
    <w:rsid w:val="00A40F4C"/>
    <w:rPr>
      <w:rFonts w:ascii="Calibri" w:hAnsi="Calibri"/>
    </w:rPr>
    <w:tblPr>
      <w:tblStyleRowBandSize w:val="1"/>
      <w:tblBorders>
        <w:bottom w:val="single" w:sz="4" w:space="0" w:color="auto"/>
        <w:insideH w:val="single" w:sz="4" w:space="0" w:color="auto"/>
      </w:tblBorders>
    </w:tblPr>
    <w:trPr>
      <w:cantSplit/>
    </w:trPr>
    <w:tcPr>
      <w:shd w:val="clear" w:color="auto" w:fill="auto"/>
    </w:tcPr>
    <w:tblStylePr w:type="firstRow">
      <w:rPr>
        <w:color w:val="FFFFFF"/>
      </w:rPr>
      <w:tblPr/>
      <w:tcPr>
        <w:tcBorders>
          <w:top w:val="nil"/>
          <w:left w:val="nil"/>
          <w:bottom w:val="nil"/>
          <w:right w:val="nil"/>
        </w:tcBorders>
        <w:shd w:val="clear" w:color="auto" w:fill="1665A1"/>
      </w:tcPr>
    </w:tblStylePr>
    <w:tblStylePr w:type="band2Horz">
      <w:pPr>
        <w:wordWrap/>
        <w:spacing w:beforeLines="0" w:before="40" w:beforeAutospacing="0" w:afterLines="0" w:after="40" w:afterAutospacing="0"/>
      </w:pPr>
      <w:tblPr/>
      <w:tcPr>
        <w:shd w:val="clear" w:color="auto" w:fill="F2F2F2"/>
      </w:tcPr>
    </w:tblStylePr>
  </w:style>
  <w:style w:type="paragraph" w:customStyle="1" w:styleId="Notes">
    <w:name w:val="Notes"/>
    <w:basedOn w:val="Normal"/>
    <w:qFormat/>
    <w:rsid w:val="00845B41"/>
    <w:rPr>
      <w:rFonts w:ascii="Arial" w:hAnsi="Arial" w:cs="Arial"/>
      <w:sz w:val="16"/>
      <w:szCs w:val="16"/>
    </w:rPr>
  </w:style>
  <w:style w:type="character" w:customStyle="1" w:styleId="Heading1Char">
    <w:name w:val="Heading 1 Char"/>
    <w:link w:val="Heading1"/>
    <w:rsid w:val="00EF02B4"/>
    <w:rPr>
      <w:rFonts w:ascii="Calibri" w:eastAsia="Times New Roman" w:hAnsi="Calibri" w:cs="Times New Roman"/>
      <w:b/>
      <w:bCs/>
      <w:kern w:val="32"/>
      <w:sz w:val="32"/>
      <w:szCs w:val="32"/>
    </w:rPr>
  </w:style>
  <w:style w:type="paragraph" w:customStyle="1" w:styleId="Bullet">
    <w:name w:val="Bullet"/>
    <w:basedOn w:val="Normal"/>
    <w:qFormat/>
    <w:rsid w:val="00087413"/>
    <w:pPr>
      <w:numPr>
        <w:numId w:val="3"/>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9775">
      <w:bodyDiv w:val="1"/>
      <w:marLeft w:val="0"/>
      <w:marRight w:val="0"/>
      <w:marTop w:val="0"/>
      <w:marBottom w:val="0"/>
      <w:divBdr>
        <w:top w:val="none" w:sz="0" w:space="0" w:color="auto"/>
        <w:left w:val="none" w:sz="0" w:space="0" w:color="auto"/>
        <w:bottom w:val="none" w:sz="0" w:space="0" w:color="auto"/>
        <w:right w:val="none" w:sz="0" w:space="0" w:color="auto"/>
      </w:divBdr>
    </w:div>
    <w:div w:id="827327899">
      <w:bodyDiv w:val="1"/>
      <w:marLeft w:val="0"/>
      <w:marRight w:val="0"/>
      <w:marTop w:val="0"/>
      <w:marBottom w:val="0"/>
      <w:divBdr>
        <w:top w:val="none" w:sz="0" w:space="0" w:color="auto"/>
        <w:left w:val="none" w:sz="0" w:space="0" w:color="auto"/>
        <w:bottom w:val="none" w:sz="0" w:space="0" w:color="auto"/>
        <w:right w:val="none" w:sz="0" w:space="0" w:color="auto"/>
      </w:divBdr>
    </w:div>
    <w:div w:id="922445651">
      <w:bodyDiv w:val="1"/>
      <w:marLeft w:val="0"/>
      <w:marRight w:val="0"/>
      <w:marTop w:val="0"/>
      <w:marBottom w:val="0"/>
      <w:divBdr>
        <w:top w:val="none" w:sz="0" w:space="0" w:color="auto"/>
        <w:left w:val="none" w:sz="0" w:space="0" w:color="auto"/>
        <w:bottom w:val="none" w:sz="0" w:space="0" w:color="auto"/>
        <w:right w:val="none" w:sz="0" w:space="0" w:color="auto"/>
      </w:divBdr>
    </w:div>
    <w:div w:id="948853123">
      <w:bodyDiv w:val="1"/>
      <w:marLeft w:val="0"/>
      <w:marRight w:val="0"/>
      <w:marTop w:val="0"/>
      <w:marBottom w:val="0"/>
      <w:divBdr>
        <w:top w:val="none" w:sz="0" w:space="0" w:color="auto"/>
        <w:left w:val="none" w:sz="0" w:space="0" w:color="auto"/>
        <w:bottom w:val="none" w:sz="0" w:space="0" w:color="auto"/>
        <w:right w:val="none" w:sz="0" w:space="0" w:color="auto"/>
      </w:divBdr>
    </w:div>
    <w:div w:id="121323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AB36E-F59D-457A-85A0-FB3FBFA1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1525</Words>
  <Characters>9380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Community Support Fund</vt:lpstr>
    </vt:vector>
  </TitlesOfParts>
  <Company>Department of Treasury and Finance</Company>
  <LinksUpToDate>false</LinksUpToDate>
  <CharactersWithSpaces>10884</CharactersWithSpaces>
  <SharedDoc>false</SharedDoc>
  <HLinks>
    <vt:vector size="36" baseType="variant">
      <vt:variant>
        <vt:i4>5701704</vt:i4>
      </vt:variant>
      <vt:variant>
        <vt:i4>15</vt:i4>
      </vt:variant>
      <vt:variant>
        <vt:i4>0</vt:i4>
      </vt:variant>
      <vt:variant>
        <vt:i4>5</vt:i4>
      </vt:variant>
      <vt:variant>
        <vt:lpwstr>http://www.dtf.vic.gov.au/CA25713E0002EF43/pages/community-support-fund-community-support-fund---grant-approvals-2011-12</vt:lpwstr>
      </vt:variant>
      <vt:variant>
        <vt:lpwstr/>
      </vt:variant>
      <vt:variant>
        <vt:i4>5701704</vt:i4>
      </vt:variant>
      <vt:variant>
        <vt:i4>12</vt:i4>
      </vt:variant>
      <vt:variant>
        <vt:i4>0</vt:i4>
      </vt:variant>
      <vt:variant>
        <vt:i4>5</vt:i4>
      </vt:variant>
      <vt:variant>
        <vt:lpwstr>http://www.dtf.vic.gov.au/CA25713E0002EF43/pages/community-support-fund-community-support-fund---grant-approvals-2011-12</vt:lpwstr>
      </vt:variant>
      <vt:variant>
        <vt:lpwstr/>
      </vt:variant>
      <vt:variant>
        <vt:i4>5701704</vt:i4>
      </vt:variant>
      <vt:variant>
        <vt:i4>9</vt:i4>
      </vt:variant>
      <vt:variant>
        <vt:i4>0</vt:i4>
      </vt:variant>
      <vt:variant>
        <vt:i4>5</vt:i4>
      </vt:variant>
      <vt:variant>
        <vt:lpwstr>http://www.dtf.vic.gov.au/CA25713E0002EF43/pages/community-support-fund-community-support-fund---grant-approvals-2011-12</vt:lpwstr>
      </vt:variant>
      <vt:variant>
        <vt:lpwstr/>
      </vt:variant>
      <vt:variant>
        <vt:i4>5701704</vt:i4>
      </vt:variant>
      <vt:variant>
        <vt:i4>6</vt:i4>
      </vt:variant>
      <vt:variant>
        <vt:i4>0</vt:i4>
      </vt:variant>
      <vt:variant>
        <vt:i4>5</vt:i4>
      </vt:variant>
      <vt:variant>
        <vt:lpwstr>http://www.dtf.vic.gov.au/CA25713E0002EF43/pages/community-support-fund-community-support-fund---grant-approvals-2011-12</vt:lpwstr>
      </vt:variant>
      <vt:variant>
        <vt:lpwstr/>
      </vt:variant>
      <vt:variant>
        <vt:i4>5701704</vt:i4>
      </vt:variant>
      <vt:variant>
        <vt:i4>3</vt:i4>
      </vt:variant>
      <vt:variant>
        <vt:i4>0</vt:i4>
      </vt:variant>
      <vt:variant>
        <vt:i4>5</vt:i4>
      </vt:variant>
      <vt:variant>
        <vt:lpwstr>http://www.dtf.vic.gov.au/CA25713E0002EF43/pages/community-support-fund-community-support-fund---grant-approvals-2011-12</vt:lpwstr>
      </vt:variant>
      <vt:variant>
        <vt:lpwstr/>
      </vt:variant>
      <vt:variant>
        <vt:i4>5701704</vt:i4>
      </vt:variant>
      <vt:variant>
        <vt:i4>0</vt:i4>
      </vt:variant>
      <vt:variant>
        <vt:i4>0</vt:i4>
      </vt:variant>
      <vt:variant>
        <vt:i4>5</vt:i4>
      </vt:variant>
      <vt:variant>
        <vt:lpwstr>http://www.dtf.vic.gov.au/CA25713E0002EF43/pages/community-support-fund-community-support-fund---grant-approvals-2011-12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Support Fund</dc:title>
  <dc:creator>CSQ</dc:creator>
  <cp:lastModifiedBy>Elizabeth Ascroft</cp:lastModifiedBy>
  <cp:revision>2</cp:revision>
  <cp:lastPrinted>2016-10-13T00:18:00Z</cp:lastPrinted>
  <dcterms:created xsi:type="dcterms:W3CDTF">2018-02-06T23:51:00Z</dcterms:created>
  <dcterms:modified xsi:type="dcterms:W3CDTF">2018-02-06T23:51:00Z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cae77143-b2c1-44cf-a643-31bb7cd4efb3</vt:lpwstr>
  </property>
  <property fmtid="{D5CDD505-2E9C-101B-9397-08002B2CF9AE}" pid="3" name="PSPFClassification">
    <vt:lpwstr>Do Not Mark</vt:lpwstr>
  </property>
</Properties>
</file>