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46" w:rsidRPr="00F9522F" w:rsidRDefault="00F87646" w:rsidP="004838A2">
      <w:pPr>
        <w:pBdr>
          <w:bottom w:val="single" w:sz="12" w:space="14" w:color="auto"/>
        </w:pBdr>
        <w:jc w:val="center"/>
        <w:rPr>
          <w:rFonts w:ascii="Calibri" w:hAnsi="Calibri"/>
          <w:b/>
          <w:sz w:val="48"/>
        </w:rPr>
      </w:pPr>
      <w:r>
        <w:rPr>
          <w:rFonts w:ascii="Calibri" w:hAnsi="Calibri"/>
          <w:b/>
          <w:sz w:val="48"/>
        </w:rPr>
        <w:t xml:space="preserve">2014 </w:t>
      </w:r>
      <w:r w:rsidRPr="00F9522F">
        <w:rPr>
          <w:rFonts w:ascii="Calibri" w:hAnsi="Calibri"/>
          <w:b/>
          <w:sz w:val="48"/>
        </w:rPr>
        <w:t xml:space="preserve">Victorian </w:t>
      </w:r>
      <w:r>
        <w:rPr>
          <w:rFonts w:ascii="Calibri" w:hAnsi="Calibri"/>
          <w:b/>
          <w:sz w:val="48"/>
        </w:rPr>
        <w:br/>
      </w:r>
      <w:r w:rsidRPr="00F9522F">
        <w:rPr>
          <w:rFonts w:ascii="Calibri" w:hAnsi="Calibri"/>
          <w:b/>
          <w:sz w:val="48"/>
        </w:rPr>
        <w:t>Pre</w:t>
      </w:r>
      <w:r>
        <w:rPr>
          <w:rFonts w:ascii="Calibri" w:hAnsi="Calibri"/>
          <w:b/>
          <w:sz w:val="48"/>
        </w:rPr>
        <w:noBreakHyphen/>
      </w:r>
      <w:r w:rsidRPr="00F9522F">
        <w:rPr>
          <w:rFonts w:ascii="Calibri" w:hAnsi="Calibri"/>
          <w:b/>
          <w:sz w:val="48"/>
        </w:rPr>
        <w:t>Election Budget Update</w:t>
      </w: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rPr>
      </w:pPr>
    </w:p>
    <w:p w:rsidR="00F87646" w:rsidRPr="00F9522F" w:rsidRDefault="00F87646" w:rsidP="00F9522F">
      <w:pPr>
        <w:jc w:val="center"/>
        <w:rPr>
          <w:rFonts w:ascii="Calibri" w:hAnsi="Calibri"/>
          <w:sz w:val="32"/>
        </w:rPr>
      </w:pPr>
      <w:r w:rsidRPr="00F9522F">
        <w:rPr>
          <w:rFonts w:ascii="Calibri" w:hAnsi="Calibri"/>
          <w:sz w:val="32"/>
        </w:rPr>
        <w:t>A report by the Secretary of the</w:t>
      </w:r>
      <w:r>
        <w:rPr>
          <w:rFonts w:ascii="Calibri" w:hAnsi="Calibri"/>
          <w:sz w:val="32"/>
        </w:rPr>
        <w:br/>
      </w:r>
      <w:r w:rsidRPr="00F9522F">
        <w:rPr>
          <w:rFonts w:ascii="Calibri" w:hAnsi="Calibri"/>
          <w:sz w:val="32"/>
        </w:rPr>
        <w:t>Department of Treasury and Finance</w:t>
      </w:r>
    </w:p>
    <w:p w:rsidR="00F87646" w:rsidRPr="00F9522F" w:rsidRDefault="00F87646" w:rsidP="00F9522F">
      <w:pPr>
        <w:jc w:val="center"/>
        <w:rPr>
          <w:rFonts w:ascii="Calibri" w:hAnsi="Calibri"/>
          <w:sz w:val="32"/>
        </w:rPr>
      </w:pPr>
    </w:p>
    <w:p w:rsidR="00F87646" w:rsidRPr="00F9522F" w:rsidRDefault="00F87646" w:rsidP="00F9522F">
      <w:pPr>
        <w:jc w:val="center"/>
        <w:rPr>
          <w:rFonts w:ascii="Calibri" w:hAnsi="Calibri"/>
          <w:sz w:val="28"/>
        </w:rPr>
      </w:pPr>
      <w:r w:rsidRPr="00F9522F">
        <w:rPr>
          <w:rFonts w:ascii="Calibri" w:hAnsi="Calibri"/>
          <w:sz w:val="28"/>
        </w:rPr>
        <w:t>November 2014</w:t>
      </w:r>
    </w:p>
    <w:p w:rsidR="00F87646" w:rsidRDefault="00F87646" w:rsidP="00387AF3">
      <w:r>
        <w:br w:type="page"/>
      </w:r>
    </w:p>
    <w:p w:rsidR="00F87646" w:rsidRDefault="00F87646" w:rsidP="00387AF3"/>
    <w:p w:rsidR="00F87646" w:rsidRDefault="00F87646" w:rsidP="00986765">
      <w:pPr>
        <w:pStyle w:val="Heading1"/>
        <w:sectPr w:rsidR="00F87646" w:rsidSect="00F9522F">
          <w:footerReference w:type="even" r:id="rId9"/>
          <w:footerReference w:type="default" r:id="rId10"/>
          <w:type w:val="oddPage"/>
          <w:pgSz w:w="9979" w:h="14170" w:code="34"/>
          <w:pgMar w:top="1138" w:right="1138" w:bottom="1138" w:left="1138" w:header="720" w:footer="432" w:gutter="0"/>
          <w:cols w:space="708"/>
          <w:vAlign w:val="center"/>
          <w:docGrid w:linePitch="360"/>
        </w:sectPr>
      </w:pPr>
    </w:p>
    <w:p w:rsidR="00F87646" w:rsidRDefault="00F87646" w:rsidP="00387AF3">
      <w:pPr>
        <w:pStyle w:val="TableofContentsheading"/>
      </w:pPr>
      <w:r>
        <w:lastRenderedPageBreak/>
        <w:t>Table of contents</w:t>
      </w:r>
    </w:p>
    <w:p w:rsidR="00F87646" w:rsidRDefault="00F87646">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1,2,Chapter Heading,1" </w:instrText>
      </w:r>
      <w:r>
        <w:fldChar w:fldCharType="separate"/>
      </w:r>
      <w:hyperlink w:anchor="_Toc403386682" w:history="1">
        <w:r w:rsidRPr="00BD0EE6">
          <w:rPr>
            <w:rStyle w:val="Hyperlink"/>
            <w:noProof/>
          </w:rPr>
          <w:t>Foreword</w:t>
        </w:r>
        <w:r>
          <w:rPr>
            <w:noProof/>
            <w:webHidden/>
          </w:rPr>
          <w:tab/>
        </w:r>
        <w:r>
          <w:rPr>
            <w:noProof/>
            <w:webHidden/>
          </w:rPr>
          <w:fldChar w:fldCharType="begin"/>
        </w:r>
        <w:r>
          <w:rPr>
            <w:noProof/>
            <w:webHidden/>
          </w:rPr>
          <w:instrText xml:space="preserve"> PAGEREF _Toc403386682 \h </w:instrText>
        </w:r>
        <w:r>
          <w:rPr>
            <w:noProof/>
            <w:webHidden/>
          </w:rPr>
        </w:r>
        <w:r>
          <w:rPr>
            <w:noProof/>
            <w:webHidden/>
          </w:rPr>
          <w:fldChar w:fldCharType="separate"/>
        </w:r>
        <w:r>
          <w:rPr>
            <w:noProof/>
            <w:webHidden/>
          </w:rPr>
          <w:t>1</w:t>
        </w:r>
        <w:r>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683" w:history="1">
        <w:r w:rsidR="00F87646" w:rsidRPr="00BD0EE6">
          <w:rPr>
            <w:rStyle w:val="Hyperlink"/>
            <w:noProof/>
          </w:rPr>
          <w:t>Chapter 1 – Economic conditions and outlook</w:t>
        </w:r>
        <w:r w:rsidR="00F87646">
          <w:rPr>
            <w:noProof/>
            <w:webHidden/>
          </w:rPr>
          <w:tab/>
        </w:r>
        <w:r w:rsidR="00F87646">
          <w:rPr>
            <w:noProof/>
            <w:webHidden/>
          </w:rPr>
          <w:fldChar w:fldCharType="begin"/>
        </w:r>
        <w:r w:rsidR="00F87646">
          <w:rPr>
            <w:noProof/>
            <w:webHidden/>
          </w:rPr>
          <w:instrText xml:space="preserve"> PAGEREF _Toc403386683 \h </w:instrText>
        </w:r>
        <w:r w:rsidR="00F87646">
          <w:rPr>
            <w:noProof/>
            <w:webHidden/>
          </w:rPr>
        </w:r>
        <w:r w:rsidR="00F87646">
          <w:rPr>
            <w:noProof/>
            <w:webHidden/>
          </w:rPr>
          <w:fldChar w:fldCharType="separate"/>
        </w:r>
        <w:r w:rsidR="00F87646">
          <w:rPr>
            <w:noProof/>
            <w:webHidden/>
          </w:rPr>
          <w:t>3</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84" w:history="1">
        <w:r w:rsidR="00F87646" w:rsidRPr="00BD0EE6">
          <w:rPr>
            <w:rStyle w:val="Hyperlink"/>
            <w:noProof/>
          </w:rPr>
          <w:t>Economic overview</w:t>
        </w:r>
        <w:r w:rsidR="00F87646">
          <w:rPr>
            <w:noProof/>
            <w:webHidden/>
          </w:rPr>
          <w:tab/>
        </w:r>
        <w:r w:rsidR="00F87646">
          <w:rPr>
            <w:noProof/>
            <w:webHidden/>
          </w:rPr>
          <w:fldChar w:fldCharType="begin"/>
        </w:r>
        <w:r w:rsidR="00F87646">
          <w:rPr>
            <w:noProof/>
            <w:webHidden/>
          </w:rPr>
          <w:instrText xml:space="preserve"> PAGEREF _Toc403386684 \h </w:instrText>
        </w:r>
        <w:r w:rsidR="00F87646">
          <w:rPr>
            <w:noProof/>
            <w:webHidden/>
          </w:rPr>
        </w:r>
        <w:r w:rsidR="00F87646">
          <w:rPr>
            <w:noProof/>
            <w:webHidden/>
          </w:rPr>
          <w:fldChar w:fldCharType="separate"/>
        </w:r>
        <w:r w:rsidR="00F87646">
          <w:rPr>
            <w:noProof/>
            <w:webHidden/>
          </w:rPr>
          <w:t>3</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85" w:history="1">
        <w:r w:rsidR="00F87646" w:rsidRPr="00BD0EE6">
          <w:rPr>
            <w:rStyle w:val="Hyperlink"/>
            <w:noProof/>
          </w:rPr>
          <w:t>Risks to the outlook</w:t>
        </w:r>
        <w:r w:rsidR="00F87646">
          <w:rPr>
            <w:noProof/>
            <w:webHidden/>
          </w:rPr>
          <w:tab/>
        </w:r>
        <w:r w:rsidR="00F87646">
          <w:rPr>
            <w:noProof/>
            <w:webHidden/>
          </w:rPr>
          <w:fldChar w:fldCharType="begin"/>
        </w:r>
        <w:r w:rsidR="00F87646">
          <w:rPr>
            <w:noProof/>
            <w:webHidden/>
          </w:rPr>
          <w:instrText xml:space="preserve"> PAGEREF _Toc403386685 \h </w:instrText>
        </w:r>
        <w:r w:rsidR="00F87646">
          <w:rPr>
            <w:noProof/>
            <w:webHidden/>
          </w:rPr>
        </w:r>
        <w:r w:rsidR="00F87646">
          <w:rPr>
            <w:noProof/>
            <w:webHidden/>
          </w:rPr>
          <w:fldChar w:fldCharType="separate"/>
        </w:r>
        <w:r w:rsidR="00F87646">
          <w:rPr>
            <w:noProof/>
            <w:webHidden/>
          </w:rPr>
          <w:t>6</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686" w:history="1">
        <w:r w:rsidR="00F87646" w:rsidRPr="00BD0EE6">
          <w:rPr>
            <w:rStyle w:val="Hyperlink"/>
            <w:noProof/>
          </w:rPr>
          <w:t>Chapter 2 – Budget position and outlook</w:t>
        </w:r>
        <w:r w:rsidR="00F87646">
          <w:rPr>
            <w:noProof/>
            <w:webHidden/>
          </w:rPr>
          <w:tab/>
        </w:r>
        <w:r w:rsidR="00F87646">
          <w:rPr>
            <w:noProof/>
            <w:webHidden/>
          </w:rPr>
          <w:fldChar w:fldCharType="begin"/>
        </w:r>
        <w:r w:rsidR="00F87646">
          <w:rPr>
            <w:noProof/>
            <w:webHidden/>
          </w:rPr>
          <w:instrText xml:space="preserve"> PAGEREF _Toc403386686 \h </w:instrText>
        </w:r>
        <w:r w:rsidR="00F87646">
          <w:rPr>
            <w:noProof/>
            <w:webHidden/>
          </w:rPr>
        </w:r>
        <w:r w:rsidR="00F87646">
          <w:rPr>
            <w:noProof/>
            <w:webHidden/>
          </w:rPr>
          <w:fldChar w:fldCharType="separate"/>
        </w:r>
        <w:r w:rsidR="00F87646">
          <w:rPr>
            <w:noProof/>
            <w:webHidden/>
          </w:rPr>
          <w:t>9</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87" w:history="1">
        <w:r w:rsidR="00F87646" w:rsidRPr="00BD0EE6">
          <w:rPr>
            <w:rStyle w:val="Hyperlink"/>
            <w:noProof/>
          </w:rPr>
          <w:t>Budget and forward estimates outlook</w:t>
        </w:r>
        <w:r w:rsidR="00F87646">
          <w:rPr>
            <w:noProof/>
            <w:webHidden/>
          </w:rPr>
          <w:tab/>
        </w:r>
        <w:r w:rsidR="00F87646">
          <w:rPr>
            <w:noProof/>
            <w:webHidden/>
          </w:rPr>
          <w:fldChar w:fldCharType="begin"/>
        </w:r>
        <w:r w:rsidR="00F87646">
          <w:rPr>
            <w:noProof/>
            <w:webHidden/>
          </w:rPr>
          <w:instrText xml:space="preserve"> PAGEREF _Toc403386687 \h </w:instrText>
        </w:r>
        <w:r w:rsidR="00F87646">
          <w:rPr>
            <w:noProof/>
            <w:webHidden/>
          </w:rPr>
        </w:r>
        <w:r w:rsidR="00F87646">
          <w:rPr>
            <w:noProof/>
            <w:webHidden/>
          </w:rPr>
          <w:fldChar w:fldCharType="separate"/>
        </w:r>
        <w:r w:rsidR="00F87646">
          <w:rPr>
            <w:noProof/>
            <w:webHidden/>
          </w:rPr>
          <w:t>11</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88" w:history="1">
        <w:r w:rsidR="00F87646" w:rsidRPr="00BD0EE6">
          <w:rPr>
            <w:rStyle w:val="Hyperlink"/>
            <w:noProof/>
          </w:rPr>
          <w:t>Cash flows</w:t>
        </w:r>
        <w:r w:rsidR="00F87646">
          <w:rPr>
            <w:noProof/>
            <w:webHidden/>
          </w:rPr>
          <w:tab/>
        </w:r>
        <w:r w:rsidR="00F87646">
          <w:rPr>
            <w:noProof/>
            <w:webHidden/>
          </w:rPr>
          <w:fldChar w:fldCharType="begin"/>
        </w:r>
        <w:r w:rsidR="00F87646">
          <w:rPr>
            <w:noProof/>
            <w:webHidden/>
          </w:rPr>
          <w:instrText xml:space="preserve"> PAGEREF _Toc403386688 \h </w:instrText>
        </w:r>
        <w:r w:rsidR="00F87646">
          <w:rPr>
            <w:noProof/>
            <w:webHidden/>
          </w:rPr>
        </w:r>
        <w:r w:rsidR="00F87646">
          <w:rPr>
            <w:noProof/>
            <w:webHidden/>
          </w:rPr>
          <w:fldChar w:fldCharType="separate"/>
        </w:r>
        <w:r w:rsidR="00F87646">
          <w:rPr>
            <w:noProof/>
            <w:webHidden/>
          </w:rPr>
          <w:t>19</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89" w:history="1">
        <w:r w:rsidR="00F87646" w:rsidRPr="00BD0EE6">
          <w:rPr>
            <w:rStyle w:val="Hyperlink"/>
            <w:noProof/>
          </w:rPr>
          <w:t>Net debt and net financial liabilities</w:t>
        </w:r>
        <w:r w:rsidR="00F87646">
          <w:rPr>
            <w:noProof/>
            <w:webHidden/>
          </w:rPr>
          <w:tab/>
        </w:r>
        <w:r w:rsidR="00F87646">
          <w:rPr>
            <w:noProof/>
            <w:webHidden/>
          </w:rPr>
          <w:fldChar w:fldCharType="begin"/>
        </w:r>
        <w:r w:rsidR="00F87646">
          <w:rPr>
            <w:noProof/>
            <w:webHidden/>
          </w:rPr>
          <w:instrText xml:space="preserve"> PAGEREF _Toc403386689 \h </w:instrText>
        </w:r>
        <w:r w:rsidR="00F87646">
          <w:rPr>
            <w:noProof/>
            <w:webHidden/>
          </w:rPr>
        </w:r>
        <w:r w:rsidR="00F87646">
          <w:rPr>
            <w:noProof/>
            <w:webHidden/>
          </w:rPr>
          <w:fldChar w:fldCharType="separate"/>
        </w:r>
        <w:r w:rsidR="00F87646">
          <w:rPr>
            <w:noProof/>
            <w:webHidden/>
          </w:rPr>
          <w:t>20</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0" w:history="1">
        <w:r w:rsidR="00F87646" w:rsidRPr="00BD0EE6">
          <w:rPr>
            <w:rStyle w:val="Hyperlink"/>
            <w:noProof/>
          </w:rPr>
          <w:t>Fiscal risks</w:t>
        </w:r>
        <w:r w:rsidR="00F87646">
          <w:rPr>
            <w:noProof/>
            <w:webHidden/>
          </w:rPr>
          <w:tab/>
        </w:r>
        <w:r w:rsidR="00F87646">
          <w:rPr>
            <w:noProof/>
            <w:webHidden/>
          </w:rPr>
          <w:fldChar w:fldCharType="begin"/>
        </w:r>
        <w:r w:rsidR="00F87646">
          <w:rPr>
            <w:noProof/>
            <w:webHidden/>
          </w:rPr>
          <w:instrText xml:space="preserve"> PAGEREF _Toc403386690 \h </w:instrText>
        </w:r>
        <w:r w:rsidR="00F87646">
          <w:rPr>
            <w:noProof/>
            <w:webHidden/>
          </w:rPr>
        </w:r>
        <w:r w:rsidR="00F87646">
          <w:rPr>
            <w:noProof/>
            <w:webHidden/>
          </w:rPr>
          <w:fldChar w:fldCharType="separate"/>
        </w:r>
        <w:r w:rsidR="00F87646">
          <w:rPr>
            <w:noProof/>
            <w:webHidden/>
          </w:rPr>
          <w:t>22</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691" w:history="1">
        <w:r w:rsidR="00F87646" w:rsidRPr="00BD0EE6">
          <w:rPr>
            <w:rStyle w:val="Hyperlink"/>
            <w:noProof/>
          </w:rPr>
          <w:t>Chapter 3 – Estimated financial statements and notes</w:t>
        </w:r>
        <w:r w:rsidR="00F87646">
          <w:rPr>
            <w:noProof/>
            <w:webHidden/>
          </w:rPr>
          <w:tab/>
        </w:r>
        <w:r w:rsidR="00F87646">
          <w:rPr>
            <w:noProof/>
            <w:webHidden/>
          </w:rPr>
          <w:fldChar w:fldCharType="begin"/>
        </w:r>
        <w:r w:rsidR="00F87646">
          <w:rPr>
            <w:noProof/>
            <w:webHidden/>
          </w:rPr>
          <w:instrText xml:space="preserve"> PAGEREF _Toc403386691 \h </w:instrText>
        </w:r>
        <w:r w:rsidR="00F87646">
          <w:rPr>
            <w:noProof/>
            <w:webHidden/>
          </w:rPr>
        </w:r>
        <w:r w:rsidR="00F87646">
          <w:rPr>
            <w:noProof/>
            <w:webHidden/>
          </w:rPr>
          <w:fldChar w:fldCharType="separate"/>
        </w:r>
        <w:r w:rsidR="00F87646">
          <w:rPr>
            <w:noProof/>
            <w:webHidden/>
          </w:rPr>
          <w:t>27</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2" w:history="1">
        <w:r w:rsidR="00F87646" w:rsidRPr="00BD0EE6">
          <w:rPr>
            <w:rStyle w:val="Hyperlink"/>
            <w:noProof/>
          </w:rPr>
          <w:t>Notes to the financial statements</w:t>
        </w:r>
        <w:r w:rsidR="00F87646">
          <w:rPr>
            <w:noProof/>
            <w:webHidden/>
          </w:rPr>
          <w:tab/>
        </w:r>
        <w:r w:rsidR="00F87646">
          <w:rPr>
            <w:noProof/>
            <w:webHidden/>
          </w:rPr>
          <w:fldChar w:fldCharType="begin"/>
        </w:r>
        <w:r w:rsidR="00F87646">
          <w:rPr>
            <w:noProof/>
            <w:webHidden/>
          </w:rPr>
          <w:instrText xml:space="preserve"> PAGEREF _Toc403386692 \h </w:instrText>
        </w:r>
        <w:r w:rsidR="00F87646">
          <w:rPr>
            <w:noProof/>
            <w:webHidden/>
          </w:rPr>
        </w:r>
        <w:r w:rsidR="00F87646">
          <w:rPr>
            <w:noProof/>
            <w:webHidden/>
          </w:rPr>
          <w:fldChar w:fldCharType="separate"/>
        </w:r>
        <w:r w:rsidR="00F87646">
          <w:rPr>
            <w:noProof/>
            <w:webHidden/>
          </w:rPr>
          <w:t>34</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693" w:history="1">
        <w:r w:rsidR="00F87646" w:rsidRPr="00BD0EE6">
          <w:rPr>
            <w:rStyle w:val="Hyperlink"/>
            <w:noProof/>
          </w:rPr>
          <w:t>Chapter 4 – Contingent assets and contingent liabilities</w:t>
        </w:r>
        <w:r w:rsidR="00F87646">
          <w:rPr>
            <w:noProof/>
            <w:webHidden/>
          </w:rPr>
          <w:tab/>
        </w:r>
        <w:r w:rsidR="00F87646">
          <w:rPr>
            <w:noProof/>
            <w:webHidden/>
          </w:rPr>
          <w:fldChar w:fldCharType="begin"/>
        </w:r>
        <w:r w:rsidR="00F87646">
          <w:rPr>
            <w:noProof/>
            <w:webHidden/>
          </w:rPr>
          <w:instrText xml:space="preserve"> PAGEREF _Toc403386693 \h </w:instrText>
        </w:r>
        <w:r w:rsidR="00F87646">
          <w:rPr>
            <w:noProof/>
            <w:webHidden/>
          </w:rPr>
        </w:r>
        <w:r w:rsidR="00F87646">
          <w:rPr>
            <w:noProof/>
            <w:webHidden/>
          </w:rPr>
          <w:fldChar w:fldCharType="separate"/>
        </w:r>
        <w:r w:rsidR="00F87646">
          <w:rPr>
            <w:noProof/>
            <w:webHidden/>
          </w:rPr>
          <w:t>65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4" w:history="1">
        <w:r w:rsidR="00F87646" w:rsidRPr="00BD0EE6">
          <w:rPr>
            <w:rStyle w:val="Hyperlink"/>
            <w:noProof/>
          </w:rPr>
          <w:t>Contingent assets</w:t>
        </w:r>
        <w:r w:rsidR="00F87646">
          <w:rPr>
            <w:noProof/>
            <w:webHidden/>
          </w:rPr>
          <w:tab/>
        </w:r>
        <w:r w:rsidR="00F87646">
          <w:rPr>
            <w:noProof/>
            <w:webHidden/>
          </w:rPr>
          <w:fldChar w:fldCharType="begin"/>
        </w:r>
        <w:r w:rsidR="00F87646">
          <w:rPr>
            <w:noProof/>
            <w:webHidden/>
          </w:rPr>
          <w:instrText xml:space="preserve"> PAGEREF _Toc403386694 \h </w:instrText>
        </w:r>
        <w:r w:rsidR="00F87646">
          <w:rPr>
            <w:noProof/>
            <w:webHidden/>
          </w:rPr>
        </w:r>
        <w:r w:rsidR="00F87646">
          <w:rPr>
            <w:noProof/>
            <w:webHidden/>
          </w:rPr>
          <w:fldChar w:fldCharType="separate"/>
        </w:r>
        <w:r w:rsidR="00F87646">
          <w:rPr>
            <w:noProof/>
            <w:webHidden/>
          </w:rPr>
          <w:t>65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5" w:history="1">
        <w:r w:rsidR="00F87646" w:rsidRPr="00BD0EE6">
          <w:rPr>
            <w:rStyle w:val="Hyperlink"/>
            <w:noProof/>
          </w:rPr>
          <w:t>Contingent liabilities</w:t>
        </w:r>
        <w:r w:rsidR="00F87646">
          <w:rPr>
            <w:noProof/>
            <w:webHidden/>
          </w:rPr>
          <w:tab/>
        </w:r>
        <w:r w:rsidR="00F87646">
          <w:rPr>
            <w:noProof/>
            <w:webHidden/>
          </w:rPr>
          <w:fldChar w:fldCharType="begin"/>
        </w:r>
        <w:r w:rsidR="00F87646">
          <w:rPr>
            <w:noProof/>
            <w:webHidden/>
          </w:rPr>
          <w:instrText xml:space="preserve"> PAGEREF _Toc403386695 \h </w:instrText>
        </w:r>
        <w:r w:rsidR="00F87646">
          <w:rPr>
            <w:noProof/>
            <w:webHidden/>
          </w:rPr>
        </w:r>
        <w:r w:rsidR="00F87646">
          <w:rPr>
            <w:noProof/>
            <w:webHidden/>
          </w:rPr>
          <w:fldChar w:fldCharType="separate"/>
        </w:r>
        <w:r w:rsidR="00F87646">
          <w:rPr>
            <w:noProof/>
            <w:webHidden/>
          </w:rPr>
          <w:t>67</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696" w:history="1">
        <w:r w:rsidR="00F87646" w:rsidRPr="00BD0EE6">
          <w:rPr>
            <w:rStyle w:val="Hyperlink"/>
            <w:noProof/>
          </w:rPr>
          <w:t>Appendix A – Specific policy initiatives affecting the budget position</w:t>
        </w:r>
        <w:r w:rsidR="00F87646">
          <w:rPr>
            <w:noProof/>
            <w:webHidden/>
          </w:rPr>
          <w:tab/>
        </w:r>
        <w:r w:rsidR="00F87646">
          <w:rPr>
            <w:noProof/>
            <w:webHidden/>
          </w:rPr>
          <w:fldChar w:fldCharType="begin"/>
        </w:r>
        <w:r w:rsidR="00F87646">
          <w:rPr>
            <w:noProof/>
            <w:webHidden/>
          </w:rPr>
          <w:instrText xml:space="preserve"> PAGEREF _Toc403386696 \h </w:instrText>
        </w:r>
        <w:r w:rsidR="00F87646">
          <w:rPr>
            <w:noProof/>
            <w:webHidden/>
          </w:rPr>
        </w:r>
        <w:r w:rsidR="00F87646">
          <w:rPr>
            <w:noProof/>
            <w:webHidden/>
          </w:rPr>
          <w:fldChar w:fldCharType="separate"/>
        </w:r>
        <w:r w:rsidR="00F87646">
          <w:rPr>
            <w:noProof/>
            <w:webHidden/>
          </w:rPr>
          <w:t>75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7" w:history="1">
        <w:r w:rsidR="00F87646" w:rsidRPr="00BD0EE6">
          <w:rPr>
            <w:rStyle w:val="Hyperlink"/>
            <w:noProof/>
          </w:rPr>
          <w:t>Revenue initiatives</w:t>
        </w:r>
        <w:r w:rsidR="00F87646">
          <w:rPr>
            <w:noProof/>
            <w:webHidden/>
          </w:rPr>
          <w:tab/>
        </w:r>
        <w:r w:rsidR="00F87646">
          <w:rPr>
            <w:noProof/>
            <w:webHidden/>
          </w:rPr>
          <w:fldChar w:fldCharType="begin"/>
        </w:r>
        <w:r w:rsidR="00F87646">
          <w:rPr>
            <w:noProof/>
            <w:webHidden/>
          </w:rPr>
          <w:instrText xml:space="preserve"> PAGEREF _Toc403386697 \h </w:instrText>
        </w:r>
        <w:r w:rsidR="00F87646">
          <w:rPr>
            <w:noProof/>
            <w:webHidden/>
          </w:rPr>
        </w:r>
        <w:r w:rsidR="00F87646">
          <w:rPr>
            <w:noProof/>
            <w:webHidden/>
          </w:rPr>
          <w:fldChar w:fldCharType="separate"/>
        </w:r>
        <w:r w:rsidR="00F87646">
          <w:rPr>
            <w:noProof/>
            <w:webHidden/>
          </w:rPr>
          <w:t>75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8" w:history="1">
        <w:r w:rsidR="00F87646" w:rsidRPr="00BD0EE6">
          <w:rPr>
            <w:rStyle w:val="Hyperlink"/>
            <w:noProof/>
          </w:rPr>
          <w:t>Government</w:t>
        </w:r>
        <w:r w:rsidR="00F87646" w:rsidRPr="00BD0EE6">
          <w:rPr>
            <w:rStyle w:val="Hyperlink"/>
            <w:noProof/>
          </w:rPr>
          <w:noBreakHyphen/>
          <w:t>wide initiatives</w:t>
        </w:r>
        <w:r w:rsidR="00F87646">
          <w:rPr>
            <w:noProof/>
            <w:webHidden/>
          </w:rPr>
          <w:tab/>
        </w:r>
        <w:r w:rsidR="00F87646">
          <w:rPr>
            <w:noProof/>
            <w:webHidden/>
          </w:rPr>
          <w:fldChar w:fldCharType="begin"/>
        </w:r>
        <w:r w:rsidR="00F87646">
          <w:rPr>
            <w:noProof/>
            <w:webHidden/>
          </w:rPr>
          <w:instrText xml:space="preserve"> PAGEREF _Toc403386698 \h </w:instrText>
        </w:r>
        <w:r w:rsidR="00F87646">
          <w:rPr>
            <w:noProof/>
            <w:webHidden/>
          </w:rPr>
        </w:r>
        <w:r w:rsidR="00F87646">
          <w:rPr>
            <w:noProof/>
            <w:webHidden/>
          </w:rPr>
          <w:fldChar w:fldCharType="separate"/>
        </w:r>
        <w:r w:rsidR="00F87646">
          <w:rPr>
            <w:noProof/>
            <w:webHidden/>
          </w:rPr>
          <w:t>77</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699" w:history="1">
        <w:r w:rsidR="00F87646" w:rsidRPr="00BD0EE6">
          <w:rPr>
            <w:rStyle w:val="Hyperlink"/>
            <w:noProof/>
          </w:rPr>
          <w:t>Department of Education and Early Childhood Development</w:t>
        </w:r>
        <w:r w:rsidR="00F87646">
          <w:rPr>
            <w:noProof/>
            <w:webHidden/>
          </w:rPr>
          <w:tab/>
        </w:r>
        <w:r w:rsidR="00F87646">
          <w:rPr>
            <w:noProof/>
            <w:webHidden/>
          </w:rPr>
          <w:fldChar w:fldCharType="begin"/>
        </w:r>
        <w:r w:rsidR="00F87646">
          <w:rPr>
            <w:noProof/>
            <w:webHidden/>
          </w:rPr>
          <w:instrText xml:space="preserve"> PAGEREF _Toc403386699 \h </w:instrText>
        </w:r>
        <w:r w:rsidR="00F87646">
          <w:rPr>
            <w:noProof/>
            <w:webHidden/>
          </w:rPr>
        </w:r>
        <w:r w:rsidR="00F87646">
          <w:rPr>
            <w:noProof/>
            <w:webHidden/>
          </w:rPr>
          <w:fldChar w:fldCharType="separate"/>
        </w:r>
        <w:r w:rsidR="00F87646">
          <w:rPr>
            <w:noProof/>
            <w:webHidden/>
          </w:rPr>
          <w:t>89</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0" w:history="1">
        <w:r w:rsidR="00F87646" w:rsidRPr="00BD0EE6">
          <w:rPr>
            <w:rStyle w:val="Hyperlink"/>
            <w:noProof/>
          </w:rPr>
          <w:t>Department of Environment and Primary Industries</w:t>
        </w:r>
        <w:r w:rsidR="00F87646">
          <w:rPr>
            <w:noProof/>
            <w:webHidden/>
          </w:rPr>
          <w:tab/>
        </w:r>
        <w:r w:rsidR="00F87646">
          <w:rPr>
            <w:noProof/>
            <w:webHidden/>
          </w:rPr>
          <w:fldChar w:fldCharType="begin"/>
        </w:r>
        <w:r w:rsidR="00F87646">
          <w:rPr>
            <w:noProof/>
            <w:webHidden/>
          </w:rPr>
          <w:instrText xml:space="preserve"> PAGEREF _Toc403386700 \h </w:instrText>
        </w:r>
        <w:r w:rsidR="00F87646">
          <w:rPr>
            <w:noProof/>
            <w:webHidden/>
          </w:rPr>
        </w:r>
        <w:r w:rsidR="00F87646">
          <w:rPr>
            <w:noProof/>
            <w:webHidden/>
          </w:rPr>
          <w:fldChar w:fldCharType="separate"/>
        </w:r>
        <w:r w:rsidR="00F87646">
          <w:rPr>
            <w:noProof/>
            <w:webHidden/>
          </w:rPr>
          <w:t>92</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1" w:history="1">
        <w:r w:rsidR="00F87646" w:rsidRPr="00BD0EE6">
          <w:rPr>
            <w:rStyle w:val="Hyperlink"/>
            <w:noProof/>
          </w:rPr>
          <w:t>Department of Health</w:t>
        </w:r>
        <w:r w:rsidR="00F87646">
          <w:rPr>
            <w:noProof/>
            <w:webHidden/>
          </w:rPr>
          <w:tab/>
        </w:r>
        <w:r w:rsidR="00F87646">
          <w:rPr>
            <w:noProof/>
            <w:webHidden/>
          </w:rPr>
          <w:fldChar w:fldCharType="begin"/>
        </w:r>
        <w:r w:rsidR="00F87646">
          <w:rPr>
            <w:noProof/>
            <w:webHidden/>
          </w:rPr>
          <w:instrText xml:space="preserve"> PAGEREF _Toc403386701 \h </w:instrText>
        </w:r>
        <w:r w:rsidR="00F87646">
          <w:rPr>
            <w:noProof/>
            <w:webHidden/>
          </w:rPr>
        </w:r>
        <w:r w:rsidR="00F87646">
          <w:rPr>
            <w:noProof/>
            <w:webHidden/>
          </w:rPr>
          <w:fldChar w:fldCharType="separate"/>
        </w:r>
        <w:r w:rsidR="00F87646">
          <w:rPr>
            <w:noProof/>
            <w:webHidden/>
          </w:rPr>
          <w:t>93</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2" w:history="1">
        <w:r w:rsidR="00F87646" w:rsidRPr="00BD0EE6">
          <w:rPr>
            <w:rStyle w:val="Hyperlink"/>
            <w:noProof/>
          </w:rPr>
          <w:t>Department of Human Services</w:t>
        </w:r>
        <w:r w:rsidR="00F87646">
          <w:rPr>
            <w:noProof/>
            <w:webHidden/>
          </w:rPr>
          <w:tab/>
        </w:r>
        <w:r w:rsidR="00F87646">
          <w:rPr>
            <w:noProof/>
            <w:webHidden/>
          </w:rPr>
          <w:fldChar w:fldCharType="begin"/>
        </w:r>
        <w:r w:rsidR="00F87646">
          <w:rPr>
            <w:noProof/>
            <w:webHidden/>
          </w:rPr>
          <w:instrText xml:space="preserve"> PAGEREF _Toc403386702 \h </w:instrText>
        </w:r>
        <w:r w:rsidR="00F87646">
          <w:rPr>
            <w:noProof/>
            <w:webHidden/>
          </w:rPr>
        </w:r>
        <w:r w:rsidR="00F87646">
          <w:rPr>
            <w:noProof/>
            <w:webHidden/>
          </w:rPr>
          <w:fldChar w:fldCharType="separate"/>
        </w:r>
        <w:r w:rsidR="00F87646">
          <w:rPr>
            <w:noProof/>
            <w:webHidden/>
          </w:rPr>
          <w:t>95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3" w:history="1">
        <w:r w:rsidR="00F87646" w:rsidRPr="00BD0EE6">
          <w:rPr>
            <w:rStyle w:val="Hyperlink"/>
            <w:noProof/>
          </w:rPr>
          <w:t>Department of Justice</w:t>
        </w:r>
        <w:r w:rsidR="00F87646">
          <w:rPr>
            <w:noProof/>
            <w:webHidden/>
          </w:rPr>
          <w:tab/>
        </w:r>
        <w:r w:rsidR="00F87646">
          <w:rPr>
            <w:noProof/>
            <w:webHidden/>
          </w:rPr>
          <w:fldChar w:fldCharType="begin"/>
        </w:r>
        <w:r w:rsidR="00F87646">
          <w:rPr>
            <w:noProof/>
            <w:webHidden/>
          </w:rPr>
          <w:instrText xml:space="preserve"> PAGEREF _Toc403386703 \h </w:instrText>
        </w:r>
        <w:r w:rsidR="00F87646">
          <w:rPr>
            <w:noProof/>
            <w:webHidden/>
          </w:rPr>
        </w:r>
        <w:r w:rsidR="00F87646">
          <w:rPr>
            <w:noProof/>
            <w:webHidden/>
          </w:rPr>
          <w:fldChar w:fldCharType="separate"/>
        </w:r>
        <w:r w:rsidR="00F87646">
          <w:rPr>
            <w:noProof/>
            <w:webHidden/>
          </w:rPr>
          <w:t>97</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4" w:history="1">
        <w:r w:rsidR="00F87646" w:rsidRPr="00BD0EE6">
          <w:rPr>
            <w:rStyle w:val="Hyperlink"/>
            <w:noProof/>
          </w:rPr>
          <w:t>Department of Premier and Cabinet</w:t>
        </w:r>
        <w:r w:rsidR="00F87646">
          <w:rPr>
            <w:noProof/>
            <w:webHidden/>
          </w:rPr>
          <w:tab/>
        </w:r>
        <w:r w:rsidR="00F87646">
          <w:rPr>
            <w:noProof/>
            <w:webHidden/>
          </w:rPr>
          <w:fldChar w:fldCharType="begin"/>
        </w:r>
        <w:r w:rsidR="00F87646">
          <w:rPr>
            <w:noProof/>
            <w:webHidden/>
          </w:rPr>
          <w:instrText xml:space="preserve"> PAGEREF _Toc403386704 \h </w:instrText>
        </w:r>
        <w:r w:rsidR="00F87646">
          <w:rPr>
            <w:noProof/>
            <w:webHidden/>
          </w:rPr>
        </w:r>
        <w:r w:rsidR="00F87646">
          <w:rPr>
            <w:noProof/>
            <w:webHidden/>
          </w:rPr>
          <w:fldChar w:fldCharType="separate"/>
        </w:r>
        <w:r w:rsidR="00F87646">
          <w:rPr>
            <w:noProof/>
            <w:webHidden/>
          </w:rPr>
          <w:t>98</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5" w:history="1">
        <w:r w:rsidR="00F87646" w:rsidRPr="00BD0EE6">
          <w:rPr>
            <w:rStyle w:val="Hyperlink"/>
            <w:noProof/>
          </w:rPr>
          <w:t>Department of State Development, business and innovation</w:t>
        </w:r>
        <w:r w:rsidR="00F87646">
          <w:rPr>
            <w:noProof/>
            <w:webHidden/>
          </w:rPr>
          <w:tab/>
        </w:r>
        <w:r w:rsidR="00F87646">
          <w:rPr>
            <w:noProof/>
            <w:webHidden/>
          </w:rPr>
          <w:fldChar w:fldCharType="begin"/>
        </w:r>
        <w:r w:rsidR="00F87646">
          <w:rPr>
            <w:noProof/>
            <w:webHidden/>
          </w:rPr>
          <w:instrText xml:space="preserve"> PAGEREF _Toc403386705 \h </w:instrText>
        </w:r>
        <w:r w:rsidR="00F87646">
          <w:rPr>
            <w:noProof/>
            <w:webHidden/>
          </w:rPr>
        </w:r>
        <w:r w:rsidR="00F87646">
          <w:rPr>
            <w:noProof/>
            <w:webHidden/>
          </w:rPr>
          <w:fldChar w:fldCharType="separate"/>
        </w:r>
        <w:r w:rsidR="00F87646">
          <w:rPr>
            <w:noProof/>
            <w:webHidden/>
          </w:rPr>
          <w:t>99</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6" w:history="1">
        <w:r w:rsidR="00F87646" w:rsidRPr="00BD0EE6">
          <w:rPr>
            <w:rStyle w:val="Hyperlink"/>
            <w:noProof/>
          </w:rPr>
          <w:t>Department of Transport, Planning and Local Infrastructure</w:t>
        </w:r>
        <w:r w:rsidR="00F87646">
          <w:rPr>
            <w:noProof/>
            <w:webHidden/>
          </w:rPr>
          <w:tab/>
        </w:r>
        <w:r w:rsidR="00F87646">
          <w:rPr>
            <w:noProof/>
            <w:webHidden/>
          </w:rPr>
          <w:fldChar w:fldCharType="begin"/>
        </w:r>
        <w:r w:rsidR="00F87646">
          <w:rPr>
            <w:noProof/>
            <w:webHidden/>
          </w:rPr>
          <w:instrText xml:space="preserve"> PAGEREF _Toc403386706 \h </w:instrText>
        </w:r>
        <w:r w:rsidR="00F87646">
          <w:rPr>
            <w:noProof/>
            <w:webHidden/>
          </w:rPr>
        </w:r>
        <w:r w:rsidR="00F87646">
          <w:rPr>
            <w:noProof/>
            <w:webHidden/>
          </w:rPr>
          <w:fldChar w:fldCharType="separate"/>
        </w:r>
        <w:r w:rsidR="00F87646">
          <w:rPr>
            <w:noProof/>
            <w:webHidden/>
          </w:rPr>
          <w:t>99</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7" w:history="1">
        <w:r w:rsidR="00F87646" w:rsidRPr="00BD0EE6">
          <w:rPr>
            <w:rStyle w:val="Hyperlink"/>
            <w:noProof/>
          </w:rPr>
          <w:t>Department of Treasury and Finance</w:t>
        </w:r>
        <w:r w:rsidR="00F87646">
          <w:rPr>
            <w:noProof/>
            <w:webHidden/>
          </w:rPr>
          <w:tab/>
        </w:r>
        <w:r w:rsidR="00F87646">
          <w:rPr>
            <w:noProof/>
            <w:webHidden/>
          </w:rPr>
          <w:fldChar w:fldCharType="begin"/>
        </w:r>
        <w:r w:rsidR="00F87646">
          <w:rPr>
            <w:noProof/>
            <w:webHidden/>
          </w:rPr>
          <w:instrText xml:space="preserve"> PAGEREF _Toc403386707 \h </w:instrText>
        </w:r>
        <w:r w:rsidR="00F87646">
          <w:rPr>
            <w:noProof/>
            <w:webHidden/>
          </w:rPr>
        </w:r>
        <w:r w:rsidR="00F87646">
          <w:rPr>
            <w:noProof/>
            <w:webHidden/>
          </w:rPr>
          <w:fldChar w:fldCharType="separate"/>
        </w:r>
        <w:r w:rsidR="00F87646">
          <w:rPr>
            <w:noProof/>
            <w:webHidden/>
          </w:rPr>
          <w:t>104</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708" w:history="1">
        <w:r w:rsidR="00F87646" w:rsidRPr="00BD0EE6">
          <w:rPr>
            <w:rStyle w:val="Hyperlink"/>
            <w:noProof/>
          </w:rPr>
          <w:t>Appendix B – Sensitivity analysis table</w:t>
        </w:r>
        <w:r w:rsidR="00F87646">
          <w:rPr>
            <w:noProof/>
            <w:webHidden/>
          </w:rPr>
          <w:tab/>
        </w:r>
        <w:r w:rsidR="00F87646">
          <w:rPr>
            <w:noProof/>
            <w:webHidden/>
          </w:rPr>
          <w:fldChar w:fldCharType="begin"/>
        </w:r>
        <w:r w:rsidR="00F87646">
          <w:rPr>
            <w:noProof/>
            <w:webHidden/>
          </w:rPr>
          <w:instrText xml:space="preserve"> PAGEREF _Toc403386708 \h </w:instrText>
        </w:r>
        <w:r w:rsidR="00F87646">
          <w:rPr>
            <w:noProof/>
            <w:webHidden/>
          </w:rPr>
        </w:r>
        <w:r w:rsidR="00F87646">
          <w:rPr>
            <w:noProof/>
            <w:webHidden/>
          </w:rPr>
          <w:fldChar w:fldCharType="separate"/>
        </w:r>
        <w:r w:rsidR="00F87646">
          <w:rPr>
            <w:noProof/>
            <w:webHidden/>
          </w:rPr>
          <w:t>105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09" w:history="1">
        <w:r w:rsidR="00F87646" w:rsidRPr="00BD0EE6">
          <w:rPr>
            <w:rStyle w:val="Hyperlink"/>
            <w:noProof/>
          </w:rPr>
          <w:t>Sensitivity to independent variations in major economic parameters</w:t>
        </w:r>
        <w:r w:rsidR="00F87646">
          <w:rPr>
            <w:noProof/>
            <w:webHidden/>
          </w:rPr>
          <w:tab/>
        </w:r>
        <w:r w:rsidR="00F87646">
          <w:rPr>
            <w:noProof/>
            <w:webHidden/>
          </w:rPr>
          <w:fldChar w:fldCharType="begin"/>
        </w:r>
        <w:r w:rsidR="00F87646">
          <w:rPr>
            <w:noProof/>
            <w:webHidden/>
          </w:rPr>
          <w:instrText xml:space="preserve"> PAGEREF _Toc403386709 \h </w:instrText>
        </w:r>
        <w:r w:rsidR="00F87646">
          <w:rPr>
            <w:noProof/>
            <w:webHidden/>
          </w:rPr>
        </w:r>
        <w:r w:rsidR="00F87646">
          <w:rPr>
            <w:noProof/>
            <w:webHidden/>
          </w:rPr>
          <w:fldChar w:fldCharType="separate"/>
        </w:r>
        <w:r w:rsidR="00F87646">
          <w:rPr>
            <w:noProof/>
            <w:webHidden/>
          </w:rPr>
          <w:t>105</w:t>
        </w:r>
        <w:r w:rsidR="00F87646">
          <w:rPr>
            <w:noProof/>
            <w:webHidden/>
          </w:rPr>
          <w:fldChar w:fldCharType="end"/>
        </w:r>
      </w:hyperlink>
    </w:p>
    <w:p w:rsidR="00F87646" w:rsidRDefault="00C414AB">
      <w:pPr>
        <w:pStyle w:val="TOC2"/>
        <w:rPr>
          <w:rFonts w:asciiTheme="minorHAnsi" w:eastAsiaTheme="minorEastAsia" w:hAnsiTheme="minorHAnsi" w:cstheme="minorBidi"/>
          <w:noProof/>
          <w:sz w:val="22"/>
          <w:szCs w:val="22"/>
          <w:lang w:eastAsia="en-AU"/>
        </w:rPr>
      </w:pPr>
      <w:hyperlink w:anchor="_Toc403386710" w:history="1">
        <w:r w:rsidR="00F87646" w:rsidRPr="00BD0EE6">
          <w:rPr>
            <w:rStyle w:val="Hyperlink"/>
            <w:noProof/>
          </w:rPr>
          <w:t>Sensitivity to variations in the economic outlook</w:t>
        </w:r>
        <w:r w:rsidR="00F87646">
          <w:rPr>
            <w:noProof/>
            <w:webHidden/>
          </w:rPr>
          <w:tab/>
        </w:r>
        <w:r w:rsidR="00F87646">
          <w:rPr>
            <w:noProof/>
            <w:webHidden/>
          </w:rPr>
          <w:fldChar w:fldCharType="begin"/>
        </w:r>
        <w:r w:rsidR="00F87646">
          <w:rPr>
            <w:noProof/>
            <w:webHidden/>
          </w:rPr>
          <w:instrText xml:space="preserve"> PAGEREF _Toc403386710 \h </w:instrText>
        </w:r>
        <w:r w:rsidR="00F87646">
          <w:rPr>
            <w:noProof/>
            <w:webHidden/>
          </w:rPr>
        </w:r>
        <w:r w:rsidR="00F87646">
          <w:rPr>
            <w:noProof/>
            <w:webHidden/>
          </w:rPr>
          <w:fldChar w:fldCharType="separate"/>
        </w:r>
        <w:r w:rsidR="00F87646">
          <w:rPr>
            <w:noProof/>
            <w:webHidden/>
          </w:rPr>
          <w:t>110</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711" w:history="1">
        <w:r w:rsidR="00F87646" w:rsidRPr="00BD0EE6">
          <w:rPr>
            <w:rStyle w:val="Hyperlink"/>
            <w:noProof/>
          </w:rPr>
          <w:t xml:space="preserve">Appendix C – Requirements of the </w:t>
        </w:r>
        <w:r w:rsidR="00F87646" w:rsidRPr="00BD0EE6">
          <w:rPr>
            <w:rStyle w:val="Hyperlink"/>
            <w:i/>
            <w:noProof/>
          </w:rPr>
          <w:t>Financial Management Act 1994</w:t>
        </w:r>
        <w:r w:rsidR="00F87646">
          <w:rPr>
            <w:noProof/>
            <w:webHidden/>
          </w:rPr>
          <w:tab/>
        </w:r>
        <w:r w:rsidR="00F87646">
          <w:rPr>
            <w:noProof/>
            <w:webHidden/>
          </w:rPr>
          <w:fldChar w:fldCharType="begin"/>
        </w:r>
        <w:r w:rsidR="00F87646">
          <w:rPr>
            <w:noProof/>
            <w:webHidden/>
          </w:rPr>
          <w:instrText xml:space="preserve"> PAGEREF _Toc403386711 \h </w:instrText>
        </w:r>
        <w:r w:rsidR="00F87646">
          <w:rPr>
            <w:noProof/>
            <w:webHidden/>
          </w:rPr>
        </w:r>
        <w:r w:rsidR="00F87646">
          <w:rPr>
            <w:noProof/>
            <w:webHidden/>
          </w:rPr>
          <w:fldChar w:fldCharType="separate"/>
        </w:r>
        <w:r w:rsidR="00F87646">
          <w:rPr>
            <w:noProof/>
            <w:webHidden/>
          </w:rPr>
          <w:t>115</w:t>
        </w:r>
        <w:r w:rsidR="00F87646">
          <w:rPr>
            <w:noProof/>
            <w:webHidden/>
          </w:rPr>
          <w:fldChar w:fldCharType="end"/>
        </w:r>
      </w:hyperlink>
    </w:p>
    <w:p w:rsidR="00F87646" w:rsidRDefault="00C414AB">
      <w:pPr>
        <w:pStyle w:val="TOC1"/>
        <w:rPr>
          <w:rFonts w:asciiTheme="minorHAnsi" w:eastAsiaTheme="minorEastAsia" w:hAnsiTheme="minorHAnsi" w:cstheme="minorBidi"/>
          <w:b w:val="0"/>
          <w:noProof/>
          <w:sz w:val="22"/>
          <w:szCs w:val="22"/>
          <w:lang w:eastAsia="en-AU"/>
        </w:rPr>
      </w:pPr>
      <w:hyperlink w:anchor="_Toc403386712" w:history="1">
        <w:r w:rsidR="00F87646" w:rsidRPr="00BD0EE6">
          <w:rPr>
            <w:rStyle w:val="Hyperlink"/>
            <w:noProof/>
          </w:rPr>
          <w:t>Style conventions</w:t>
        </w:r>
        <w:r w:rsidR="00F87646">
          <w:rPr>
            <w:noProof/>
            <w:webHidden/>
          </w:rPr>
          <w:tab/>
        </w:r>
        <w:r w:rsidR="00F87646">
          <w:rPr>
            <w:noProof/>
            <w:webHidden/>
          </w:rPr>
          <w:fldChar w:fldCharType="begin"/>
        </w:r>
        <w:r w:rsidR="00F87646">
          <w:rPr>
            <w:noProof/>
            <w:webHidden/>
          </w:rPr>
          <w:instrText xml:space="preserve"> PAGEREF _Toc403386712 \h </w:instrText>
        </w:r>
        <w:r w:rsidR="00F87646">
          <w:rPr>
            <w:noProof/>
            <w:webHidden/>
          </w:rPr>
        </w:r>
        <w:r w:rsidR="00F87646">
          <w:rPr>
            <w:noProof/>
            <w:webHidden/>
          </w:rPr>
          <w:fldChar w:fldCharType="separate"/>
        </w:r>
        <w:r w:rsidR="00F87646">
          <w:rPr>
            <w:noProof/>
            <w:webHidden/>
          </w:rPr>
          <w:t>117</w:t>
        </w:r>
        <w:r w:rsidR="00F87646">
          <w:rPr>
            <w:noProof/>
            <w:webHidden/>
          </w:rPr>
          <w:fldChar w:fldCharType="end"/>
        </w:r>
      </w:hyperlink>
    </w:p>
    <w:p w:rsidR="00F87646" w:rsidRDefault="00F87646" w:rsidP="00387AF3">
      <w:r>
        <w:fldChar w:fldCharType="end"/>
      </w:r>
    </w:p>
    <w:p w:rsidR="00F87646" w:rsidRDefault="00F87646" w:rsidP="00387AF3"/>
    <w:p w:rsidR="00F87646" w:rsidRPr="00387AF3" w:rsidRDefault="00F87646" w:rsidP="00387AF3"/>
    <w:p w:rsidR="00F87646" w:rsidRDefault="00F87646" w:rsidP="00387AF3"/>
    <w:p w:rsidR="00F87646" w:rsidRDefault="00F87646" w:rsidP="00387AF3"/>
    <w:p w:rsidR="00F87646" w:rsidRDefault="00F87646" w:rsidP="00986765">
      <w:pPr>
        <w:pStyle w:val="Heading1"/>
        <w:sectPr w:rsidR="00F87646" w:rsidSect="00387AF3">
          <w:footerReference w:type="even" r:id="rId11"/>
          <w:footerReference w:type="default" r:id="rId12"/>
          <w:type w:val="oddPage"/>
          <w:pgSz w:w="9979" w:h="14170" w:code="34"/>
          <w:pgMar w:top="1138" w:right="1138" w:bottom="1138" w:left="1138" w:header="720" w:footer="432" w:gutter="0"/>
          <w:pgNumType w:fmt="lowerRoman" w:start="1"/>
          <w:cols w:space="708"/>
          <w:docGrid w:linePitch="360"/>
        </w:sectPr>
      </w:pPr>
    </w:p>
    <w:p w:rsidR="00F87646" w:rsidRDefault="00F87646" w:rsidP="006C6744">
      <w:pPr>
        <w:pStyle w:val="ChapterHeading"/>
      </w:pPr>
      <w:bookmarkStart w:id="0" w:name="_Toc403386682"/>
      <w:r>
        <w:lastRenderedPageBreak/>
        <w:t>Foreword</w:t>
      </w:r>
      <w:bookmarkEnd w:id="0"/>
    </w:p>
    <w:p w:rsidR="00F87646" w:rsidRDefault="00F87646" w:rsidP="0077766B">
      <w:r>
        <w:t xml:space="preserve">This </w:t>
      </w:r>
      <w:r>
        <w:rPr>
          <w:i/>
        </w:rPr>
        <w:t>Pre</w:t>
      </w:r>
      <w:r>
        <w:rPr>
          <w:i/>
        </w:rPr>
        <w:noBreakHyphen/>
      </w:r>
      <w:r w:rsidRPr="0077766B">
        <w:rPr>
          <w:i/>
        </w:rPr>
        <w:t>Election Budget Update</w:t>
      </w:r>
      <w:r>
        <w:t xml:space="preserve"> is published by the Department of Treasury and Finance in accordance with reporting requirements under Part 5, Division 6 of the </w:t>
      </w:r>
      <w:r w:rsidRPr="0077766B">
        <w:rPr>
          <w:i/>
        </w:rPr>
        <w:t>Financial Management Act 1994</w:t>
      </w:r>
      <w:r>
        <w:t xml:space="preserve"> (FMA). Appendix C </w:t>
      </w:r>
      <w:r w:rsidRPr="0077766B">
        <w:rPr>
          <w:i/>
        </w:rPr>
        <w:t xml:space="preserve">Requirements </w:t>
      </w:r>
      <w:r>
        <w:rPr>
          <w:i/>
        </w:rPr>
        <w:t>of the Financial Management Act </w:t>
      </w:r>
      <w:r w:rsidRPr="0077766B">
        <w:rPr>
          <w:i/>
        </w:rPr>
        <w:t>1994</w:t>
      </w:r>
      <w:r>
        <w:t xml:space="preserve"> details how these requirements have been met. </w:t>
      </w:r>
    </w:p>
    <w:p w:rsidR="00F87646" w:rsidRDefault="00F87646" w:rsidP="0077766B">
      <w:r>
        <w:t xml:space="preserve">The purpose of this </w:t>
      </w:r>
      <w:r>
        <w:rPr>
          <w:i/>
        </w:rPr>
        <w:t>Pre</w:t>
      </w:r>
      <w:r>
        <w:rPr>
          <w:i/>
        </w:rPr>
        <w:noBreakHyphen/>
      </w:r>
      <w:r w:rsidRPr="0077766B">
        <w:rPr>
          <w:i/>
        </w:rPr>
        <w:t>Election Budget Update</w:t>
      </w:r>
      <w:r>
        <w:t xml:space="preserve"> is to update information on the general government sector since the </w:t>
      </w:r>
      <w:r>
        <w:rPr>
          <w:i/>
        </w:rPr>
        <w:t>2014</w:t>
      </w:r>
      <w:r>
        <w:rPr>
          <w:i/>
        </w:rPr>
        <w:noBreakHyphen/>
      </w:r>
      <w:r w:rsidRPr="0077766B">
        <w:rPr>
          <w:i/>
        </w:rPr>
        <w:t>15 Budget</w:t>
      </w:r>
      <w:r>
        <w:t xml:space="preserve"> was published in May 2014.</w:t>
      </w:r>
    </w:p>
    <w:p w:rsidR="00F87646" w:rsidRDefault="00F87646" w:rsidP="0077766B">
      <w:r>
        <w:t xml:space="preserve">Chapter 1 </w:t>
      </w:r>
      <w:r w:rsidRPr="0077766B">
        <w:rPr>
          <w:i/>
        </w:rPr>
        <w:t>Economic conditions and outlook</w:t>
      </w:r>
      <w:r>
        <w:t xml:space="preserve">, outlines the outlook for the Victorian, Australian and international economies, including risks to this outlook. Chapter 2 </w:t>
      </w:r>
      <w:r w:rsidRPr="0077766B">
        <w:rPr>
          <w:i/>
        </w:rPr>
        <w:t xml:space="preserve">Budget </w:t>
      </w:r>
      <w:r>
        <w:rPr>
          <w:i/>
        </w:rPr>
        <w:t>p</w:t>
      </w:r>
      <w:r w:rsidRPr="0077766B">
        <w:rPr>
          <w:i/>
        </w:rPr>
        <w:t xml:space="preserve">osition and </w:t>
      </w:r>
      <w:r>
        <w:rPr>
          <w:i/>
        </w:rPr>
        <w:t>o</w:t>
      </w:r>
      <w:r w:rsidRPr="0077766B">
        <w:rPr>
          <w:i/>
        </w:rPr>
        <w:t>utlook</w:t>
      </w:r>
      <w:r>
        <w:t>, overviews the projected budget position for the period 2014</w:t>
      </w:r>
      <w:r>
        <w:noBreakHyphen/>
        <w:t>15 to 2017</w:t>
      </w:r>
      <w:r>
        <w:noBreakHyphen/>
        <w:t xml:space="preserve">18 and outlines the fiscal risks which could materially alter these budget projections. Chapter 3 </w:t>
      </w:r>
      <w:r w:rsidRPr="001A0548">
        <w:rPr>
          <w:i/>
        </w:rPr>
        <w:t xml:space="preserve">Estimated financial statements and </w:t>
      </w:r>
      <w:r>
        <w:rPr>
          <w:i/>
        </w:rPr>
        <w:t>n</w:t>
      </w:r>
      <w:r w:rsidRPr="001A0548">
        <w:rPr>
          <w:i/>
        </w:rPr>
        <w:t>otes</w:t>
      </w:r>
      <w:r>
        <w:t xml:space="preserve">, provides the formal financial statements, and underpinning notes and assumptions required by the FMA and is prepared in accordance with applicable Australian Accounting Standards. Chapter 4 </w:t>
      </w:r>
      <w:r w:rsidRPr="001A0548">
        <w:rPr>
          <w:i/>
        </w:rPr>
        <w:t xml:space="preserve">Contingent </w:t>
      </w:r>
      <w:r>
        <w:rPr>
          <w:i/>
        </w:rPr>
        <w:t>a</w:t>
      </w:r>
      <w:r w:rsidRPr="001A0548">
        <w:rPr>
          <w:i/>
        </w:rPr>
        <w:t xml:space="preserve">ssets and </w:t>
      </w:r>
      <w:r>
        <w:rPr>
          <w:i/>
        </w:rPr>
        <w:t>c</w:t>
      </w:r>
      <w:r w:rsidRPr="001A0548">
        <w:rPr>
          <w:i/>
        </w:rPr>
        <w:t>ontingent liabilities</w:t>
      </w:r>
      <w:r>
        <w:t>, outlines quantifiable and non</w:t>
      </w:r>
      <w:r>
        <w:noBreakHyphen/>
        <w:t xml:space="preserve">quantifiable contingent assets and contingent liabilities. Appendix A </w:t>
      </w:r>
      <w:r w:rsidRPr="001A0548">
        <w:rPr>
          <w:i/>
        </w:rPr>
        <w:t>Specific policy initiatives affecting the budget position</w:t>
      </w:r>
      <w:r>
        <w:t xml:space="preserve">, outlines specific output and asset investment policy decisions since the </w:t>
      </w:r>
      <w:r w:rsidRPr="00B47512">
        <w:rPr>
          <w:i/>
        </w:rPr>
        <w:t>2014</w:t>
      </w:r>
      <w:r>
        <w:rPr>
          <w:i/>
        </w:rPr>
        <w:noBreakHyphen/>
      </w:r>
      <w:r w:rsidRPr="00B47512">
        <w:rPr>
          <w:i/>
        </w:rPr>
        <w:t>15 Budget</w:t>
      </w:r>
      <w:r>
        <w:t xml:space="preserve"> and Appendix B </w:t>
      </w:r>
      <w:r w:rsidRPr="00B47512">
        <w:rPr>
          <w:i/>
        </w:rPr>
        <w:t>Sensitivity analysis</w:t>
      </w:r>
      <w:r>
        <w:t xml:space="preserve"> </w:t>
      </w:r>
      <w:r w:rsidRPr="00B47512">
        <w:rPr>
          <w:i/>
        </w:rPr>
        <w:t>table</w:t>
      </w:r>
      <w:r>
        <w:t>, estimates the impact of selected economic and financial variables on income, expenses, the net result from transactions, the net result and net debt.</w:t>
      </w:r>
    </w:p>
    <w:p w:rsidR="00F87646" w:rsidRDefault="00F87646" w:rsidP="0077766B">
      <w:r>
        <w:t xml:space="preserve">This </w:t>
      </w:r>
      <w:r>
        <w:rPr>
          <w:i/>
        </w:rPr>
        <w:t>Pre</w:t>
      </w:r>
      <w:r>
        <w:rPr>
          <w:i/>
        </w:rPr>
        <w:noBreakHyphen/>
      </w:r>
      <w:r w:rsidRPr="00B47512">
        <w:rPr>
          <w:i/>
        </w:rPr>
        <w:t>Election Budget Update</w:t>
      </w:r>
      <w:r>
        <w:t xml:space="preserve"> is based on Government decisions I was aware of on or before the issue of the election writs on 4 November 2014. Government decisions are those policy decisions that have been endorsed by Cabinet.</w:t>
      </w:r>
    </w:p>
    <w:p w:rsidR="00F87646" w:rsidRDefault="00F87646" w:rsidP="0077766B">
      <w:bookmarkStart w:id="1" w:name="_GoBack"/>
      <w:bookmarkEnd w:id="1"/>
    </w:p>
    <w:p w:rsidR="00F87646" w:rsidRDefault="00F87646" w:rsidP="0077766B"/>
    <w:p w:rsidR="00F87646" w:rsidRDefault="00F87646" w:rsidP="0077766B"/>
    <w:p w:rsidR="00F87646" w:rsidRPr="0077766B" w:rsidRDefault="00F87646" w:rsidP="0077766B">
      <w:pPr>
        <w:rPr>
          <w:b/>
        </w:rPr>
      </w:pPr>
      <w:r w:rsidRPr="0077766B">
        <w:rPr>
          <w:b/>
        </w:rPr>
        <w:t>David Martine</w:t>
      </w:r>
      <w:r w:rsidRPr="0077766B">
        <w:rPr>
          <w:b/>
        </w:rPr>
        <w:br/>
        <w:t>Secretary</w:t>
      </w:r>
    </w:p>
    <w:p w:rsidR="00F87646" w:rsidRDefault="00F87646" w:rsidP="0077766B">
      <w:r>
        <w:t>Department of Treasury and Finance</w:t>
      </w:r>
    </w:p>
    <w:p w:rsidR="00F87646" w:rsidRDefault="00F87646" w:rsidP="0077766B">
      <w:r>
        <w:t>November 2014</w:t>
      </w:r>
    </w:p>
    <w:p w:rsidR="00F87646" w:rsidRDefault="00F87646" w:rsidP="0077766B"/>
    <w:p w:rsidR="00F87646" w:rsidRDefault="00F87646">
      <w:pPr>
        <w:spacing w:after="0"/>
      </w:pPr>
      <w:r>
        <w:br w:type="page"/>
      </w:r>
    </w:p>
    <w:p w:rsidR="00F87646" w:rsidRDefault="00F87646" w:rsidP="0077766B"/>
    <w:p w:rsidR="00F87646" w:rsidRDefault="00F87646" w:rsidP="00986765"/>
    <w:p w:rsidR="00F87646" w:rsidRDefault="00F87646" w:rsidP="00986765">
      <w:pPr>
        <w:sectPr w:rsidR="00F87646" w:rsidSect="00387AF3">
          <w:headerReference w:type="even" r:id="rId13"/>
          <w:headerReference w:type="default" r:id="rId14"/>
          <w:footerReference w:type="even" r:id="rId15"/>
          <w:footerReference w:type="default" r:id="rId16"/>
          <w:headerReference w:type="first" r:id="rId17"/>
          <w:footerReference w:type="first" r:id="rId18"/>
          <w:type w:val="oddPage"/>
          <w:pgSz w:w="9979" w:h="14170" w:code="34"/>
          <w:pgMar w:top="1138" w:right="1138" w:bottom="1138" w:left="1138" w:header="720" w:footer="432" w:gutter="0"/>
          <w:pgNumType w:start="1"/>
          <w:cols w:space="708"/>
          <w:docGrid w:linePitch="360"/>
        </w:sectPr>
      </w:pPr>
    </w:p>
    <w:p w:rsidR="00F87646" w:rsidRDefault="00F87646" w:rsidP="005A44F8">
      <w:pPr>
        <w:pStyle w:val="ChapterHeading"/>
      </w:pPr>
      <w:bookmarkStart w:id="5" w:name="_Toc403386683"/>
      <w:r>
        <w:lastRenderedPageBreak/>
        <w:t>Chapter 1 – Economic conditions and outlook</w:t>
      </w:r>
      <w:bookmarkEnd w:id="5"/>
    </w:p>
    <w:p w:rsidR="00F87646" w:rsidRPr="00646D34" w:rsidRDefault="00F87646" w:rsidP="00FB12DC">
      <w:pPr>
        <w:pStyle w:val="HighlightBoxBullet"/>
      </w:pPr>
      <w:r>
        <w:t>Economic growth is expected t</w:t>
      </w:r>
      <w:r w:rsidRPr="00602730">
        <w:t xml:space="preserve">o strengthen </w:t>
      </w:r>
      <w:r>
        <w:t>to 2.5 per cent in 2014</w:t>
      </w:r>
      <w:r>
        <w:noBreakHyphen/>
        <w:t>15 and 2.75 per cent from 2015</w:t>
      </w:r>
      <w:r>
        <w:noBreakHyphen/>
        <w:t>16.</w:t>
      </w:r>
    </w:p>
    <w:p w:rsidR="00F87646" w:rsidRPr="00646D34" w:rsidRDefault="00F87646" w:rsidP="00E722E8">
      <w:pPr>
        <w:pStyle w:val="HighlightBoxBullet"/>
      </w:pPr>
      <w:r>
        <w:t>Labour market conditions are expected to strengthen. More recent e</w:t>
      </w:r>
      <w:r w:rsidRPr="00E722E8">
        <w:t>mployment outcomes are consistent with an improveme</w:t>
      </w:r>
      <w:r>
        <w:t>nt in employment growth in 2014</w:t>
      </w:r>
      <w:r>
        <w:noBreakHyphen/>
      </w:r>
      <w:r w:rsidRPr="00E722E8">
        <w:t>15.</w:t>
      </w:r>
    </w:p>
    <w:p w:rsidR="00F87646" w:rsidRDefault="00F87646" w:rsidP="005A2C0C">
      <w:pPr>
        <w:pStyle w:val="HighlightBoxBullet"/>
      </w:pPr>
      <w:r w:rsidRPr="00824C01">
        <w:t xml:space="preserve">Population growth </w:t>
      </w:r>
      <w:r>
        <w:t>is expected to remain strong but moderate slightly.</w:t>
      </w:r>
    </w:p>
    <w:p w:rsidR="00F87646" w:rsidRPr="00FB4D5E" w:rsidRDefault="00F87646" w:rsidP="005A2C0C">
      <w:pPr>
        <w:pStyle w:val="Heading1"/>
      </w:pPr>
      <w:bookmarkStart w:id="6" w:name="_Toc401056866"/>
      <w:bookmarkStart w:id="7" w:name="_Toc401147488"/>
      <w:bookmarkStart w:id="8" w:name="_Toc403386684"/>
      <w:r w:rsidRPr="00E60305">
        <w:t>Economic</w:t>
      </w:r>
      <w:r>
        <w:t xml:space="preserve"> overview</w:t>
      </w:r>
      <w:bookmarkEnd w:id="6"/>
      <w:bookmarkEnd w:id="7"/>
      <w:bookmarkEnd w:id="8"/>
    </w:p>
    <w:p w:rsidR="00F87646" w:rsidRDefault="00F87646" w:rsidP="005A2C0C">
      <w:pPr>
        <w:pStyle w:val="Heading2"/>
        <w:spacing w:before="120"/>
      </w:pPr>
      <w:r>
        <w:t>Victorian economic conditions and outlook</w:t>
      </w:r>
    </w:p>
    <w:p w:rsidR="00F87646" w:rsidRDefault="00F87646" w:rsidP="005A2C0C">
      <w:r>
        <w:t>Victoria’s economy is expected to continue to strengthen with real gross state product (GSP) forecast to increase by 2.5 per cent in 2014</w:t>
      </w:r>
      <w:r>
        <w:noBreakHyphen/>
        <w:t xml:space="preserve">15, and by </w:t>
      </w:r>
      <w:r w:rsidRPr="005A6EA6">
        <w:t>2.75</w:t>
      </w:r>
      <w:r>
        <w:t> per cent</w:t>
      </w:r>
      <w:r w:rsidRPr="005A6EA6">
        <w:t xml:space="preserve"> in 2015</w:t>
      </w:r>
      <w:r>
        <w:noBreakHyphen/>
      </w:r>
      <w:r w:rsidRPr="005A6EA6">
        <w:t>16 and later years.</w:t>
      </w:r>
    </w:p>
    <w:p w:rsidR="00F87646" w:rsidRDefault="00F87646" w:rsidP="005A2C0C">
      <w:r>
        <w:t>The national shift in economic activity towards the non</w:t>
      </w:r>
      <w:r>
        <w:noBreakHyphen/>
        <w:t xml:space="preserve">resources sectors, </w:t>
      </w:r>
      <w:r w:rsidRPr="00B73850">
        <w:t>supported by the depreciation in the exchange rate and ongoing</w:t>
      </w:r>
      <w:r>
        <w:t xml:space="preserve"> low interest rates, is expected to underpin the performance of the Victorian economy in the medium term. </w:t>
      </w:r>
    </w:p>
    <w:p w:rsidR="00F87646" w:rsidRDefault="00F87646" w:rsidP="005A2C0C">
      <w:r w:rsidRPr="000C0F34">
        <w:t>Household consumption growth is expected to improve in 2014</w:t>
      </w:r>
      <w:r>
        <w:noBreakHyphen/>
      </w:r>
      <w:r w:rsidRPr="000C0F34">
        <w:t>15 as strengthening employment and wage</w:t>
      </w:r>
      <w:r>
        <w:t>s</w:t>
      </w:r>
      <w:r w:rsidRPr="000C0F34">
        <w:t xml:space="preserve"> growth lead to a recovery in labour income. Low interest rates and rising household wealth, which have supported consumption growth amid the recent </w:t>
      </w:r>
      <w:r>
        <w:t>softness</w:t>
      </w:r>
      <w:r w:rsidRPr="000C0F34">
        <w:t xml:space="preserve"> in labour income, are expected to further contribut</w:t>
      </w:r>
      <w:r>
        <w:t xml:space="preserve">e </w:t>
      </w:r>
      <w:r w:rsidRPr="000C0F34">
        <w:t>to household spending.</w:t>
      </w:r>
    </w:p>
    <w:p w:rsidR="00F87646" w:rsidRDefault="00F87646" w:rsidP="005A2C0C">
      <w:r>
        <w:t>Dwelling investment is expected to strengthen in 2014</w:t>
      </w:r>
      <w:r>
        <w:noBreakHyphen/>
        <w:t>15. Investor confidence is positive and the construction of significant multi</w:t>
      </w:r>
      <w:r>
        <w:noBreakHyphen/>
        <w:t>unit dwellings is expected to underpin strong growth. Recent strength in house prices and building approvals, as well as continued population growth, will also support dwelling investment in 2014</w:t>
      </w:r>
      <w:r>
        <w:noBreakHyphen/>
        <w:t xml:space="preserve">15. </w:t>
      </w:r>
    </w:p>
    <w:p w:rsidR="00F87646" w:rsidRDefault="00F87646" w:rsidP="005A2C0C">
      <w:r>
        <w:t>Solid growth of 3.0 per cent is forecast in 2014</w:t>
      </w:r>
      <w:r>
        <w:noBreakHyphen/>
        <w:t xml:space="preserve">15 for business investment. </w:t>
      </w:r>
    </w:p>
    <w:p w:rsidR="00F87646" w:rsidRDefault="00F87646" w:rsidP="005A2C0C">
      <w:r>
        <w:t>The latest budget data for Victoria and the Commonwealth point to a modest increase in public demand in 2014</w:t>
      </w:r>
      <w:r>
        <w:noBreakHyphen/>
        <w:t>15. Thereafter, public demand is expected to gradually return to trend growth, with solid investment growth and consumption growth constrained.</w:t>
      </w:r>
    </w:p>
    <w:p w:rsidR="00F87646" w:rsidRDefault="00F87646">
      <w:pPr>
        <w:spacing w:after="0"/>
      </w:pPr>
      <w:r>
        <w:br w:type="page"/>
      </w:r>
    </w:p>
    <w:p w:rsidR="00F87646" w:rsidRDefault="00F87646" w:rsidP="005A2C0C">
      <w:r>
        <w:lastRenderedPageBreak/>
        <w:t>Victoria’s international merchandise goods exports reached a record $24 billion in 2013</w:t>
      </w:r>
      <w:r>
        <w:noBreakHyphen/>
        <w:t>14, the fourth consecutive annual increase. Prospects for international export volumes remain positive in the short term. The recent depreciation of the exchange rate, if sustained, is expected to support the competitive position of Victorian exports in international markets. Victoria’s agricultural exports are likely to continue to perform well given growing demand from Asia.</w:t>
      </w:r>
    </w:p>
    <w:p w:rsidR="00F87646" w:rsidRDefault="00F87646" w:rsidP="005A2C0C">
      <w:r>
        <w:t>Indicators for Victoria’s service exports also point to an optimistic outlook. The demand for Australian student visas has increased, resulting in the Commonwealth Department of Immigration and Border Protection strongly revising upwards forecasts of net student arrivals. Demand from Asian markets, led by China, is expected to continue to drive growth in tourism. Growth in export volumes is likely to be outweighed by growth in imports as a result of stronger state final demand from 2015</w:t>
      </w:r>
      <w:r>
        <w:noBreakHyphen/>
        <w:t xml:space="preserve">16. </w:t>
      </w:r>
    </w:p>
    <w:p w:rsidR="00F87646" w:rsidRDefault="00F87646" w:rsidP="005A2C0C">
      <w:pPr>
        <w:pStyle w:val="Heading3"/>
      </w:pPr>
      <w:r>
        <w:t>Labour market</w:t>
      </w:r>
    </w:p>
    <w:p w:rsidR="00F87646" w:rsidRDefault="00F87646" w:rsidP="005A2C0C">
      <w:r>
        <w:t>Employment grew modestly in 2013</w:t>
      </w:r>
      <w:r>
        <w:noBreakHyphen/>
        <w:t>14, in line with below trend growth in the economy. However, more recent employment outcomes are consistent with an improvement in employment growth in 2014</w:t>
      </w:r>
      <w:r>
        <w:noBreakHyphen/>
        <w:t xml:space="preserve">15. </w:t>
      </w:r>
    </w:p>
    <w:p w:rsidR="00F87646" w:rsidRDefault="00F87646" w:rsidP="005A2C0C">
      <w:r>
        <w:t>A stronger than expected recovery in the labour force participation rate in the first quarter of 2014</w:t>
      </w:r>
      <w:r>
        <w:noBreakHyphen/>
        <w:t>15 has affected Victoria’s unemployment rate in recent months, lifting the base for 2014</w:t>
      </w:r>
      <w:r>
        <w:noBreakHyphen/>
        <w:t>15 and beyond. Consequently, unemployment rate forecasts have been increased by 0.25 percentage points for 2014</w:t>
      </w:r>
      <w:r>
        <w:noBreakHyphen/>
        <w:t xml:space="preserve">15 and the following two years, notwithstanding that employment growth is projected to continue to improve. </w:t>
      </w:r>
    </w:p>
    <w:p w:rsidR="00F87646" w:rsidRDefault="00F87646" w:rsidP="005A2C0C">
      <w:pPr>
        <w:pStyle w:val="Heading3"/>
      </w:pPr>
      <w:r>
        <w:t>Prices and wages</w:t>
      </w:r>
    </w:p>
    <w:p w:rsidR="00F87646" w:rsidRDefault="00F87646" w:rsidP="005A2C0C">
      <w:r>
        <w:t>After accelerating moderately over 2013</w:t>
      </w:r>
      <w:r>
        <w:noBreakHyphen/>
        <w:t>14, inflation is expected to slow in 2014</w:t>
      </w:r>
      <w:r>
        <w:noBreakHyphen/>
        <w:t xml:space="preserve">15 towards the lower half of the Reserve Bank’s target range, </w:t>
      </w:r>
      <w:r w:rsidRPr="00B73850">
        <w:t xml:space="preserve">in part </w:t>
      </w:r>
      <w:r>
        <w:t xml:space="preserve">reflecting </w:t>
      </w:r>
      <w:r w:rsidRPr="00B73850">
        <w:t>the abolition of the carbon tax.</w:t>
      </w:r>
      <w:r>
        <w:t xml:space="preserve"> </w:t>
      </w:r>
    </w:p>
    <w:p w:rsidR="00F87646" w:rsidRDefault="00F87646" w:rsidP="005A2C0C">
      <w:r>
        <w:t>The price growth of non</w:t>
      </w:r>
      <w:r>
        <w:noBreakHyphen/>
        <w:t>tradable goods and services (excluding items less responsive to changes in labour costs, such as utilities and council rates) moderated in 2013</w:t>
      </w:r>
      <w:r>
        <w:noBreakHyphen/>
        <w:t>14, consistent with spare capacity in the economy and soft wages growth. Some further moderation is expected in 2014</w:t>
      </w:r>
      <w:r>
        <w:noBreakHyphen/>
        <w:t>15 although this will be subject to the timing and extent of the anticipated pick</w:t>
      </w:r>
      <w:r>
        <w:noBreakHyphen/>
        <w:t xml:space="preserve">up in labour market conditions. In contrast, the depreciation of the Australian dollar will continue to place upward pressure on consumer prices </w:t>
      </w:r>
      <w:r w:rsidRPr="00AC5B89">
        <w:t>as import prices increase.</w:t>
      </w:r>
    </w:p>
    <w:p w:rsidR="00F87646" w:rsidRDefault="00F87646" w:rsidP="005A2C0C">
      <w:r w:rsidRPr="00D11C11">
        <w:t>While wage</w:t>
      </w:r>
      <w:r>
        <w:t>s</w:t>
      </w:r>
      <w:r w:rsidRPr="00D11C11">
        <w:t xml:space="preserve"> growth is expected to remain contained in the near</w:t>
      </w:r>
      <w:r>
        <w:noBreakHyphen/>
      </w:r>
      <w:r w:rsidRPr="00D11C11">
        <w:t>term, the National Wage Case decision to increase the minimum wage rate by 3</w:t>
      </w:r>
      <w:r>
        <w:t> per cent</w:t>
      </w:r>
      <w:r w:rsidRPr="00D11C11">
        <w:t xml:space="preserve"> from 1</w:t>
      </w:r>
      <w:r>
        <w:t> July </w:t>
      </w:r>
      <w:r w:rsidRPr="00D11C11">
        <w:t xml:space="preserve">2014 and </w:t>
      </w:r>
      <w:r>
        <w:t>improvements in labour market conditions a</w:t>
      </w:r>
      <w:r w:rsidRPr="00D11C11">
        <w:t>re expected to lead to a</w:t>
      </w:r>
      <w:r>
        <w:t>n</w:t>
      </w:r>
      <w:r w:rsidRPr="00D11C11">
        <w:t xml:space="preserve"> </w:t>
      </w:r>
      <w:r>
        <w:t xml:space="preserve">increase </w:t>
      </w:r>
      <w:r w:rsidRPr="00D11C11">
        <w:t>in wage</w:t>
      </w:r>
      <w:r>
        <w:t>s</w:t>
      </w:r>
      <w:r w:rsidRPr="00D11C11">
        <w:t xml:space="preserve"> growth in 2014</w:t>
      </w:r>
      <w:r>
        <w:noBreakHyphen/>
      </w:r>
      <w:r w:rsidRPr="00D11C11">
        <w:t xml:space="preserve">15. </w:t>
      </w:r>
      <w:r w:rsidRPr="0028770E">
        <w:t>Growth in wages is expected to increase further over the forecast period, consistent with stronger economic gro</w:t>
      </w:r>
      <w:r>
        <w:t>wth and improving labour market conditions.</w:t>
      </w:r>
    </w:p>
    <w:p w:rsidR="00F87646" w:rsidRDefault="00F87646">
      <w:pPr>
        <w:spacing w:after="0"/>
        <w:rPr>
          <w:rFonts w:ascii="Calibri" w:hAnsi="Calibri"/>
          <w:b/>
          <w:i/>
          <w:kern w:val="28"/>
          <w:sz w:val="24"/>
          <w:szCs w:val="22"/>
        </w:rPr>
      </w:pPr>
      <w:r>
        <w:br w:type="page"/>
      </w:r>
    </w:p>
    <w:p w:rsidR="00F87646" w:rsidRDefault="00F87646" w:rsidP="005A2C0C">
      <w:pPr>
        <w:pStyle w:val="Heading3"/>
      </w:pPr>
      <w:r>
        <w:lastRenderedPageBreak/>
        <w:t>Population</w:t>
      </w:r>
    </w:p>
    <w:p w:rsidR="00F87646" w:rsidRPr="007741F5" w:rsidRDefault="00F87646" w:rsidP="005A2C0C">
      <w:r w:rsidRPr="007741F5">
        <w:t>Population growth is forecast to remain strong in 2014</w:t>
      </w:r>
      <w:r>
        <w:noBreakHyphen/>
      </w:r>
      <w:r w:rsidRPr="007741F5">
        <w:t>15, continuing a trend of growth above the long</w:t>
      </w:r>
      <w:r>
        <w:noBreakHyphen/>
      </w:r>
      <w:r w:rsidRPr="007741F5">
        <w:t>term average. Victoria remains one of the fastest</w:t>
      </w:r>
      <w:r>
        <w:t xml:space="preserve"> </w:t>
      </w:r>
      <w:r w:rsidRPr="007741F5">
        <w:t xml:space="preserve">growing states, </w:t>
      </w:r>
      <w:r>
        <w:t xml:space="preserve">continuing </w:t>
      </w:r>
      <w:r w:rsidRPr="007741F5">
        <w:t xml:space="preserve">to receive a positive net inflow of interstate migration. </w:t>
      </w:r>
      <w:r w:rsidRPr="00707907">
        <w:t>In the March quarter of 2014 and over the year, Victoria gained more people from interstate migration than any other state.</w:t>
      </w:r>
      <w:r w:rsidRPr="007741F5">
        <w:t xml:space="preserve"> Population growth estimates </w:t>
      </w:r>
      <w:r>
        <w:t>from 2014</w:t>
      </w:r>
      <w:r>
        <w:noBreakHyphen/>
        <w:t xml:space="preserve">15 onwards </w:t>
      </w:r>
      <w:r w:rsidRPr="007741F5">
        <w:t xml:space="preserve">reflect a slight moderation </w:t>
      </w:r>
      <w:r>
        <w:t xml:space="preserve">from </w:t>
      </w:r>
      <w:r w:rsidRPr="007741F5">
        <w:t>high levels in 2013</w:t>
      </w:r>
      <w:r>
        <w:noBreakHyphen/>
        <w:t>14, mainly due to an expected return of net interstate migration to more traditional volumes.</w:t>
      </w:r>
    </w:p>
    <w:p w:rsidR="00F87646" w:rsidRDefault="00F87646" w:rsidP="005A2C0C">
      <w:pPr>
        <w:pStyle w:val="Heading2"/>
      </w:pPr>
      <w:r>
        <w:t>Economic forecasts</w:t>
      </w:r>
    </w:p>
    <w:p w:rsidR="00F87646" w:rsidRDefault="00F87646" w:rsidP="005A2C0C">
      <w:r w:rsidRPr="00786CF2">
        <w:t xml:space="preserve">The economic </w:t>
      </w:r>
      <w:r>
        <w:t>forecasts are set out in Table 1</w:t>
      </w:r>
      <w:r w:rsidRPr="00786CF2">
        <w:t xml:space="preserve">.1, with the </w:t>
      </w:r>
      <w:r w:rsidRPr="00D447C7">
        <w:rPr>
          <w:i/>
        </w:rPr>
        <w:t>2014</w:t>
      </w:r>
      <w:r>
        <w:rPr>
          <w:i/>
        </w:rPr>
        <w:noBreakHyphen/>
      </w:r>
      <w:r w:rsidRPr="00D447C7">
        <w:rPr>
          <w:i/>
        </w:rPr>
        <w:t>15 Budget</w:t>
      </w:r>
      <w:r w:rsidRPr="00786CF2">
        <w:t xml:space="preserve"> forecasts in parentheses where different.</w:t>
      </w:r>
    </w:p>
    <w:p w:rsidR="00F87646" w:rsidRPr="00DF427C" w:rsidRDefault="00F87646" w:rsidP="005A2C0C">
      <w:pPr>
        <w:pStyle w:val="Tableheading"/>
        <w:rPr>
          <w:vertAlign w:val="superscript"/>
        </w:rPr>
      </w:pPr>
      <w:r>
        <w:t xml:space="preserve">Table 1.1: </w:t>
      </w:r>
      <w:r>
        <w:tab/>
      </w:r>
      <w:r w:rsidRPr="00DF427C">
        <w:t xml:space="preserve">Victorian economic </w:t>
      </w:r>
      <w:r>
        <w:t>forecasts</w:t>
      </w:r>
      <w:r>
        <w:rPr>
          <w:vertAlign w:val="superscript"/>
        </w:rPr>
        <w:t>(a)</w:t>
      </w:r>
    </w:p>
    <w:p w:rsidR="00F87646" w:rsidRPr="00314CBE" w:rsidRDefault="00F87646" w:rsidP="005A2C0C">
      <w:pPr>
        <w:pStyle w:val="million"/>
      </w:pPr>
      <w:r w:rsidRPr="00DF427C">
        <w:t>(per cent)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314CBE" w:rsidTr="001B5B76">
        <w:trPr>
          <w:cantSplit/>
        </w:trPr>
        <w:tc>
          <w:tcPr>
            <w:tcW w:w="2808" w:type="dxa"/>
            <w:tcBorders>
              <w:top w:val="single" w:sz="6" w:space="0" w:color="auto"/>
              <w:left w:val="single" w:sz="6" w:space="0" w:color="auto"/>
            </w:tcBorders>
            <w:shd w:val="clear" w:color="auto" w:fill="000000"/>
          </w:tcPr>
          <w:p w:rsidR="00F87646" w:rsidRPr="00314CBE" w:rsidRDefault="00F87646" w:rsidP="001B5B76">
            <w:pPr>
              <w:pStyle w:val="Tabletext"/>
              <w:rPr>
                <w:rFonts w:eastAsiaTheme="minorEastAsia"/>
                <w:lang w:eastAsia="en-AU"/>
              </w:rPr>
            </w:pPr>
            <w:r w:rsidRPr="00314CBE">
              <w:rPr>
                <w:rFonts w:eastAsiaTheme="minorEastAsia"/>
                <w:lang w:eastAsia="en-AU"/>
              </w:rPr>
              <w:t xml:space="preserve"> </w:t>
            </w:r>
          </w:p>
        </w:tc>
        <w:tc>
          <w:tcPr>
            <w:tcW w:w="993" w:type="dxa"/>
            <w:tcBorders>
              <w:top w:val="single" w:sz="6" w:space="0" w:color="auto"/>
            </w:tcBorders>
            <w:shd w:val="clear" w:color="auto" w:fill="000000"/>
          </w:tcPr>
          <w:p w:rsidR="00F87646" w:rsidRPr="00314CBE" w:rsidRDefault="00F87646" w:rsidP="001B5B76">
            <w:pPr>
              <w:pStyle w:val="Tabletextheading"/>
              <w:rPr>
                <w:rFonts w:eastAsiaTheme="minorEastAsia"/>
                <w:lang w:eastAsia="en-AU"/>
              </w:rPr>
            </w:pPr>
            <w:r w:rsidRPr="00314CBE">
              <w:rPr>
                <w:rFonts w:eastAsiaTheme="minorEastAsia"/>
                <w:lang w:eastAsia="en-AU"/>
              </w:rPr>
              <w:t>2013</w:t>
            </w:r>
            <w:r>
              <w:rPr>
                <w:rFonts w:eastAsiaTheme="minorEastAsia"/>
                <w:lang w:eastAsia="en-AU"/>
              </w:rPr>
              <w:noBreakHyphen/>
            </w:r>
            <w:r w:rsidRPr="00314CBE">
              <w:rPr>
                <w:rFonts w:eastAsiaTheme="minorEastAsia"/>
                <w:lang w:eastAsia="en-AU"/>
              </w:rPr>
              <w:t>14</w:t>
            </w:r>
          </w:p>
        </w:tc>
        <w:tc>
          <w:tcPr>
            <w:tcW w:w="993" w:type="dxa"/>
            <w:tcBorders>
              <w:top w:val="single" w:sz="6" w:space="0" w:color="auto"/>
            </w:tcBorders>
            <w:shd w:val="clear" w:color="auto" w:fill="000000"/>
          </w:tcPr>
          <w:p w:rsidR="00F87646" w:rsidRPr="00314CBE" w:rsidRDefault="00F87646" w:rsidP="001B5B76">
            <w:pPr>
              <w:pStyle w:val="Tabletextheading"/>
              <w:rPr>
                <w:rFonts w:eastAsiaTheme="minorEastAsia"/>
                <w:lang w:eastAsia="en-AU"/>
              </w:rPr>
            </w:pPr>
            <w:r w:rsidRPr="00314CBE">
              <w:rPr>
                <w:rFonts w:eastAsiaTheme="minorEastAsia"/>
                <w:lang w:eastAsia="en-AU"/>
              </w:rPr>
              <w:t>2014</w:t>
            </w:r>
            <w:r>
              <w:rPr>
                <w:rFonts w:eastAsiaTheme="minorEastAsia"/>
                <w:lang w:eastAsia="en-AU"/>
              </w:rPr>
              <w:noBreakHyphen/>
            </w:r>
            <w:r w:rsidRPr="00314CBE">
              <w:rPr>
                <w:rFonts w:eastAsiaTheme="minorEastAsia"/>
                <w:lang w:eastAsia="en-AU"/>
              </w:rPr>
              <w:t>15</w:t>
            </w:r>
          </w:p>
        </w:tc>
        <w:tc>
          <w:tcPr>
            <w:tcW w:w="993" w:type="dxa"/>
            <w:tcBorders>
              <w:top w:val="single" w:sz="6" w:space="0" w:color="auto"/>
            </w:tcBorders>
            <w:shd w:val="clear" w:color="auto" w:fill="000000"/>
          </w:tcPr>
          <w:p w:rsidR="00F87646" w:rsidRPr="00314CBE" w:rsidRDefault="00F87646" w:rsidP="001B5B76">
            <w:pPr>
              <w:pStyle w:val="Tabletextheading"/>
              <w:rPr>
                <w:rFonts w:eastAsiaTheme="minorEastAsia"/>
                <w:lang w:eastAsia="en-AU"/>
              </w:rPr>
            </w:pPr>
            <w:r w:rsidRPr="00314CBE">
              <w:rPr>
                <w:rFonts w:eastAsiaTheme="minorEastAsia"/>
                <w:lang w:eastAsia="en-AU"/>
              </w:rPr>
              <w:t>2015</w:t>
            </w:r>
            <w:r>
              <w:rPr>
                <w:rFonts w:eastAsiaTheme="minorEastAsia"/>
                <w:lang w:eastAsia="en-AU"/>
              </w:rPr>
              <w:noBreakHyphen/>
            </w:r>
            <w:r w:rsidRPr="00314CBE">
              <w:rPr>
                <w:rFonts w:eastAsiaTheme="minorEastAsia"/>
                <w:lang w:eastAsia="en-AU"/>
              </w:rPr>
              <w:t>16</w:t>
            </w:r>
          </w:p>
        </w:tc>
        <w:tc>
          <w:tcPr>
            <w:tcW w:w="993" w:type="dxa"/>
            <w:tcBorders>
              <w:top w:val="single" w:sz="6" w:space="0" w:color="auto"/>
            </w:tcBorders>
            <w:shd w:val="clear" w:color="auto" w:fill="000000"/>
          </w:tcPr>
          <w:p w:rsidR="00F87646" w:rsidRPr="00314CBE" w:rsidRDefault="00F87646" w:rsidP="001B5B76">
            <w:pPr>
              <w:pStyle w:val="Tabletextheading"/>
              <w:rPr>
                <w:rFonts w:eastAsiaTheme="minorEastAsia"/>
                <w:lang w:eastAsia="en-AU"/>
              </w:rPr>
            </w:pPr>
            <w:r w:rsidRPr="00314CBE">
              <w:rPr>
                <w:rFonts w:eastAsiaTheme="minorEastAsia"/>
                <w:lang w:eastAsia="en-AU"/>
              </w:rPr>
              <w:t>2016</w:t>
            </w:r>
            <w:r>
              <w:rPr>
                <w:rFonts w:eastAsiaTheme="minorEastAsia"/>
                <w:lang w:eastAsia="en-AU"/>
              </w:rPr>
              <w:noBreakHyphen/>
            </w:r>
            <w:r w:rsidRPr="00314CBE">
              <w:rPr>
                <w:rFonts w:eastAsiaTheme="minorEastAsia"/>
                <w:lang w:eastAsia="en-AU"/>
              </w:rPr>
              <w:t>17</w:t>
            </w:r>
          </w:p>
        </w:tc>
        <w:tc>
          <w:tcPr>
            <w:tcW w:w="993" w:type="dxa"/>
            <w:tcBorders>
              <w:top w:val="single" w:sz="6" w:space="0" w:color="auto"/>
              <w:right w:val="single" w:sz="6" w:space="0" w:color="auto"/>
            </w:tcBorders>
            <w:shd w:val="clear" w:color="auto" w:fill="000000"/>
          </w:tcPr>
          <w:p w:rsidR="00F87646" w:rsidRPr="00314CBE" w:rsidRDefault="00F87646" w:rsidP="001B5B76">
            <w:pPr>
              <w:pStyle w:val="Tabletextheading"/>
              <w:rPr>
                <w:rFonts w:eastAsiaTheme="minorEastAsia"/>
                <w:lang w:eastAsia="en-AU"/>
              </w:rPr>
            </w:pPr>
            <w:r>
              <w:rPr>
                <w:rFonts w:eastAsiaTheme="minorEastAsia"/>
                <w:lang w:eastAsia="en-AU"/>
              </w:rPr>
              <w:t>2017</w:t>
            </w:r>
            <w:r>
              <w:rPr>
                <w:rFonts w:eastAsiaTheme="minorEastAsia"/>
                <w:lang w:eastAsia="en-AU"/>
              </w:rPr>
              <w:noBreakHyphen/>
              <w:t>18</w:t>
            </w:r>
          </w:p>
        </w:tc>
      </w:tr>
      <w:tr w:rsidR="00F87646" w:rsidRPr="00314CBE" w:rsidTr="001B5B76">
        <w:trPr>
          <w:cantSplit/>
        </w:trPr>
        <w:tc>
          <w:tcPr>
            <w:tcW w:w="2808" w:type="dxa"/>
            <w:tcBorders>
              <w:top w:val="nil"/>
              <w:left w:val="single" w:sz="6" w:space="0" w:color="auto"/>
              <w:bottom w:val="single" w:sz="6" w:space="0" w:color="auto"/>
            </w:tcBorders>
            <w:shd w:val="clear" w:color="auto" w:fill="000000"/>
          </w:tcPr>
          <w:p w:rsidR="00F87646" w:rsidRPr="00314CBE" w:rsidRDefault="00F87646" w:rsidP="001B5B76">
            <w:pPr>
              <w:pStyle w:val="Tabletext"/>
              <w:rPr>
                <w:rFonts w:eastAsiaTheme="minorEastAsia"/>
                <w:lang w:eastAsia="en-AU"/>
              </w:rPr>
            </w:pPr>
            <w:r w:rsidRPr="00314CBE">
              <w:rPr>
                <w:rFonts w:eastAsiaTheme="minorEastAsia"/>
                <w:lang w:eastAsia="en-AU"/>
              </w:rPr>
              <w:t xml:space="preserve"> </w:t>
            </w:r>
          </w:p>
        </w:tc>
        <w:tc>
          <w:tcPr>
            <w:tcW w:w="993" w:type="dxa"/>
            <w:tcBorders>
              <w:top w:val="nil"/>
              <w:bottom w:val="single" w:sz="6" w:space="0" w:color="auto"/>
            </w:tcBorders>
            <w:shd w:val="clear" w:color="auto" w:fill="000000"/>
          </w:tcPr>
          <w:p w:rsidR="00F87646" w:rsidRPr="00314CBE" w:rsidRDefault="00F87646" w:rsidP="001B5B76">
            <w:pPr>
              <w:pStyle w:val="Tabletextheading"/>
              <w:rPr>
                <w:rFonts w:eastAsiaTheme="minorEastAsia"/>
                <w:lang w:eastAsia="en-AU"/>
              </w:rPr>
            </w:pPr>
            <w:r>
              <w:rPr>
                <w:rFonts w:eastAsiaTheme="minorEastAsia"/>
                <w:lang w:eastAsia="en-AU"/>
              </w:rPr>
              <w:t>actual</w:t>
            </w:r>
          </w:p>
        </w:tc>
        <w:tc>
          <w:tcPr>
            <w:tcW w:w="993" w:type="dxa"/>
            <w:tcBorders>
              <w:top w:val="nil"/>
              <w:bottom w:val="single" w:sz="6" w:space="0" w:color="auto"/>
            </w:tcBorders>
            <w:shd w:val="clear" w:color="auto" w:fill="000000"/>
          </w:tcPr>
          <w:p w:rsidR="00F87646" w:rsidRPr="00314CBE" w:rsidRDefault="00F87646" w:rsidP="001B5B76">
            <w:pPr>
              <w:pStyle w:val="Tabletextheading"/>
              <w:rPr>
                <w:rFonts w:eastAsiaTheme="minorEastAsia"/>
                <w:lang w:eastAsia="en-AU"/>
              </w:rPr>
            </w:pPr>
            <w:r>
              <w:rPr>
                <w:rFonts w:eastAsiaTheme="minorEastAsia"/>
                <w:lang w:eastAsia="en-AU"/>
              </w:rPr>
              <w:t>f</w:t>
            </w:r>
            <w:r w:rsidRPr="00314CBE">
              <w:rPr>
                <w:rFonts w:eastAsiaTheme="minorEastAsia"/>
                <w:lang w:eastAsia="en-AU"/>
              </w:rPr>
              <w:t>orecast</w:t>
            </w:r>
          </w:p>
        </w:tc>
        <w:tc>
          <w:tcPr>
            <w:tcW w:w="993" w:type="dxa"/>
            <w:tcBorders>
              <w:top w:val="nil"/>
              <w:bottom w:val="single" w:sz="6" w:space="0" w:color="auto"/>
            </w:tcBorders>
            <w:shd w:val="clear" w:color="auto" w:fill="000000"/>
          </w:tcPr>
          <w:p w:rsidR="00F87646" w:rsidRPr="00314CBE" w:rsidRDefault="00F87646" w:rsidP="001B5B76">
            <w:pPr>
              <w:pStyle w:val="Tabletextheading"/>
              <w:rPr>
                <w:rFonts w:eastAsiaTheme="minorEastAsia"/>
                <w:lang w:eastAsia="en-AU"/>
              </w:rPr>
            </w:pPr>
            <w:r>
              <w:rPr>
                <w:rFonts w:eastAsiaTheme="minorEastAsia"/>
                <w:lang w:eastAsia="en-AU"/>
              </w:rPr>
              <w:t>f</w:t>
            </w:r>
            <w:r w:rsidRPr="00314CBE">
              <w:rPr>
                <w:rFonts w:eastAsiaTheme="minorEastAsia"/>
                <w:lang w:eastAsia="en-AU"/>
              </w:rPr>
              <w:t>orecast</w:t>
            </w:r>
          </w:p>
        </w:tc>
        <w:tc>
          <w:tcPr>
            <w:tcW w:w="993" w:type="dxa"/>
            <w:tcBorders>
              <w:top w:val="nil"/>
              <w:bottom w:val="single" w:sz="6" w:space="0" w:color="auto"/>
            </w:tcBorders>
            <w:shd w:val="clear" w:color="auto" w:fill="000000"/>
          </w:tcPr>
          <w:p w:rsidR="00F87646" w:rsidRPr="00314CBE" w:rsidRDefault="00F87646" w:rsidP="001B5B76">
            <w:pPr>
              <w:pStyle w:val="Tabletextheading"/>
              <w:rPr>
                <w:rFonts w:eastAsiaTheme="minorEastAsia"/>
                <w:lang w:eastAsia="en-AU"/>
              </w:rPr>
            </w:pPr>
            <w:r>
              <w:rPr>
                <w:rFonts w:eastAsiaTheme="minorEastAsia"/>
                <w:lang w:eastAsia="en-AU"/>
              </w:rPr>
              <w:t>f</w:t>
            </w:r>
            <w:r w:rsidRPr="00314CBE">
              <w:rPr>
                <w:rFonts w:eastAsiaTheme="minorEastAsia"/>
                <w:lang w:eastAsia="en-AU"/>
              </w:rPr>
              <w:t>orecast</w:t>
            </w:r>
          </w:p>
        </w:tc>
        <w:tc>
          <w:tcPr>
            <w:tcW w:w="993" w:type="dxa"/>
            <w:tcBorders>
              <w:top w:val="nil"/>
              <w:bottom w:val="single" w:sz="6" w:space="0" w:color="auto"/>
              <w:right w:val="single" w:sz="6" w:space="0" w:color="auto"/>
            </w:tcBorders>
            <w:shd w:val="clear" w:color="auto" w:fill="000000"/>
          </w:tcPr>
          <w:p w:rsidR="00F87646" w:rsidRPr="00314CBE" w:rsidRDefault="00F87646" w:rsidP="001B5B76">
            <w:pPr>
              <w:pStyle w:val="Tabletextheading"/>
              <w:rPr>
                <w:rFonts w:eastAsiaTheme="minorEastAsia"/>
                <w:lang w:eastAsia="en-AU"/>
              </w:rPr>
            </w:pPr>
            <w:r>
              <w:rPr>
                <w:rFonts w:eastAsiaTheme="minorEastAsia"/>
                <w:lang w:eastAsia="en-AU"/>
              </w:rPr>
              <w:t>forecast</w:t>
            </w:r>
          </w:p>
        </w:tc>
      </w:tr>
      <w:tr w:rsidR="00F87646" w:rsidRPr="00314CBE" w:rsidTr="001B5B76">
        <w:trPr>
          <w:cantSplit/>
        </w:trPr>
        <w:tc>
          <w:tcPr>
            <w:tcW w:w="2808" w:type="dxa"/>
            <w:tcBorders>
              <w:top w:val="single" w:sz="6" w:space="0" w:color="auto"/>
              <w:left w:val="nil"/>
              <w:bottom w:val="nil"/>
              <w:right w:val="nil"/>
            </w:tcBorders>
          </w:tcPr>
          <w:p w:rsidR="00F87646" w:rsidRPr="00314CBE" w:rsidRDefault="00F87646" w:rsidP="001B5B76">
            <w:pPr>
              <w:pStyle w:val="Tabletext"/>
              <w:spacing w:after="60"/>
              <w:rPr>
                <w:rFonts w:eastAsiaTheme="minorEastAsia"/>
                <w:color w:val="000000"/>
                <w:lang w:eastAsia="en-AU"/>
              </w:rPr>
            </w:pPr>
            <w:r w:rsidRPr="00314CBE">
              <w:rPr>
                <w:rFonts w:eastAsiaTheme="minorEastAsia"/>
                <w:color w:val="000000"/>
                <w:lang w:eastAsia="en-AU"/>
              </w:rPr>
              <w:t>Real gross state product</w:t>
            </w:r>
          </w:p>
        </w:tc>
        <w:tc>
          <w:tcPr>
            <w:tcW w:w="993" w:type="dxa"/>
            <w:tcBorders>
              <w:top w:val="single" w:sz="6" w:space="0" w:color="auto"/>
              <w:left w:val="nil"/>
              <w:bottom w:val="nil"/>
              <w:right w:val="nil"/>
            </w:tcBorders>
            <w:vAlign w:val="bottom"/>
          </w:tcPr>
          <w:p w:rsidR="00F87646" w:rsidRDefault="00F87646" w:rsidP="001B5B76">
            <w:pPr>
              <w:pStyle w:val="TableofFigures"/>
              <w:spacing w:after="60"/>
              <w:rPr>
                <w:rFonts w:cs="Calibri"/>
                <w:color w:val="000000"/>
              </w:rPr>
            </w:pPr>
            <w:r>
              <w:rPr>
                <w:rFonts w:cs="Calibri"/>
                <w:color w:val="000000"/>
              </w:rPr>
              <w:t xml:space="preserve">2.00 </w:t>
            </w:r>
            <w:r>
              <w:rPr>
                <w:rFonts w:eastAsiaTheme="minorEastAsia"/>
                <w:color w:val="000000"/>
                <w:vertAlign w:val="superscript"/>
                <w:lang w:eastAsia="en-AU"/>
              </w:rPr>
              <w:t>(b</w:t>
            </w:r>
            <w:r w:rsidRPr="00314CBE">
              <w:rPr>
                <w:rFonts w:eastAsiaTheme="minorEastAsia"/>
                <w:color w:val="000000"/>
                <w:vertAlign w:val="superscript"/>
                <w:lang w:eastAsia="en-AU"/>
              </w:rPr>
              <w:t>)</w:t>
            </w:r>
          </w:p>
        </w:tc>
        <w:tc>
          <w:tcPr>
            <w:tcW w:w="993" w:type="dxa"/>
            <w:tcBorders>
              <w:top w:val="single" w:sz="6" w:space="0" w:color="auto"/>
              <w:left w:val="nil"/>
              <w:bottom w:val="nil"/>
              <w:right w:val="nil"/>
            </w:tcBorders>
            <w:vAlign w:val="bottom"/>
          </w:tcPr>
          <w:p w:rsidR="00F87646" w:rsidRDefault="00F87646" w:rsidP="001B5B76">
            <w:pPr>
              <w:pStyle w:val="TableofFigures"/>
              <w:spacing w:after="60"/>
              <w:rPr>
                <w:rFonts w:cs="Calibri"/>
                <w:color w:val="000000"/>
              </w:rPr>
            </w:pPr>
            <w:r>
              <w:rPr>
                <w:rFonts w:cs="Calibri"/>
                <w:color w:val="000000"/>
              </w:rPr>
              <w:t>2.50</w:t>
            </w:r>
          </w:p>
        </w:tc>
        <w:tc>
          <w:tcPr>
            <w:tcW w:w="993" w:type="dxa"/>
            <w:tcBorders>
              <w:top w:val="single" w:sz="6" w:space="0" w:color="auto"/>
              <w:left w:val="nil"/>
              <w:bottom w:val="nil"/>
              <w:right w:val="nil"/>
            </w:tcBorders>
            <w:vAlign w:val="bottom"/>
          </w:tcPr>
          <w:p w:rsidR="00F87646" w:rsidRDefault="00F87646" w:rsidP="001B5B76">
            <w:pPr>
              <w:pStyle w:val="TableofFigures"/>
              <w:spacing w:after="60"/>
              <w:rPr>
                <w:rFonts w:cs="Calibri"/>
                <w:color w:val="000000"/>
              </w:rPr>
            </w:pPr>
            <w:r>
              <w:rPr>
                <w:rFonts w:cs="Calibri"/>
                <w:color w:val="000000"/>
              </w:rPr>
              <w:t>2.75</w:t>
            </w:r>
          </w:p>
        </w:tc>
        <w:tc>
          <w:tcPr>
            <w:tcW w:w="993" w:type="dxa"/>
            <w:tcBorders>
              <w:top w:val="single" w:sz="6" w:space="0" w:color="auto"/>
              <w:left w:val="nil"/>
              <w:bottom w:val="nil"/>
              <w:right w:val="nil"/>
            </w:tcBorders>
            <w:vAlign w:val="bottom"/>
          </w:tcPr>
          <w:p w:rsidR="00F87646" w:rsidRDefault="00F87646" w:rsidP="001B5B76">
            <w:pPr>
              <w:pStyle w:val="TableofFigures"/>
              <w:spacing w:after="60"/>
              <w:rPr>
                <w:rFonts w:cs="Calibri"/>
                <w:color w:val="000000"/>
              </w:rPr>
            </w:pPr>
            <w:r>
              <w:rPr>
                <w:rFonts w:cs="Calibri"/>
                <w:color w:val="000000"/>
              </w:rPr>
              <w:t>2.75</w:t>
            </w:r>
          </w:p>
        </w:tc>
        <w:tc>
          <w:tcPr>
            <w:tcW w:w="993" w:type="dxa"/>
            <w:tcBorders>
              <w:top w:val="single" w:sz="6" w:space="0" w:color="auto"/>
              <w:left w:val="nil"/>
              <w:bottom w:val="nil"/>
              <w:right w:val="nil"/>
            </w:tcBorders>
          </w:tcPr>
          <w:p w:rsidR="00F87646" w:rsidRDefault="00F87646" w:rsidP="001B5B76">
            <w:pPr>
              <w:pStyle w:val="TableofFigures"/>
              <w:spacing w:after="60"/>
              <w:rPr>
                <w:rFonts w:cs="Calibri"/>
                <w:color w:val="000000"/>
              </w:rPr>
            </w:pPr>
            <w:r>
              <w:rPr>
                <w:rFonts w:cs="Calibri"/>
                <w:color w:val="000000"/>
              </w:rPr>
              <w:t>2.75</w:t>
            </w: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lang w:eastAsia="en-AU"/>
              </w:rPr>
            </w:pPr>
            <w:r w:rsidRPr="00314CBE">
              <w:rPr>
                <w:rFonts w:eastAsiaTheme="minorEastAsia"/>
                <w:color w:val="000000"/>
                <w:lang w:eastAsia="en-AU"/>
              </w:rPr>
              <w:t>Employment</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0.6</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1.25</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1.50</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1.50</w:t>
            </w:r>
          </w:p>
        </w:tc>
        <w:tc>
          <w:tcPr>
            <w:tcW w:w="993" w:type="dxa"/>
            <w:tcBorders>
              <w:top w:val="nil"/>
              <w:left w:val="nil"/>
              <w:bottom w:val="nil"/>
              <w:right w:val="nil"/>
            </w:tcBorders>
          </w:tcPr>
          <w:p w:rsidR="00F87646" w:rsidRDefault="00F87646" w:rsidP="001B5B76">
            <w:pPr>
              <w:pStyle w:val="TableofFigures"/>
              <w:rPr>
                <w:rFonts w:cs="Calibri"/>
                <w:color w:val="000000"/>
              </w:rPr>
            </w:pPr>
            <w:r>
              <w:rPr>
                <w:rFonts w:cs="Calibri"/>
                <w:color w:val="000000"/>
              </w:rPr>
              <w:t>1.50</w:t>
            </w: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lang w:eastAsia="en-AU"/>
              </w:rPr>
            </w:pPr>
          </w:p>
        </w:tc>
        <w:tc>
          <w:tcPr>
            <w:tcW w:w="993" w:type="dxa"/>
            <w:tcBorders>
              <w:top w:val="nil"/>
              <w:left w:val="nil"/>
              <w:bottom w:val="nil"/>
              <w:right w:val="nil"/>
            </w:tcBorders>
            <w:vAlign w:val="bottom"/>
          </w:tcPr>
          <w:p w:rsidR="00F87646" w:rsidRPr="00054C98" w:rsidRDefault="00F87646" w:rsidP="001B5B76">
            <w:pPr>
              <w:pStyle w:val="TableofFigures"/>
            </w:pPr>
            <w:r w:rsidRPr="00054C98">
              <w:t>(0.75)</w:t>
            </w:r>
          </w:p>
        </w:tc>
        <w:tc>
          <w:tcPr>
            <w:tcW w:w="993" w:type="dxa"/>
            <w:tcBorders>
              <w:top w:val="nil"/>
              <w:left w:val="nil"/>
              <w:bottom w:val="nil"/>
              <w:right w:val="nil"/>
            </w:tcBorders>
            <w:vAlign w:val="bottom"/>
          </w:tcPr>
          <w:p w:rsidR="00F87646" w:rsidRPr="00054C98" w:rsidRDefault="00F87646" w:rsidP="001B5B76">
            <w:pPr>
              <w:pStyle w:val="TableofFigures"/>
              <w:rPr>
                <w:rFonts w:cs="Calibri"/>
                <w:color w:val="808080"/>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tcPr>
          <w:p w:rsidR="00F87646" w:rsidRDefault="00F87646" w:rsidP="001B5B76">
            <w:pPr>
              <w:pStyle w:val="TableofFigures"/>
              <w:rPr>
                <w:rFonts w:cs="Calibri"/>
                <w:color w:val="000000"/>
              </w:rPr>
            </w:pP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vertAlign w:val="superscript"/>
                <w:lang w:eastAsia="en-AU"/>
              </w:rPr>
            </w:pPr>
            <w:r w:rsidRPr="00314CBE">
              <w:rPr>
                <w:rFonts w:eastAsiaTheme="minorEastAsia"/>
                <w:color w:val="000000"/>
                <w:lang w:eastAsia="en-AU"/>
              </w:rPr>
              <w:t xml:space="preserve">Unemployment rate </w:t>
            </w:r>
            <w:r w:rsidRPr="00314CBE">
              <w:rPr>
                <w:rFonts w:eastAsiaTheme="minorEastAsia"/>
                <w:color w:val="000000"/>
                <w:vertAlign w:val="superscript"/>
                <w:lang w:eastAsia="en-AU"/>
              </w:rPr>
              <w:t>(</w:t>
            </w:r>
            <w:r>
              <w:rPr>
                <w:rFonts w:eastAsiaTheme="minorEastAsia"/>
                <w:color w:val="000000"/>
                <w:vertAlign w:val="superscript"/>
                <w:lang w:eastAsia="en-AU"/>
              </w:rPr>
              <w:t>c</w:t>
            </w:r>
            <w:r w:rsidRPr="00314CBE">
              <w:rPr>
                <w:rFonts w:eastAsiaTheme="minorEastAsia"/>
                <w:color w:val="000000"/>
                <w:vertAlign w:val="superscript"/>
                <w:lang w:eastAsia="en-AU"/>
              </w:rPr>
              <w:t>)</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6.2</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6.50</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6.25</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6.00</w:t>
            </w:r>
          </w:p>
        </w:tc>
        <w:tc>
          <w:tcPr>
            <w:tcW w:w="993" w:type="dxa"/>
            <w:tcBorders>
              <w:top w:val="nil"/>
              <w:left w:val="nil"/>
              <w:bottom w:val="nil"/>
              <w:right w:val="nil"/>
            </w:tcBorders>
          </w:tcPr>
          <w:p w:rsidR="00F87646" w:rsidRDefault="00F87646" w:rsidP="001B5B76">
            <w:pPr>
              <w:pStyle w:val="TableofFigures"/>
              <w:rPr>
                <w:rFonts w:cs="Calibri"/>
                <w:color w:val="000000"/>
              </w:rPr>
            </w:pPr>
            <w:r>
              <w:rPr>
                <w:rFonts w:cs="Calibri"/>
                <w:color w:val="000000"/>
              </w:rPr>
              <w:t>5.50</w:t>
            </w:r>
          </w:p>
        </w:tc>
      </w:tr>
      <w:tr w:rsidR="00F87646" w:rsidRPr="006C460C"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lang w:eastAsia="en-AU"/>
              </w:rPr>
            </w:pPr>
          </w:p>
        </w:tc>
        <w:tc>
          <w:tcPr>
            <w:tcW w:w="993" w:type="dxa"/>
            <w:tcBorders>
              <w:top w:val="nil"/>
              <w:left w:val="nil"/>
              <w:bottom w:val="nil"/>
              <w:right w:val="nil"/>
            </w:tcBorders>
            <w:vAlign w:val="bottom"/>
          </w:tcPr>
          <w:p w:rsidR="00F87646" w:rsidRPr="006C460C" w:rsidRDefault="00F87646" w:rsidP="001B5B76">
            <w:pPr>
              <w:pStyle w:val="TableofFigures"/>
            </w:pPr>
            <w:r w:rsidRPr="006C460C">
              <w:t>(6.25)</w:t>
            </w:r>
          </w:p>
        </w:tc>
        <w:tc>
          <w:tcPr>
            <w:tcW w:w="993" w:type="dxa"/>
            <w:tcBorders>
              <w:top w:val="nil"/>
              <w:left w:val="nil"/>
              <w:bottom w:val="nil"/>
              <w:right w:val="nil"/>
            </w:tcBorders>
            <w:vAlign w:val="bottom"/>
          </w:tcPr>
          <w:p w:rsidR="00F87646" w:rsidRPr="006C460C" w:rsidRDefault="00F87646" w:rsidP="001B5B76">
            <w:pPr>
              <w:pStyle w:val="TableofFigures"/>
            </w:pPr>
            <w:r w:rsidRPr="006C460C">
              <w:t>(6.25)</w:t>
            </w:r>
          </w:p>
        </w:tc>
        <w:tc>
          <w:tcPr>
            <w:tcW w:w="993" w:type="dxa"/>
            <w:tcBorders>
              <w:top w:val="nil"/>
              <w:left w:val="nil"/>
              <w:bottom w:val="nil"/>
              <w:right w:val="nil"/>
            </w:tcBorders>
            <w:vAlign w:val="bottom"/>
          </w:tcPr>
          <w:p w:rsidR="00F87646" w:rsidRPr="006C460C" w:rsidRDefault="00F87646" w:rsidP="001B5B76">
            <w:pPr>
              <w:pStyle w:val="TableofFigures"/>
            </w:pPr>
            <w:r w:rsidRPr="006C460C">
              <w:t>(6.00)</w:t>
            </w:r>
          </w:p>
        </w:tc>
        <w:tc>
          <w:tcPr>
            <w:tcW w:w="993" w:type="dxa"/>
            <w:tcBorders>
              <w:top w:val="nil"/>
              <w:left w:val="nil"/>
              <w:bottom w:val="nil"/>
              <w:right w:val="nil"/>
            </w:tcBorders>
            <w:vAlign w:val="bottom"/>
          </w:tcPr>
          <w:p w:rsidR="00F87646" w:rsidRPr="006C460C" w:rsidRDefault="00F87646" w:rsidP="001B5B76">
            <w:pPr>
              <w:pStyle w:val="TableofFigures"/>
            </w:pPr>
            <w:r w:rsidRPr="006C460C">
              <w:t>(5.75)</w:t>
            </w:r>
          </w:p>
        </w:tc>
        <w:tc>
          <w:tcPr>
            <w:tcW w:w="993" w:type="dxa"/>
            <w:tcBorders>
              <w:top w:val="nil"/>
              <w:left w:val="nil"/>
              <w:bottom w:val="nil"/>
              <w:right w:val="nil"/>
            </w:tcBorders>
          </w:tcPr>
          <w:p w:rsidR="00F87646" w:rsidRPr="006C460C" w:rsidRDefault="00F87646" w:rsidP="001B5B76">
            <w:pPr>
              <w:pStyle w:val="TableofFigures"/>
            </w:pP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lang w:eastAsia="en-AU"/>
              </w:rPr>
            </w:pPr>
            <w:r w:rsidRPr="00314CBE">
              <w:rPr>
                <w:rFonts w:eastAsiaTheme="minorEastAsia"/>
                <w:color w:val="000000"/>
                <w:lang w:eastAsia="en-AU"/>
              </w:rPr>
              <w:t>Consumer price index</w:t>
            </w:r>
            <w:r>
              <w:rPr>
                <w:rFonts w:eastAsiaTheme="minorEastAsia"/>
                <w:color w:val="000000"/>
                <w:lang w:eastAsia="en-AU"/>
              </w:rPr>
              <w:t xml:space="preserve"> </w:t>
            </w:r>
            <w:r w:rsidRPr="005A275A">
              <w:rPr>
                <w:rFonts w:eastAsiaTheme="minorEastAsia"/>
                <w:color w:val="000000"/>
                <w:vertAlign w:val="superscript"/>
                <w:lang w:eastAsia="en-AU"/>
              </w:rPr>
              <w:t>(d)</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2.8</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2.25</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2.50</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2.50</w:t>
            </w:r>
          </w:p>
        </w:tc>
        <w:tc>
          <w:tcPr>
            <w:tcW w:w="993" w:type="dxa"/>
            <w:tcBorders>
              <w:top w:val="nil"/>
              <w:left w:val="nil"/>
              <w:bottom w:val="nil"/>
              <w:right w:val="nil"/>
            </w:tcBorders>
          </w:tcPr>
          <w:p w:rsidR="00F87646" w:rsidRDefault="00F87646" w:rsidP="001B5B76">
            <w:pPr>
              <w:pStyle w:val="TableofFigures"/>
              <w:rPr>
                <w:rFonts w:cs="Calibri"/>
                <w:color w:val="000000"/>
              </w:rPr>
            </w:pPr>
            <w:r>
              <w:rPr>
                <w:rFonts w:cs="Calibri"/>
                <w:color w:val="000000"/>
              </w:rPr>
              <w:t>2.50</w:t>
            </w: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lang w:eastAsia="en-AU"/>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(2.75)</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tcPr>
          <w:p w:rsidR="00F87646" w:rsidRDefault="00F87646" w:rsidP="001B5B76">
            <w:pPr>
              <w:pStyle w:val="TableofFigures"/>
              <w:rPr>
                <w:rFonts w:cs="Calibri"/>
                <w:color w:val="000000"/>
              </w:rPr>
            </w:pP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vertAlign w:val="superscript"/>
                <w:lang w:eastAsia="en-AU"/>
              </w:rPr>
            </w:pPr>
            <w:r w:rsidRPr="00314CBE">
              <w:rPr>
                <w:rFonts w:eastAsiaTheme="minorEastAsia"/>
                <w:color w:val="000000"/>
                <w:lang w:eastAsia="en-AU"/>
              </w:rPr>
              <w:t xml:space="preserve">Wage price index </w:t>
            </w:r>
            <w:r w:rsidRPr="00314CBE">
              <w:rPr>
                <w:rFonts w:eastAsiaTheme="minorEastAsia"/>
                <w:color w:val="000000"/>
                <w:vertAlign w:val="superscript"/>
                <w:lang w:eastAsia="en-AU"/>
              </w:rPr>
              <w:t>(</w:t>
            </w:r>
            <w:r>
              <w:rPr>
                <w:rFonts w:eastAsiaTheme="minorEastAsia"/>
                <w:color w:val="000000"/>
                <w:vertAlign w:val="superscript"/>
                <w:lang w:eastAsia="en-AU"/>
              </w:rPr>
              <w:t>e</w:t>
            </w:r>
            <w:r w:rsidRPr="00314CBE">
              <w:rPr>
                <w:rFonts w:eastAsiaTheme="minorEastAsia"/>
                <w:color w:val="000000"/>
                <w:vertAlign w:val="superscript"/>
                <w:lang w:eastAsia="en-AU"/>
              </w:rPr>
              <w:t>)</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2.7</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3.25</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3.50</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3.50</w:t>
            </w:r>
          </w:p>
        </w:tc>
        <w:tc>
          <w:tcPr>
            <w:tcW w:w="993" w:type="dxa"/>
            <w:tcBorders>
              <w:top w:val="nil"/>
              <w:left w:val="nil"/>
              <w:bottom w:val="nil"/>
              <w:right w:val="nil"/>
            </w:tcBorders>
          </w:tcPr>
          <w:p w:rsidR="00F87646" w:rsidRDefault="00F87646" w:rsidP="001B5B76">
            <w:pPr>
              <w:pStyle w:val="TableofFigures"/>
              <w:rPr>
                <w:rFonts w:cs="Calibri"/>
                <w:color w:val="000000"/>
              </w:rPr>
            </w:pPr>
            <w:r>
              <w:rPr>
                <w:rFonts w:cs="Calibri"/>
                <w:color w:val="000000"/>
              </w:rPr>
              <w:t>3.50</w:t>
            </w: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lang w:eastAsia="en-AU"/>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(2.75)</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p>
        </w:tc>
        <w:tc>
          <w:tcPr>
            <w:tcW w:w="993" w:type="dxa"/>
            <w:tcBorders>
              <w:top w:val="nil"/>
              <w:left w:val="nil"/>
              <w:bottom w:val="nil"/>
              <w:right w:val="nil"/>
            </w:tcBorders>
          </w:tcPr>
          <w:p w:rsidR="00F87646" w:rsidRDefault="00F87646" w:rsidP="001B5B76">
            <w:pPr>
              <w:pStyle w:val="TableofFigures"/>
              <w:rPr>
                <w:rFonts w:cs="Calibri"/>
                <w:color w:val="000000"/>
              </w:rPr>
            </w:pPr>
          </w:p>
        </w:tc>
      </w:tr>
      <w:tr w:rsidR="00F87646" w:rsidRPr="00314CBE" w:rsidTr="001B5B76">
        <w:trPr>
          <w:cantSplit/>
        </w:trPr>
        <w:tc>
          <w:tcPr>
            <w:tcW w:w="2808" w:type="dxa"/>
            <w:tcBorders>
              <w:top w:val="nil"/>
              <w:left w:val="nil"/>
              <w:bottom w:val="nil"/>
              <w:right w:val="nil"/>
            </w:tcBorders>
          </w:tcPr>
          <w:p w:rsidR="00F87646" w:rsidRPr="00314CBE" w:rsidRDefault="00F87646" w:rsidP="001B5B76">
            <w:pPr>
              <w:pStyle w:val="Tabletext"/>
              <w:rPr>
                <w:rFonts w:eastAsiaTheme="minorEastAsia"/>
                <w:color w:val="000000"/>
                <w:vertAlign w:val="superscript"/>
                <w:lang w:eastAsia="en-AU"/>
              </w:rPr>
            </w:pPr>
            <w:r w:rsidRPr="00314CBE">
              <w:rPr>
                <w:rFonts w:eastAsiaTheme="minorEastAsia"/>
                <w:color w:val="000000"/>
                <w:lang w:eastAsia="en-AU"/>
              </w:rPr>
              <w:t xml:space="preserve">Population </w:t>
            </w:r>
            <w:r w:rsidRPr="00314CBE">
              <w:rPr>
                <w:rFonts w:eastAsiaTheme="minorEastAsia"/>
                <w:color w:val="000000"/>
                <w:vertAlign w:val="superscript"/>
                <w:lang w:eastAsia="en-AU"/>
              </w:rPr>
              <w:t>(</w:t>
            </w:r>
            <w:r>
              <w:rPr>
                <w:rFonts w:eastAsiaTheme="minorEastAsia"/>
                <w:color w:val="000000"/>
                <w:vertAlign w:val="superscript"/>
                <w:lang w:eastAsia="en-AU"/>
              </w:rPr>
              <w:t>f</w:t>
            </w:r>
            <w:r w:rsidRPr="00314CBE">
              <w:rPr>
                <w:rFonts w:eastAsiaTheme="minorEastAsia"/>
                <w:color w:val="000000"/>
                <w:vertAlign w:val="superscript"/>
                <w:lang w:eastAsia="en-AU"/>
              </w:rPr>
              <w:t>)</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 xml:space="preserve">1.9 </w:t>
            </w:r>
            <w:r>
              <w:rPr>
                <w:rFonts w:eastAsiaTheme="minorEastAsia"/>
                <w:color w:val="000000"/>
                <w:vertAlign w:val="superscript"/>
                <w:lang w:eastAsia="en-AU"/>
              </w:rPr>
              <w:t>(b)</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1.8</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1.8</w:t>
            </w:r>
          </w:p>
        </w:tc>
        <w:tc>
          <w:tcPr>
            <w:tcW w:w="993" w:type="dxa"/>
            <w:tcBorders>
              <w:top w:val="nil"/>
              <w:left w:val="nil"/>
              <w:bottom w:val="nil"/>
              <w:right w:val="nil"/>
            </w:tcBorders>
            <w:vAlign w:val="bottom"/>
          </w:tcPr>
          <w:p w:rsidR="00F87646" w:rsidRDefault="00F87646" w:rsidP="001B5B76">
            <w:pPr>
              <w:pStyle w:val="TableofFigures"/>
              <w:rPr>
                <w:rFonts w:cs="Calibri"/>
                <w:color w:val="000000"/>
              </w:rPr>
            </w:pPr>
            <w:r>
              <w:rPr>
                <w:rFonts w:cs="Calibri"/>
                <w:color w:val="000000"/>
              </w:rPr>
              <w:t>1.8</w:t>
            </w:r>
          </w:p>
        </w:tc>
        <w:tc>
          <w:tcPr>
            <w:tcW w:w="993" w:type="dxa"/>
            <w:tcBorders>
              <w:top w:val="nil"/>
              <w:left w:val="nil"/>
              <w:bottom w:val="nil"/>
              <w:right w:val="nil"/>
            </w:tcBorders>
          </w:tcPr>
          <w:p w:rsidR="00F87646" w:rsidRDefault="00F87646" w:rsidP="001B5B76">
            <w:pPr>
              <w:pStyle w:val="TableofFigures"/>
              <w:rPr>
                <w:rFonts w:cs="Calibri"/>
                <w:color w:val="000000"/>
              </w:rPr>
            </w:pPr>
            <w:r>
              <w:rPr>
                <w:rFonts w:cs="Calibri"/>
                <w:color w:val="000000"/>
              </w:rPr>
              <w:t>1.8</w:t>
            </w:r>
          </w:p>
        </w:tc>
      </w:tr>
      <w:tr w:rsidR="00F87646" w:rsidRPr="00314CBE" w:rsidTr="001B5B76">
        <w:trPr>
          <w:cantSplit/>
        </w:trPr>
        <w:tc>
          <w:tcPr>
            <w:tcW w:w="2808" w:type="dxa"/>
            <w:tcBorders>
              <w:top w:val="nil"/>
              <w:left w:val="nil"/>
              <w:bottom w:val="single" w:sz="12" w:space="0" w:color="auto"/>
              <w:right w:val="nil"/>
            </w:tcBorders>
          </w:tcPr>
          <w:p w:rsidR="00F87646" w:rsidRPr="00314CBE" w:rsidRDefault="00F87646" w:rsidP="001B5B76">
            <w:pPr>
              <w:pStyle w:val="Tabletext"/>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87646" w:rsidRPr="00314CBE" w:rsidRDefault="00F87646" w:rsidP="001B5B76">
            <w:pPr>
              <w:pStyle w:val="TableofFigures"/>
              <w:rPr>
                <w:rFonts w:eastAsiaTheme="minorEastAsia"/>
                <w:color w:val="000000"/>
                <w:lang w:eastAsia="en-AU"/>
              </w:rPr>
            </w:pPr>
            <w:r>
              <w:rPr>
                <w:rFonts w:cs="Calibri"/>
                <w:color w:val="000000"/>
              </w:rPr>
              <w:t>(1.8)</w:t>
            </w: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87646" w:rsidRPr="00314CBE" w:rsidRDefault="00F87646" w:rsidP="001B5B76">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87646" w:rsidRPr="00314CBE" w:rsidRDefault="00F87646" w:rsidP="001B5B76">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87646" w:rsidRPr="00314CBE" w:rsidRDefault="00F87646" w:rsidP="001B5B76">
            <w:pPr>
              <w:pStyle w:val="TableofFigures"/>
              <w:rPr>
                <w:rFonts w:eastAsiaTheme="minorEastAsia"/>
                <w:color w:val="000000"/>
                <w:lang w:eastAsia="en-AU"/>
              </w:rPr>
            </w:pPr>
            <w:r w:rsidRPr="00314CBE">
              <w:rPr>
                <w:rFonts w:eastAsiaTheme="minorEastAsia"/>
                <w:color w:val="000000"/>
                <w:lang w:eastAsia="en-AU"/>
              </w:rPr>
              <w:t xml:space="preserve"> </w:t>
            </w:r>
          </w:p>
        </w:tc>
        <w:tc>
          <w:tcPr>
            <w:tcW w:w="993" w:type="dxa"/>
            <w:tcBorders>
              <w:top w:val="nil"/>
              <w:left w:val="nil"/>
              <w:bottom w:val="single" w:sz="12" w:space="0" w:color="auto"/>
              <w:right w:val="nil"/>
            </w:tcBorders>
          </w:tcPr>
          <w:p w:rsidR="00F87646" w:rsidRPr="00314CBE" w:rsidRDefault="00F87646" w:rsidP="001B5B76">
            <w:pPr>
              <w:pStyle w:val="TableofFigures"/>
              <w:rPr>
                <w:rFonts w:eastAsiaTheme="minorEastAsia"/>
                <w:color w:val="000000"/>
                <w:lang w:eastAsia="en-AU"/>
              </w:rPr>
            </w:pPr>
          </w:p>
        </w:tc>
      </w:tr>
    </w:tbl>
    <w:p w:rsidR="00F87646" w:rsidRPr="00A355E0" w:rsidRDefault="00F87646" w:rsidP="005A2C0C">
      <w:pPr>
        <w:pStyle w:val="Source"/>
      </w:pPr>
      <w:r w:rsidRPr="00A355E0">
        <w:t>Sources: Australian Bureau of Statistics; Department of Treasury and Finance</w:t>
      </w:r>
    </w:p>
    <w:p w:rsidR="00F87646" w:rsidRPr="00DF427C" w:rsidRDefault="00F87646" w:rsidP="005A2C0C">
      <w:pPr>
        <w:pStyle w:val="Notes"/>
      </w:pPr>
      <w:r w:rsidRPr="00DF427C">
        <w:t>Notes:</w:t>
      </w:r>
    </w:p>
    <w:p w:rsidR="00F87646" w:rsidRDefault="00F87646" w:rsidP="005A2C0C">
      <w:pPr>
        <w:pStyle w:val="Notes"/>
      </w:pPr>
      <w:r w:rsidRPr="00DF427C">
        <w:t>(a)</w:t>
      </w:r>
      <w:r w:rsidRPr="00DF427C">
        <w:tab/>
      </w:r>
      <w:r>
        <w:t>Per cent change in year average compared with previous year, except for unemployment rate (see note (c)) and population (see note (f)). Forecasts are rounded to the nearest 0.25 percentage points, except for population (see note(f)).</w:t>
      </w:r>
    </w:p>
    <w:p w:rsidR="00F87646" w:rsidRPr="00DF427C" w:rsidRDefault="00F87646" w:rsidP="005A2C0C">
      <w:pPr>
        <w:pStyle w:val="Notes"/>
      </w:pPr>
      <w:r>
        <w:tab/>
      </w:r>
      <w:r w:rsidRPr="0065765A">
        <w:t xml:space="preserve">The key assumptions underlying the economic </w:t>
      </w:r>
      <w:r>
        <w:t xml:space="preserve">forecasts </w:t>
      </w:r>
      <w:r w:rsidRPr="0065765A">
        <w:t xml:space="preserve">include: interest rates that follow movements in market expectations in the short term, and </w:t>
      </w:r>
      <w:r>
        <w:t xml:space="preserve">stabilise </w:t>
      </w:r>
      <w:r w:rsidRPr="0065765A">
        <w:t>thereafter; a trade</w:t>
      </w:r>
      <w:r>
        <w:noBreakHyphen/>
      </w:r>
      <w:r w:rsidRPr="0065765A">
        <w:t>weighted index of 71.7; and oil prices that follow the path suggested by oil futures.</w:t>
      </w:r>
    </w:p>
    <w:p w:rsidR="00F87646" w:rsidRDefault="00F87646" w:rsidP="005A2C0C">
      <w:pPr>
        <w:pStyle w:val="Notes"/>
      </w:pPr>
      <w:r w:rsidRPr="00DF427C">
        <w:t>(b)</w:t>
      </w:r>
      <w:r w:rsidRPr="00DF427C">
        <w:tab/>
      </w:r>
      <w:r w:rsidRPr="005A275A">
        <w:t>Estimate, actual not yet available.</w:t>
      </w:r>
    </w:p>
    <w:p w:rsidR="00F87646" w:rsidRPr="00DF427C" w:rsidRDefault="00F87646" w:rsidP="005A2C0C">
      <w:pPr>
        <w:pStyle w:val="Notes"/>
      </w:pPr>
      <w:r>
        <w:t xml:space="preserve">(c) </w:t>
      </w:r>
      <w:r>
        <w:tab/>
      </w:r>
      <w:r w:rsidRPr="005A275A">
        <w:t>Year average,</w:t>
      </w:r>
      <w:r>
        <w:t> per cent</w:t>
      </w:r>
      <w:r w:rsidRPr="005A275A">
        <w:t>.</w:t>
      </w:r>
    </w:p>
    <w:p w:rsidR="00F87646" w:rsidRPr="00DF427C" w:rsidRDefault="00F87646" w:rsidP="005A2C0C">
      <w:pPr>
        <w:pStyle w:val="Notes"/>
      </w:pPr>
      <w:r>
        <w:t>(d</w:t>
      </w:r>
      <w:r w:rsidRPr="00DF427C">
        <w:t>)</w:t>
      </w:r>
      <w:r w:rsidRPr="00DF427C">
        <w:tab/>
      </w:r>
      <w:r>
        <w:t>Melbourne consumer price index.</w:t>
      </w:r>
    </w:p>
    <w:p w:rsidR="00F87646" w:rsidRPr="00DF427C" w:rsidRDefault="00F87646" w:rsidP="005A2C0C">
      <w:pPr>
        <w:pStyle w:val="Notes"/>
      </w:pPr>
      <w:r>
        <w:t>(e</w:t>
      </w:r>
      <w:r w:rsidRPr="00DF427C">
        <w:t>)</w:t>
      </w:r>
      <w:r w:rsidRPr="00DF427C">
        <w:tab/>
        <w:t>Total hourly rate excluding bonuses.</w:t>
      </w:r>
    </w:p>
    <w:p w:rsidR="00F87646" w:rsidRDefault="00F87646" w:rsidP="005A2C0C">
      <w:pPr>
        <w:pStyle w:val="Notes"/>
      </w:pPr>
      <w:r>
        <w:t>(f</w:t>
      </w:r>
      <w:r w:rsidRPr="00DF427C">
        <w:t>)</w:t>
      </w:r>
      <w:r w:rsidRPr="00DF427C">
        <w:tab/>
      </w:r>
      <w:r w:rsidRPr="005A275A">
        <w:t xml:space="preserve">Per cent change over the year to </w:t>
      </w:r>
      <w:r>
        <w:t xml:space="preserve">30 </w:t>
      </w:r>
      <w:r w:rsidRPr="005A275A">
        <w:t xml:space="preserve">June. </w:t>
      </w:r>
      <w:r>
        <w:t xml:space="preserve">Forecasts </w:t>
      </w:r>
      <w:r w:rsidRPr="005A275A">
        <w:t>are rounded to the nearest 0.1</w:t>
      </w:r>
      <w:r>
        <w:t> percentage</w:t>
      </w:r>
      <w:r w:rsidRPr="005A275A">
        <w:t xml:space="preserve"> point.</w:t>
      </w:r>
    </w:p>
    <w:p w:rsidR="00F87646" w:rsidRPr="00DF427C" w:rsidRDefault="00F87646" w:rsidP="00FB12DC">
      <w:pPr>
        <w:pStyle w:val="Source"/>
      </w:pPr>
    </w:p>
    <w:p w:rsidR="00F87646" w:rsidRDefault="00F87646">
      <w:pPr>
        <w:spacing w:after="0"/>
        <w:rPr>
          <w:rFonts w:ascii="Calibri" w:hAnsi="Calibri"/>
          <w:b/>
          <w:kern w:val="28"/>
          <w:sz w:val="26"/>
          <w:szCs w:val="22"/>
        </w:rPr>
      </w:pPr>
      <w:r>
        <w:br w:type="page"/>
      </w:r>
    </w:p>
    <w:p w:rsidR="00F87646" w:rsidRPr="00194EBD" w:rsidRDefault="00F87646" w:rsidP="00FB12DC">
      <w:pPr>
        <w:pStyle w:val="Heading2"/>
      </w:pPr>
      <w:r>
        <w:lastRenderedPageBreak/>
        <w:t xml:space="preserve">Australian </w:t>
      </w:r>
      <w:r w:rsidRPr="00FB12DC">
        <w:t>economic</w:t>
      </w:r>
      <w:r>
        <w:t xml:space="preserve"> conditions and outlook</w:t>
      </w:r>
    </w:p>
    <w:p w:rsidR="00F87646" w:rsidRDefault="00F87646" w:rsidP="005A2C0C">
      <w:r w:rsidRPr="004270DC">
        <w:t>The Australian economy grew at around trend in 2013</w:t>
      </w:r>
      <w:r>
        <w:noBreakHyphen/>
      </w:r>
      <w:r w:rsidRPr="004270DC">
        <w:t xml:space="preserve">14. </w:t>
      </w:r>
      <w:r>
        <w:t>In the June quarter 2014 the Australian economy grew by 0.5 per cent and 3.1 per cent over the year. The main contributors to national growth in the quarter were changes in inventories, and to a lesser extent household consumption and business investment. The largest detractor from growth was net exports.</w:t>
      </w:r>
    </w:p>
    <w:p w:rsidR="00F87646" w:rsidRDefault="00F87646" w:rsidP="005A2C0C">
      <w:r w:rsidRPr="004270DC">
        <w:t xml:space="preserve">The </w:t>
      </w:r>
      <w:r>
        <w:t xml:space="preserve">economic </w:t>
      </w:r>
      <w:r w:rsidRPr="004270DC">
        <w:t>outlook remains positive, however navigating the transition from the resource</w:t>
      </w:r>
      <w:r>
        <w:t>s investment peak is a key near</w:t>
      </w:r>
      <w:r>
        <w:noBreakHyphen/>
      </w:r>
      <w:r w:rsidRPr="004270DC">
        <w:t xml:space="preserve">term challenge. While the resources sector will continue to </w:t>
      </w:r>
      <w:r>
        <w:t xml:space="preserve">positively contribute </w:t>
      </w:r>
      <w:r w:rsidRPr="004270DC">
        <w:t xml:space="preserve">to growth </w:t>
      </w:r>
      <w:r>
        <w:t xml:space="preserve">as it transitions </w:t>
      </w:r>
      <w:r w:rsidRPr="004270DC">
        <w:t xml:space="preserve">to a production and exports phase, these higher exports are not expected to fully offset the </w:t>
      </w:r>
      <w:r>
        <w:t xml:space="preserve">negative </w:t>
      </w:r>
      <w:r w:rsidRPr="004270DC">
        <w:t xml:space="preserve">impact of the decline in resources investment. </w:t>
      </w:r>
    </w:p>
    <w:p w:rsidR="00F87646" w:rsidRDefault="00F87646" w:rsidP="005A2C0C">
      <w:pPr>
        <w:pStyle w:val="Heading2"/>
      </w:pPr>
      <w:r>
        <w:t>International economic conditions and outlook</w:t>
      </w:r>
    </w:p>
    <w:p w:rsidR="00F87646" w:rsidRDefault="00F87646" w:rsidP="005A2C0C">
      <w:r>
        <w:t xml:space="preserve">According to the International Monetary Fund’s (IMF) October 2014 </w:t>
      </w:r>
      <w:r w:rsidRPr="002D5511">
        <w:rPr>
          <w:i/>
        </w:rPr>
        <w:t>World Economic Outlook</w:t>
      </w:r>
      <w:r>
        <w:t>, global activity is expected to continue to be uneven.</w:t>
      </w:r>
    </w:p>
    <w:p w:rsidR="00F87646" w:rsidRDefault="00F87646" w:rsidP="005A2C0C">
      <w:r>
        <w:t>Global growth is forecast to be 3.3 per cent in 2014, largely due to weaker than expected global activity in the first half of 2014, and is expected to rise to 3.8 per cent in 2015. For advanced economies, growth is forecast to rise to 1.8 per cent in 2014, an increase of 0.4 percentage points from 2013. Growth is estimated to be 2.2 per cent for the United States.</w:t>
      </w:r>
    </w:p>
    <w:p w:rsidR="00F87646" w:rsidRDefault="00F87646" w:rsidP="005A2C0C">
      <w:r>
        <w:t>Asia as a whole is expected to grow by 5.5 per cent in 2014, rising to 5.6 per cent in 2015, driven by domestic demand and the projected rebound in advanced economies and China supporting export growth. For New Zealand, the IMF expects growth to pick up to 3.6 per cent in 2014, driven by exports.</w:t>
      </w:r>
    </w:p>
    <w:p w:rsidR="00F87646" w:rsidRDefault="00F87646" w:rsidP="00FB12DC">
      <w:pPr>
        <w:rPr>
          <w:highlight w:val="lightGray"/>
        </w:rPr>
      </w:pPr>
      <w:r>
        <w:t>In China, growth is forecast to remain strong at 7.4 per cent in 2014 due to policy measures to boost activity. Growth is projected to moderate in 2015 as the economy transitions to a more sustainable path and residential investment slows further.</w:t>
      </w:r>
    </w:p>
    <w:p w:rsidR="00F87646" w:rsidRDefault="00F87646" w:rsidP="00FB12DC">
      <w:pPr>
        <w:pStyle w:val="Heading1"/>
      </w:pPr>
      <w:bookmarkStart w:id="9" w:name="_Toc401056867"/>
      <w:bookmarkStart w:id="10" w:name="_Toc401147489"/>
      <w:bookmarkStart w:id="11" w:name="_Toc403386685"/>
      <w:r>
        <w:t>Risks to the outlook</w:t>
      </w:r>
      <w:bookmarkEnd w:id="9"/>
      <w:bookmarkEnd w:id="10"/>
      <w:bookmarkEnd w:id="11"/>
    </w:p>
    <w:p w:rsidR="00F87646" w:rsidRDefault="00F87646" w:rsidP="005A2C0C">
      <w:r w:rsidRPr="000C0F34">
        <w:t xml:space="preserve">The expected strengthening of household consumption </w:t>
      </w:r>
      <w:r>
        <w:t xml:space="preserve">parallels the expected strengthening </w:t>
      </w:r>
      <w:r w:rsidRPr="000C0F34">
        <w:t xml:space="preserve">in labour market conditions. </w:t>
      </w:r>
      <w:r>
        <w:t xml:space="preserve">Delays </w:t>
      </w:r>
      <w:r w:rsidRPr="000C0F34">
        <w:t xml:space="preserve">in this </w:t>
      </w:r>
      <w:r>
        <w:t xml:space="preserve">strengthening </w:t>
      </w:r>
      <w:r w:rsidRPr="000C0F34">
        <w:t>would constrain spending growth directly through a slower recovery in labour income, and indirectly through more cautious use of discretionary income. Conversely, consumption growth may exceed forecasts if the household saving</w:t>
      </w:r>
      <w:r>
        <w:t>s</w:t>
      </w:r>
      <w:r w:rsidRPr="000C0F34">
        <w:t xml:space="preserve"> rate declines further than anticipated, perhaps due to stronger than expected </w:t>
      </w:r>
      <w:r>
        <w:t xml:space="preserve">increases </w:t>
      </w:r>
      <w:r w:rsidRPr="000C0F34">
        <w:t>in household wealth.</w:t>
      </w:r>
    </w:p>
    <w:p w:rsidR="00F87646" w:rsidRPr="00AC5B89" w:rsidRDefault="00F87646" w:rsidP="005A2C0C">
      <w:r w:rsidRPr="000C0F34">
        <w:t>There are uncertainties surrounding the inflation forecast. Inflation may be weaker than forecast if non</w:t>
      </w:r>
      <w:r>
        <w:noBreakHyphen/>
      </w:r>
      <w:r w:rsidRPr="000C0F34">
        <w:t xml:space="preserve">tradable prices moderate more strongly than expected or soft labour </w:t>
      </w:r>
      <w:r w:rsidRPr="00AC5B89">
        <w:t xml:space="preserve">market conditions persist. Conversely, a weaker Australian dollar could lead to higher inflation in tradable goods and services. </w:t>
      </w:r>
    </w:p>
    <w:p w:rsidR="00F87646" w:rsidRDefault="00F87646">
      <w:pPr>
        <w:spacing w:after="0"/>
      </w:pPr>
      <w:r>
        <w:br w:type="page"/>
      </w:r>
    </w:p>
    <w:p w:rsidR="00F87646" w:rsidRDefault="00F87646" w:rsidP="00320955">
      <w:r w:rsidRPr="00AC5B89">
        <w:lastRenderedPageBreak/>
        <w:t>A lower than assumed exchange rate could lead to relatively cheaper prices for domestically produced goods and services compared with those produced abroad. This would benefit Victoria</w:t>
      </w:r>
      <w:r>
        <w:t>’</w:t>
      </w:r>
      <w:r w:rsidRPr="00AC5B89">
        <w:t xml:space="preserve">s exporting industries and those exposed to import competition. However industries dependent on imports in the production process would face increased costs. The net effect over the forecast period is likely to be </w:t>
      </w:r>
      <w:r>
        <w:t>an increase in Victoria’s</w:t>
      </w:r>
      <w:r w:rsidRPr="00AC5B89">
        <w:t xml:space="preserve"> </w:t>
      </w:r>
      <w:r>
        <w:t>GSP</w:t>
      </w:r>
      <w:r w:rsidRPr="00AC5B89">
        <w:t>.</w:t>
      </w:r>
    </w:p>
    <w:p w:rsidR="00F87646" w:rsidRDefault="00F87646" w:rsidP="0064483A">
      <w:pPr>
        <w:spacing w:after="0"/>
      </w:pPr>
      <w:r>
        <w:t>There has been volatility in financial markets in recent times, reflecting various downside risks to world economic growth. Geopolitical uncertainties represent potential sources of shocks to the international economy, which could impact on Australia and Victoria.</w:t>
      </w:r>
    </w:p>
    <w:p w:rsidR="00F87646" w:rsidRDefault="00F87646" w:rsidP="0064483A">
      <w:pPr>
        <w:spacing w:after="0"/>
      </w:pPr>
    </w:p>
    <w:p w:rsidR="00F87646" w:rsidRDefault="00F87646" w:rsidP="0064483A">
      <w:pPr>
        <w:spacing w:after="0"/>
      </w:pPr>
    </w:p>
    <w:p w:rsidR="00F87646" w:rsidRDefault="00F87646">
      <w:pPr>
        <w:spacing w:after="0"/>
      </w:pPr>
      <w:r>
        <w:br w:type="page"/>
      </w:r>
    </w:p>
    <w:p w:rsidR="00F87646" w:rsidRDefault="00F87646" w:rsidP="0064483A">
      <w:pPr>
        <w:spacing w:after="0"/>
      </w:pPr>
      <w:r>
        <w:lastRenderedPageBreak/>
        <w:tab/>
      </w:r>
    </w:p>
    <w:p w:rsidR="00F87646" w:rsidRPr="000A4586" w:rsidRDefault="00F87646" w:rsidP="0064483A">
      <w:pPr>
        <w:spacing w:after="0"/>
      </w:pPr>
    </w:p>
    <w:p w:rsidR="00F87646" w:rsidRDefault="00F87646" w:rsidP="00986765">
      <w:pPr>
        <w:sectPr w:rsidR="00F87646" w:rsidSect="002869F8">
          <w:footerReference w:type="even" r:id="rId19"/>
          <w:footerReference w:type="default" r:id="rId20"/>
          <w:pgSz w:w="9979" w:h="14181" w:code="138"/>
          <w:pgMar w:top="1138" w:right="1138" w:bottom="1138" w:left="1138" w:header="720" w:footer="432" w:gutter="0"/>
          <w:cols w:space="708"/>
          <w:docGrid w:linePitch="360"/>
        </w:sectPr>
      </w:pPr>
    </w:p>
    <w:p w:rsidR="00F87646" w:rsidRDefault="00F87646" w:rsidP="00AD6FBF">
      <w:pPr>
        <w:pStyle w:val="ChapterHeading"/>
      </w:pPr>
      <w:bookmarkStart w:id="12" w:name="_Toc403386686"/>
      <w:r>
        <w:lastRenderedPageBreak/>
        <w:t>Chapter 2 – Budget position and outlook</w:t>
      </w:r>
      <w:bookmarkEnd w:id="12"/>
    </w:p>
    <w:p w:rsidR="00F87646" w:rsidRDefault="00F87646" w:rsidP="005745F3">
      <w:pPr>
        <w:pStyle w:val="HighlightBoxBullet"/>
      </w:pPr>
      <w:r w:rsidRPr="002E2383">
        <w:t>The general government sector operating surplus is estimated to be $</w:t>
      </w:r>
      <w:r>
        <w:t>1.1 billion</w:t>
      </w:r>
      <w:r w:rsidRPr="002E2383">
        <w:t xml:space="preserve"> in 2014</w:t>
      </w:r>
      <w:r>
        <w:noBreakHyphen/>
      </w:r>
      <w:r w:rsidRPr="002E2383">
        <w:t>15, growing to $</w:t>
      </w:r>
      <w:r>
        <w:t>3.0 billion</w:t>
      </w:r>
      <w:r w:rsidRPr="002E2383">
        <w:t xml:space="preserve"> in 2017</w:t>
      </w:r>
      <w:r>
        <w:noBreakHyphen/>
      </w:r>
      <w:r w:rsidRPr="002E2383">
        <w:t xml:space="preserve">18. </w:t>
      </w:r>
    </w:p>
    <w:p w:rsidR="00F87646" w:rsidRDefault="00F87646" w:rsidP="002E7F17">
      <w:pPr>
        <w:pStyle w:val="HighlightBoxBullet"/>
      </w:pPr>
      <w:r w:rsidRPr="002E2383">
        <w:t>Government infrastructure investment is projected to be $</w:t>
      </w:r>
      <w:r>
        <w:t>5.8 billion</w:t>
      </w:r>
      <w:r w:rsidRPr="002E2383">
        <w:t xml:space="preserve"> in 2014</w:t>
      </w:r>
      <w:r>
        <w:noBreakHyphen/>
        <w:t>15 and $7.0 billion</w:t>
      </w:r>
      <w:r w:rsidRPr="002E2383">
        <w:t xml:space="preserve"> a year on aver</w:t>
      </w:r>
      <w:r>
        <w:t>age over the forward estimates.</w:t>
      </w:r>
    </w:p>
    <w:p w:rsidR="00F87646" w:rsidRDefault="00F87646" w:rsidP="002E7F17">
      <w:pPr>
        <w:pStyle w:val="HighlightBoxBullet"/>
      </w:pPr>
      <w:r w:rsidRPr="002E2383">
        <w:t>Net debt is projected to decrease from $</w:t>
      </w:r>
      <w:r>
        <w:t>21.8 billion</w:t>
      </w:r>
      <w:r w:rsidRPr="002E2383">
        <w:t xml:space="preserve"> in June 2015 to $</w:t>
      </w:r>
      <w:r>
        <w:t>19.6 billion</w:t>
      </w:r>
      <w:r w:rsidRPr="002E2383">
        <w:t xml:space="preserve"> by June 2018. As a proportion</w:t>
      </w:r>
      <w:r>
        <w:t xml:space="preserve"> of gross state product (GSP), net debt</w:t>
      </w:r>
      <w:r w:rsidRPr="002E2383">
        <w:t xml:space="preserve"> is expected to peak at </w:t>
      </w:r>
      <w:r>
        <w:t>5.9 per cent</w:t>
      </w:r>
      <w:r w:rsidRPr="002E2383">
        <w:t xml:space="preserve"> in June 2015, before declining to </w:t>
      </w:r>
      <w:r>
        <w:t xml:space="preserve">4.5 per cent by June 2018. </w:t>
      </w:r>
    </w:p>
    <w:p w:rsidR="00F87646" w:rsidRPr="002E2383" w:rsidRDefault="00F87646" w:rsidP="002E7F17">
      <w:pPr>
        <w:pStyle w:val="HighlightBoxBullet"/>
      </w:pPr>
      <w:r w:rsidRPr="002E2383">
        <w:t>Net financial liabilities are projected to decrease from $</w:t>
      </w:r>
      <w:r>
        <w:t>54.7 billion</w:t>
      </w:r>
      <w:r w:rsidRPr="002E2383">
        <w:t xml:space="preserve"> at June 2015 to $</w:t>
      </w:r>
      <w:r>
        <w:t>51.3 billion</w:t>
      </w:r>
      <w:r w:rsidRPr="002E2383">
        <w:t xml:space="preserve"> by June 2018. As a proportion of GSP, they are expected to peak at</w:t>
      </w:r>
      <w:r>
        <w:t xml:space="preserve"> 14.8 per cent</w:t>
      </w:r>
      <w:r w:rsidRPr="002E2383">
        <w:t xml:space="preserve"> at June 2015, before declining to</w:t>
      </w:r>
      <w:r>
        <w:t xml:space="preserve"> 11.8 per cent</w:t>
      </w:r>
      <w:r w:rsidRPr="002E2383">
        <w:t xml:space="preserve"> by June 2018.</w:t>
      </w:r>
    </w:p>
    <w:p w:rsidR="00F87646" w:rsidRPr="002E2383" w:rsidRDefault="00F87646" w:rsidP="00BA2633"/>
    <w:p w:rsidR="00F87646" w:rsidRPr="002E2383" w:rsidRDefault="00F87646" w:rsidP="00E9120C">
      <w:r w:rsidRPr="002E2383">
        <w:t>This chapter presents the financial position of the general government sector. The estimat</w:t>
      </w:r>
      <w:r>
        <w:t>es take account of policy decisi</w:t>
      </w:r>
      <w:r w:rsidRPr="002E2383">
        <w:t xml:space="preserve">ons of the Victorian Government, revisions to Commonwealth Government funding and other information that affects the financial statements </w:t>
      </w:r>
      <w:r>
        <w:t>up to the issue of the election writs on 4 November 2014.</w:t>
      </w:r>
    </w:p>
    <w:p w:rsidR="00F87646" w:rsidRDefault="00F87646">
      <w:pPr>
        <w:spacing w:after="0"/>
        <w:rPr>
          <w:rFonts w:ascii="Calibri" w:hAnsi="Calibri"/>
          <w:b/>
          <w:caps/>
          <w:sz w:val="26"/>
          <w:szCs w:val="22"/>
        </w:rPr>
      </w:pPr>
      <w:bookmarkStart w:id="13" w:name="_Toc401056869"/>
      <w:bookmarkStart w:id="14" w:name="_Toc401147491"/>
      <w:r>
        <w:rPr>
          <w:rFonts w:ascii="Calibri" w:hAnsi="Calibri"/>
          <w:b/>
          <w:caps/>
          <w:sz w:val="26"/>
          <w:szCs w:val="22"/>
        </w:rPr>
        <w:br w:type="page"/>
      </w:r>
    </w:p>
    <w:p w:rsidR="00F87646" w:rsidRPr="002E2383" w:rsidRDefault="00F87646" w:rsidP="002E2383">
      <w:pPr>
        <w:keepNext/>
        <w:spacing w:before="360"/>
        <w:outlineLvl w:val="0"/>
        <w:rPr>
          <w:rFonts w:ascii="Calibri" w:hAnsi="Calibri"/>
          <w:b/>
          <w:caps/>
          <w:sz w:val="26"/>
          <w:szCs w:val="22"/>
        </w:rPr>
      </w:pPr>
      <w:r w:rsidRPr="002E2383">
        <w:rPr>
          <w:rFonts w:ascii="Calibri" w:hAnsi="Calibri"/>
          <w:b/>
          <w:caps/>
          <w:sz w:val="26"/>
          <w:szCs w:val="22"/>
        </w:rPr>
        <w:lastRenderedPageBreak/>
        <w:t>Fiscal aggregates</w:t>
      </w:r>
      <w:bookmarkEnd w:id="13"/>
      <w:bookmarkEnd w:id="14"/>
    </w:p>
    <w:p w:rsidR="00F87646" w:rsidRPr="00FA56FA" w:rsidRDefault="00F87646" w:rsidP="00E9120C">
      <w:pPr>
        <w:pStyle w:val="Tableheading"/>
        <w:rPr>
          <w:vertAlign w:val="superscript"/>
        </w:rPr>
      </w:pPr>
      <w:r w:rsidRPr="002E2383">
        <w:t xml:space="preserve">Table </w:t>
      </w:r>
      <w:r>
        <w:t>2.</w:t>
      </w:r>
      <w:r w:rsidRPr="002E2383">
        <w:t>1:</w:t>
      </w:r>
      <w:r w:rsidRPr="002E2383">
        <w:tab/>
        <w:t>General government fiscal aggregates</w:t>
      </w:r>
      <w:r w:rsidRPr="002E2383">
        <w:rPr>
          <w:vertAlign w:val="superscript"/>
        </w:rPr>
        <w:t>(a)</w:t>
      </w:r>
    </w:p>
    <w:tbl>
      <w:tblPr>
        <w:tblW w:w="7776" w:type="dxa"/>
        <w:tblInd w:w="29" w:type="dxa"/>
        <w:tblLayout w:type="fixed"/>
        <w:tblCellMar>
          <w:left w:w="43" w:type="dxa"/>
          <w:right w:w="43" w:type="dxa"/>
        </w:tblCellMar>
        <w:tblLook w:val="0000" w:firstRow="0" w:lastRow="0" w:firstColumn="0" w:lastColumn="0" w:noHBand="0" w:noVBand="0"/>
      </w:tblPr>
      <w:tblGrid>
        <w:gridCol w:w="2444"/>
        <w:gridCol w:w="761"/>
        <w:gridCol w:w="762"/>
        <w:gridCol w:w="762"/>
        <w:gridCol w:w="761"/>
        <w:gridCol w:w="762"/>
        <w:gridCol w:w="762"/>
        <w:gridCol w:w="762"/>
      </w:tblGrid>
      <w:tr w:rsidR="00F87646" w:rsidRPr="00E9120C" w:rsidTr="00D2568E">
        <w:tc>
          <w:tcPr>
            <w:tcW w:w="2444" w:type="dxa"/>
            <w:tcBorders>
              <w:top w:val="single" w:sz="4" w:space="0" w:color="auto"/>
              <w:left w:val="single" w:sz="4" w:space="0" w:color="auto"/>
              <w:bottom w:val="nil"/>
              <w:right w:val="nil"/>
            </w:tcBorders>
            <w:shd w:val="clear" w:color="auto" w:fill="000000"/>
          </w:tcPr>
          <w:p w:rsidR="00F87646" w:rsidRPr="00E9120C" w:rsidRDefault="00F87646" w:rsidP="00FA56FA">
            <w:pPr>
              <w:spacing w:after="0"/>
              <w:ind w:left="180" w:hanging="180"/>
              <w:rPr>
                <w:rFonts w:ascii="Calibri" w:eastAsiaTheme="minorEastAsia" w:hAnsi="Calibri"/>
                <w:sz w:val="18"/>
                <w:szCs w:val="18"/>
                <w:lang w:eastAsia="en-AU"/>
              </w:rPr>
            </w:pPr>
            <w:r w:rsidRPr="00E9120C">
              <w:rPr>
                <w:rFonts w:ascii="Calibri" w:eastAsiaTheme="minorEastAsia" w:hAnsi="Calibri"/>
                <w:sz w:val="18"/>
                <w:szCs w:val="18"/>
                <w:lang w:eastAsia="en-AU"/>
              </w:rPr>
              <w:t xml:space="preserve"> </w:t>
            </w:r>
          </w:p>
        </w:tc>
        <w:tc>
          <w:tcPr>
            <w:tcW w:w="761" w:type="dxa"/>
            <w:tcBorders>
              <w:top w:val="single" w:sz="4" w:space="0" w:color="auto"/>
              <w:left w:val="nil"/>
              <w:bottom w:val="nil"/>
              <w:right w:val="nil"/>
            </w:tcBorders>
            <w:shd w:val="clear" w:color="auto" w:fill="000000"/>
          </w:tcPr>
          <w:p w:rsidR="00F87646" w:rsidRPr="00E9120C" w:rsidRDefault="00F87646" w:rsidP="00C6473A">
            <w:pPr>
              <w:pStyle w:val="Tabletextheadingcentred"/>
              <w:rPr>
                <w:rFonts w:eastAsiaTheme="minorEastAsia"/>
                <w:sz w:val="18"/>
                <w:lang w:eastAsia="en-AU"/>
              </w:rPr>
            </w:pPr>
            <w:r w:rsidRPr="00E9120C">
              <w:rPr>
                <w:rFonts w:eastAsiaTheme="minorEastAsia"/>
                <w:sz w:val="18"/>
                <w:lang w:eastAsia="en-AU"/>
              </w:rPr>
              <w:t>Unit of</w:t>
            </w:r>
          </w:p>
        </w:tc>
        <w:tc>
          <w:tcPr>
            <w:tcW w:w="762" w:type="dxa"/>
            <w:tcBorders>
              <w:top w:val="single" w:sz="4" w:space="0" w:color="auto"/>
              <w:left w:val="nil"/>
              <w:bottom w:val="nil"/>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2013</w:t>
            </w:r>
            <w:r>
              <w:rPr>
                <w:rFonts w:eastAsiaTheme="minorEastAsia"/>
                <w:sz w:val="18"/>
                <w:lang w:eastAsia="en-AU"/>
              </w:rPr>
              <w:noBreakHyphen/>
            </w:r>
            <w:r w:rsidRPr="00E9120C">
              <w:rPr>
                <w:rFonts w:eastAsiaTheme="minorEastAsia"/>
                <w:sz w:val="18"/>
                <w:lang w:eastAsia="en-AU"/>
              </w:rPr>
              <w:t>14</w:t>
            </w:r>
          </w:p>
        </w:tc>
        <w:tc>
          <w:tcPr>
            <w:tcW w:w="762" w:type="dxa"/>
            <w:tcBorders>
              <w:top w:val="single" w:sz="4" w:space="0" w:color="auto"/>
              <w:left w:val="nil"/>
              <w:bottom w:val="nil"/>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2014</w:t>
            </w:r>
            <w:r>
              <w:rPr>
                <w:rFonts w:eastAsiaTheme="minorEastAsia"/>
                <w:sz w:val="18"/>
                <w:lang w:eastAsia="en-AU"/>
              </w:rPr>
              <w:noBreakHyphen/>
            </w:r>
            <w:r w:rsidRPr="00E9120C">
              <w:rPr>
                <w:rFonts w:eastAsiaTheme="minorEastAsia"/>
                <w:sz w:val="18"/>
                <w:lang w:eastAsia="en-AU"/>
              </w:rPr>
              <w:t>15</w:t>
            </w:r>
          </w:p>
        </w:tc>
        <w:tc>
          <w:tcPr>
            <w:tcW w:w="761" w:type="dxa"/>
            <w:tcBorders>
              <w:top w:val="single" w:sz="4" w:space="0" w:color="auto"/>
              <w:left w:val="nil"/>
              <w:bottom w:val="nil"/>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2014</w:t>
            </w:r>
            <w:r>
              <w:rPr>
                <w:rFonts w:eastAsiaTheme="minorEastAsia"/>
                <w:sz w:val="18"/>
                <w:lang w:eastAsia="en-AU"/>
              </w:rPr>
              <w:noBreakHyphen/>
            </w:r>
            <w:r w:rsidRPr="00E9120C">
              <w:rPr>
                <w:rFonts w:eastAsiaTheme="minorEastAsia"/>
                <w:sz w:val="18"/>
                <w:lang w:eastAsia="en-AU"/>
              </w:rPr>
              <w:t>15</w:t>
            </w:r>
          </w:p>
        </w:tc>
        <w:tc>
          <w:tcPr>
            <w:tcW w:w="762" w:type="dxa"/>
            <w:tcBorders>
              <w:top w:val="single" w:sz="4" w:space="0" w:color="auto"/>
              <w:left w:val="nil"/>
              <w:bottom w:val="nil"/>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2015</w:t>
            </w:r>
            <w:r>
              <w:rPr>
                <w:rFonts w:eastAsiaTheme="minorEastAsia"/>
                <w:sz w:val="18"/>
                <w:lang w:eastAsia="en-AU"/>
              </w:rPr>
              <w:noBreakHyphen/>
            </w:r>
            <w:r w:rsidRPr="00E9120C">
              <w:rPr>
                <w:rFonts w:eastAsiaTheme="minorEastAsia"/>
                <w:sz w:val="18"/>
                <w:lang w:eastAsia="en-AU"/>
              </w:rPr>
              <w:t>16</w:t>
            </w:r>
          </w:p>
        </w:tc>
        <w:tc>
          <w:tcPr>
            <w:tcW w:w="762" w:type="dxa"/>
            <w:tcBorders>
              <w:top w:val="single" w:sz="4" w:space="0" w:color="auto"/>
              <w:left w:val="nil"/>
              <w:bottom w:val="nil"/>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2016</w:t>
            </w:r>
            <w:r>
              <w:rPr>
                <w:rFonts w:eastAsiaTheme="minorEastAsia"/>
                <w:sz w:val="18"/>
                <w:lang w:eastAsia="en-AU"/>
              </w:rPr>
              <w:noBreakHyphen/>
            </w:r>
            <w:r w:rsidRPr="00E9120C">
              <w:rPr>
                <w:rFonts w:eastAsiaTheme="minorEastAsia"/>
                <w:sz w:val="18"/>
                <w:lang w:eastAsia="en-AU"/>
              </w:rPr>
              <w:t>17</w:t>
            </w:r>
          </w:p>
        </w:tc>
        <w:tc>
          <w:tcPr>
            <w:tcW w:w="762" w:type="dxa"/>
            <w:tcBorders>
              <w:top w:val="single" w:sz="4" w:space="0" w:color="auto"/>
              <w:left w:val="nil"/>
              <w:bottom w:val="nil"/>
              <w:right w:val="single" w:sz="4" w:space="0" w:color="auto"/>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2017</w:t>
            </w:r>
            <w:r>
              <w:rPr>
                <w:rFonts w:eastAsiaTheme="minorEastAsia"/>
                <w:sz w:val="18"/>
                <w:lang w:eastAsia="en-AU"/>
              </w:rPr>
              <w:noBreakHyphen/>
            </w:r>
            <w:r w:rsidRPr="00E9120C">
              <w:rPr>
                <w:rFonts w:eastAsiaTheme="minorEastAsia"/>
                <w:sz w:val="18"/>
                <w:lang w:eastAsia="en-AU"/>
              </w:rPr>
              <w:t>18</w:t>
            </w:r>
          </w:p>
        </w:tc>
      </w:tr>
      <w:tr w:rsidR="00F87646" w:rsidRPr="00E9120C" w:rsidTr="00D2568E">
        <w:tc>
          <w:tcPr>
            <w:tcW w:w="2444" w:type="dxa"/>
            <w:tcBorders>
              <w:top w:val="nil"/>
              <w:left w:val="single" w:sz="4" w:space="0" w:color="auto"/>
              <w:bottom w:val="single" w:sz="4" w:space="0" w:color="auto"/>
              <w:right w:val="nil"/>
            </w:tcBorders>
            <w:shd w:val="clear" w:color="auto" w:fill="000000"/>
          </w:tcPr>
          <w:p w:rsidR="00F87646" w:rsidRPr="00E9120C" w:rsidRDefault="00F87646" w:rsidP="00FA56FA">
            <w:pPr>
              <w:spacing w:after="0"/>
              <w:ind w:left="180" w:hanging="180"/>
              <w:rPr>
                <w:rFonts w:ascii="Calibri" w:eastAsiaTheme="minorEastAsia" w:hAnsi="Calibri"/>
                <w:sz w:val="18"/>
                <w:szCs w:val="18"/>
                <w:lang w:eastAsia="en-AU"/>
              </w:rPr>
            </w:pPr>
            <w:r w:rsidRPr="00E9120C">
              <w:rPr>
                <w:rFonts w:ascii="Calibri" w:eastAsiaTheme="minorEastAsia" w:hAnsi="Calibri"/>
                <w:sz w:val="18"/>
                <w:szCs w:val="18"/>
                <w:lang w:eastAsia="en-AU"/>
              </w:rPr>
              <w:t xml:space="preserve"> </w:t>
            </w:r>
          </w:p>
        </w:tc>
        <w:tc>
          <w:tcPr>
            <w:tcW w:w="761" w:type="dxa"/>
            <w:tcBorders>
              <w:top w:val="nil"/>
              <w:left w:val="nil"/>
              <w:bottom w:val="single" w:sz="4" w:space="0" w:color="auto"/>
              <w:right w:val="nil"/>
            </w:tcBorders>
            <w:shd w:val="clear" w:color="auto" w:fill="000000"/>
          </w:tcPr>
          <w:p w:rsidR="00F87646" w:rsidRPr="00E9120C" w:rsidRDefault="00F87646" w:rsidP="00C6473A">
            <w:pPr>
              <w:pStyle w:val="Tabletextheadingcentred"/>
              <w:rPr>
                <w:rFonts w:eastAsiaTheme="minorEastAsia"/>
                <w:sz w:val="18"/>
                <w:lang w:eastAsia="en-AU"/>
              </w:rPr>
            </w:pPr>
            <w:r w:rsidRPr="00E9120C">
              <w:rPr>
                <w:rFonts w:eastAsiaTheme="minorEastAsia"/>
                <w:sz w:val="18"/>
                <w:lang w:eastAsia="en-AU"/>
              </w:rPr>
              <w:t>measure</w:t>
            </w:r>
          </w:p>
        </w:tc>
        <w:tc>
          <w:tcPr>
            <w:tcW w:w="762" w:type="dxa"/>
            <w:tcBorders>
              <w:top w:val="nil"/>
              <w:left w:val="nil"/>
              <w:bottom w:val="single" w:sz="4" w:space="0" w:color="auto"/>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actual</w:t>
            </w:r>
          </w:p>
        </w:tc>
        <w:tc>
          <w:tcPr>
            <w:tcW w:w="762" w:type="dxa"/>
            <w:tcBorders>
              <w:top w:val="nil"/>
              <w:left w:val="nil"/>
              <w:bottom w:val="single" w:sz="4" w:space="0" w:color="auto"/>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budget</w:t>
            </w:r>
          </w:p>
        </w:tc>
        <w:tc>
          <w:tcPr>
            <w:tcW w:w="761" w:type="dxa"/>
            <w:tcBorders>
              <w:top w:val="nil"/>
              <w:left w:val="nil"/>
              <w:bottom w:val="single" w:sz="4" w:space="0" w:color="auto"/>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revised</w:t>
            </w:r>
          </w:p>
        </w:tc>
        <w:tc>
          <w:tcPr>
            <w:tcW w:w="762" w:type="dxa"/>
            <w:tcBorders>
              <w:top w:val="nil"/>
              <w:left w:val="nil"/>
              <w:bottom w:val="single" w:sz="4" w:space="0" w:color="auto"/>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estimate</w:t>
            </w:r>
          </w:p>
        </w:tc>
        <w:tc>
          <w:tcPr>
            <w:tcW w:w="762" w:type="dxa"/>
            <w:tcBorders>
              <w:top w:val="nil"/>
              <w:left w:val="nil"/>
              <w:bottom w:val="single" w:sz="4" w:space="0" w:color="auto"/>
              <w:right w:val="nil"/>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estimate</w:t>
            </w:r>
          </w:p>
        </w:tc>
        <w:tc>
          <w:tcPr>
            <w:tcW w:w="762" w:type="dxa"/>
            <w:tcBorders>
              <w:top w:val="nil"/>
              <w:left w:val="nil"/>
              <w:bottom w:val="single" w:sz="4" w:space="0" w:color="auto"/>
              <w:right w:val="single" w:sz="4" w:space="0" w:color="auto"/>
            </w:tcBorders>
            <w:shd w:val="clear" w:color="auto" w:fill="000000"/>
          </w:tcPr>
          <w:p w:rsidR="00F87646" w:rsidRPr="00E9120C" w:rsidRDefault="00F87646" w:rsidP="00C6473A">
            <w:pPr>
              <w:pStyle w:val="Tabletextheading"/>
              <w:rPr>
                <w:rFonts w:eastAsiaTheme="minorEastAsia"/>
                <w:sz w:val="18"/>
                <w:lang w:eastAsia="en-AU"/>
              </w:rPr>
            </w:pPr>
            <w:r w:rsidRPr="00E9120C">
              <w:rPr>
                <w:rFonts w:eastAsiaTheme="minorEastAsia"/>
                <w:sz w:val="18"/>
                <w:lang w:eastAsia="en-AU"/>
              </w:rPr>
              <w:t>estimate</w:t>
            </w:r>
          </w:p>
        </w:tc>
      </w:tr>
      <w:tr w:rsidR="00F87646" w:rsidRPr="00E9120C" w:rsidTr="00D2568E">
        <w:tc>
          <w:tcPr>
            <w:tcW w:w="2444" w:type="dxa"/>
            <w:tcBorders>
              <w:top w:val="single" w:sz="4" w:space="0" w:color="auto"/>
              <w:left w:val="nil"/>
              <w:bottom w:val="nil"/>
              <w:right w:val="nil"/>
            </w:tcBorders>
            <w:shd w:val="solid" w:color="FFFFFF" w:fill="auto"/>
          </w:tcPr>
          <w:p w:rsidR="00F87646" w:rsidRPr="00E9120C" w:rsidRDefault="00F87646" w:rsidP="00C6473A">
            <w:pPr>
              <w:pStyle w:val="Tabletext"/>
              <w:rPr>
                <w:rFonts w:eastAsiaTheme="minorEastAsia"/>
                <w:sz w:val="18"/>
                <w:lang w:eastAsia="en-AU"/>
              </w:rPr>
            </w:pPr>
            <w:r w:rsidRPr="00E9120C">
              <w:rPr>
                <w:rFonts w:eastAsiaTheme="minorEastAsia"/>
                <w:sz w:val="18"/>
                <w:lang w:eastAsia="en-AU"/>
              </w:rPr>
              <w:t>Net result from transactions</w:t>
            </w:r>
          </w:p>
        </w:tc>
        <w:tc>
          <w:tcPr>
            <w:tcW w:w="761" w:type="dxa"/>
            <w:tcBorders>
              <w:top w:val="single" w:sz="4" w:space="0" w:color="auto"/>
              <w:left w:val="nil"/>
              <w:bottom w:val="nil"/>
              <w:right w:val="nil"/>
            </w:tcBorders>
            <w:shd w:val="solid" w:color="FFFFFF" w:fill="auto"/>
          </w:tcPr>
          <w:p w:rsidR="00F87646" w:rsidRPr="00E9120C" w:rsidRDefault="00F87646" w:rsidP="00C6473A">
            <w:pPr>
              <w:pStyle w:val="Tabletextcentred"/>
              <w:rPr>
                <w:rFonts w:eastAsiaTheme="minorEastAsia" w:cs="Calibri"/>
                <w:sz w:val="18"/>
                <w:lang w:eastAsia="en-AU"/>
              </w:rPr>
            </w:pPr>
            <w:r w:rsidRPr="00E9120C">
              <w:rPr>
                <w:rFonts w:eastAsiaTheme="minorEastAsia"/>
                <w:sz w:val="18"/>
                <w:lang w:eastAsia="en-AU"/>
              </w:rPr>
              <w:t>$</w:t>
            </w:r>
            <w:r>
              <w:rPr>
                <w:rFonts w:eastAsiaTheme="minorEastAsia"/>
                <w:sz w:val="18"/>
                <w:lang w:eastAsia="en-AU"/>
              </w:rPr>
              <w:t> billion</w:t>
            </w:r>
          </w:p>
        </w:tc>
        <w:tc>
          <w:tcPr>
            <w:tcW w:w="762" w:type="dxa"/>
            <w:tcBorders>
              <w:top w:val="single" w:sz="4" w:space="0" w:color="auto"/>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2.0</w:t>
            </w:r>
          </w:p>
        </w:tc>
        <w:tc>
          <w:tcPr>
            <w:tcW w:w="762" w:type="dxa"/>
            <w:tcBorders>
              <w:top w:val="single" w:sz="4" w:space="0" w:color="auto"/>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1.3</w:t>
            </w:r>
          </w:p>
        </w:tc>
        <w:tc>
          <w:tcPr>
            <w:tcW w:w="761" w:type="dxa"/>
            <w:tcBorders>
              <w:top w:val="single" w:sz="4" w:space="0" w:color="auto"/>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1.1</w:t>
            </w:r>
          </w:p>
        </w:tc>
        <w:tc>
          <w:tcPr>
            <w:tcW w:w="762" w:type="dxa"/>
            <w:tcBorders>
              <w:top w:val="single" w:sz="4" w:space="0" w:color="auto"/>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2.3</w:t>
            </w:r>
          </w:p>
        </w:tc>
        <w:tc>
          <w:tcPr>
            <w:tcW w:w="762" w:type="dxa"/>
            <w:tcBorders>
              <w:top w:val="single" w:sz="4" w:space="0" w:color="auto"/>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2.7</w:t>
            </w:r>
          </w:p>
        </w:tc>
        <w:tc>
          <w:tcPr>
            <w:tcW w:w="762" w:type="dxa"/>
            <w:tcBorders>
              <w:top w:val="single" w:sz="4" w:space="0" w:color="auto"/>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3.0</w:t>
            </w:r>
          </w:p>
        </w:tc>
      </w:tr>
      <w:tr w:rsidR="00F87646" w:rsidRPr="00E9120C" w:rsidTr="00D2568E">
        <w:tc>
          <w:tcPr>
            <w:tcW w:w="2444" w:type="dxa"/>
            <w:tcBorders>
              <w:top w:val="nil"/>
              <w:left w:val="nil"/>
              <w:bottom w:val="nil"/>
              <w:right w:val="nil"/>
            </w:tcBorders>
            <w:shd w:val="solid" w:color="FFFFFF" w:fill="auto"/>
          </w:tcPr>
          <w:p w:rsidR="00F87646" w:rsidRPr="00E9120C" w:rsidRDefault="00F87646" w:rsidP="00C6473A">
            <w:pPr>
              <w:pStyle w:val="Tabletext"/>
              <w:rPr>
                <w:rFonts w:eastAsiaTheme="minorEastAsia"/>
                <w:sz w:val="18"/>
                <w:lang w:eastAsia="en-AU"/>
              </w:rPr>
            </w:pPr>
            <w:r w:rsidRPr="00E9120C">
              <w:rPr>
                <w:rFonts w:eastAsiaTheme="minorEastAsia"/>
                <w:sz w:val="18"/>
                <w:lang w:eastAsia="en-AU"/>
              </w:rPr>
              <w:t>Net debt</w:t>
            </w:r>
          </w:p>
        </w:tc>
        <w:tc>
          <w:tcPr>
            <w:tcW w:w="761" w:type="dxa"/>
            <w:tcBorders>
              <w:top w:val="nil"/>
              <w:left w:val="nil"/>
              <w:bottom w:val="nil"/>
              <w:right w:val="nil"/>
            </w:tcBorders>
            <w:shd w:val="solid" w:color="FFFFFF" w:fill="auto"/>
          </w:tcPr>
          <w:p w:rsidR="00F87646" w:rsidRPr="00E9120C" w:rsidRDefault="00F87646" w:rsidP="00C6473A">
            <w:pPr>
              <w:pStyle w:val="Tabletextcentred"/>
              <w:rPr>
                <w:rFonts w:eastAsiaTheme="minorEastAsia" w:cs="Calibri"/>
                <w:sz w:val="18"/>
                <w:lang w:eastAsia="en-AU"/>
              </w:rPr>
            </w:pPr>
            <w:r w:rsidRPr="00E9120C">
              <w:rPr>
                <w:rFonts w:eastAsiaTheme="minorEastAsia"/>
                <w:sz w:val="18"/>
                <w:lang w:eastAsia="en-AU"/>
              </w:rPr>
              <w:t>$</w:t>
            </w:r>
            <w:r>
              <w:rPr>
                <w:rFonts w:eastAsiaTheme="minorEastAsia"/>
                <w:sz w:val="18"/>
                <w:lang w:eastAsia="en-AU"/>
              </w:rPr>
              <w:t> billion</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 xml:space="preserve"> 21.2</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 xml:space="preserve"> 23.0</w:t>
            </w:r>
          </w:p>
        </w:tc>
        <w:tc>
          <w:tcPr>
            <w:tcW w:w="761"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 xml:space="preserve"> 21.8</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 xml:space="preserve"> 17.6</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 xml:space="preserve"> 18.6</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 xml:space="preserve"> 19.6</w:t>
            </w:r>
          </w:p>
        </w:tc>
      </w:tr>
      <w:tr w:rsidR="00F87646" w:rsidRPr="00E9120C" w:rsidTr="00D2568E">
        <w:tc>
          <w:tcPr>
            <w:tcW w:w="2444" w:type="dxa"/>
            <w:tcBorders>
              <w:top w:val="nil"/>
              <w:left w:val="nil"/>
              <w:bottom w:val="nil"/>
              <w:right w:val="nil"/>
            </w:tcBorders>
            <w:shd w:val="solid" w:color="FFFFFF" w:fill="auto"/>
          </w:tcPr>
          <w:p w:rsidR="00F87646" w:rsidRPr="00E9120C" w:rsidRDefault="00F87646" w:rsidP="00C6473A">
            <w:pPr>
              <w:pStyle w:val="Tabletext"/>
              <w:rPr>
                <w:rFonts w:eastAsiaTheme="minorEastAsia"/>
                <w:sz w:val="18"/>
                <w:lang w:eastAsia="en-AU"/>
              </w:rPr>
            </w:pPr>
            <w:r w:rsidRPr="00E9120C">
              <w:rPr>
                <w:rFonts w:eastAsiaTheme="minorEastAsia"/>
                <w:sz w:val="18"/>
                <w:lang w:eastAsia="en-AU"/>
              </w:rPr>
              <w:t>Net debt to GSP</w:t>
            </w:r>
          </w:p>
        </w:tc>
        <w:tc>
          <w:tcPr>
            <w:tcW w:w="761" w:type="dxa"/>
            <w:tcBorders>
              <w:top w:val="nil"/>
              <w:left w:val="nil"/>
              <w:bottom w:val="nil"/>
              <w:right w:val="nil"/>
            </w:tcBorders>
            <w:shd w:val="solid" w:color="FFFFFF" w:fill="auto"/>
          </w:tcPr>
          <w:p w:rsidR="00F87646" w:rsidRPr="00E9120C" w:rsidRDefault="00F87646" w:rsidP="00C6473A">
            <w:pPr>
              <w:pStyle w:val="Tabletextcentred"/>
              <w:rPr>
                <w:rFonts w:eastAsiaTheme="minorEastAsia"/>
                <w:sz w:val="18"/>
                <w:lang w:eastAsia="en-AU"/>
              </w:rPr>
            </w:pPr>
            <w:r w:rsidRPr="00E9120C">
              <w:rPr>
                <w:rFonts w:eastAsiaTheme="minorEastAsia"/>
                <w:sz w:val="18"/>
                <w:lang w:eastAsia="en-AU"/>
              </w:rPr>
              <w:t>per cent</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6.0</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6.2</w:t>
            </w:r>
          </w:p>
        </w:tc>
        <w:tc>
          <w:tcPr>
            <w:tcW w:w="761"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5.9</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4.5</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4.5</w:t>
            </w:r>
          </w:p>
        </w:tc>
        <w:tc>
          <w:tcPr>
            <w:tcW w:w="762" w:type="dxa"/>
            <w:tcBorders>
              <w:top w:val="nil"/>
              <w:left w:val="nil"/>
              <w:bottom w:val="nil"/>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4.5</w:t>
            </w:r>
          </w:p>
        </w:tc>
      </w:tr>
      <w:tr w:rsidR="00F87646" w:rsidRPr="00E9120C" w:rsidTr="00D2568E">
        <w:tc>
          <w:tcPr>
            <w:tcW w:w="2444" w:type="dxa"/>
            <w:tcBorders>
              <w:top w:val="nil"/>
              <w:left w:val="nil"/>
              <w:bottom w:val="single" w:sz="12" w:space="0" w:color="auto"/>
              <w:right w:val="nil"/>
            </w:tcBorders>
            <w:shd w:val="solid" w:color="FFFFFF" w:fill="auto"/>
          </w:tcPr>
          <w:p w:rsidR="00F87646" w:rsidRPr="00E9120C" w:rsidRDefault="00F87646" w:rsidP="00C6473A">
            <w:pPr>
              <w:pStyle w:val="Tabletext"/>
              <w:rPr>
                <w:rFonts w:eastAsiaTheme="minorEastAsia"/>
                <w:sz w:val="18"/>
                <w:vertAlign w:val="superscript"/>
                <w:lang w:eastAsia="en-AU"/>
              </w:rPr>
            </w:pPr>
            <w:r w:rsidRPr="00E9120C">
              <w:rPr>
                <w:rFonts w:eastAsiaTheme="minorEastAsia"/>
                <w:sz w:val="18"/>
                <w:lang w:eastAsia="en-AU"/>
              </w:rPr>
              <w:t xml:space="preserve">Government infrastructure investment </w:t>
            </w:r>
            <w:r w:rsidRPr="00E9120C">
              <w:rPr>
                <w:rFonts w:eastAsiaTheme="minorEastAsia"/>
                <w:sz w:val="18"/>
                <w:vertAlign w:val="superscript"/>
                <w:lang w:eastAsia="en-AU"/>
              </w:rPr>
              <w:t>(b)(c)</w:t>
            </w:r>
          </w:p>
        </w:tc>
        <w:tc>
          <w:tcPr>
            <w:tcW w:w="761" w:type="dxa"/>
            <w:tcBorders>
              <w:top w:val="nil"/>
              <w:left w:val="nil"/>
              <w:bottom w:val="single" w:sz="12" w:space="0" w:color="auto"/>
              <w:right w:val="nil"/>
            </w:tcBorders>
            <w:shd w:val="solid" w:color="FFFFFF" w:fill="auto"/>
          </w:tcPr>
          <w:p w:rsidR="00F87646" w:rsidRPr="00E9120C" w:rsidRDefault="00F87646" w:rsidP="00C6473A">
            <w:pPr>
              <w:pStyle w:val="Tabletextcentred"/>
              <w:rPr>
                <w:rFonts w:eastAsiaTheme="minorEastAsia" w:cs="Calibri"/>
                <w:sz w:val="18"/>
                <w:lang w:eastAsia="en-AU"/>
              </w:rPr>
            </w:pPr>
            <w:r w:rsidRPr="00E9120C">
              <w:rPr>
                <w:rFonts w:eastAsiaTheme="minorEastAsia"/>
                <w:sz w:val="18"/>
                <w:lang w:eastAsia="en-AU"/>
              </w:rPr>
              <w:t>$</w:t>
            </w:r>
            <w:r>
              <w:rPr>
                <w:rFonts w:eastAsiaTheme="minorEastAsia"/>
                <w:sz w:val="18"/>
                <w:lang w:eastAsia="en-AU"/>
              </w:rPr>
              <w:t> billion</w:t>
            </w:r>
          </w:p>
        </w:tc>
        <w:tc>
          <w:tcPr>
            <w:tcW w:w="762" w:type="dxa"/>
            <w:tcBorders>
              <w:top w:val="nil"/>
              <w:left w:val="nil"/>
              <w:bottom w:val="single" w:sz="12" w:space="0" w:color="auto"/>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5.5</w:t>
            </w:r>
          </w:p>
        </w:tc>
        <w:tc>
          <w:tcPr>
            <w:tcW w:w="762" w:type="dxa"/>
            <w:tcBorders>
              <w:top w:val="nil"/>
              <w:left w:val="nil"/>
              <w:bottom w:val="single" w:sz="12" w:space="0" w:color="auto"/>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7.5</w:t>
            </w:r>
          </w:p>
        </w:tc>
        <w:tc>
          <w:tcPr>
            <w:tcW w:w="761" w:type="dxa"/>
            <w:tcBorders>
              <w:top w:val="nil"/>
              <w:left w:val="nil"/>
              <w:bottom w:val="single" w:sz="12" w:space="0" w:color="auto"/>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5.8</w:t>
            </w:r>
          </w:p>
        </w:tc>
        <w:tc>
          <w:tcPr>
            <w:tcW w:w="762" w:type="dxa"/>
            <w:tcBorders>
              <w:top w:val="nil"/>
              <w:left w:val="nil"/>
              <w:bottom w:val="single" w:sz="12" w:space="0" w:color="auto"/>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7.3</w:t>
            </w:r>
          </w:p>
        </w:tc>
        <w:tc>
          <w:tcPr>
            <w:tcW w:w="762" w:type="dxa"/>
            <w:tcBorders>
              <w:top w:val="nil"/>
              <w:left w:val="nil"/>
              <w:bottom w:val="single" w:sz="12" w:space="0" w:color="auto"/>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7.0</w:t>
            </w:r>
          </w:p>
        </w:tc>
        <w:tc>
          <w:tcPr>
            <w:tcW w:w="762" w:type="dxa"/>
            <w:tcBorders>
              <w:top w:val="nil"/>
              <w:left w:val="nil"/>
              <w:bottom w:val="single" w:sz="12" w:space="0" w:color="auto"/>
              <w:right w:val="nil"/>
            </w:tcBorders>
            <w:shd w:val="solid" w:color="FFFFFF" w:fill="auto"/>
          </w:tcPr>
          <w:p w:rsidR="00F87646" w:rsidRPr="00E9120C" w:rsidRDefault="00F87646" w:rsidP="00C6473A">
            <w:pPr>
              <w:pStyle w:val="TableofFigures"/>
              <w:rPr>
                <w:rFonts w:eastAsiaTheme="minorEastAsia"/>
                <w:sz w:val="18"/>
                <w:lang w:eastAsia="en-AU"/>
              </w:rPr>
            </w:pPr>
            <w:r w:rsidRPr="00E9120C">
              <w:rPr>
                <w:rFonts w:eastAsiaTheme="minorEastAsia"/>
                <w:sz w:val="18"/>
                <w:lang w:eastAsia="en-AU"/>
              </w:rPr>
              <w:t>6.7</w:t>
            </w:r>
          </w:p>
        </w:tc>
      </w:tr>
    </w:tbl>
    <w:p w:rsidR="00F87646" w:rsidRPr="002E2383" w:rsidRDefault="00F87646" w:rsidP="00E9120C">
      <w:pPr>
        <w:pStyle w:val="Source"/>
      </w:pPr>
      <w:r w:rsidRPr="002E2383">
        <w:t>Source: Department of Treasury and Finance</w:t>
      </w:r>
    </w:p>
    <w:p w:rsidR="00F87646" w:rsidRPr="002E2383" w:rsidRDefault="00F87646" w:rsidP="00E9120C">
      <w:pPr>
        <w:pStyle w:val="Notes"/>
      </w:pPr>
      <w:r w:rsidRPr="002E2383">
        <w:t>Notes:</w:t>
      </w:r>
    </w:p>
    <w:p w:rsidR="00F87646" w:rsidRPr="002E2383" w:rsidRDefault="00F87646" w:rsidP="00E9120C">
      <w:pPr>
        <w:pStyle w:val="Notes"/>
      </w:pPr>
      <w:r w:rsidRPr="002E2383">
        <w:t>(a)</w:t>
      </w:r>
      <w:r w:rsidRPr="002E2383">
        <w:tab/>
        <w:t>Net debt figure for 2014</w:t>
      </w:r>
      <w:r>
        <w:noBreakHyphen/>
      </w:r>
      <w:r w:rsidRPr="002E2383">
        <w:t>15 budget reflects actual opening balances at 1 July 2014 plus 2014</w:t>
      </w:r>
      <w:r>
        <w:noBreakHyphen/>
      </w:r>
      <w:r w:rsidRPr="002E2383">
        <w:t>15 budgeted movements.</w:t>
      </w:r>
    </w:p>
    <w:p w:rsidR="00F87646" w:rsidRPr="002E2383" w:rsidRDefault="00F87646" w:rsidP="00E9120C">
      <w:pPr>
        <w:pStyle w:val="Notes"/>
      </w:pPr>
      <w:r w:rsidRPr="002E2383">
        <w:t>(b)</w:t>
      </w:r>
      <w:r w:rsidRPr="002E2383">
        <w:tab/>
        <w:t>Includes general government net infrastructure investment and estimated cash flows for Partnerships Victoria projects.</w:t>
      </w:r>
    </w:p>
    <w:p w:rsidR="00F87646" w:rsidRPr="002E2383" w:rsidRDefault="00F87646" w:rsidP="00E9120C">
      <w:pPr>
        <w:pStyle w:val="Notes"/>
      </w:pPr>
      <w:r w:rsidRPr="002E2383">
        <w:t>(c)</w:t>
      </w:r>
      <w:r w:rsidRPr="002E2383">
        <w:tab/>
        <w:t>Excludes the impact in 2015</w:t>
      </w:r>
      <w:r>
        <w:noBreakHyphen/>
      </w:r>
      <w:r w:rsidRPr="002E2383">
        <w:t>16 of the medium</w:t>
      </w:r>
      <w:r>
        <w:noBreakHyphen/>
      </w:r>
      <w:r w:rsidRPr="002E2383">
        <w:t>term lease of the Port of Melbourne operations.</w:t>
      </w:r>
    </w:p>
    <w:p w:rsidR="00F87646" w:rsidRPr="002E2383" w:rsidRDefault="00F87646" w:rsidP="00C6473A">
      <w:pPr>
        <w:pStyle w:val="Source"/>
      </w:pPr>
    </w:p>
    <w:p w:rsidR="00F87646" w:rsidRPr="002E2383" w:rsidRDefault="00F87646" w:rsidP="0088229E">
      <w:r w:rsidRPr="002E2383">
        <w:t>The operating result (net result from transactions) for the general government sector is forecast to be a surplus of $</w:t>
      </w:r>
      <w:r>
        <w:t>1.1 billion</w:t>
      </w:r>
      <w:r w:rsidRPr="002E2383">
        <w:t xml:space="preserve"> in 2014</w:t>
      </w:r>
      <w:r>
        <w:noBreakHyphen/>
      </w:r>
      <w:r w:rsidRPr="002E2383">
        <w:t>15, increasing to $</w:t>
      </w:r>
      <w:r>
        <w:t>3.0 billion</w:t>
      </w:r>
      <w:r w:rsidRPr="002E2383">
        <w:t xml:space="preserve"> by 2017</w:t>
      </w:r>
      <w:r>
        <w:noBreakHyphen/>
      </w:r>
      <w:r w:rsidRPr="002E2383">
        <w:t xml:space="preserve">18. </w:t>
      </w:r>
      <w:r>
        <w:t>The i</w:t>
      </w:r>
      <w:r w:rsidRPr="002E2383">
        <w:t xml:space="preserve">ncreasing operating surpluses </w:t>
      </w:r>
      <w:r>
        <w:t xml:space="preserve">are based on </w:t>
      </w:r>
      <w:r w:rsidRPr="002E2383">
        <w:t>average annual expense grow</w:t>
      </w:r>
      <w:r>
        <w:t>th over the forward estimates of</w:t>
      </w:r>
      <w:r w:rsidRPr="002E2383">
        <w:t xml:space="preserve"> 2.3</w:t>
      </w:r>
      <w:r>
        <w:t> per cent</w:t>
      </w:r>
      <w:r w:rsidRPr="002E2383">
        <w:t xml:space="preserve"> against average annual revenue growth of 3.</w:t>
      </w:r>
      <w:r>
        <w:t>4 per cent</w:t>
      </w:r>
      <w:r w:rsidRPr="002E2383">
        <w:t xml:space="preserve"> over the same period.</w:t>
      </w:r>
    </w:p>
    <w:p w:rsidR="00F87646" w:rsidRPr="002E2383" w:rsidRDefault="00F87646" w:rsidP="002E2383">
      <w:r w:rsidRPr="002E2383">
        <w:t xml:space="preserve">Compared </w:t>
      </w:r>
      <w:r>
        <w:t>with</w:t>
      </w:r>
      <w:r w:rsidRPr="002E2383">
        <w:t xml:space="preserve"> the </w:t>
      </w:r>
      <w:r w:rsidRPr="002E2383">
        <w:rPr>
          <w:i/>
        </w:rPr>
        <w:t>2014</w:t>
      </w:r>
      <w:r>
        <w:rPr>
          <w:i/>
        </w:rPr>
        <w:noBreakHyphen/>
      </w:r>
      <w:r w:rsidRPr="002E2383">
        <w:rPr>
          <w:i/>
        </w:rPr>
        <w:t>15 Budget</w:t>
      </w:r>
      <w:r w:rsidRPr="002E2383">
        <w:t>, the net result from transacti</w:t>
      </w:r>
      <w:r>
        <w:t>ons has been revised down by $234 million</w:t>
      </w:r>
      <w:r w:rsidRPr="002E2383">
        <w:t xml:space="preserve"> in 2014</w:t>
      </w:r>
      <w:r>
        <w:noBreakHyphen/>
      </w:r>
      <w:r w:rsidRPr="002E2383">
        <w:t>15, $7</w:t>
      </w:r>
      <w:r>
        <w:t>36 million</w:t>
      </w:r>
      <w:r w:rsidRPr="002E2383">
        <w:t xml:space="preserve"> in 2015</w:t>
      </w:r>
      <w:r>
        <w:noBreakHyphen/>
      </w:r>
      <w:r w:rsidRPr="002E2383">
        <w:t>16, $5</w:t>
      </w:r>
      <w:r>
        <w:t>04 million in 2016</w:t>
      </w:r>
      <w:r>
        <w:noBreakHyphen/>
        <w:t>17 and $365 million</w:t>
      </w:r>
      <w:r w:rsidRPr="002E2383">
        <w:t xml:space="preserve"> in 2017</w:t>
      </w:r>
      <w:r>
        <w:noBreakHyphen/>
      </w:r>
      <w:r w:rsidRPr="002E2383">
        <w:t>18.</w:t>
      </w:r>
    </w:p>
    <w:p w:rsidR="00F87646" w:rsidRPr="002E2383" w:rsidRDefault="00F87646" w:rsidP="002E2383">
      <w:r w:rsidRPr="002E2383">
        <w:t>These revisions primarily reflect the prepayment in 2013</w:t>
      </w:r>
      <w:r>
        <w:noBreakHyphen/>
      </w:r>
      <w:r w:rsidRPr="002E2383">
        <w:t>14 by the Commonwealth of $1</w:t>
      </w:r>
      <w:r>
        <w:t> billion</w:t>
      </w:r>
      <w:r w:rsidRPr="002E2383">
        <w:t xml:space="preserve"> of its total contribution to the East West Link </w:t>
      </w:r>
      <w:r>
        <w:t xml:space="preserve">– Western Section </w:t>
      </w:r>
      <w:r w:rsidRPr="002E2383">
        <w:t>and $500</w:t>
      </w:r>
      <w:r>
        <w:t> million</w:t>
      </w:r>
      <w:r w:rsidRPr="002E2383">
        <w:t xml:space="preserve"> being deferred from 2017</w:t>
      </w:r>
      <w:r>
        <w:noBreakHyphen/>
      </w:r>
      <w:r w:rsidRPr="002E2383">
        <w:t>18 to 2018</w:t>
      </w:r>
      <w:r>
        <w:noBreakHyphen/>
      </w:r>
      <w:r w:rsidRPr="002E2383">
        <w:t xml:space="preserve">19. Other key operating movements since the </w:t>
      </w:r>
      <w:r w:rsidRPr="002E2383">
        <w:rPr>
          <w:i/>
        </w:rPr>
        <w:t>2014</w:t>
      </w:r>
      <w:r>
        <w:rPr>
          <w:i/>
        </w:rPr>
        <w:noBreakHyphen/>
      </w:r>
      <w:r w:rsidRPr="002E2383">
        <w:rPr>
          <w:i/>
        </w:rPr>
        <w:t>15 Budget</w:t>
      </w:r>
      <w:r w:rsidRPr="002E2383">
        <w:t xml:space="preserve"> include lower estimates for land tax, partially offset by higher </w:t>
      </w:r>
      <w:r>
        <w:t>GST</w:t>
      </w:r>
      <w:r w:rsidRPr="002E2383">
        <w:t xml:space="preserve"> grants.</w:t>
      </w:r>
    </w:p>
    <w:p w:rsidR="00F87646" w:rsidRPr="002E2383" w:rsidRDefault="00F87646" w:rsidP="002E2383">
      <w:r w:rsidRPr="002E2383">
        <w:t>Government infrastructure investment is projected to be $</w:t>
      </w:r>
      <w:r>
        <w:t>5.8 billion</w:t>
      </w:r>
      <w:r w:rsidRPr="002E2383">
        <w:t xml:space="preserve"> in 2014</w:t>
      </w:r>
      <w:r>
        <w:noBreakHyphen/>
      </w:r>
      <w:r w:rsidRPr="002E2383">
        <w:t>15 and average $</w:t>
      </w:r>
      <w:r>
        <w:t>7.0 billion</w:t>
      </w:r>
      <w:r w:rsidRPr="002E2383">
        <w:t xml:space="preserve"> per year over the forward estimates. Compared </w:t>
      </w:r>
      <w:r>
        <w:t>with</w:t>
      </w:r>
      <w:r w:rsidRPr="002E2383">
        <w:t xml:space="preserve"> the </w:t>
      </w:r>
      <w:r w:rsidRPr="002E2383">
        <w:rPr>
          <w:i/>
        </w:rPr>
        <w:t>2014</w:t>
      </w:r>
      <w:r>
        <w:rPr>
          <w:i/>
        </w:rPr>
        <w:noBreakHyphen/>
      </w:r>
      <w:r w:rsidRPr="002E2383">
        <w:rPr>
          <w:i/>
        </w:rPr>
        <w:t xml:space="preserve">15 Budget, </w:t>
      </w:r>
      <w:r>
        <w:t>g</w:t>
      </w:r>
      <w:r w:rsidRPr="002E2383">
        <w:t>overnment infrastructure investment has been revised down by around $1.</w:t>
      </w:r>
      <w:r>
        <w:t>7 billion</w:t>
      </w:r>
      <w:r w:rsidRPr="002E2383">
        <w:t xml:space="preserve"> in 2014</w:t>
      </w:r>
      <w:r>
        <w:noBreakHyphen/>
      </w:r>
      <w:r w:rsidRPr="002E2383">
        <w:t>15.</w:t>
      </w:r>
      <w:r>
        <w:t xml:space="preserve"> This reflects cash receipts from</w:t>
      </w:r>
      <w:r w:rsidRPr="002E2383">
        <w:t xml:space="preserve"> the sale of the Rural Finance Corporation</w:t>
      </w:r>
      <w:r>
        <w:t xml:space="preserve"> (which is netted off against infrastructure investment) </w:t>
      </w:r>
      <w:r w:rsidRPr="002E2383">
        <w:t>being received in 2014</w:t>
      </w:r>
      <w:r>
        <w:noBreakHyphen/>
      </w:r>
      <w:r w:rsidRPr="002E2383">
        <w:t>15 rather than 2013</w:t>
      </w:r>
      <w:r>
        <w:noBreakHyphen/>
      </w:r>
      <w:r w:rsidRPr="002E2383">
        <w:t>14 and revised cash flow estimates for various road and rail projects.</w:t>
      </w:r>
    </w:p>
    <w:p w:rsidR="00F87646" w:rsidRPr="002E2383" w:rsidRDefault="00F87646" w:rsidP="00BA2633">
      <w:r w:rsidRPr="002E2383">
        <w:t>Net debt is forecast to fall over the budget and forward estimates, from a peak of</w:t>
      </w:r>
      <w:r>
        <w:t xml:space="preserve"> 5.9 per cent</w:t>
      </w:r>
      <w:r w:rsidRPr="002E2383">
        <w:t xml:space="preserve"> of GSP at June 2015 to</w:t>
      </w:r>
      <w:r>
        <w:t xml:space="preserve"> 4.5 per cent</w:t>
      </w:r>
      <w:r w:rsidRPr="002E2383">
        <w:t xml:space="preserve"> of GSP by June 2018. This is an improvement from the </w:t>
      </w:r>
      <w:r w:rsidRPr="002E2383">
        <w:rPr>
          <w:i/>
        </w:rPr>
        <w:t>2014</w:t>
      </w:r>
      <w:r>
        <w:rPr>
          <w:i/>
        </w:rPr>
        <w:noBreakHyphen/>
      </w:r>
      <w:r w:rsidRPr="002E2383">
        <w:rPr>
          <w:i/>
        </w:rPr>
        <w:t xml:space="preserve">15 Budget </w:t>
      </w:r>
      <w:r w:rsidRPr="002E2383">
        <w:t>which forecast net debt to peak at 6.2</w:t>
      </w:r>
      <w:r>
        <w:t> per cent in June </w:t>
      </w:r>
      <w:r w:rsidRPr="002E2383">
        <w:t xml:space="preserve">2015. </w:t>
      </w:r>
    </w:p>
    <w:p w:rsidR="00F87646" w:rsidRPr="002E2383" w:rsidRDefault="00F87646" w:rsidP="002E2383">
      <w:r w:rsidRPr="002E2383">
        <w:br w:type="page"/>
      </w:r>
    </w:p>
    <w:p w:rsidR="00F87646" w:rsidRPr="002E2383" w:rsidRDefault="00F87646" w:rsidP="00E9120C">
      <w:pPr>
        <w:pStyle w:val="Heading1"/>
      </w:pPr>
      <w:bookmarkStart w:id="15" w:name="_Toc401056870"/>
      <w:bookmarkStart w:id="16" w:name="_Toc401147492"/>
      <w:bookmarkStart w:id="17" w:name="_Toc403386687"/>
      <w:r w:rsidRPr="002E2383">
        <w:lastRenderedPageBreak/>
        <w:t>Budget and forward estimates outlook</w:t>
      </w:r>
      <w:bookmarkEnd w:id="15"/>
      <w:bookmarkEnd w:id="16"/>
      <w:bookmarkEnd w:id="17"/>
    </w:p>
    <w:p w:rsidR="00F87646" w:rsidRPr="002E2383" w:rsidRDefault="00F87646" w:rsidP="002E2383">
      <w:pPr>
        <w:rPr>
          <w:i/>
        </w:rPr>
      </w:pPr>
      <w:r w:rsidRPr="002E2383">
        <w:t xml:space="preserve">Table </w:t>
      </w:r>
      <w:r>
        <w:t>2.</w:t>
      </w:r>
      <w:r w:rsidRPr="002E2383">
        <w:t xml:space="preserve">2 summarises the operating statement for the general government sector. A comprehensive operating statement is presented </w:t>
      </w:r>
      <w:r w:rsidRPr="00916A19">
        <w:t>in Table 3</w:t>
      </w:r>
      <w:r>
        <w:t>.1 in Chapter </w:t>
      </w:r>
      <w:r w:rsidRPr="00916A19">
        <w:t xml:space="preserve">3 </w:t>
      </w:r>
      <w:r w:rsidRPr="00916A19">
        <w:rPr>
          <w:i/>
        </w:rPr>
        <w:t>Estimated financial statements and notes.</w:t>
      </w:r>
    </w:p>
    <w:p w:rsidR="00F87646" w:rsidRPr="002E2383" w:rsidRDefault="00F87646" w:rsidP="00E9120C">
      <w:pPr>
        <w:pStyle w:val="Tableheading"/>
      </w:pPr>
      <w:r w:rsidRPr="002E2383">
        <w:t xml:space="preserve">Table </w:t>
      </w:r>
      <w:r>
        <w:t>2.</w:t>
      </w:r>
      <w:r w:rsidRPr="002E2383">
        <w:t>2:</w:t>
      </w:r>
      <w:r w:rsidRPr="002E2383">
        <w:tab/>
        <w:t>Summary operating statement for the general government sector</w:t>
      </w:r>
    </w:p>
    <w:p w:rsidR="00F87646" w:rsidRPr="00FA56FA" w:rsidRDefault="00F87646" w:rsidP="00BA2633">
      <w:pPr>
        <w:pStyle w:val="million"/>
      </w:pPr>
      <w:r w:rsidRPr="002E2383">
        <w:t>($</w:t>
      </w:r>
      <w:r>
        <w:t> million</w:t>
      </w:r>
      <w:r w:rsidRPr="002E2383">
        <w:t>)</w:t>
      </w:r>
    </w:p>
    <w:tbl>
      <w:tblPr>
        <w:tblW w:w="7776" w:type="dxa"/>
        <w:tblInd w:w="29" w:type="dxa"/>
        <w:tblLayout w:type="fixed"/>
        <w:tblCellMar>
          <w:left w:w="43" w:type="dxa"/>
          <w:right w:w="43" w:type="dxa"/>
        </w:tblCellMar>
        <w:tblLook w:val="0000" w:firstRow="0" w:lastRow="0" w:firstColumn="0" w:lastColumn="0" w:noHBand="0" w:noVBand="0"/>
      </w:tblPr>
      <w:tblGrid>
        <w:gridCol w:w="2534"/>
        <w:gridCol w:w="873"/>
        <w:gridCol w:w="874"/>
        <w:gridCol w:w="874"/>
        <w:gridCol w:w="873"/>
        <w:gridCol w:w="874"/>
        <w:gridCol w:w="874"/>
      </w:tblGrid>
      <w:tr w:rsidR="00F87646" w:rsidRPr="00FA56FA" w:rsidTr="00BA2633">
        <w:trPr>
          <w:cantSplit/>
        </w:trPr>
        <w:tc>
          <w:tcPr>
            <w:tcW w:w="2534" w:type="dxa"/>
            <w:tcBorders>
              <w:top w:val="single" w:sz="4" w:space="0" w:color="auto"/>
              <w:left w:val="single" w:sz="4" w:space="0" w:color="auto"/>
              <w:bottom w:val="nil"/>
              <w:right w:val="nil"/>
            </w:tcBorders>
            <w:shd w:val="clear" w:color="auto" w:fill="000000"/>
          </w:tcPr>
          <w:p w:rsidR="00F87646" w:rsidRPr="00FA56FA" w:rsidRDefault="00F87646" w:rsidP="00BA2633">
            <w:pPr>
              <w:pStyle w:val="Tabletext"/>
              <w:rPr>
                <w:rFonts w:eastAsiaTheme="minorEastAsia"/>
                <w:lang w:eastAsia="en-AU"/>
              </w:rPr>
            </w:pPr>
            <w:r w:rsidRPr="00FA56FA">
              <w:rPr>
                <w:rFonts w:eastAsiaTheme="minorEastAsia"/>
                <w:lang w:eastAsia="en-AU"/>
              </w:rPr>
              <w:t xml:space="preserve"> </w:t>
            </w:r>
          </w:p>
        </w:tc>
        <w:tc>
          <w:tcPr>
            <w:tcW w:w="873" w:type="dxa"/>
            <w:tcBorders>
              <w:top w:val="single" w:sz="4" w:space="0" w:color="auto"/>
              <w:left w:val="nil"/>
              <w:bottom w:val="nil"/>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2013</w:t>
            </w:r>
            <w:r>
              <w:rPr>
                <w:rFonts w:eastAsiaTheme="minorEastAsia"/>
                <w:lang w:eastAsia="en-AU"/>
              </w:rPr>
              <w:noBreakHyphen/>
            </w:r>
            <w:r w:rsidRPr="00FA56FA">
              <w:rPr>
                <w:rFonts w:eastAsiaTheme="minorEastAsia"/>
                <w:lang w:eastAsia="en-AU"/>
              </w:rPr>
              <w:t>14</w:t>
            </w:r>
          </w:p>
        </w:tc>
        <w:tc>
          <w:tcPr>
            <w:tcW w:w="874" w:type="dxa"/>
            <w:tcBorders>
              <w:top w:val="single" w:sz="4" w:space="0" w:color="auto"/>
              <w:left w:val="nil"/>
              <w:bottom w:val="nil"/>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2014</w:t>
            </w:r>
            <w:r>
              <w:rPr>
                <w:rFonts w:eastAsiaTheme="minorEastAsia"/>
                <w:lang w:eastAsia="en-AU"/>
              </w:rPr>
              <w:noBreakHyphen/>
            </w:r>
            <w:r w:rsidRPr="00FA56FA">
              <w:rPr>
                <w:rFonts w:eastAsiaTheme="minorEastAsia"/>
                <w:lang w:eastAsia="en-AU"/>
              </w:rPr>
              <w:t>15</w:t>
            </w:r>
          </w:p>
        </w:tc>
        <w:tc>
          <w:tcPr>
            <w:tcW w:w="874" w:type="dxa"/>
            <w:tcBorders>
              <w:top w:val="single" w:sz="4" w:space="0" w:color="auto"/>
              <w:left w:val="nil"/>
              <w:bottom w:val="nil"/>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2014</w:t>
            </w:r>
            <w:r>
              <w:rPr>
                <w:rFonts w:eastAsiaTheme="minorEastAsia"/>
                <w:lang w:eastAsia="en-AU"/>
              </w:rPr>
              <w:noBreakHyphen/>
            </w:r>
            <w:r w:rsidRPr="00FA56FA">
              <w:rPr>
                <w:rFonts w:eastAsiaTheme="minorEastAsia"/>
                <w:lang w:eastAsia="en-AU"/>
              </w:rPr>
              <w:t>15</w:t>
            </w:r>
          </w:p>
        </w:tc>
        <w:tc>
          <w:tcPr>
            <w:tcW w:w="873" w:type="dxa"/>
            <w:tcBorders>
              <w:top w:val="single" w:sz="4" w:space="0" w:color="auto"/>
              <w:left w:val="nil"/>
              <w:bottom w:val="nil"/>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2015</w:t>
            </w:r>
            <w:r>
              <w:rPr>
                <w:rFonts w:eastAsiaTheme="minorEastAsia"/>
                <w:lang w:eastAsia="en-AU"/>
              </w:rPr>
              <w:noBreakHyphen/>
            </w:r>
            <w:r w:rsidRPr="00FA56FA">
              <w:rPr>
                <w:rFonts w:eastAsiaTheme="minorEastAsia"/>
                <w:lang w:eastAsia="en-AU"/>
              </w:rPr>
              <w:t>16</w:t>
            </w:r>
          </w:p>
        </w:tc>
        <w:tc>
          <w:tcPr>
            <w:tcW w:w="874" w:type="dxa"/>
            <w:tcBorders>
              <w:top w:val="single" w:sz="4" w:space="0" w:color="auto"/>
              <w:left w:val="nil"/>
              <w:bottom w:val="nil"/>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2016</w:t>
            </w:r>
            <w:r>
              <w:rPr>
                <w:rFonts w:eastAsiaTheme="minorEastAsia"/>
                <w:lang w:eastAsia="en-AU"/>
              </w:rPr>
              <w:noBreakHyphen/>
            </w:r>
            <w:r w:rsidRPr="00FA56FA">
              <w:rPr>
                <w:rFonts w:eastAsiaTheme="minorEastAsia"/>
                <w:lang w:eastAsia="en-AU"/>
              </w:rPr>
              <w:t>17</w:t>
            </w:r>
          </w:p>
        </w:tc>
        <w:tc>
          <w:tcPr>
            <w:tcW w:w="874" w:type="dxa"/>
            <w:tcBorders>
              <w:top w:val="single" w:sz="4" w:space="0" w:color="auto"/>
              <w:left w:val="nil"/>
              <w:bottom w:val="nil"/>
              <w:right w:val="single" w:sz="4" w:space="0" w:color="auto"/>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2017</w:t>
            </w:r>
            <w:r>
              <w:rPr>
                <w:rFonts w:eastAsiaTheme="minorEastAsia"/>
                <w:lang w:eastAsia="en-AU"/>
              </w:rPr>
              <w:noBreakHyphen/>
            </w:r>
            <w:r w:rsidRPr="00FA56FA">
              <w:rPr>
                <w:rFonts w:eastAsiaTheme="minorEastAsia"/>
                <w:lang w:eastAsia="en-AU"/>
              </w:rPr>
              <w:t>18</w:t>
            </w:r>
          </w:p>
        </w:tc>
      </w:tr>
      <w:tr w:rsidR="00F87646" w:rsidRPr="00FA56FA" w:rsidTr="00BA2633">
        <w:trPr>
          <w:cantSplit/>
        </w:trPr>
        <w:tc>
          <w:tcPr>
            <w:tcW w:w="2534" w:type="dxa"/>
            <w:tcBorders>
              <w:top w:val="nil"/>
              <w:left w:val="single" w:sz="4" w:space="0" w:color="auto"/>
              <w:bottom w:val="single" w:sz="4" w:space="0" w:color="auto"/>
              <w:right w:val="nil"/>
            </w:tcBorders>
            <w:shd w:val="clear" w:color="auto" w:fill="000000"/>
          </w:tcPr>
          <w:p w:rsidR="00F87646" w:rsidRPr="00FA56FA" w:rsidRDefault="00F87646" w:rsidP="00BA2633">
            <w:pPr>
              <w:pStyle w:val="Tabletext"/>
              <w:rPr>
                <w:rFonts w:eastAsiaTheme="minorEastAsia"/>
                <w:lang w:eastAsia="en-AU"/>
              </w:rPr>
            </w:pPr>
            <w:r w:rsidRPr="00FA56FA">
              <w:rPr>
                <w:rFonts w:eastAsiaTheme="minorEastAsia"/>
                <w:lang w:eastAsia="en-AU"/>
              </w:rPr>
              <w:t xml:space="preserve"> </w:t>
            </w:r>
          </w:p>
        </w:tc>
        <w:tc>
          <w:tcPr>
            <w:tcW w:w="873" w:type="dxa"/>
            <w:tcBorders>
              <w:top w:val="nil"/>
              <w:left w:val="nil"/>
              <w:bottom w:val="single" w:sz="4" w:space="0" w:color="auto"/>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actual</w:t>
            </w:r>
          </w:p>
        </w:tc>
        <w:tc>
          <w:tcPr>
            <w:tcW w:w="874" w:type="dxa"/>
            <w:tcBorders>
              <w:top w:val="nil"/>
              <w:left w:val="nil"/>
              <w:bottom w:val="single" w:sz="4" w:space="0" w:color="auto"/>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budget</w:t>
            </w:r>
          </w:p>
        </w:tc>
        <w:tc>
          <w:tcPr>
            <w:tcW w:w="874" w:type="dxa"/>
            <w:tcBorders>
              <w:top w:val="nil"/>
              <w:left w:val="nil"/>
              <w:bottom w:val="single" w:sz="4" w:space="0" w:color="auto"/>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revised</w:t>
            </w:r>
          </w:p>
        </w:tc>
        <w:tc>
          <w:tcPr>
            <w:tcW w:w="873" w:type="dxa"/>
            <w:tcBorders>
              <w:top w:val="nil"/>
              <w:left w:val="nil"/>
              <w:bottom w:val="single" w:sz="4" w:space="0" w:color="auto"/>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estimate</w:t>
            </w:r>
          </w:p>
        </w:tc>
        <w:tc>
          <w:tcPr>
            <w:tcW w:w="874" w:type="dxa"/>
            <w:tcBorders>
              <w:top w:val="nil"/>
              <w:left w:val="nil"/>
              <w:bottom w:val="single" w:sz="4" w:space="0" w:color="auto"/>
              <w:right w:val="nil"/>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estimate</w:t>
            </w:r>
          </w:p>
        </w:tc>
        <w:tc>
          <w:tcPr>
            <w:tcW w:w="874" w:type="dxa"/>
            <w:tcBorders>
              <w:top w:val="nil"/>
              <w:left w:val="nil"/>
              <w:bottom w:val="single" w:sz="4" w:space="0" w:color="auto"/>
              <w:right w:val="single" w:sz="4" w:space="0" w:color="auto"/>
            </w:tcBorders>
            <w:shd w:val="clear" w:color="auto" w:fill="000000"/>
          </w:tcPr>
          <w:p w:rsidR="00F87646" w:rsidRPr="00FA56FA" w:rsidRDefault="00F87646" w:rsidP="00BA2633">
            <w:pPr>
              <w:pStyle w:val="Tabletextheading"/>
              <w:rPr>
                <w:rFonts w:eastAsiaTheme="minorEastAsia"/>
                <w:lang w:eastAsia="en-AU"/>
              </w:rPr>
            </w:pPr>
            <w:r w:rsidRPr="00FA56FA">
              <w:rPr>
                <w:rFonts w:eastAsiaTheme="minorEastAsia"/>
                <w:lang w:eastAsia="en-AU"/>
              </w:rPr>
              <w:t>estimate</w:t>
            </w:r>
          </w:p>
        </w:tc>
      </w:tr>
      <w:tr w:rsidR="00F87646" w:rsidRPr="00FA56FA" w:rsidTr="00BA2633">
        <w:trPr>
          <w:cantSplit/>
        </w:trPr>
        <w:tc>
          <w:tcPr>
            <w:tcW w:w="2534" w:type="dxa"/>
            <w:tcBorders>
              <w:top w:val="single" w:sz="4" w:space="0" w:color="auto"/>
              <w:left w:val="nil"/>
              <w:bottom w:val="nil"/>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Revenue</w:t>
            </w:r>
          </w:p>
        </w:tc>
        <w:tc>
          <w:tcPr>
            <w:tcW w:w="873" w:type="dxa"/>
            <w:tcBorders>
              <w:top w:val="single" w:sz="4" w:space="0" w:color="auto"/>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4" w:type="dxa"/>
            <w:tcBorders>
              <w:top w:val="single" w:sz="4" w:space="0" w:color="auto"/>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single" w:sz="4" w:space="0" w:color="auto"/>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3" w:type="dxa"/>
            <w:tcBorders>
              <w:top w:val="single" w:sz="4" w:space="0" w:color="auto"/>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4" w:type="dxa"/>
            <w:tcBorders>
              <w:top w:val="single" w:sz="4" w:space="0" w:color="auto"/>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4" w:type="dxa"/>
            <w:tcBorders>
              <w:top w:val="single" w:sz="4" w:space="0" w:color="auto"/>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Taxation</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16 900.9</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18 067.5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17 871.1</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18 692.1</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19 662.6</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20 487.6</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vertAlign w:val="superscript"/>
                <w:lang w:eastAsia="en-AU"/>
              </w:rPr>
            </w:pPr>
            <w:r w:rsidRPr="00FA56FA">
              <w:rPr>
                <w:rFonts w:eastAsiaTheme="minorEastAsia"/>
                <w:lang w:eastAsia="en-AU"/>
              </w:rPr>
              <w:t xml:space="preserve">Dividends, TER and interest </w:t>
            </w:r>
            <w:r w:rsidRPr="00FA56FA">
              <w:rPr>
                <w:rFonts w:eastAsiaTheme="minorEastAsia"/>
                <w:vertAlign w:val="superscript"/>
                <w:lang w:eastAsia="en-AU"/>
              </w:rPr>
              <w:t>(a)</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1 277.1</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1 426.8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1 925.8</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1 737.5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1 738.0</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2 008.5</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Sales of goods and services</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6 724.8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6 478.4</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6 559.5</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6 842.5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6 847.2</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6 905.0</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Grants</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25 144.9</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24 855.3</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24 513.5</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25 114.2</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25 915.0</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26 976.0</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Other current revenue</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2 316.9</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2 073.9</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2 141.7</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2 095.9</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2 183.2</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2 147.5</w:t>
            </w:r>
          </w:p>
        </w:tc>
      </w:tr>
      <w:tr w:rsidR="00F87646" w:rsidRPr="00FA56FA" w:rsidTr="00BA2633">
        <w:trPr>
          <w:cantSplit/>
        </w:trPr>
        <w:tc>
          <w:tcPr>
            <w:tcW w:w="2534" w:type="dxa"/>
            <w:tcBorders>
              <w:top w:val="single" w:sz="6" w:space="0" w:color="auto"/>
              <w:left w:val="nil"/>
              <w:bottom w:val="nil"/>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Total revenue</w:t>
            </w:r>
          </w:p>
        </w:tc>
        <w:tc>
          <w:tcPr>
            <w:tcW w:w="873"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52 364.7</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52 901.9</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53 011.6</w:t>
            </w:r>
          </w:p>
        </w:tc>
        <w:tc>
          <w:tcPr>
            <w:tcW w:w="873"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54 482.3</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56 346.1</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58 524.6</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i/>
                <w:vertAlign w:val="superscript"/>
                <w:lang w:eastAsia="en-AU"/>
              </w:rPr>
            </w:pPr>
            <w:r w:rsidRPr="00FA56FA">
              <w:rPr>
                <w:rFonts w:eastAsiaTheme="minorEastAsia"/>
                <w:i/>
                <w:iCs/>
                <w:lang w:eastAsia="en-AU"/>
              </w:rPr>
              <w:t xml:space="preserve">Per cent change </w:t>
            </w:r>
            <w:r w:rsidRPr="00FA56FA">
              <w:rPr>
                <w:rFonts w:eastAsiaTheme="minorEastAsia"/>
                <w:i/>
                <w:vertAlign w:val="superscript"/>
                <w:lang w:eastAsia="en-AU"/>
              </w:rPr>
              <w:t>(b)</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1.0</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1.2</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3.4</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3.9</w:t>
            </w:r>
          </w:p>
        </w:tc>
      </w:tr>
      <w:tr w:rsidR="00F87646" w:rsidRPr="00FA56FA" w:rsidTr="00BA2633">
        <w:trPr>
          <w:cantSplit/>
          <w:trHeight w:hRule="exact" w:val="120"/>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 xml:space="preserve"> </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Expenses</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 xml:space="preserve">  </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Employee expenses</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18 012.0</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18 442.3</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18 492.7</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19 548.1</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20 101.6</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20 875.0</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vertAlign w:val="superscript"/>
                <w:lang w:eastAsia="en-AU"/>
              </w:rPr>
            </w:pPr>
            <w:r w:rsidRPr="00FA56FA">
              <w:rPr>
                <w:rFonts w:eastAsiaTheme="minorEastAsia"/>
                <w:lang w:eastAsia="en-AU"/>
              </w:rPr>
              <w:t xml:space="preserve">Superannuation </w:t>
            </w:r>
            <w:r w:rsidRPr="00FA56FA">
              <w:rPr>
                <w:rFonts w:eastAsiaTheme="minorEastAsia"/>
                <w:vertAlign w:val="superscript"/>
                <w:lang w:eastAsia="en-AU"/>
              </w:rPr>
              <w:t>(c)</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2 928.5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2 887.5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2 952.6</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2 969.7</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2 970.7</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2 965.7</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Depreciation</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2 363.8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2 496.0</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2 454.9</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2 544.4</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2 726.8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2 947.9</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Interest expense</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2 138.5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2 195.8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2 116.3</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2 013.5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1 985.4</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2 020.1</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Other operating expenses</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17 360.1</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17 259.2</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17 664.8</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16 600.5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16 981.9</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17 694.1</w:t>
            </w:r>
          </w:p>
        </w:tc>
      </w:tr>
      <w:tr w:rsidR="00F87646" w:rsidRPr="00FA56FA" w:rsidTr="00BA2633">
        <w:trPr>
          <w:cantSplit/>
        </w:trPr>
        <w:tc>
          <w:tcPr>
            <w:tcW w:w="2534" w:type="dxa"/>
            <w:tcBorders>
              <w:top w:val="nil"/>
              <w:left w:val="nil"/>
              <w:bottom w:val="single" w:sz="6" w:space="0" w:color="auto"/>
              <w:right w:val="nil"/>
            </w:tcBorders>
            <w:shd w:val="solid" w:color="FFFFFF" w:fill="auto"/>
          </w:tcPr>
          <w:p w:rsidR="00F87646" w:rsidRPr="00FA56FA" w:rsidRDefault="00F87646" w:rsidP="00BA2633">
            <w:pPr>
              <w:pStyle w:val="Tabletext"/>
              <w:rPr>
                <w:rFonts w:eastAsiaTheme="minorEastAsia"/>
                <w:lang w:eastAsia="en-AU"/>
              </w:rPr>
            </w:pPr>
            <w:r w:rsidRPr="00FA56FA">
              <w:rPr>
                <w:rFonts w:eastAsiaTheme="minorEastAsia"/>
                <w:lang w:eastAsia="en-AU"/>
              </w:rPr>
              <w:t>Grants and other transfers</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7 585.6</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8 294.3</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8 237.8</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8 511.7</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8 900.1</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9 056.7</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Total expenses</w:t>
            </w:r>
          </w:p>
        </w:tc>
        <w:tc>
          <w:tcPr>
            <w:tcW w:w="873"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50 388.5</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51 575.1</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51 919.1</w:t>
            </w:r>
          </w:p>
        </w:tc>
        <w:tc>
          <w:tcPr>
            <w:tcW w:w="873"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52 187.9</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53 666.5</w:t>
            </w:r>
          </w:p>
        </w:tc>
        <w:tc>
          <w:tcPr>
            <w:tcW w:w="874" w:type="dxa"/>
            <w:tcBorders>
              <w:top w:val="single" w:sz="6" w:space="0" w:color="auto"/>
              <w:left w:val="nil"/>
              <w:bottom w:val="nil"/>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55 559.4</w:t>
            </w:r>
          </w:p>
        </w:tc>
      </w:tr>
      <w:tr w:rsidR="00F87646" w:rsidRPr="00FA56FA" w:rsidTr="00BA2633">
        <w:trPr>
          <w:cantSplit/>
        </w:trPr>
        <w:tc>
          <w:tcPr>
            <w:tcW w:w="2534" w:type="dxa"/>
            <w:tcBorders>
              <w:top w:val="nil"/>
              <w:left w:val="nil"/>
              <w:bottom w:val="nil"/>
              <w:right w:val="nil"/>
            </w:tcBorders>
            <w:shd w:val="solid" w:color="FFFFFF" w:fill="auto"/>
          </w:tcPr>
          <w:p w:rsidR="00F87646" w:rsidRPr="00FA56FA" w:rsidRDefault="00F87646" w:rsidP="00BA2633">
            <w:pPr>
              <w:pStyle w:val="Tabletext"/>
              <w:rPr>
                <w:rFonts w:eastAsiaTheme="minorEastAsia"/>
                <w:i/>
                <w:vertAlign w:val="superscript"/>
                <w:lang w:eastAsia="en-AU"/>
              </w:rPr>
            </w:pPr>
            <w:r w:rsidRPr="00FA56FA">
              <w:rPr>
                <w:rFonts w:eastAsiaTheme="minorEastAsia"/>
                <w:i/>
                <w:iCs/>
                <w:lang w:eastAsia="en-AU"/>
              </w:rPr>
              <w:t xml:space="preserve">Per cent change </w:t>
            </w:r>
            <w:r w:rsidRPr="00FA56FA">
              <w:rPr>
                <w:rFonts w:eastAsiaTheme="minorEastAsia"/>
                <w:i/>
                <w:vertAlign w:val="superscript"/>
                <w:lang w:eastAsia="en-AU"/>
              </w:rPr>
              <w:t>(b)</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2.4</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3.0</w:t>
            </w:r>
          </w:p>
        </w:tc>
        <w:tc>
          <w:tcPr>
            <w:tcW w:w="873"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0.5</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2.8</w:t>
            </w:r>
          </w:p>
        </w:tc>
        <w:tc>
          <w:tcPr>
            <w:tcW w:w="874" w:type="dxa"/>
            <w:tcBorders>
              <w:top w:val="nil"/>
              <w:left w:val="nil"/>
              <w:bottom w:val="nil"/>
              <w:right w:val="nil"/>
            </w:tcBorders>
            <w:shd w:val="solid" w:color="FFFFFF" w:fill="auto"/>
          </w:tcPr>
          <w:p w:rsidR="00F87646" w:rsidRPr="00FA56FA" w:rsidRDefault="00F87646" w:rsidP="00BA2633">
            <w:pPr>
              <w:pStyle w:val="TableofFigures"/>
              <w:rPr>
                <w:rFonts w:eastAsiaTheme="minorEastAsia"/>
                <w:color w:val="000000"/>
                <w:lang w:eastAsia="en-AU"/>
              </w:rPr>
            </w:pPr>
            <w:r w:rsidRPr="00FA56FA">
              <w:rPr>
                <w:rFonts w:eastAsiaTheme="minorEastAsia"/>
                <w:color w:val="000000"/>
                <w:lang w:eastAsia="en-AU"/>
              </w:rPr>
              <w:t>3.5</w:t>
            </w:r>
          </w:p>
        </w:tc>
      </w:tr>
      <w:tr w:rsidR="00F87646" w:rsidRPr="00FA56FA" w:rsidTr="00BA2633">
        <w:trPr>
          <w:cantSplit/>
        </w:trPr>
        <w:tc>
          <w:tcPr>
            <w:tcW w:w="2534"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Net result from transactions</w:t>
            </w:r>
          </w:p>
        </w:tc>
        <w:tc>
          <w:tcPr>
            <w:tcW w:w="873"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1 976.2</w:t>
            </w:r>
          </w:p>
        </w:tc>
        <w:tc>
          <w:tcPr>
            <w:tcW w:w="874"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1 326.7</w:t>
            </w:r>
          </w:p>
        </w:tc>
        <w:tc>
          <w:tcPr>
            <w:tcW w:w="874"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1 092.4</w:t>
            </w:r>
          </w:p>
        </w:tc>
        <w:tc>
          <w:tcPr>
            <w:tcW w:w="873"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2 294.4</w:t>
            </w:r>
          </w:p>
        </w:tc>
        <w:tc>
          <w:tcPr>
            <w:tcW w:w="874"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2 679.6</w:t>
            </w:r>
          </w:p>
        </w:tc>
        <w:tc>
          <w:tcPr>
            <w:tcW w:w="874"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2 965.2</w:t>
            </w:r>
          </w:p>
        </w:tc>
      </w:tr>
      <w:tr w:rsidR="00F87646" w:rsidRPr="00FA56FA" w:rsidTr="00BA2633">
        <w:trPr>
          <w:cantSplit/>
        </w:trPr>
        <w:tc>
          <w:tcPr>
            <w:tcW w:w="2534" w:type="dxa"/>
            <w:tcBorders>
              <w:top w:val="single" w:sz="6" w:space="0" w:color="auto"/>
              <w:left w:val="nil"/>
              <w:bottom w:val="single" w:sz="6" w:space="0" w:color="auto"/>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Total other economic flows included in net result</w:t>
            </w:r>
          </w:p>
        </w:tc>
        <w:tc>
          <w:tcPr>
            <w:tcW w:w="873" w:type="dxa"/>
            <w:tcBorders>
              <w:top w:val="nil"/>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(1 203.1)</w:t>
            </w:r>
          </w:p>
        </w:tc>
        <w:tc>
          <w:tcPr>
            <w:tcW w:w="874" w:type="dxa"/>
            <w:tcBorders>
              <w:top w:val="nil"/>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( 174.5)</w:t>
            </w:r>
          </w:p>
        </w:tc>
        <w:tc>
          <w:tcPr>
            <w:tcW w:w="874" w:type="dxa"/>
            <w:tcBorders>
              <w:top w:val="nil"/>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( 217.8)</w:t>
            </w:r>
          </w:p>
        </w:tc>
        <w:tc>
          <w:tcPr>
            <w:tcW w:w="873" w:type="dxa"/>
            <w:tcBorders>
              <w:top w:val="nil"/>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4 255.1</w:t>
            </w:r>
          </w:p>
        </w:tc>
        <w:tc>
          <w:tcPr>
            <w:tcW w:w="874" w:type="dxa"/>
            <w:tcBorders>
              <w:top w:val="nil"/>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( 263.3)</w:t>
            </w:r>
          </w:p>
        </w:tc>
        <w:tc>
          <w:tcPr>
            <w:tcW w:w="874" w:type="dxa"/>
            <w:tcBorders>
              <w:top w:val="nil"/>
              <w:left w:val="nil"/>
              <w:bottom w:val="single" w:sz="6"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( 283.3)</w:t>
            </w:r>
          </w:p>
        </w:tc>
      </w:tr>
      <w:tr w:rsidR="00F87646" w:rsidRPr="00FA56FA" w:rsidTr="00BA2633">
        <w:trPr>
          <w:cantSplit/>
        </w:trPr>
        <w:tc>
          <w:tcPr>
            <w:tcW w:w="2534"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text"/>
              <w:rPr>
                <w:rFonts w:eastAsiaTheme="minorEastAsia"/>
                <w:b/>
                <w:bCs/>
                <w:lang w:eastAsia="en-AU"/>
              </w:rPr>
            </w:pPr>
            <w:r w:rsidRPr="00FA56FA">
              <w:rPr>
                <w:rFonts w:eastAsiaTheme="minorEastAsia"/>
                <w:b/>
                <w:bCs/>
                <w:lang w:eastAsia="en-AU"/>
              </w:rPr>
              <w:t>Net result</w:t>
            </w:r>
          </w:p>
        </w:tc>
        <w:tc>
          <w:tcPr>
            <w:tcW w:w="873"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 xml:space="preserve"> 773.1</w:t>
            </w:r>
          </w:p>
        </w:tc>
        <w:tc>
          <w:tcPr>
            <w:tcW w:w="874"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1 152.2</w:t>
            </w:r>
          </w:p>
        </w:tc>
        <w:tc>
          <w:tcPr>
            <w:tcW w:w="874"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 xml:space="preserve"> 874.6</w:t>
            </w:r>
          </w:p>
        </w:tc>
        <w:tc>
          <w:tcPr>
            <w:tcW w:w="873"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6 549.5</w:t>
            </w:r>
          </w:p>
        </w:tc>
        <w:tc>
          <w:tcPr>
            <w:tcW w:w="874"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2 416.3</w:t>
            </w:r>
          </w:p>
        </w:tc>
        <w:tc>
          <w:tcPr>
            <w:tcW w:w="874" w:type="dxa"/>
            <w:tcBorders>
              <w:top w:val="single" w:sz="6" w:space="0" w:color="auto"/>
              <w:left w:val="nil"/>
              <w:bottom w:val="single" w:sz="12" w:space="0" w:color="auto"/>
              <w:right w:val="nil"/>
            </w:tcBorders>
            <w:shd w:val="solid" w:color="FFFFFF" w:fill="auto"/>
          </w:tcPr>
          <w:p w:rsidR="00F87646" w:rsidRPr="00FA56FA" w:rsidRDefault="00F87646" w:rsidP="00BA2633">
            <w:pPr>
              <w:pStyle w:val="TableofFigures"/>
              <w:rPr>
                <w:rFonts w:eastAsiaTheme="minorEastAsia"/>
                <w:b/>
                <w:bCs/>
                <w:color w:val="000000"/>
                <w:lang w:eastAsia="en-AU"/>
              </w:rPr>
            </w:pPr>
            <w:r w:rsidRPr="00FA56FA">
              <w:rPr>
                <w:rFonts w:eastAsiaTheme="minorEastAsia"/>
                <w:b/>
                <w:bCs/>
                <w:color w:val="000000"/>
                <w:lang w:eastAsia="en-AU"/>
              </w:rPr>
              <w:t>2 681.9</w:t>
            </w:r>
          </w:p>
        </w:tc>
      </w:tr>
    </w:tbl>
    <w:p w:rsidR="00F87646" w:rsidRPr="002E2383" w:rsidRDefault="00F87646" w:rsidP="00BA2633">
      <w:pPr>
        <w:pStyle w:val="Notes"/>
      </w:pPr>
      <w:r w:rsidRPr="002E2383">
        <w:t>Notes:</w:t>
      </w:r>
    </w:p>
    <w:p w:rsidR="00F87646" w:rsidRPr="002E2383" w:rsidRDefault="00F87646" w:rsidP="00BA2633">
      <w:pPr>
        <w:pStyle w:val="Notes"/>
      </w:pPr>
      <w:r w:rsidRPr="002E2383">
        <w:t xml:space="preserve">(a) </w:t>
      </w:r>
      <w:r w:rsidRPr="002E2383">
        <w:tab/>
        <w:t>Comprises dividends, income tax and rate equivalent revenue and interest revenue.</w:t>
      </w:r>
    </w:p>
    <w:p w:rsidR="00F87646" w:rsidRPr="002E2383" w:rsidRDefault="00F87646" w:rsidP="00BA2633">
      <w:pPr>
        <w:pStyle w:val="Notes"/>
      </w:pPr>
      <w:r w:rsidRPr="002E2383">
        <w:t xml:space="preserve">(b) </w:t>
      </w:r>
      <w:r w:rsidRPr="002E2383">
        <w:tab/>
        <w:t>2014</w:t>
      </w:r>
      <w:r>
        <w:noBreakHyphen/>
      </w:r>
      <w:r w:rsidRPr="002E2383">
        <w:t>15 budget and 2014</w:t>
      </w:r>
      <w:r>
        <w:noBreakHyphen/>
      </w:r>
      <w:r w:rsidRPr="002E2383">
        <w:t>15 revised</w:t>
      </w:r>
      <w:r>
        <w:t> per cent</w:t>
      </w:r>
      <w:r w:rsidRPr="002E2383">
        <w:t xml:space="preserve"> change figures refer to 2013</w:t>
      </w:r>
      <w:r>
        <w:noBreakHyphen/>
      </w:r>
      <w:r w:rsidRPr="002E2383">
        <w:t>14 actual figures.</w:t>
      </w:r>
    </w:p>
    <w:p w:rsidR="00F87646" w:rsidRPr="002E2383" w:rsidRDefault="00F87646" w:rsidP="00BA2633">
      <w:pPr>
        <w:pStyle w:val="Notes"/>
      </w:pPr>
      <w:r w:rsidRPr="002E2383">
        <w:t>(c)</w:t>
      </w:r>
      <w:r w:rsidRPr="002E2383">
        <w:tab/>
        <w:t>Comprises net superannuation interest expense and other superannuation expenses.</w:t>
      </w:r>
    </w:p>
    <w:p w:rsidR="00F87646" w:rsidRPr="002E2383" w:rsidRDefault="00F87646" w:rsidP="00C6473A">
      <w:pPr>
        <w:pStyle w:val="Source"/>
      </w:pPr>
    </w:p>
    <w:p w:rsidR="00F87646" w:rsidRPr="002E2383" w:rsidRDefault="00F87646" w:rsidP="002E2383">
      <w:pPr>
        <w:spacing w:after="0"/>
        <w:rPr>
          <w:rFonts w:ascii="Calibri" w:hAnsi="Calibri"/>
          <w:b/>
          <w:kern w:val="28"/>
          <w:sz w:val="26"/>
          <w:szCs w:val="22"/>
        </w:rPr>
      </w:pPr>
      <w:r w:rsidRPr="002E2383">
        <w:br w:type="page"/>
      </w:r>
    </w:p>
    <w:p w:rsidR="00F87646" w:rsidRPr="002E2383" w:rsidRDefault="00F87646" w:rsidP="00C6473A">
      <w:pPr>
        <w:pStyle w:val="Heading2"/>
      </w:pPr>
      <w:r w:rsidRPr="002E2383">
        <w:lastRenderedPageBreak/>
        <w:t>Revenue outlook</w:t>
      </w:r>
    </w:p>
    <w:p w:rsidR="00F87646" w:rsidRPr="002E2383" w:rsidRDefault="00F87646" w:rsidP="002E2383">
      <w:r w:rsidRPr="002E2383">
        <w:t>Re</w:t>
      </w:r>
      <w:r>
        <w:t>venue is expected to grow by 1.2 per cent</w:t>
      </w:r>
      <w:r w:rsidRPr="002E2383">
        <w:t xml:space="preserve"> in 2014</w:t>
      </w:r>
      <w:r>
        <w:noBreakHyphen/>
      </w:r>
      <w:r w:rsidRPr="002E2383">
        <w:t>15 before growing on average by 3.</w:t>
      </w:r>
      <w:r>
        <w:t>4 per cent</w:t>
      </w:r>
      <w:r w:rsidRPr="002E2383">
        <w:t xml:space="preserve"> a year over the forward estimates. The lower growth in 2014</w:t>
      </w:r>
      <w:r>
        <w:noBreakHyphen/>
      </w:r>
      <w:r w:rsidRPr="002E2383">
        <w:t>15 is largely due to a higher 2013</w:t>
      </w:r>
      <w:r>
        <w:noBreakHyphen/>
      </w:r>
      <w:r w:rsidRPr="002E2383">
        <w:t>14 base figure following the Commonwealth Government</w:t>
      </w:r>
      <w:r>
        <w:t>’</w:t>
      </w:r>
      <w:r w:rsidRPr="002E2383">
        <w:t>s decision to prepay $1</w:t>
      </w:r>
      <w:r>
        <w:t> billion</w:t>
      </w:r>
      <w:r w:rsidRPr="002E2383">
        <w:t xml:space="preserve"> of its contribution to the East West Link late in 2013</w:t>
      </w:r>
      <w:r>
        <w:noBreakHyphen/>
      </w:r>
      <w:r w:rsidRPr="002E2383">
        <w:t>14.</w:t>
      </w:r>
    </w:p>
    <w:p w:rsidR="00F87646" w:rsidRPr="002E2383" w:rsidRDefault="00F87646" w:rsidP="00C6473A">
      <w:pPr>
        <w:pStyle w:val="Heading3"/>
      </w:pPr>
      <w:r w:rsidRPr="002E2383">
        <w:t>Taxation</w:t>
      </w:r>
    </w:p>
    <w:p w:rsidR="00F87646" w:rsidRPr="002E2383" w:rsidRDefault="00F87646" w:rsidP="002E2383">
      <w:r w:rsidRPr="002E2383">
        <w:t>State taxation revenue is expected to grow by 5.7</w:t>
      </w:r>
      <w:r>
        <w:t> per cent</w:t>
      </w:r>
      <w:r w:rsidRPr="002E2383">
        <w:t xml:space="preserve"> in 2014</w:t>
      </w:r>
      <w:r>
        <w:noBreakHyphen/>
      </w:r>
      <w:r w:rsidRPr="002E2383">
        <w:t>15, and average 4.7</w:t>
      </w:r>
      <w:r>
        <w:t> per cent</w:t>
      </w:r>
      <w:r w:rsidRPr="002E2383">
        <w:t xml:space="preserve"> a year over the forward estimates. Specifically:</w:t>
      </w:r>
    </w:p>
    <w:p w:rsidR="00F87646" w:rsidRPr="002E2383" w:rsidRDefault="00F87646" w:rsidP="00C6473A">
      <w:pPr>
        <w:pStyle w:val="BulletText"/>
      </w:pPr>
      <w:r w:rsidRPr="002E2383">
        <w:t>payroll tax is expected to grow below trend, by 4.0</w:t>
      </w:r>
      <w:r>
        <w:t> per cent</w:t>
      </w:r>
      <w:r w:rsidRPr="002E2383">
        <w:t xml:space="preserve"> in 2014</w:t>
      </w:r>
      <w:r>
        <w:noBreakHyphen/>
      </w:r>
      <w:r w:rsidRPr="002E2383">
        <w:t>15, reflecting a cut in the tax rate from 4.90</w:t>
      </w:r>
      <w:r>
        <w:t> per cent</w:t>
      </w:r>
      <w:r w:rsidRPr="002E2383">
        <w:t xml:space="preserve"> to 4.85</w:t>
      </w:r>
      <w:r>
        <w:t> per cent</w:t>
      </w:r>
      <w:r w:rsidRPr="002E2383">
        <w:t xml:space="preserve"> announced in the </w:t>
      </w:r>
      <w:r w:rsidRPr="002E2383">
        <w:rPr>
          <w:i/>
        </w:rPr>
        <w:t>2014</w:t>
      </w:r>
      <w:r>
        <w:rPr>
          <w:i/>
        </w:rPr>
        <w:noBreakHyphen/>
      </w:r>
      <w:r w:rsidRPr="002E2383">
        <w:rPr>
          <w:i/>
        </w:rPr>
        <w:t>15 Budget</w:t>
      </w:r>
      <w:r w:rsidRPr="002E2383">
        <w:t>. Over the forward estimates, growth is expected to average 5.7</w:t>
      </w:r>
      <w:r>
        <w:t> per cent</w:t>
      </w:r>
      <w:r w:rsidRPr="002E2383">
        <w:t xml:space="preserve"> as labour market conditions improve;</w:t>
      </w:r>
    </w:p>
    <w:p w:rsidR="00F87646" w:rsidRPr="002E2383" w:rsidRDefault="00F87646" w:rsidP="00C6473A">
      <w:pPr>
        <w:pStyle w:val="BulletText"/>
      </w:pPr>
      <w:r w:rsidRPr="002E2383">
        <w:t>land tax revenue is expected to grow by 5.6</w:t>
      </w:r>
      <w:r>
        <w:t> per cent</w:t>
      </w:r>
      <w:r w:rsidRPr="002E2383">
        <w:t xml:space="preserve"> in 2014</w:t>
      </w:r>
      <w:r>
        <w:noBreakHyphen/>
      </w:r>
      <w:r w:rsidRPr="002E2383">
        <w:t>15 reflecting final revaluations from the 2014 cycle, and by 3.6</w:t>
      </w:r>
      <w:r>
        <w:t> per cent</w:t>
      </w:r>
      <w:r w:rsidRPr="002E2383">
        <w:t xml:space="preserve"> a year on average over the forward estimates;</w:t>
      </w:r>
    </w:p>
    <w:p w:rsidR="00F87646" w:rsidRPr="002E2383" w:rsidRDefault="00F87646" w:rsidP="00C6473A">
      <w:pPr>
        <w:pStyle w:val="BulletText"/>
      </w:pPr>
      <w:r w:rsidRPr="002E2383">
        <w:t>land transfer duty is expected to grow by 6.1</w:t>
      </w:r>
      <w:r>
        <w:t> per cent</w:t>
      </w:r>
      <w:r w:rsidRPr="002E2383">
        <w:t xml:space="preserve"> in 2014</w:t>
      </w:r>
      <w:r>
        <w:noBreakHyphen/>
      </w:r>
      <w:r w:rsidRPr="002E2383">
        <w:t>15, and each year on average over the forward estimates as the property market returns to trend growth following a strong recovery in 2013</w:t>
      </w:r>
      <w:r>
        <w:noBreakHyphen/>
      </w:r>
      <w:r w:rsidRPr="002E2383">
        <w:t>14;</w:t>
      </w:r>
    </w:p>
    <w:p w:rsidR="00F87646" w:rsidRPr="002E2383" w:rsidRDefault="00F87646" w:rsidP="00C6473A">
      <w:pPr>
        <w:pStyle w:val="BulletText"/>
      </w:pPr>
      <w:r w:rsidRPr="002E2383">
        <w:t>gambling taxes are expected to grow by 8.3</w:t>
      </w:r>
      <w:r>
        <w:t> per cent</w:t>
      </w:r>
      <w:r w:rsidRPr="002E2383">
        <w:t xml:space="preserve"> in 2014</w:t>
      </w:r>
      <w:r>
        <w:noBreakHyphen/>
      </w:r>
      <w:r w:rsidRPr="002E2383">
        <w:t xml:space="preserve">15, reflecting the change in tax rates on electronic gaming machines announced in the </w:t>
      </w:r>
      <w:r w:rsidRPr="002E2383">
        <w:rPr>
          <w:i/>
        </w:rPr>
        <w:t>2013</w:t>
      </w:r>
      <w:r>
        <w:rPr>
          <w:i/>
        </w:rPr>
        <w:noBreakHyphen/>
        <w:t>14 </w:t>
      </w:r>
      <w:r w:rsidRPr="002E2383">
        <w:rPr>
          <w:i/>
        </w:rPr>
        <w:t>Budget Update</w:t>
      </w:r>
      <w:r w:rsidRPr="002E2383">
        <w:t>. Over the forward estimates, growth is expected to average 3.4</w:t>
      </w:r>
      <w:r>
        <w:t> per cent</w:t>
      </w:r>
      <w:r w:rsidRPr="002E2383">
        <w:t xml:space="preserve"> a year as the share of household consumption allocated to electronic gaming machine expenditure continues its long</w:t>
      </w:r>
      <w:r>
        <w:noBreakHyphen/>
      </w:r>
      <w:r w:rsidRPr="002E2383">
        <w:t>running decline;</w:t>
      </w:r>
    </w:p>
    <w:p w:rsidR="00F87646" w:rsidRPr="002E2383" w:rsidRDefault="00F87646" w:rsidP="00C6473A">
      <w:pPr>
        <w:pStyle w:val="BulletText"/>
      </w:pPr>
      <w:r w:rsidRPr="002E2383">
        <w:t>taxes on insurance are expected to grow by 4.4</w:t>
      </w:r>
      <w:r>
        <w:t> per cent</w:t>
      </w:r>
      <w:r w:rsidRPr="002E2383">
        <w:t xml:space="preserve"> in 2014</w:t>
      </w:r>
      <w:r>
        <w:noBreakHyphen/>
      </w:r>
      <w:r w:rsidRPr="002E2383">
        <w:t>15 and 6.6</w:t>
      </w:r>
      <w:r>
        <w:t> per cent</w:t>
      </w:r>
      <w:r w:rsidRPr="002E2383">
        <w:t xml:space="preserve"> a year on average over the forward estimates. The subdued growth in 2014</w:t>
      </w:r>
      <w:r>
        <w:noBreakHyphen/>
      </w:r>
      <w:r w:rsidRPr="002E2383">
        <w:t>15 reflects lower premiums due to increased competition among insurers; and</w:t>
      </w:r>
    </w:p>
    <w:p w:rsidR="00F87646" w:rsidRPr="002E2383" w:rsidRDefault="00F87646" w:rsidP="00DA32B5">
      <w:pPr>
        <w:pStyle w:val="BulletText"/>
      </w:pPr>
      <w:r w:rsidRPr="002E2383">
        <w:t>motor vehicle taxes are expected to grow by 11.1</w:t>
      </w:r>
      <w:r>
        <w:t> per cent</w:t>
      </w:r>
      <w:r w:rsidRPr="002E2383">
        <w:t xml:space="preserve"> in 2014</w:t>
      </w:r>
      <w:r>
        <w:noBreakHyphen/>
      </w:r>
      <w:r w:rsidRPr="002E2383">
        <w:t>15, reflecting changes to registration fees and stamp duty rates. Thereafter, growth is expected to average 4.5</w:t>
      </w:r>
      <w:r>
        <w:t> per cent</w:t>
      </w:r>
      <w:r w:rsidRPr="002E2383">
        <w:t xml:space="preserve"> a year over the forward estimates in line with economic growth.</w:t>
      </w:r>
    </w:p>
    <w:p w:rsidR="00F87646" w:rsidRPr="002E2383" w:rsidRDefault="00F87646" w:rsidP="00C6473A">
      <w:pPr>
        <w:pStyle w:val="Heading3"/>
      </w:pPr>
      <w:r w:rsidRPr="002E2383">
        <w:t>Dividends, income tax equivalent and interest</w:t>
      </w:r>
    </w:p>
    <w:p w:rsidR="00F87646" w:rsidRPr="002E2383" w:rsidRDefault="00F87646" w:rsidP="002E2383">
      <w:r w:rsidRPr="002E2383">
        <w:t>Total dividend, income tax equivalent and interest revenue</w:t>
      </w:r>
      <w:r>
        <w:t xml:space="preserve"> is expected to increase by $649 million</w:t>
      </w:r>
      <w:r w:rsidRPr="002E2383">
        <w:t xml:space="preserve"> in 2014</w:t>
      </w:r>
      <w:r>
        <w:noBreakHyphen/>
      </w:r>
      <w:r w:rsidRPr="002E2383">
        <w:t>15, largely due to a stronger than expected result for the Victorian</w:t>
      </w:r>
      <w:r>
        <w:t> </w:t>
      </w:r>
      <w:r w:rsidRPr="002E2383">
        <w:t>WorkCover Authority during 2013</w:t>
      </w:r>
      <w:r>
        <w:noBreakHyphen/>
      </w:r>
      <w:r w:rsidRPr="002E2383">
        <w:t>14, and interim dividends from the public financial corporations (PFC) sector being paid in 2014</w:t>
      </w:r>
      <w:r>
        <w:noBreakHyphen/>
      </w:r>
      <w:r w:rsidRPr="002E2383">
        <w:t>15 instead of 2013</w:t>
      </w:r>
      <w:r>
        <w:noBreakHyphen/>
      </w:r>
      <w:r w:rsidRPr="002E2383">
        <w:t>14.</w:t>
      </w:r>
    </w:p>
    <w:p w:rsidR="00F87646" w:rsidRDefault="00F87646">
      <w:pPr>
        <w:spacing w:after="0"/>
      </w:pPr>
      <w:r>
        <w:br w:type="page"/>
      </w:r>
    </w:p>
    <w:p w:rsidR="00F87646" w:rsidRPr="002E2383" w:rsidRDefault="00F87646" w:rsidP="002E2383">
      <w:r w:rsidRPr="002E2383">
        <w:lastRenderedPageBreak/>
        <w:t>Across the forward estimates, interest income is projected to remain relatively steady, reaching $879</w:t>
      </w:r>
      <w:r>
        <w:t> million</w:t>
      </w:r>
      <w:r w:rsidRPr="002E2383">
        <w:t xml:space="preserve"> by 2017</w:t>
      </w:r>
      <w:r>
        <w:noBreakHyphen/>
      </w:r>
      <w:r w:rsidRPr="002E2383">
        <w:t>18. Dividend and income tax equivalent revenue is projected to decline in 2015</w:t>
      </w:r>
      <w:r>
        <w:noBreakHyphen/>
      </w:r>
      <w:r w:rsidRPr="002E2383">
        <w:t>16 and 2016</w:t>
      </w:r>
      <w:r>
        <w:noBreakHyphen/>
      </w:r>
      <w:r w:rsidRPr="002E2383">
        <w:t>17 mainly due to reduced profitability for the Transport Accident Commission, associated with lower discount rates which are used to value its liabilities.</w:t>
      </w:r>
    </w:p>
    <w:p w:rsidR="00F87646" w:rsidRPr="002E2383" w:rsidRDefault="00F87646" w:rsidP="00C6473A">
      <w:pPr>
        <w:pStyle w:val="Heading3"/>
      </w:pPr>
      <w:r w:rsidRPr="002E2383">
        <w:t>Sale</w:t>
      </w:r>
      <w:r>
        <w:t>s</w:t>
      </w:r>
      <w:r w:rsidRPr="002E2383">
        <w:t xml:space="preserve"> of goods and services</w:t>
      </w:r>
    </w:p>
    <w:p w:rsidR="00F87646" w:rsidRPr="002E2383" w:rsidRDefault="00F87646" w:rsidP="002E2383">
      <w:r w:rsidRPr="002E2383">
        <w:t>Revenue from the sale</w:t>
      </w:r>
      <w:r>
        <w:t>s</w:t>
      </w:r>
      <w:r w:rsidRPr="002E2383">
        <w:t xml:space="preserve"> of goods and services is expected to decrease by 2.5</w:t>
      </w:r>
      <w:r>
        <w:t> per cent</w:t>
      </w:r>
      <w:r w:rsidRPr="002E2383">
        <w:t xml:space="preserve"> in 2014</w:t>
      </w:r>
      <w:r>
        <w:noBreakHyphen/>
      </w:r>
      <w:r w:rsidRPr="002E2383">
        <w:t>15, before growing by 1.7</w:t>
      </w:r>
      <w:r>
        <w:t> per cent</w:t>
      </w:r>
      <w:r w:rsidRPr="002E2383">
        <w:t xml:space="preserve"> a year on average over the forward estimates due to higher than anticipated fees for services provided in 2013</w:t>
      </w:r>
      <w:r>
        <w:noBreakHyphen/>
      </w:r>
      <w:r w:rsidRPr="002E2383">
        <w:t>14.</w:t>
      </w:r>
    </w:p>
    <w:p w:rsidR="00F87646" w:rsidRPr="002E2383" w:rsidRDefault="00F87646" w:rsidP="002E2383">
      <w:r w:rsidRPr="00E769CF">
        <w:t>The decline in sales of goods and services in 2014</w:t>
      </w:r>
      <w:r>
        <w:noBreakHyphen/>
      </w:r>
      <w:r w:rsidRPr="00E769CF">
        <w:t>15 is driven by the fall in revenue from a change to the ticketing payments system following the full roll</w:t>
      </w:r>
      <w:r>
        <w:noBreakHyphen/>
      </w:r>
      <w:r w:rsidRPr="00E769CF">
        <w:t xml:space="preserve">out of the </w:t>
      </w:r>
      <w:r w:rsidRPr="00E769CF">
        <w:rPr>
          <w:i/>
        </w:rPr>
        <w:t>myki</w:t>
      </w:r>
      <w:r w:rsidRPr="00E769CF">
        <w:t xml:space="preserve"> ticketing system.</w:t>
      </w:r>
      <w:r w:rsidRPr="002E2383">
        <w:t xml:space="preserve"> </w:t>
      </w:r>
      <w:r>
        <w:t xml:space="preserve">From 1 January 2014, metropolitan train and tram operators receive a percentage of fare revenue directly, which will continue for the duration of the current franchise contracts. </w:t>
      </w:r>
      <w:r w:rsidRPr="002E2383">
        <w:t>This is primarily offset by an increase in the capital assets charge from VicTrack.</w:t>
      </w:r>
    </w:p>
    <w:p w:rsidR="00F87646" w:rsidRPr="002E2383" w:rsidRDefault="00F87646" w:rsidP="00C6473A">
      <w:pPr>
        <w:pStyle w:val="Heading3"/>
      </w:pPr>
      <w:r w:rsidRPr="002E2383">
        <w:t>Grants</w:t>
      </w:r>
    </w:p>
    <w:p w:rsidR="00F87646" w:rsidRPr="002E2383" w:rsidRDefault="00F87646" w:rsidP="002E2383">
      <w:r w:rsidRPr="002E2383">
        <w:t>Total grants revenu</w:t>
      </w:r>
      <w:r>
        <w:t>e is expected to decrease by 2.5 per cent</w:t>
      </w:r>
      <w:r w:rsidRPr="002E2383">
        <w:t xml:space="preserve"> in 2014</w:t>
      </w:r>
      <w:r>
        <w:noBreakHyphen/>
      </w:r>
      <w:r w:rsidRPr="002E2383">
        <w:t>15 but increase by 3.2</w:t>
      </w:r>
      <w:r>
        <w:t> per cent</w:t>
      </w:r>
      <w:r w:rsidRPr="002E2383">
        <w:t xml:space="preserve"> a year on average over the forward estimates. </w:t>
      </w:r>
    </w:p>
    <w:p w:rsidR="00F87646" w:rsidRPr="002E2383" w:rsidRDefault="00F87646" w:rsidP="002E2383">
      <w:r w:rsidRPr="002E2383">
        <w:t>GST grants rev</w:t>
      </w:r>
      <w:r>
        <w:t>enue is projected to grow by 4.3 per cent</w:t>
      </w:r>
      <w:r w:rsidRPr="002E2383">
        <w:t xml:space="preserve"> in 2014</w:t>
      </w:r>
      <w:r>
        <w:noBreakHyphen/>
      </w:r>
      <w:r w:rsidRPr="002E2383">
        <w:t>15 and 8.</w:t>
      </w:r>
      <w:r>
        <w:t>0 per cent</w:t>
      </w:r>
      <w:r w:rsidRPr="002E2383">
        <w:t xml:space="preserve"> a year on average over the forward estimates, reflecting </w:t>
      </w:r>
      <w:r>
        <w:t>expected</w:t>
      </w:r>
      <w:r w:rsidRPr="002E2383">
        <w:t xml:space="preserve"> trend growth in the GST national pool and an increase in Victoria</w:t>
      </w:r>
      <w:r>
        <w:t>’</w:t>
      </w:r>
      <w:r w:rsidRPr="002E2383">
        <w:t>s share of the pool towards the end of the forward estimates.</w:t>
      </w:r>
    </w:p>
    <w:p w:rsidR="00F87646" w:rsidRPr="002E2383" w:rsidRDefault="00F87646" w:rsidP="002E2383">
      <w:r w:rsidRPr="002E2383">
        <w:t>Other grants revenue is anticipated to decrease by 8.</w:t>
      </w:r>
      <w:r>
        <w:t>2 per cent</w:t>
      </w:r>
      <w:r w:rsidRPr="002E2383">
        <w:t xml:space="preserve"> in 2014</w:t>
      </w:r>
      <w:r>
        <w:noBreakHyphen/>
      </w:r>
      <w:r w:rsidRPr="002E2383">
        <w:t>15 and decrease by a further 1.</w:t>
      </w:r>
      <w:r>
        <w:t>7 per cent</w:t>
      </w:r>
      <w:r w:rsidRPr="002E2383">
        <w:t xml:space="preserve"> a year on average over the forward estimates. The decrease in revenue in 2014</w:t>
      </w:r>
      <w:r>
        <w:noBreakHyphen/>
      </w:r>
      <w:r w:rsidRPr="002E2383">
        <w:t>15 is largely a result of the Commonwealth</w:t>
      </w:r>
      <w:r>
        <w:t>’</w:t>
      </w:r>
      <w:r w:rsidRPr="002E2383">
        <w:t>s decision to prepay $1</w:t>
      </w:r>
      <w:r>
        <w:t> billion</w:t>
      </w:r>
      <w:r w:rsidRPr="002E2383">
        <w:t xml:space="preserve"> of its contribution to the East West Link in 2013</w:t>
      </w:r>
      <w:r>
        <w:noBreakHyphen/>
      </w:r>
      <w:r w:rsidRPr="002E2383">
        <w:t>14.</w:t>
      </w:r>
    </w:p>
    <w:p w:rsidR="00F87646" w:rsidRPr="002E2383" w:rsidRDefault="00F87646" w:rsidP="00DA32B5">
      <w:pPr>
        <w:pStyle w:val="Heading3"/>
      </w:pPr>
      <w:r w:rsidRPr="002E2383">
        <w:t>Other current revenue</w:t>
      </w:r>
    </w:p>
    <w:p w:rsidR="00F87646" w:rsidRPr="002E2383" w:rsidRDefault="00F87646" w:rsidP="002E2383">
      <w:r w:rsidRPr="002E2383">
        <w:t>Other current revenue includes fines, royalties, donations and gifts in addition to assets received free of charge and other miscellaneous revenues. This revenue is anticipated to decrease by 7.6</w:t>
      </w:r>
      <w:r>
        <w:t> per cent</w:t>
      </w:r>
      <w:r w:rsidRPr="002E2383">
        <w:t xml:space="preserve"> in 2014</w:t>
      </w:r>
      <w:r>
        <w:noBreakHyphen/>
      </w:r>
      <w:r w:rsidRPr="002E2383">
        <w:t>15, reflecting a lower than estimated level of fair value of assets received free of charge and other miscellaneous income.</w:t>
      </w:r>
    </w:p>
    <w:p w:rsidR="00F87646" w:rsidRPr="002E2383" w:rsidRDefault="00F87646" w:rsidP="00DA32B5">
      <w:r w:rsidRPr="002E2383">
        <w:t>Other current revenue is projected to be stable over the forward estimates compared to the revised 2014</w:t>
      </w:r>
      <w:r>
        <w:noBreakHyphen/>
        <w:t>15 figure.</w:t>
      </w:r>
    </w:p>
    <w:p w:rsidR="00F87646" w:rsidRDefault="00F87646">
      <w:pPr>
        <w:spacing w:after="0"/>
        <w:rPr>
          <w:rFonts w:ascii="Calibri" w:hAnsi="Calibri"/>
          <w:b/>
          <w:kern w:val="28"/>
          <w:sz w:val="26"/>
          <w:szCs w:val="22"/>
        </w:rPr>
      </w:pPr>
      <w:r>
        <w:br w:type="page"/>
      </w:r>
    </w:p>
    <w:p w:rsidR="00F87646" w:rsidRPr="002E2383" w:rsidRDefault="00F87646" w:rsidP="00DA32B5">
      <w:pPr>
        <w:pStyle w:val="Heading2"/>
      </w:pPr>
      <w:r w:rsidRPr="002E2383">
        <w:lastRenderedPageBreak/>
        <w:t>Expenses outlook</w:t>
      </w:r>
    </w:p>
    <w:p w:rsidR="00F87646" w:rsidRPr="002E2383" w:rsidRDefault="00F87646" w:rsidP="002E2383">
      <w:r w:rsidRPr="002E2383">
        <w:t xml:space="preserve">Total expenses are projected to increase by </w:t>
      </w:r>
      <w:r>
        <w:t>3</w:t>
      </w:r>
      <w:r w:rsidRPr="002E2383">
        <w:t>.</w:t>
      </w:r>
      <w:r>
        <w:t>0 per cent</w:t>
      </w:r>
      <w:r w:rsidRPr="002E2383">
        <w:t xml:space="preserve"> in 2014</w:t>
      </w:r>
      <w:r>
        <w:noBreakHyphen/>
      </w:r>
      <w:r w:rsidRPr="002E2383">
        <w:t>15 and 2.3</w:t>
      </w:r>
      <w:r>
        <w:t> per cent</w:t>
      </w:r>
      <w:r w:rsidRPr="002E2383">
        <w:t xml:space="preserve"> a year on average over the forward estimates. The increase in expenses is largely driven by:</w:t>
      </w:r>
    </w:p>
    <w:p w:rsidR="00F87646" w:rsidRPr="002E2383" w:rsidRDefault="00F87646" w:rsidP="00DA32B5">
      <w:pPr>
        <w:pStyle w:val="BulletText"/>
      </w:pPr>
      <w:r w:rsidRPr="002E2383">
        <w:t>total employee expenses, including superannuation, which are expected to increase by 2.</w:t>
      </w:r>
      <w:r>
        <w:t>4 per cent</w:t>
      </w:r>
      <w:r w:rsidRPr="002E2383">
        <w:t xml:space="preserve"> in 2014</w:t>
      </w:r>
      <w:r>
        <w:noBreakHyphen/>
      </w:r>
      <w:r w:rsidRPr="002E2383">
        <w:t>15 and by 3.6</w:t>
      </w:r>
      <w:r>
        <w:t> per cent</w:t>
      </w:r>
      <w:r w:rsidRPr="002E2383">
        <w:t xml:space="preserve"> a year on ave</w:t>
      </w:r>
      <w:r>
        <w:t>rage over the forward estimates</w:t>
      </w:r>
      <w:r w:rsidRPr="002E2383">
        <w:t>;</w:t>
      </w:r>
    </w:p>
    <w:p w:rsidR="00F87646" w:rsidRPr="002E2383" w:rsidRDefault="00F87646" w:rsidP="00DA32B5">
      <w:pPr>
        <w:pStyle w:val="BulletText"/>
      </w:pPr>
      <w:r w:rsidRPr="002E2383">
        <w:t xml:space="preserve">depreciation expenses </w:t>
      </w:r>
      <w:r>
        <w:t xml:space="preserve">which </w:t>
      </w:r>
      <w:r w:rsidRPr="002E2383">
        <w:t>are projected to grow by 3.9</w:t>
      </w:r>
      <w:r>
        <w:t> per cent</w:t>
      </w:r>
      <w:r w:rsidRPr="002E2383">
        <w:t xml:space="preserve"> in 2014</w:t>
      </w:r>
      <w:r>
        <w:noBreakHyphen/>
      </w:r>
      <w:r w:rsidRPr="002E2383">
        <w:t>15 and by an average of 6.3</w:t>
      </w:r>
      <w:r>
        <w:t> per cent</w:t>
      </w:r>
      <w:r w:rsidRPr="002E2383">
        <w:t xml:space="preserve"> a year over the forward estimates, in line with growth in the infrastructure stock and the expected impact of asset revaluations;</w:t>
      </w:r>
    </w:p>
    <w:p w:rsidR="00F87646" w:rsidRPr="002E2383" w:rsidRDefault="00F87646" w:rsidP="00DA32B5">
      <w:pPr>
        <w:pStyle w:val="BulletText"/>
      </w:pPr>
      <w:r w:rsidRPr="002E2383">
        <w:t>interest payments, which are expected to decrease in 2014</w:t>
      </w:r>
      <w:r>
        <w:noBreakHyphen/>
        <w:t>15 by 1.0 per cent</w:t>
      </w:r>
      <w:r w:rsidRPr="002E2383">
        <w:t>. Across the forward estimates, the fall i</w:t>
      </w:r>
      <w:r>
        <w:t>n interest payments averages 1.5 per cent</w:t>
      </w:r>
      <w:r w:rsidRPr="002E2383">
        <w:t xml:space="preserve"> a year, in line with reducing net debt;</w:t>
      </w:r>
    </w:p>
    <w:p w:rsidR="00F87646" w:rsidRPr="002E2383" w:rsidRDefault="00F87646" w:rsidP="00DA32B5">
      <w:pPr>
        <w:pStyle w:val="BulletText"/>
      </w:pPr>
      <w:r w:rsidRPr="002E2383">
        <w:t>other operating expenses, which ar</w:t>
      </w:r>
      <w:r>
        <w:t>e anticipated to increase by 1.8 per cent</w:t>
      </w:r>
      <w:r w:rsidRPr="002E2383">
        <w:t xml:space="preserve"> in 2014</w:t>
      </w:r>
      <w:r>
        <w:noBreakHyphen/>
      </w:r>
      <w:r w:rsidRPr="002E2383">
        <w:t>15 and remain stable over the forward estimates; and</w:t>
      </w:r>
    </w:p>
    <w:p w:rsidR="00F87646" w:rsidRPr="002E2383" w:rsidRDefault="00F87646" w:rsidP="00DA32B5">
      <w:pPr>
        <w:pStyle w:val="BulletText"/>
      </w:pPr>
      <w:r w:rsidRPr="002E2383">
        <w:t>grants and other transfer payments are expected to grow by 8.6</w:t>
      </w:r>
      <w:r>
        <w:t> per cent</w:t>
      </w:r>
      <w:r w:rsidRPr="002E2383">
        <w:t xml:space="preserve"> in 2014</w:t>
      </w:r>
      <w:r>
        <w:noBreakHyphen/>
      </w:r>
      <w:r w:rsidRPr="002E2383">
        <w:t>15 and by an average of 3.</w:t>
      </w:r>
      <w:r>
        <w:t>2 per cent</w:t>
      </w:r>
      <w:r w:rsidRPr="002E2383">
        <w:t xml:space="preserve"> a year over the forward estimates, and include funding for non</w:t>
      </w:r>
      <w:r>
        <w:noBreakHyphen/>
      </w:r>
      <w:r w:rsidRPr="002E2383">
        <w:t>government schools and grants passed on to local government.</w:t>
      </w:r>
    </w:p>
    <w:p w:rsidR="00F87646" w:rsidRPr="002E2383" w:rsidRDefault="00F87646" w:rsidP="00DA32B5">
      <w:pPr>
        <w:pStyle w:val="Heading2"/>
      </w:pPr>
      <w:r w:rsidRPr="002E2383">
        <w:t>Other economic flows</w:t>
      </w:r>
    </w:p>
    <w:p w:rsidR="00F87646" w:rsidRPr="002E2383" w:rsidRDefault="00F87646" w:rsidP="002E2383">
      <w:r>
        <w:t>The difference</w:t>
      </w:r>
      <w:r w:rsidRPr="002E2383">
        <w:t xml:space="preserve"> between the net result from transactions and the net result </w:t>
      </w:r>
      <w:r>
        <w:t>is</w:t>
      </w:r>
      <w:r w:rsidRPr="002E2383">
        <w:t xml:space="preserve"> other economic flows included in the net result, which typically include gains and losses fro</w:t>
      </w:r>
      <w:r>
        <w:t>m the disposal</w:t>
      </w:r>
      <w:r w:rsidRPr="002E2383">
        <w:t xml:space="preserve"> of non</w:t>
      </w:r>
      <w:r>
        <w:noBreakHyphen/>
      </w:r>
      <w:r w:rsidRPr="002E2383">
        <w:t>financial assets</w:t>
      </w:r>
      <w:r>
        <w:t>,</w:t>
      </w:r>
      <w:r w:rsidRPr="002E2383">
        <w:t xml:space="preserve"> adjust</w:t>
      </w:r>
      <w:r>
        <w:t>ments</w:t>
      </w:r>
      <w:r w:rsidRPr="002E2383">
        <w:t xml:space="preserve"> for bad and doubtful debts and revaluations of financial assets and liabilities.</w:t>
      </w:r>
    </w:p>
    <w:p w:rsidR="00F87646" w:rsidRPr="002E2383" w:rsidRDefault="00F87646" w:rsidP="002E2383">
      <w:r w:rsidRPr="002E2383">
        <w:t>The revised loss in other economic flows of $21</w:t>
      </w:r>
      <w:r>
        <w:t>8 million</w:t>
      </w:r>
      <w:r w:rsidRPr="002E2383">
        <w:t xml:space="preserve"> in 2014</w:t>
      </w:r>
      <w:r>
        <w:noBreakHyphen/>
      </w:r>
      <w:r w:rsidRPr="002E2383">
        <w:t>15 largely comprises an estimated $303</w:t>
      </w:r>
      <w:r>
        <w:t> million</w:t>
      </w:r>
      <w:r w:rsidRPr="002E2383">
        <w:t xml:space="preserve"> increase in bad and doubtful debts, partly offset by estimated gains on the </w:t>
      </w:r>
      <w:r>
        <w:t>disposal</w:t>
      </w:r>
      <w:r w:rsidRPr="002E2383">
        <w:t xml:space="preserve"> of non</w:t>
      </w:r>
      <w:r>
        <w:noBreakHyphen/>
        <w:t>financial assets of $65 million</w:t>
      </w:r>
      <w:r w:rsidRPr="002E2383">
        <w:t>.</w:t>
      </w:r>
    </w:p>
    <w:p w:rsidR="00F87646" w:rsidRPr="002E2383" w:rsidRDefault="00F87646" w:rsidP="00DA32B5">
      <w:pPr>
        <w:pStyle w:val="Heading2"/>
      </w:pPr>
      <w:r w:rsidRPr="002E2383">
        <w:t xml:space="preserve">Reconciliation of estimates to </w:t>
      </w:r>
      <w:r>
        <w:t xml:space="preserve">the </w:t>
      </w:r>
      <w:r w:rsidRPr="00237363">
        <w:rPr>
          <w:i/>
        </w:rPr>
        <w:t>2014</w:t>
      </w:r>
      <w:r>
        <w:rPr>
          <w:i/>
        </w:rPr>
        <w:noBreakHyphen/>
      </w:r>
      <w:r w:rsidRPr="00237363">
        <w:rPr>
          <w:i/>
        </w:rPr>
        <w:t>15</w:t>
      </w:r>
      <w:r>
        <w:t xml:space="preserve"> </w:t>
      </w:r>
      <w:r w:rsidRPr="00237363">
        <w:rPr>
          <w:i/>
        </w:rPr>
        <w:t>B</w:t>
      </w:r>
      <w:r>
        <w:rPr>
          <w:i/>
        </w:rPr>
        <w:t>udget</w:t>
      </w:r>
    </w:p>
    <w:p w:rsidR="00F87646" w:rsidRPr="002E2383" w:rsidRDefault="00F87646" w:rsidP="002E2383">
      <w:r w:rsidRPr="002E2383">
        <w:t>The net result from transactions has been revised down by $2</w:t>
      </w:r>
      <w:r>
        <w:t>34 million</w:t>
      </w:r>
      <w:r w:rsidRPr="002E2383">
        <w:t xml:space="preserve"> in 2014</w:t>
      </w:r>
      <w:r>
        <w:noBreakHyphen/>
        <w:t>15 and by $535 million</w:t>
      </w:r>
      <w:r w:rsidRPr="002E2383">
        <w:t xml:space="preserve"> on average across the forward estimates, since the </w:t>
      </w:r>
      <w:r w:rsidRPr="002E2383">
        <w:rPr>
          <w:i/>
        </w:rPr>
        <w:t>2014</w:t>
      </w:r>
      <w:r>
        <w:rPr>
          <w:i/>
        </w:rPr>
        <w:noBreakHyphen/>
      </w:r>
      <w:r w:rsidRPr="002E2383">
        <w:rPr>
          <w:i/>
        </w:rPr>
        <w:t>15 Budget</w:t>
      </w:r>
      <w:r w:rsidRPr="002E2383">
        <w:t>. These variations are largely revenue related and reflect lower than expected Commonwealth specific purpose and national partnership grants revenue and land tax revenue over this period.</w:t>
      </w:r>
    </w:p>
    <w:p w:rsidR="00F87646" w:rsidRPr="002E2383" w:rsidRDefault="00F87646" w:rsidP="002E2383">
      <w:pPr>
        <w:spacing w:after="0"/>
        <w:rPr>
          <w:rFonts w:ascii="Calibri" w:hAnsi="Calibri"/>
          <w:b/>
        </w:rPr>
      </w:pPr>
      <w:r w:rsidRPr="002E2383">
        <w:br w:type="page"/>
      </w:r>
    </w:p>
    <w:p w:rsidR="00F87646" w:rsidRDefault="00F87646" w:rsidP="00DA32B5">
      <w:pPr>
        <w:pStyle w:val="Tableheading"/>
        <w:rPr>
          <w:i/>
        </w:rPr>
      </w:pPr>
      <w:r w:rsidRPr="002E2383">
        <w:lastRenderedPageBreak/>
        <w:t xml:space="preserve">Table </w:t>
      </w:r>
      <w:r>
        <w:t>2.</w:t>
      </w:r>
      <w:r w:rsidRPr="002E2383">
        <w:t>3:</w:t>
      </w:r>
      <w:r w:rsidRPr="002E2383">
        <w:tab/>
        <w:t xml:space="preserve">Reconciliation of estimates to the </w:t>
      </w:r>
      <w:r w:rsidRPr="002E2383">
        <w:rPr>
          <w:i/>
        </w:rPr>
        <w:t>2014</w:t>
      </w:r>
      <w:r>
        <w:rPr>
          <w:i/>
        </w:rPr>
        <w:noBreakHyphen/>
      </w:r>
      <w:r w:rsidRPr="002E2383">
        <w:rPr>
          <w:i/>
        </w:rPr>
        <w:t>15 Budget</w:t>
      </w:r>
    </w:p>
    <w:p w:rsidR="00F87646" w:rsidRPr="00FA56FA" w:rsidRDefault="00F87646" w:rsidP="00DA32B5">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974"/>
        <w:gridCol w:w="823"/>
        <w:gridCol w:w="993"/>
        <w:gridCol w:w="101"/>
        <w:gridCol w:w="360"/>
        <w:gridCol w:w="63"/>
        <w:gridCol w:w="135"/>
        <w:gridCol w:w="198"/>
        <w:gridCol w:w="27"/>
        <w:gridCol w:w="109"/>
        <w:gridCol w:w="993"/>
      </w:tblGrid>
      <w:tr w:rsidR="00F87646" w:rsidRPr="00FA56FA" w:rsidTr="00FA56FA">
        <w:tc>
          <w:tcPr>
            <w:tcW w:w="3974" w:type="dxa"/>
            <w:tcBorders>
              <w:top w:val="single" w:sz="4" w:space="0" w:color="auto"/>
              <w:left w:val="single" w:sz="4" w:space="0" w:color="auto"/>
              <w:bottom w:val="nil"/>
              <w:right w:val="nil"/>
            </w:tcBorders>
            <w:shd w:val="clear" w:color="auto" w:fill="000000"/>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w:t>
            </w:r>
          </w:p>
        </w:tc>
        <w:tc>
          <w:tcPr>
            <w:tcW w:w="823" w:type="dxa"/>
            <w:tcBorders>
              <w:top w:val="single" w:sz="4" w:space="0" w:color="auto"/>
              <w:left w:val="nil"/>
              <w:bottom w:val="nil"/>
              <w:right w:val="nil"/>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2014</w:t>
            </w:r>
            <w:r>
              <w:rPr>
                <w:rFonts w:eastAsiaTheme="minorEastAsia"/>
                <w:lang w:eastAsia="en-AU"/>
              </w:rPr>
              <w:noBreakHyphen/>
            </w:r>
            <w:r w:rsidRPr="00FA56FA">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2015</w:t>
            </w:r>
            <w:r>
              <w:rPr>
                <w:rFonts w:eastAsiaTheme="minorEastAsia"/>
                <w:lang w:eastAsia="en-AU"/>
              </w:rPr>
              <w:noBreakHyphen/>
            </w:r>
            <w:r w:rsidRPr="00FA56FA">
              <w:rPr>
                <w:rFonts w:eastAsiaTheme="minorEastAsia"/>
                <w:lang w:eastAsia="en-AU"/>
              </w:rPr>
              <w:t>16</w:t>
            </w:r>
          </w:p>
        </w:tc>
        <w:tc>
          <w:tcPr>
            <w:tcW w:w="993" w:type="dxa"/>
            <w:gridSpan w:val="7"/>
            <w:tcBorders>
              <w:top w:val="single" w:sz="4" w:space="0" w:color="auto"/>
              <w:left w:val="nil"/>
              <w:bottom w:val="nil"/>
              <w:right w:val="nil"/>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2016</w:t>
            </w:r>
            <w:r>
              <w:rPr>
                <w:rFonts w:eastAsiaTheme="minorEastAsia"/>
                <w:lang w:eastAsia="en-AU"/>
              </w:rPr>
              <w:noBreakHyphen/>
            </w:r>
            <w:r w:rsidRPr="00FA56FA">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2017</w:t>
            </w:r>
            <w:r>
              <w:rPr>
                <w:rFonts w:eastAsiaTheme="minorEastAsia"/>
                <w:lang w:eastAsia="en-AU"/>
              </w:rPr>
              <w:noBreakHyphen/>
            </w:r>
            <w:r w:rsidRPr="00FA56FA">
              <w:rPr>
                <w:rFonts w:eastAsiaTheme="minorEastAsia"/>
                <w:lang w:eastAsia="en-AU"/>
              </w:rPr>
              <w:t>18</w:t>
            </w:r>
          </w:p>
        </w:tc>
      </w:tr>
      <w:tr w:rsidR="00F87646" w:rsidRPr="00FA56FA" w:rsidTr="00FA56FA">
        <w:tc>
          <w:tcPr>
            <w:tcW w:w="3974" w:type="dxa"/>
            <w:tcBorders>
              <w:top w:val="nil"/>
              <w:left w:val="single" w:sz="4" w:space="0" w:color="auto"/>
              <w:bottom w:val="single" w:sz="4" w:space="0" w:color="auto"/>
              <w:right w:val="nil"/>
            </w:tcBorders>
            <w:shd w:val="clear" w:color="auto" w:fill="000000"/>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w:t>
            </w:r>
          </w:p>
        </w:tc>
        <w:tc>
          <w:tcPr>
            <w:tcW w:w="823" w:type="dxa"/>
            <w:tcBorders>
              <w:top w:val="nil"/>
              <w:left w:val="nil"/>
              <w:bottom w:val="single" w:sz="4" w:space="0" w:color="auto"/>
              <w:right w:val="nil"/>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estimate</w:t>
            </w:r>
          </w:p>
        </w:tc>
        <w:tc>
          <w:tcPr>
            <w:tcW w:w="993" w:type="dxa"/>
            <w:gridSpan w:val="7"/>
            <w:tcBorders>
              <w:top w:val="nil"/>
              <w:left w:val="nil"/>
              <w:bottom w:val="single" w:sz="4" w:space="0" w:color="auto"/>
              <w:right w:val="nil"/>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FA56FA" w:rsidRDefault="00F87646" w:rsidP="00FA56FA">
            <w:pPr>
              <w:pStyle w:val="Tabletextheading"/>
              <w:rPr>
                <w:rFonts w:eastAsiaTheme="minorEastAsia"/>
                <w:lang w:eastAsia="en-AU"/>
              </w:rPr>
            </w:pPr>
            <w:r w:rsidRPr="00FA56FA">
              <w:rPr>
                <w:rFonts w:eastAsiaTheme="minorEastAsia"/>
                <w:lang w:eastAsia="en-AU"/>
              </w:rPr>
              <w:t>estimate</w:t>
            </w:r>
          </w:p>
        </w:tc>
      </w:tr>
      <w:tr w:rsidR="00F87646" w:rsidRPr="00FA56FA" w:rsidTr="00FA56FA">
        <w:tc>
          <w:tcPr>
            <w:tcW w:w="3974" w:type="dxa"/>
            <w:tcBorders>
              <w:top w:val="single" w:sz="4" w:space="0" w:color="auto"/>
              <w:left w:val="nil"/>
              <w:bottom w:val="nil"/>
              <w:right w:val="nil"/>
            </w:tcBorders>
            <w:shd w:val="solid" w:color="FFFFFF" w:fill="auto"/>
          </w:tcPr>
          <w:p w:rsidR="00F87646" w:rsidRPr="00FA56FA" w:rsidRDefault="00F87646" w:rsidP="00FA56FA">
            <w:pPr>
              <w:pStyle w:val="Tabletext"/>
              <w:rPr>
                <w:rFonts w:eastAsiaTheme="minorEastAsia"/>
                <w:b/>
                <w:bCs/>
                <w:i/>
                <w:iCs/>
                <w:lang w:eastAsia="en-AU"/>
              </w:rPr>
            </w:pPr>
            <w:r w:rsidRPr="00FA56FA">
              <w:rPr>
                <w:rFonts w:eastAsiaTheme="minorEastAsia"/>
                <w:b/>
                <w:bCs/>
                <w:lang w:eastAsia="en-AU"/>
              </w:rPr>
              <w:t xml:space="preserve">Net result from transactions: </w:t>
            </w:r>
            <w:r w:rsidRPr="00FA56FA">
              <w:rPr>
                <w:rFonts w:eastAsiaTheme="minorEastAsia"/>
                <w:b/>
                <w:bCs/>
                <w:i/>
                <w:iCs/>
                <w:lang w:eastAsia="en-AU"/>
              </w:rPr>
              <w:t>2014</w:t>
            </w:r>
            <w:r>
              <w:rPr>
                <w:rFonts w:eastAsiaTheme="minorEastAsia"/>
                <w:b/>
                <w:bCs/>
                <w:i/>
                <w:iCs/>
                <w:lang w:eastAsia="en-AU"/>
              </w:rPr>
              <w:noBreakHyphen/>
            </w:r>
            <w:r w:rsidRPr="00FA56FA">
              <w:rPr>
                <w:rFonts w:eastAsiaTheme="minorEastAsia"/>
                <w:b/>
                <w:bCs/>
                <w:i/>
                <w:iCs/>
                <w:lang w:eastAsia="en-AU"/>
              </w:rPr>
              <w:t>15 Budget</w:t>
            </w:r>
          </w:p>
        </w:tc>
        <w:tc>
          <w:tcPr>
            <w:tcW w:w="823" w:type="dxa"/>
            <w:tcBorders>
              <w:top w:val="single" w:sz="4" w:space="0" w:color="auto"/>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1 326.7</w:t>
            </w:r>
          </w:p>
        </w:tc>
        <w:tc>
          <w:tcPr>
            <w:tcW w:w="993" w:type="dxa"/>
            <w:tcBorders>
              <w:top w:val="single" w:sz="4" w:space="0" w:color="auto"/>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3 030.0</w:t>
            </w:r>
          </w:p>
        </w:tc>
        <w:tc>
          <w:tcPr>
            <w:tcW w:w="993" w:type="dxa"/>
            <w:gridSpan w:val="7"/>
            <w:tcBorders>
              <w:top w:val="single" w:sz="4" w:space="0" w:color="auto"/>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3 183.2</w:t>
            </w:r>
          </w:p>
        </w:tc>
        <w:tc>
          <w:tcPr>
            <w:tcW w:w="993" w:type="dxa"/>
            <w:tcBorders>
              <w:top w:val="single" w:sz="4" w:space="0" w:color="auto"/>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3 329.7</w:t>
            </w:r>
          </w:p>
        </w:tc>
      </w:tr>
      <w:tr w:rsidR="00F87646" w:rsidRPr="00FA56FA" w:rsidTr="00534D5F">
        <w:tc>
          <w:tcPr>
            <w:tcW w:w="5891" w:type="dxa"/>
            <w:gridSpan w:val="4"/>
            <w:tcBorders>
              <w:top w:val="nil"/>
              <w:left w:val="nil"/>
              <w:bottom w:val="nil"/>
              <w:right w:val="nil"/>
            </w:tcBorders>
            <w:shd w:val="solid" w:color="FFFFFF" w:fill="auto"/>
          </w:tcPr>
          <w:p w:rsidR="00F87646" w:rsidRPr="00FA56FA" w:rsidRDefault="00F87646" w:rsidP="00FA56FA">
            <w:pPr>
              <w:pStyle w:val="Tabletext"/>
              <w:rPr>
                <w:rFonts w:eastAsiaTheme="minorEastAsia"/>
                <w:i/>
                <w:iCs/>
                <w:lang w:eastAsia="en-AU"/>
              </w:rPr>
            </w:pPr>
            <w:r w:rsidRPr="00FA56FA">
              <w:rPr>
                <w:rFonts w:eastAsiaTheme="minorEastAsia"/>
                <w:lang w:eastAsia="en-AU"/>
              </w:rPr>
              <w:t xml:space="preserve">Plus: variations in revenue from transactions since </w:t>
            </w:r>
            <w:r w:rsidRPr="00FA56FA">
              <w:rPr>
                <w:rFonts w:eastAsiaTheme="minorEastAsia"/>
                <w:i/>
                <w:iCs/>
                <w:lang w:eastAsia="en-AU"/>
              </w:rPr>
              <w:t>2014</w:t>
            </w:r>
            <w:r>
              <w:rPr>
                <w:rFonts w:eastAsiaTheme="minorEastAsia"/>
                <w:i/>
                <w:iCs/>
                <w:lang w:eastAsia="en-AU"/>
              </w:rPr>
              <w:noBreakHyphen/>
            </w:r>
            <w:r w:rsidRPr="00FA56FA">
              <w:rPr>
                <w:rFonts w:eastAsiaTheme="minorEastAsia"/>
                <w:i/>
                <w:iCs/>
                <w:lang w:eastAsia="en-AU"/>
              </w:rPr>
              <w:t>15 Budget</w:t>
            </w:r>
          </w:p>
        </w:tc>
        <w:tc>
          <w:tcPr>
            <w:tcW w:w="360"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396" w:type="dxa"/>
            <w:gridSpan w:val="3"/>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136" w:type="dxa"/>
            <w:gridSpan w:val="2"/>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Policy decision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20.8</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59.8</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96.0</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98.2</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b/>
                <w:bCs/>
                <w:lang w:eastAsia="en-AU"/>
              </w:rPr>
            </w:pPr>
            <w:r w:rsidRPr="00FA56FA">
              <w:rPr>
                <w:rFonts w:eastAsiaTheme="minorEastAsia"/>
                <w:b/>
                <w:bCs/>
                <w:lang w:eastAsia="en-AU"/>
              </w:rPr>
              <w:t>Economic/demographic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Taxation</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( 176.0)</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( 170.5)</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( 127.4)</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( 125.2)</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vertAlign w:val="superscript"/>
                <w:lang w:eastAsia="en-AU"/>
              </w:rPr>
            </w:pPr>
            <w:r w:rsidRPr="00FA56FA">
              <w:rPr>
                <w:rFonts w:eastAsiaTheme="minorEastAsia"/>
                <w:lang w:eastAsia="en-AU"/>
              </w:rPr>
              <w:t xml:space="preserve">   Investment income </w:t>
            </w:r>
            <w:r w:rsidRPr="00FA56FA">
              <w:rPr>
                <w:rFonts w:eastAsiaTheme="minorEastAsia"/>
                <w:vertAlign w:val="superscript"/>
                <w:lang w:eastAsia="en-AU"/>
              </w:rPr>
              <w:t>(a)</w:t>
            </w:r>
          </w:p>
        </w:tc>
        <w:tc>
          <w:tcPr>
            <w:tcW w:w="82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506.8</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( 23.0)</w:t>
            </w:r>
          </w:p>
        </w:tc>
        <w:tc>
          <w:tcPr>
            <w:tcW w:w="993" w:type="dxa"/>
            <w:gridSpan w:val="7"/>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( 175.8)</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2.8</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330.8</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( 193.5)</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( 303.2)</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( 122.5)</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b/>
                <w:bCs/>
                <w:lang w:eastAsia="en-AU"/>
              </w:rPr>
            </w:pPr>
            <w:r w:rsidRPr="00FA56FA">
              <w:rPr>
                <w:rFonts w:eastAsiaTheme="minorEastAsia"/>
                <w:b/>
                <w:bCs/>
                <w:lang w:eastAsia="en-AU"/>
              </w:rPr>
              <w:t>Commonwealth grant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General purpose grants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217.1</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( 51.8)</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( 16.7)</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243.2</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Specific purpose grants</w:t>
            </w:r>
          </w:p>
        </w:tc>
        <w:tc>
          <w:tcPr>
            <w:tcW w:w="82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( 554.2)</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( 386.8)</w:t>
            </w:r>
          </w:p>
        </w:tc>
        <w:tc>
          <w:tcPr>
            <w:tcW w:w="993" w:type="dxa"/>
            <w:gridSpan w:val="7"/>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( 304.5)</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( 793.5)</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( 337.1)</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( 438.6)</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( 321.2)</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( 550.3)</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vertAlign w:val="superscript"/>
                <w:lang w:eastAsia="en-AU"/>
              </w:rPr>
            </w:pPr>
            <w:r w:rsidRPr="00FA56FA">
              <w:rPr>
                <w:rFonts w:eastAsiaTheme="minorEastAsia"/>
                <w:lang w:eastAsia="en-AU"/>
              </w:rPr>
              <w:t>Variations in own</w:t>
            </w:r>
            <w:r>
              <w:rPr>
                <w:rFonts w:eastAsiaTheme="minorEastAsia"/>
                <w:lang w:eastAsia="en-AU"/>
              </w:rPr>
              <w:noBreakHyphen/>
            </w:r>
            <w:r w:rsidRPr="00FA56FA">
              <w:rPr>
                <w:rFonts w:eastAsiaTheme="minorEastAsia"/>
                <w:lang w:eastAsia="en-AU"/>
              </w:rPr>
              <w:t xml:space="preserve">source revenue </w:t>
            </w:r>
            <w:r w:rsidRPr="00FA56FA">
              <w:rPr>
                <w:rFonts w:eastAsiaTheme="minorEastAsia"/>
                <w:vertAlign w:val="superscript"/>
                <w:lang w:eastAsia="en-AU"/>
              </w:rPr>
              <w:t>(b)</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163.5</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15.0</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73.0</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54.9</w:t>
            </w:r>
          </w:p>
        </w:tc>
      </w:tr>
      <w:tr w:rsidR="00F87646" w:rsidRPr="00FA56FA" w:rsidTr="00FA56FA">
        <w:tc>
          <w:tcPr>
            <w:tcW w:w="3974" w:type="dxa"/>
            <w:tcBorders>
              <w:top w:val="nil"/>
              <w:left w:val="nil"/>
              <w:bottom w:val="single" w:sz="6" w:space="0" w:color="auto"/>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Administrative variations</w:t>
            </w:r>
          </w:p>
        </w:tc>
        <w:tc>
          <w:tcPr>
            <w:tcW w:w="82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( 68.2)</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59.6</w:t>
            </w:r>
          </w:p>
        </w:tc>
        <w:tc>
          <w:tcPr>
            <w:tcW w:w="993" w:type="dxa"/>
            <w:gridSpan w:val="7"/>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37.5</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49.7</w:t>
            </w:r>
          </w:p>
        </w:tc>
      </w:tr>
      <w:tr w:rsidR="00F87646" w:rsidRPr="00FA56FA" w:rsidTr="00FA56FA">
        <w:tc>
          <w:tcPr>
            <w:tcW w:w="3974" w:type="dxa"/>
            <w:tcBorders>
              <w:top w:val="single" w:sz="6" w:space="0" w:color="auto"/>
              <w:left w:val="nil"/>
              <w:bottom w:val="nil"/>
              <w:right w:val="nil"/>
            </w:tcBorders>
            <w:shd w:val="solid" w:color="FFFFFF" w:fill="auto"/>
          </w:tcPr>
          <w:p w:rsidR="00F87646" w:rsidRPr="00FA56FA" w:rsidRDefault="00F87646" w:rsidP="00FA56FA">
            <w:pPr>
              <w:pStyle w:val="Tabletext"/>
              <w:rPr>
                <w:rFonts w:eastAsiaTheme="minorEastAsia"/>
                <w:b/>
                <w:bCs/>
                <w:lang w:eastAsia="en-AU"/>
              </w:rPr>
            </w:pPr>
            <w:r w:rsidRPr="00FA56FA">
              <w:rPr>
                <w:rFonts w:eastAsiaTheme="minorEastAsia"/>
                <w:b/>
                <w:bCs/>
                <w:lang w:eastAsia="en-AU"/>
              </w:rPr>
              <w:t>Total variation in revenue from</w:t>
            </w:r>
          </w:p>
          <w:p w:rsidR="00F87646" w:rsidRPr="00FA56FA" w:rsidRDefault="00F87646" w:rsidP="00FA56FA">
            <w:pPr>
              <w:pStyle w:val="Tabletext"/>
              <w:rPr>
                <w:rFonts w:eastAsiaTheme="minorEastAsia"/>
                <w:b/>
                <w:bCs/>
                <w:i/>
                <w:iCs/>
                <w:lang w:eastAsia="en-AU"/>
              </w:rPr>
            </w:pPr>
            <w:r w:rsidRPr="00FA56FA">
              <w:rPr>
                <w:rFonts w:eastAsiaTheme="minorEastAsia"/>
                <w:b/>
                <w:bCs/>
                <w:lang w:eastAsia="en-AU"/>
              </w:rPr>
              <w:t xml:space="preserve">transactions since </w:t>
            </w:r>
            <w:r w:rsidRPr="00FA56FA">
              <w:rPr>
                <w:rFonts w:eastAsiaTheme="minorEastAsia"/>
                <w:b/>
                <w:bCs/>
                <w:i/>
                <w:iCs/>
                <w:lang w:eastAsia="en-AU"/>
              </w:rPr>
              <w:t>2014</w:t>
            </w:r>
            <w:r>
              <w:rPr>
                <w:rFonts w:eastAsiaTheme="minorEastAsia"/>
                <w:b/>
                <w:bCs/>
                <w:i/>
                <w:iCs/>
                <w:lang w:eastAsia="en-AU"/>
              </w:rPr>
              <w:noBreakHyphen/>
            </w:r>
            <w:r w:rsidRPr="00FA56FA">
              <w:rPr>
                <w:rFonts w:eastAsiaTheme="minorEastAsia"/>
                <w:b/>
                <w:bCs/>
                <w:i/>
                <w:iCs/>
                <w:lang w:eastAsia="en-AU"/>
              </w:rPr>
              <w:t>15 Budget</w:t>
            </w:r>
          </w:p>
        </w:tc>
        <w:tc>
          <w:tcPr>
            <w:tcW w:w="82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109.7</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( 497.7)</w:t>
            </w:r>
          </w:p>
        </w:tc>
        <w:tc>
          <w:tcPr>
            <w:tcW w:w="993" w:type="dxa"/>
            <w:gridSpan w:val="7"/>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( 417.9)</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( 470.0)</w:t>
            </w:r>
          </w:p>
        </w:tc>
      </w:tr>
      <w:tr w:rsidR="00F87646" w:rsidRPr="00FA56FA" w:rsidTr="00534D5F">
        <w:tc>
          <w:tcPr>
            <w:tcW w:w="6314" w:type="dxa"/>
            <w:gridSpan w:val="6"/>
            <w:tcBorders>
              <w:top w:val="single" w:sz="6" w:space="0" w:color="auto"/>
              <w:left w:val="nil"/>
              <w:bottom w:val="nil"/>
              <w:right w:val="nil"/>
            </w:tcBorders>
            <w:shd w:val="solid" w:color="FFFFFF" w:fill="auto"/>
          </w:tcPr>
          <w:p w:rsidR="00F87646" w:rsidRPr="00FA56FA" w:rsidRDefault="00F87646" w:rsidP="00FA56FA">
            <w:pPr>
              <w:pStyle w:val="Tabletext"/>
              <w:rPr>
                <w:rFonts w:eastAsiaTheme="minorEastAsia"/>
                <w:i/>
                <w:iCs/>
                <w:lang w:eastAsia="en-AU"/>
              </w:rPr>
            </w:pPr>
            <w:r w:rsidRPr="00FA56FA">
              <w:rPr>
                <w:rFonts w:eastAsiaTheme="minorEastAsia"/>
                <w:lang w:eastAsia="en-AU"/>
              </w:rPr>
              <w:t xml:space="preserve">Less: variations in expenses from transactions since </w:t>
            </w:r>
            <w:r w:rsidRPr="00FA56FA">
              <w:rPr>
                <w:rFonts w:eastAsiaTheme="minorEastAsia"/>
                <w:i/>
                <w:iCs/>
                <w:lang w:eastAsia="en-AU"/>
              </w:rPr>
              <w:t>2014</w:t>
            </w:r>
            <w:r>
              <w:rPr>
                <w:rFonts w:eastAsiaTheme="minorEastAsia"/>
                <w:i/>
                <w:iCs/>
                <w:lang w:eastAsia="en-AU"/>
              </w:rPr>
              <w:noBreakHyphen/>
            </w:r>
            <w:r w:rsidRPr="00FA56FA">
              <w:rPr>
                <w:rFonts w:eastAsiaTheme="minorEastAsia"/>
                <w:i/>
                <w:iCs/>
                <w:lang w:eastAsia="en-AU"/>
              </w:rPr>
              <w:t>15 Budget</w:t>
            </w:r>
          </w:p>
        </w:tc>
        <w:tc>
          <w:tcPr>
            <w:tcW w:w="135"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225" w:type="dxa"/>
            <w:gridSpan w:val="2"/>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109"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xml:space="preserve"> </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Policy decision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124.8</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194.2</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142.6</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118.4</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Commonwealth grant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101.0</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40.5</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( 132.9)</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( 207.8)</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vertAlign w:val="superscript"/>
                <w:lang w:eastAsia="en-AU"/>
              </w:rPr>
            </w:pPr>
            <w:r w:rsidRPr="00FA56FA">
              <w:rPr>
                <w:rFonts w:eastAsiaTheme="minorEastAsia"/>
                <w:lang w:eastAsia="en-AU"/>
              </w:rPr>
              <w:t>Variations in own</w:t>
            </w:r>
            <w:r>
              <w:rPr>
                <w:rFonts w:eastAsiaTheme="minorEastAsia"/>
                <w:lang w:eastAsia="en-AU"/>
              </w:rPr>
              <w:noBreakHyphen/>
            </w:r>
            <w:r w:rsidRPr="00FA56FA">
              <w:rPr>
                <w:rFonts w:eastAsiaTheme="minorEastAsia"/>
                <w:lang w:eastAsia="en-AU"/>
              </w:rPr>
              <w:t xml:space="preserve">source revenue </w:t>
            </w:r>
            <w:r w:rsidRPr="00FA56FA">
              <w:rPr>
                <w:rFonts w:eastAsiaTheme="minorEastAsia"/>
                <w:vertAlign w:val="superscript"/>
                <w:lang w:eastAsia="en-AU"/>
              </w:rPr>
              <w:t>(b)</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172.4</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41.7</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96.8</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66.6</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b/>
                <w:bCs/>
                <w:lang w:eastAsia="en-AU"/>
              </w:rPr>
            </w:pPr>
            <w:r w:rsidRPr="00FA56FA">
              <w:rPr>
                <w:rFonts w:eastAsiaTheme="minorEastAsia"/>
                <w:b/>
                <w:bCs/>
                <w:lang w:eastAsia="en-AU"/>
              </w:rPr>
              <w:t>Administrative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lang w:eastAsia="en-AU"/>
              </w:rPr>
            </w:pPr>
            <w:r w:rsidRPr="00FA56FA">
              <w:rPr>
                <w:rFonts w:eastAsiaTheme="minorEastAsia"/>
                <w:lang w:eastAsia="en-AU"/>
              </w:rPr>
              <w:t xml:space="preserve">   Superannuation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53.2</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47.0</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47.5</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47.7</w:t>
            </w:r>
          </w:p>
        </w:tc>
      </w:tr>
      <w:tr w:rsidR="00F87646" w:rsidRPr="00FA56FA" w:rsidTr="00FA56FA">
        <w:tc>
          <w:tcPr>
            <w:tcW w:w="3974" w:type="dxa"/>
            <w:tcBorders>
              <w:top w:val="nil"/>
              <w:left w:val="nil"/>
              <w:bottom w:val="single" w:sz="6" w:space="0" w:color="auto"/>
              <w:right w:val="nil"/>
            </w:tcBorders>
            <w:shd w:val="solid" w:color="FFFFFF" w:fill="auto"/>
          </w:tcPr>
          <w:p w:rsidR="00F87646" w:rsidRPr="00FA56FA" w:rsidRDefault="00F87646" w:rsidP="00FA56FA">
            <w:pPr>
              <w:pStyle w:val="Tabletext"/>
              <w:rPr>
                <w:rFonts w:eastAsiaTheme="minorEastAsia"/>
                <w:vertAlign w:val="superscript"/>
                <w:lang w:eastAsia="en-AU"/>
              </w:rPr>
            </w:pPr>
            <w:r w:rsidRPr="00FA56FA">
              <w:rPr>
                <w:rFonts w:eastAsiaTheme="minorEastAsia"/>
                <w:lang w:eastAsia="en-AU"/>
              </w:rPr>
              <w:t xml:space="preserve">   Other administrative variations </w:t>
            </w:r>
            <w:r w:rsidRPr="00FA56FA">
              <w:rPr>
                <w:rFonts w:eastAsiaTheme="minorEastAsia"/>
                <w:vertAlign w:val="superscript"/>
                <w:lang w:eastAsia="en-AU"/>
              </w:rPr>
              <w:t>(c)</w:t>
            </w:r>
          </w:p>
        </w:tc>
        <w:tc>
          <w:tcPr>
            <w:tcW w:w="82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( 107.4)</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( 85.5)</w:t>
            </w:r>
          </w:p>
        </w:tc>
        <w:tc>
          <w:tcPr>
            <w:tcW w:w="993" w:type="dxa"/>
            <w:gridSpan w:val="7"/>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( 68.2)</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( 130.5)</w:t>
            </w:r>
          </w:p>
        </w:tc>
      </w:tr>
      <w:tr w:rsidR="00F87646" w:rsidRPr="00FA56FA" w:rsidTr="00FA56FA">
        <w:tc>
          <w:tcPr>
            <w:tcW w:w="3974" w:type="dxa"/>
            <w:tcBorders>
              <w:top w:val="nil"/>
              <w:left w:val="nil"/>
              <w:bottom w:val="nil"/>
              <w:right w:val="nil"/>
            </w:tcBorders>
            <w:shd w:val="solid" w:color="FFFFFF" w:fill="auto"/>
          </w:tcPr>
          <w:p w:rsidR="00F87646" w:rsidRPr="00FA56FA" w:rsidRDefault="00F87646" w:rsidP="00FA56FA">
            <w:pPr>
              <w:pStyle w:val="Tabletext"/>
              <w:rPr>
                <w:rFonts w:eastAsiaTheme="minorEastAsia"/>
                <w:b/>
                <w:bCs/>
                <w:lang w:eastAsia="en-AU"/>
              </w:rPr>
            </w:pPr>
            <w:r w:rsidRPr="00FA56FA">
              <w:rPr>
                <w:rFonts w:eastAsiaTheme="minorEastAsia"/>
                <w:b/>
                <w:bCs/>
                <w:lang w:eastAsia="en-AU"/>
              </w:rPr>
              <w:t>Total administrative variations</w:t>
            </w:r>
          </w:p>
        </w:tc>
        <w:tc>
          <w:tcPr>
            <w:tcW w:w="82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( 54.2)</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( 38.4)</w:t>
            </w:r>
          </w:p>
        </w:tc>
        <w:tc>
          <w:tcPr>
            <w:tcW w:w="993" w:type="dxa"/>
            <w:gridSpan w:val="7"/>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( 20.8)</w:t>
            </w:r>
          </w:p>
        </w:tc>
        <w:tc>
          <w:tcPr>
            <w:tcW w:w="993" w:type="dxa"/>
            <w:tcBorders>
              <w:top w:val="nil"/>
              <w:left w:val="nil"/>
              <w:bottom w:val="nil"/>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( 82.8)</w:t>
            </w:r>
          </w:p>
        </w:tc>
      </w:tr>
      <w:tr w:rsidR="00F87646" w:rsidRPr="00FA56FA" w:rsidTr="00FA56FA">
        <w:tc>
          <w:tcPr>
            <w:tcW w:w="3974" w:type="dxa"/>
            <w:tcBorders>
              <w:top w:val="nil"/>
              <w:left w:val="nil"/>
              <w:bottom w:val="single" w:sz="6" w:space="0" w:color="auto"/>
              <w:right w:val="nil"/>
            </w:tcBorders>
            <w:shd w:val="solid" w:color="FFFFFF" w:fill="auto"/>
          </w:tcPr>
          <w:p w:rsidR="00F87646" w:rsidRPr="00FA56FA" w:rsidRDefault="00F87646" w:rsidP="00FA56FA">
            <w:pPr>
              <w:pStyle w:val="Tabletext"/>
              <w:rPr>
                <w:rFonts w:eastAsiaTheme="minorEastAsia"/>
                <w:b/>
                <w:bCs/>
                <w:i/>
                <w:iCs/>
                <w:lang w:eastAsia="en-AU"/>
              </w:rPr>
            </w:pPr>
            <w:r w:rsidRPr="00FA56FA">
              <w:rPr>
                <w:rFonts w:eastAsiaTheme="minorEastAsia"/>
                <w:b/>
                <w:bCs/>
                <w:lang w:eastAsia="en-AU"/>
              </w:rPr>
              <w:t xml:space="preserve">Total variation in expenses from transactions since </w:t>
            </w:r>
            <w:r w:rsidRPr="00FA56FA">
              <w:rPr>
                <w:rFonts w:eastAsiaTheme="minorEastAsia"/>
                <w:b/>
                <w:bCs/>
                <w:i/>
                <w:iCs/>
                <w:lang w:eastAsia="en-AU"/>
              </w:rPr>
              <w:t>2014</w:t>
            </w:r>
            <w:r>
              <w:rPr>
                <w:rFonts w:eastAsiaTheme="minorEastAsia"/>
                <w:b/>
                <w:bCs/>
                <w:i/>
                <w:iCs/>
                <w:lang w:eastAsia="en-AU"/>
              </w:rPr>
              <w:noBreakHyphen/>
            </w:r>
            <w:r w:rsidRPr="00FA56FA">
              <w:rPr>
                <w:rFonts w:eastAsiaTheme="minorEastAsia"/>
                <w:b/>
                <w:bCs/>
                <w:i/>
                <w:iCs/>
                <w:lang w:eastAsia="en-AU"/>
              </w:rPr>
              <w:t>15 Budget</w:t>
            </w:r>
          </w:p>
        </w:tc>
        <w:tc>
          <w:tcPr>
            <w:tcW w:w="82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344.0</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237.9</w:t>
            </w:r>
          </w:p>
        </w:tc>
        <w:tc>
          <w:tcPr>
            <w:tcW w:w="993" w:type="dxa"/>
            <w:gridSpan w:val="7"/>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xml:space="preserve"> 85.7</w:t>
            </w:r>
          </w:p>
        </w:tc>
        <w:tc>
          <w:tcPr>
            <w:tcW w:w="993" w:type="dxa"/>
            <w:tcBorders>
              <w:top w:val="nil"/>
              <w:left w:val="nil"/>
              <w:bottom w:val="single" w:sz="6" w:space="0" w:color="auto"/>
              <w:right w:val="nil"/>
            </w:tcBorders>
            <w:shd w:val="solid" w:color="FFFFFF" w:fill="auto"/>
          </w:tcPr>
          <w:p w:rsidR="00F87646" w:rsidRPr="00FA56FA" w:rsidRDefault="00F87646" w:rsidP="00FA56FA">
            <w:pPr>
              <w:pStyle w:val="TableofFigures"/>
              <w:rPr>
                <w:rFonts w:eastAsiaTheme="minorEastAsia"/>
                <w:color w:val="000000"/>
                <w:lang w:eastAsia="en-AU"/>
              </w:rPr>
            </w:pPr>
            <w:r w:rsidRPr="00FA56FA">
              <w:rPr>
                <w:rFonts w:eastAsiaTheme="minorEastAsia"/>
                <w:color w:val="000000"/>
                <w:lang w:eastAsia="en-AU"/>
              </w:rPr>
              <w:t>( 105.5)</w:t>
            </w:r>
          </w:p>
        </w:tc>
      </w:tr>
      <w:tr w:rsidR="00F87646" w:rsidRPr="00FA56FA" w:rsidTr="00FA56FA">
        <w:tc>
          <w:tcPr>
            <w:tcW w:w="3974" w:type="dxa"/>
            <w:tcBorders>
              <w:top w:val="single" w:sz="6" w:space="0" w:color="auto"/>
              <w:left w:val="nil"/>
              <w:bottom w:val="single" w:sz="12" w:space="0" w:color="auto"/>
              <w:right w:val="nil"/>
            </w:tcBorders>
            <w:shd w:val="solid" w:color="FFFFFF" w:fill="auto"/>
          </w:tcPr>
          <w:p w:rsidR="00F87646" w:rsidRPr="00FA56FA" w:rsidRDefault="00F87646" w:rsidP="00FA56FA">
            <w:pPr>
              <w:pStyle w:val="Tabletext"/>
              <w:rPr>
                <w:rFonts w:eastAsiaTheme="minorEastAsia"/>
                <w:b/>
                <w:bCs/>
                <w:lang w:eastAsia="en-AU"/>
              </w:rPr>
            </w:pPr>
            <w:r w:rsidRPr="00FA56FA">
              <w:rPr>
                <w:rFonts w:eastAsiaTheme="minorEastAsia"/>
                <w:b/>
                <w:bCs/>
                <w:lang w:eastAsia="en-AU"/>
              </w:rPr>
              <w:t xml:space="preserve">Net result from transactions </w:t>
            </w:r>
          </w:p>
        </w:tc>
        <w:tc>
          <w:tcPr>
            <w:tcW w:w="823" w:type="dxa"/>
            <w:tcBorders>
              <w:top w:val="single" w:sz="6" w:space="0" w:color="auto"/>
              <w:left w:val="nil"/>
              <w:bottom w:val="single" w:sz="12"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1 092.4</w:t>
            </w:r>
          </w:p>
        </w:tc>
        <w:tc>
          <w:tcPr>
            <w:tcW w:w="993" w:type="dxa"/>
            <w:tcBorders>
              <w:top w:val="single" w:sz="6" w:space="0" w:color="auto"/>
              <w:left w:val="nil"/>
              <w:bottom w:val="single" w:sz="12"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2 294.4</w:t>
            </w:r>
          </w:p>
        </w:tc>
        <w:tc>
          <w:tcPr>
            <w:tcW w:w="993" w:type="dxa"/>
            <w:gridSpan w:val="7"/>
            <w:tcBorders>
              <w:top w:val="single" w:sz="6" w:space="0" w:color="auto"/>
              <w:left w:val="nil"/>
              <w:bottom w:val="single" w:sz="12"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2 679.6</w:t>
            </w:r>
          </w:p>
        </w:tc>
        <w:tc>
          <w:tcPr>
            <w:tcW w:w="993" w:type="dxa"/>
            <w:tcBorders>
              <w:top w:val="single" w:sz="6" w:space="0" w:color="auto"/>
              <w:left w:val="nil"/>
              <w:bottom w:val="single" w:sz="12" w:space="0" w:color="auto"/>
              <w:right w:val="nil"/>
            </w:tcBorders>
            <w:shd w:val="solid" w:color="FFFFFF" w:fill="auto"/>
          </w:tcPr>
          <w:p w:rsidR="00F87646" w:rsidRPr="00FA56FA" w:rsidRDefault="00F87646" w:rsidP="00FA56FA">
            <w:pPr>
              <w:pStyle w:val="TableofFigures"/>
              <w:rPr>
                <w:rFonts w:eastAsiaTheme="minorEastAsia"/>
                <w:b/>
                <w:bCs/>
                <w:color w:val="000000"/>
                <w:lang w:eastAsia="en-AU"/>
              </w:rPr>
            </w:pPr>
            <w:r w:rsidRPr="00FA56FA">
              <w:rPr>
                <w:rFonts w:eastAsiaTheme="minorEastAsia"/>
                <w:b/>
                <w:bCs/>
                <w:color w:val="000000"/>
                <w:lang w:eastAsia="en-AU"/>
              </w:rPr>
              <w:t>2 965.2</w:t>
            </w:r>
          </w:p>
        </w:tc>
      </w:tr>
    </w:tbl>
    <w:p w:rsidR="00F87646" w:rsidRPr="002E2383" w:rsidRDefault="00F87646" w:rsidP="00180B7B">
      <w:pPr>
        <w:pStyle w:val="Source"/>
      </w:pPr>
      <w:r w:rsidRPr="002E2383">
        <w:t>Source: Department of Treasury and Finance</w:t>
      </w:r>
    </w:p>
    <w:p w:rsidR="00F87646" w:rsidRPr="002E2383" w:rsidRDefault="00F87646" w:rsidP="00DA32B5">
      <w:pPr>
        <w:pStyle w:val="Notes"/>
      </w:pPr>
      <w:r w:rsidRPr="002E2383">
        <w:t>Notes:</w:t>
      </w:r>
    </w:p>
    <w:p w:rsidR="00F87646" w:rsidRPr="002E2383" w:rsidRDefault="00F87646" w:rsidP="00DA32B5">
      <w:pPr>
        <w:pStyle w:val="Notes"/>
      </w:pPr>
      <w:r w:rsidRPr="002E2383">
        <w:t xml:space="preserve">(a) </w:t>
      </w:r>
      <w:r w:rsidRPr="002E2383">
        <w:tab/>
        <w:t>Investment income includes dividends, income tax and rate equivalent revenue and interest revenue.</w:t>
      </w:r>
    </w:p>
    <w:p w:rsidR="00F87646" w:rsidRPr="002E2383" w:rsidRDefault="00F87646" w:rsidP="00DA32B5">
      <w:pPr>
        <w:pStyle w:val="Notes"/>
      </w:pPr>
      <w:r w:rsidRPr="002E2383">
        <w:t xml:space="preserve">(b) </w:t>
      </w:r>
      <w:r w:rsidRPr="002E2383">
        <w:tab/>
        <w:t>Own</w:t>
      </w:r>
      <w:r>
        <w:noBreakHyphen/>
      </w:r>
      <w:r w:rsidRPr="002E2383">
        <w:t>source revenue variations represent third party variations by departments.</w:t>
      </w:r>
    </w:p>
    <w:p w:rsidR="00F87646" w:rsidRDefault="00F87646" w:rsidP="00DA32B5">
      <w:pPr>
        <w:pStyle w:val="Notes"/>
      </w:pPr>
      <w:r w:rsidRPr="002E2383">
        <w:t xml:space="preserve">(c) </w:t>
      </w:r>
      <w:r w:rsidRPr="002E2383">
        <w:tab/>
        <w:t>Includes the release of contingency for new policy decisions.</w:t>
      </w:r>
    </w:p>
    <w:p w:rsidR="00F87646" w:rsidRPr="002E2383" w:rsidRDefault="00F87646" w:rsidP="00DA32B5">
      <w:pPr>
        <w:pStyle w:val="Source"/>
      </w:pPr>
    </w:p>
    <w:p w:rsidR="00F87646" w:rsidRPr="002E2383" w:rsidRDefault="00F87646" w:rsidP="000711DF">
      <w:pPr>
        <w:pStyle w:val="Heading3"/>
      </w:pPr>
      <w:r w:rsidRPr="002E2383">
        <w:t>Variations to revenue from transactions</w:t>
      </w:r>
    </w:p>
    <w:p w:rsidR="00F87646" w:rsidRPr="002E2383" w:rsidRDefault="00F87646" w:rsidP="00DA32B5">
      <w:r w:rsidRPr="002E2383">
        <w:t xml:space="preserve">Variations to total revenue from transactions since the </w:t>
      </w:r>
      <w:r w:rsidRPr="002E2383">
        <w:rPr>
          <w:i/>
        </w:rPr>
        <w:t>2014</w:t>
      </w:r>
      <w:r>
        <w:rPr>
          <w:i/>
        </w:rPr>
        <w:noBreakHyphen/>
      </w:r>
      <w:r w:rsidRPr="002E2383">
        <w:rPr>
          <w:i/>
        </w:rPr>
        <w:t>15 Budget</w:t>
      </w:r>
      <w:r w:rsidRPr="002E2383">
        <w:t xml:space="preserve"> are mainly due to decreases in state taxation and Commonwealth capital grant payments, which are expected to be partly offset by stronger GST revenue and increased variations in own</w:t>
      </w:r>
      <w:r>
        <w:noBreakHyphen/>
      </w:r>
      <w:r w:rsidRPr="002E2383">
        <w:t>source revenue.</w:t>
      </w:r>
    </w:p>
    <w:p w:rsidR="00F87646" w:rsidRDefault="00F87646">
      <w:pPr>
        <w:spacing w:after="0"/>
        <w:rPr>
          <w:rFonts w:ascii="Calibri" w:hAnsi="Calibri"/>
          <w:i/>
          <w:sz w:val="24"/>
          <w:szCs w:val="22"/>
        </w:rPr>
      </w:pPr>
      <w:r>
        <w:rPr>
          <w:rFonts w:ascii="Calibri" w:hAnsi="Calibri"/>
          <w:i/>
          <w:sz w:val="24"/>
          <w:szCs w:val="22"/>
        </w:rPr>
        <w:br w:type="page"/>
      </w:r>
    </w:p>
    <w:p w:rsidR="00F87646" w:rsidRPr="002E2383" w:rsidRDefault="00F87646" w:rsidP="000711DF">
      <w:pPr>
        <w:pStyle w:val="Heading4"/>
      </w:pPr>
      <w:r w:rsidRPr="002E2383">
        <w:lastRenderedPageBreak/>
        <w:t>Policy decision variations</w:t>
      </w:r>
    </w:p>
    <w:p w:rsidR="00F87646" w:rsidRPr="002E2383" w:rsidRDefault="00F87646" w:rsidP="002E2383">
      <w:r w:rsidRPr="002E2383">
        <w:t>Policy decisions are forecast to increase revenue by $21</w:t>
      </w:r>
      <w:r>
        <w:t> million</w:t>
      </w:r>
      <w:r w:rsidRPr="002E2383">
        <w:t xml:space="preserve"> in 2014</w:t>
      </w:r>
      <w:r>
        <w:noBreakHyphen/>
      </w:r>
      <w:r w:rsidRPr="002E2383">
        <w:t xml:space="preserve">15 relative to the </w:t>
      </w:r>
      <w:r w:rsidRPr="002E2383">
        <w:rPr>
          <w:i/>
        </w:rPr>
        <w:t>2014</w:t>
      </w:r>
      <w:r>
        <w:rPr>
          <w:i/>
        </w:rPr>
        <w:noBreakHyphen/>
      </w:r>
      <w:r w:rsidRPr="002E2383">
        <w:rPr>
          <w:i/>
        </w:rPr>
        <w:t xml:space="preserve">15 Budget, </w:t>
      </w:r>
      <w:r w:rsidRPr="002E2383">
        <w:t>and by an average of $85</w:t>
      </w:r>
      <w:r>
        <w:t> million</w:t>
      </w:r>
      <w:r w:rsidRPr="002E2383">
        <w:t xml:space="preserve"> a year over the forward estimates largely due to increased tax compliance measures being implemented by the State Revenue Office.</w:t>
      </w:r>
    </w:p>
    <w:p w:rsidR="00F87646" w:rsidRPr="002E2383" w:rsidRDefault="00F87646" w:rsidP="002E2383">
      <w:r w:rsidRPr="002E2383">
        <w:t xml:space="preserve">Details of specific policy initiatives since the </w:t>
      </w:r>
      <w:r w:rsidRPr="002E2383">
        <w:rPr>
          <w:i/>
        </w:rPr>
        <w:t>2014</w:t>
      </w:r>
      <w:r>
        <w:rPr>
          <w:i/>
        </w:rPr>
        <w:noBreakHyphen/>
      </w:r>
      <w:r w:rsidRPr="002E2383">
        <w:rPr>
          <w:i/>
        </w:rPr>
        <w:t>15 Budget</w:t>
      </w:r>
      <w:r>
        <w:t xml:space="preserve"> are contained in Appendix </w:t>
      </w:r>
      <w:r w:rsidRPr="002E2383">
        <w:t xml:space="preserve">A </w:t>
      </w:r>
      <w:r w:rsidRPr="002E2383">
        <w:rPr>
          <w:i/>
        </w:rPr>
        <w:t xml:space="preserve">Specific policy initiatives affecting </w:t>
      </w:r>
      <w:r>
        <w:rPr>
          <w:i/>
        </w:rPr>
        <w:t xml:space="preserve">the </w:t>
      </w:r>
      <w:r w:rsidRPr="002E2383">
        <w:rPr>
          <w:i/>
        </w:rPr>
        <w:t>budget position</w:t>
      </w:r>
      <w:r w:rsidRPr="002E2383">
        <w:t>.</w:t>
      </w:r>
    </w:p>
    <w:p w:rsidR="00F87646" w:rsidRPr="002E2383" w:rsidRDefault="00F87646" w:rsidP="00A315B6">
      <w:pPr>
        <w:pStyle w:val="Heading4"/>
      </w:pPr>
      <w:r w:rsidRPr="002E2383">
        <w:t>Economic and demographic variations</w:t>
      </w:r>
    </w:p>
    <w:p w:rsidR="00F87646" w:rsidRPr="002E2383" w:rsidRDefault="00F87646" w:rsidP="002E2383">
      <w:r w:rsidRPr="002E2383">
        <w:t>Taxation revenue has been revised down by $176</w:t>
      </w:r>
      <w:r>
        <w:t> million</w:t>
      </w:r>
      <w:r w:rsidRPr="002E2383">
        <w:t xml:space="preserve"> in 2014</w:t>
      </w:r>
      <w:r>
        <w:noBreakHyphen/>
      </w:r>
      <w:r w:rsidRPr="002E2383">
        <w:t>15 and by $141</w:t>
      </w:r>
      <w:r>
        <w:t> million</w:t>
      </w:r>
      <w:r w:rsidRPr="002E2383">
        <w:t xml:space="preserve"> a year on average over the forward estimates. This is due to a range of economic and demographic factors, including:</w:t>
      </w:r>
    </w:p>
    <w:p w:rsidR="00F87646" w:rsidRPr="002E2383" w:rsidRDefault="00F87646" w:rsidP="006F423D">
      <w:pPr>
        <w:pStyle w:val="BulletText"/>
        <w:spacing w:after="70"/>
      </w:pPr>
      <w:r w:rsidRPr="002E2383">
        <w:t>decreases in land tax of $155</w:t>
      </w:r>
      <w:r>
        <w:t> million</w:t>
      </w:r>
      <w:r w:rsidRPr="002E2383">
        <w:t xml:space="preserve"> a year in 2014</w:t>
      </w:r>
      <w:r>
        <w:noBreakHyphen/>
      </w:r>
      <w:r w:rsidRPr="002E2383">
        <w:t>15 and 2015</w:t>
      </w:r>
      <w:r>
        <w:noBreakHyphen/>
      </w:r>
      <w:r w:rsidRPr="002E2383">
        <w:t>16, and $115</w:t>
      </w:r>
      <w:r>
        <w:t> million</w:t>
      </w:r>
      <w:r w:rsidRPr="002E2383">
        <w:t xml:space="preserve"> in 2016</w:t>
      </w:r>
      <w:r>
        <w:noBreakHyphen/>
      </w:r>
      <w:r w:rsidRPr="002E2383">
        <w:t>17 and 2017</w:t>
      </w:r>
      <w:r>
        <w:noBreakHyphen/>
      </w:r>
      <w:r w:rsidRPr="002E2383">
        <w:t>18, due to a lower than expected outcome of the 2014 revaluation by the Valuer</w:t>
      </w:r>
      <w:r>
        <w:noBreakHyphen/>
      </w:r>
      <w:r w:rsidRPr="002E2383">
        <w:t>General;</w:t>
      </w:r>
    </w:p>
    <w:p w:rsidR="00F87646" w:rsidRPr="002E2383" w:rsidRDefault="00F87646" w:rsidP="006F423D">
      <w:pPr>
        <w:pStyle w:val="BulletText"/>
        <w:spacing w:after="70"/>
      </w:pPr>
      <w:r w:rsidRPr="002E2383">
        <w:t>decreases in land transfer duty of $22</w:t>
      </w:r>
      <w:r>
        <w:t> million</w:t>
      </w:r>
      <w:r w:rsidRPr="002E2383">
        <w:t xml:space="preserve"> in 2014</w:t>
      </w:r>
      <w:r>
        <w:noBreakHyphen/>
      </w:r>
      <w:r w:rsidRPr="002E2383">
        <w:t>15 and $24</w:t>
      </w:r>
      <w:r>
        <w:t> million</w:t>
      </w:r>
      <w:r w:rsidRPr="002E2383">
        <w:t xml:space="preserve"> a year on average over the forward estimates reflecting slightly weaker actuals for 2013</w:t>
      </w:r>
      <w:r>
        <w:noBreakHyphen/>
      </w:r>
      <w:r w:rsidRPr="002E2383">
        <w:t>14, compared with the revised budget forecast in May; and</w:t>
      </w:r>
    </w:p>
    <w:p w:rsidR="00F87646" w:rsidRPr="002E2383" w:rsidRDefault="00F87646" w:rsidP="006F423D">
      <w:pPr>
        <w:pStyle w:val="BulletText"/>
        <w:spacing w:after="70"/>
      </w:pPr>
      <w:r w:rsidRPr="002E2383">
        <w:t>decreases in motor vehicle taxes of $28</w:t>
      </w:r>
      <w:r>
        <w:t> million</w:t>
      </w:r>
      <w:r w:rsidRPr="002E2383">
        <w:t xml:space="preserve"> in 2014</w:t>
      </w:r>
      <w:r>
        <w:noBreakHyphen/>
      </w:r>
      <w:r w:rsidRPr="002E2383">
        <w:t>15 and $18</w:t>
      </w:r>
      <w:r>
        <w:t> million</w:t>
      </w:r>
      <w:r w:rsidRPr="002E2383">
        <w:t xml:space="preserve"> a year on average over the forward estimates, due to weaker than expected revenue from vehicle registrations.</w:t>
      </w:r>
    </w:p>
    <w:p w:rsidR="00F87646" w:rsidRPr="002E2383" w:rsidRDefault="00F87646" w:rsidP="002E2383">
      <w:r w:rsidRPr="002E2383">
        <w:t>These downward revisions have been partly offset by upward revisions to insurance taxes of $19</w:t>
      </w:r>
      <w:r>
        <w:t> million</w:t>
      </w:r>
      <w:r w:rsidRPr="002E2383">
        <w:t xml:space="preserve"> in 2014</w:t>
      </w:r>
      <w:r>
        <w:noBreakHyphen/>
      </w:r>
      <w:r w:rsidRPr="002E2383">
        <w:t>15 and $24</w:t>
      </w:r>
      <w:r>
        <w:t> million</w:t>
      </w:r>
      <w:r w:rsidRPr="002E2383">
        <w:t xml:space="preserve"> a year on average over the forward estimates, reflecting stronger than expected growth in miscellaneous categories of general insurance.</w:t>
      </w:r>
    </w:p>
    <w:p w:rsidR="00F87646" w:rsidRDefault="00F87646" w:rsidP="002E2383">
      <w:r w:rsidRPr="002E2383">
        <w:t>Investment income is expected to increase by $50</w:t>
      </w:r>
      <w:r>
        <w:t>7 million</w:t>
      </w:r>
      <w:r w:rsidRPr="002E2383">
        <w:t xml:space="preserve"> in 2014</w:t>
      </w:r>
      <w:r>
        <w:noBreakHyphen/>
      </w:r>
      <w:r w:rsidRPr="002E2383">
        <w:t>15 and then decrease by an average of $6</w:t>
      </w:r>
      <w:r>
        <w:t>5 million</w:t>
      </w:r>
      <w:r w:rsidRPr="002E2383">
        <w:t xml:space="preserve"> over the forward estimates. These movements are largely caused by:</w:t>
      </w:r>
    </w:p>
    <w:p w:rsidR="00F87646" w:rsidRPr="002E2383" w:rsidRDefault="00F87646" w:rsidP="00D32221">
      <w:pPr>
        <w:pStyle w:val="BulletText"/>
        <w:spacing w:after="70"/>
      </w:pPr>
      <w:r w:rsidRPr="00854278">
        <w:t>higher dividends for the PFC sector of $328</w:t>
      </w:r>
      <w:r>
        <w:t> million in 2014</w:t>
      </w:r>
      <w:r>
        <w:noBreakHyphen/>
        <w:t>15</w:t>
      </w:r>
      <w:r w:rsidRPr="00854278">
        <w:t xml:space="preserve"> reflecting the rephasing of interim dividend payments from 2013</w:t>
      </w:r>
      <w:r>
        <w:noBreakHyphen/>
      </w:r>
      <w:r w:rsidRPr="00854278">
        <w:t>14 to 2014</w:t>
      </w:r>
      <w:r>
        <w:noBreakHyphen/>
        <w:t>15</w:t>
      </w:r>
      <w:r w:rsidRPr="00854278">
        <w:t xml:space="preserve"> and </w:t>
      </w:r>
      <w:r>
        <w:t xml:space="preserve">the impact of </w:t>
      </w:r>
      <w:r w:rsidRPr="00854278">
        <w:t>improved operating</w:t>
      </w:r>
      <w:r>
        <w:t xml:space="preserve"> performance on 2014</w:t>
      </w:r>
      <w:r>
        <w:noBreakHyphen/>
      </w:r>
      <w:r w:rsidRPr="00854278">
        <w:t>15</w:t>
      </w:r>
      <w:r>
        <w:t xml:space="preserve"> dividends; </w:t>
      </w:r>
    </w:p>
    <w:p w:rsidR="00F87646" w:rsidRPr="002E2383" w:rsidRDefault="00F87646" w:rsidP="00D32221">
      <w:pPr>
        <w:pStyle w:val="BulletText"/>
        <w:spacing w:after="70"/>
      </w:pPr>
      <w:r w:rsidRPr="002E2383">
        <w:t>lower income tax equivalent revenue from the PFC sector in 2016</w:t>
      </w:r>
      <w:r>
        <w:noBreakHyphen/>
      </w:r>
      <w:r w:rsidRPr="002E2383">
        <w:t>17 of $177</w:t>
      </w:r>
      <w:r>
        <w:t> million</w:t>
      </w:r>
      <w:r w:rsidRPr="002E2383">
        <w:t>; and</w:t>
      </w:r>
    </w:p>
    <w:p w:rsidR="00F87646" w:rsidRDefault="00F87646" w:rsidP="00D32221">
      <w:pPr>
        <w:pStyle w:val="BulletText"/>
        <w:spacing w:after="70"/>
      </w:pPr>
      <w:r w:rsidRPr="002E2383">
        <w:t>lower dividend revenue from both the PFC and PNFC sectors over the forward estimates.</w:t>
      </w:r>
    </w:p>
    <w:p w:rsidR="00F87646" w:rsidRPr="002E2383" w:rsidRDefault="00F87646" w:rsidP="00A315B6">
      <w:pPr>
        <w:pStyle w:val="Heading4"/>
      </w:pPr>
      <w:r w:rsidRPr="002E2383">
        <w:t>Commonwealth grants variations</w:t>
      </w:r>
    </w:p>
    <w:p w:rsidR="00F87646" w:rsidRPr="002E2383" w:rsidRDefault="00F87646" w:rsidP="002E2383">
      <w:r w:rsidRPr="002E2383">
        <w:t>General purpose grants (</w:t>
      </w:r>
      <w:r>
        <w:t>GST) have been revised up by $217 million</w:t>
      </w:r>
      <w:r w:rsidRPr="002E2383">
        <w:t xml:space="preserve"> in 2014</w:t>
      </w:r>
      <w:r>
        <w:noBreakHyphen/>
      </w:r>
      <w:r w:rsidRPr="002E2383">
        <w:t>15, down by $34</w:t>
      </w:r>
      <w:r>
        <w:t> million</w:t>
      </w:r>
      <w:r w:rsidRPr="002E2383">
        <w:t xml:space="preserve"> a year on average from 2015</w:t>
      </w:r>
      <w:r>
        <w:noBreakHyphen/>
      </w:r>
      <w:r w:rsidRPr="002E2383">
        <w:t>16 to 2016</w:t>
      </w:r>
      <w:r>
        <w:noBreakHyphen/>
      </w:r>
      <w:r w:rsidRPr="002E2383">
        <w:t>17 and up by $243</w:t>
      </w:r>
      <w:r>
        <w:t> million</w:t>
      </w:r>
      <w:r w:rsidRPr="002E2383">
        <w:t xml:space="preserve"> in 2017</w:t>
      </w:r>
      <w:r>
        <w:noBreakHyphen/>
      </w:r>
      <w:r w:rsidRPr="002E2383">
        <w:t>18. These variations reflect:</w:t>
      </w:r>
    </w:p>
    <w:p w:rsidR="00F87646" w:rsidRPr="002E2383" w:rsidRDefault="00F87646" w:rsidP="006F423D">
      <w:pPr>
        <w:pStyle w:val="BulletText"/>
        <w:spacing w:after="70"/>
        <w:rPr>
          <w:lang w:eastAsia="en-AU"/>
        </w:rPr>
      </w:pPr>
      <w:r w:rsidRPr="002E2383">
        <w:rPr>
          <w:lang w:eastAsia="en-AU"/>
        </w:rPr>
        <w:t>stronger than expected growth in the national GST pool in 2013</w:t>
      </w:r>
      <w:r>
        <w:rPr>
          <w:lang w:eastAsia="en-AU"/>
        </w:rPr>
        <w:noBreakHyphen/>
      </w:r>
      <w:r w:rsidRPr="002E2383">
        <w:rPr>
          <w:lang w:eastAsia="en-AU"/>
        </w:rPr>
        <w:t xml:space="preserve">14; offset by </w:t>
      </w:r>
    </w:p>
    <w:p w:rsidR="00F87646" w:rsidRPr="002E2383" w:rsidRDefault="00F87646" w:rsidP="006F423D">
      <w:pPr>
        <w:pStyle w:val="BulletText"/>
        <w:spacing w:after="70"/>
      </w:pPr>
      <w:r w:rsidRPr="002E2383">
        <w:rPr>
          <w:lang w:eastAsia="en-AU"/>
        </w:rPr>
        <w:t>Victoria</w:t>
      </w:r>
      <w:r>
        <w:rPr>
          <w:lang w:eastAsia="en-AU"/>
        </w:rPr>
        <w:t>’</w:t>
      </w:r>
      <w:r w:rsidRPr="002E2383">
        <w:rPr>
          <w:lang w:eastAsia="en-AU"/>
        </w:rPr>
        <w:t xml:space="preserve">s GST share decreasing as a result of changes to other Commonwealth grants in the </w:t>
      </w:r>
      <w:r w:rsidRPr="002E2383">
        <w:rPr>
          <w:i/>
          <w:lang w:eastAsia="en-AU"/>
        </w:rPr>
        <w:t>2014</w:t>
      </w:r>
      <w:r>
        <w:rPr>
          <w:i/>
          <w:lang w:eastAsia="en-AU"/>
        </w:rPr>
        <w:noBreakHyphen/>
      </w:r>
      <w:r w:rsidRPr="002E2383">
        <w:rPr>
          <w:i/>
          <w:lang w:eastAsia="en-AU"/>
        </w:rPr>
        <w:t>15 Commonwealth Budget</w:t>
      </w:r>
      <w:r w:rsidRPr="002E2383">
        <w:rPr>
          <w:lang w:eastAsia="en-AU"/>
        </w:rPr>
        <w:t>.</w:t>
      </w:r>
    </w:p>
    <w:p w:rsidR="00F87646" w:rsidRPr="002E2383" w:rsidRDefault="00F87646" w:rsidP="002E2383">
      <w:r w:rsidRPr="002E2383">
        <w:lastRenderedPageBreak/>
        <w:t>Commonwealth specific purpose and national partnership grants r</w:t>
      </w:r>
      <w:r>
        <w:t>evenue is expected to fall by $554 million</w:t>
      </w:r>
      <w:r w:rsidRPr="002E2383">
        <w:t xml:space="preserve"> in 2014</w:t>
      </w:r>
      <w:r>
        <w:noBreakHyphen/>
      </w:r>
      <w:r w:rsidRPr="002E2383">
        <w:t>15 and decrease by an average of $</w:t>
      </w:r>
      <w:r>
        <w:t>495 million</w:t>
      </w:r>
      <w:r w:rsidRPr="002E2383">
        <w:t xml:space="preserve"> a year over the forward estimates. These reductions largely reflect the prepayment in 2013</w:t>
      </w:r>
      <w:r>
        <w:noBreakHyphen/>
      </w:r>
      <w:r w:rsidRPr="002E2383">
        <w:t>14 by the Commonwealth of $1</w:t>
      </w:r>
      <w:r>
        <w:t> billion</w:t>
      </w:r>
      <w:r w:rsidRPr="002E2383">
        <w:t xml:space="preserve"> of its total contribution to the East West Link, resulting in revenue being reduced by $500</w:t>
      </w:r>
      <w:r>
        <w:t> million</w:t>
      </w:r>
      <w:r w:rsidRPr="002E2383">
        <w:t xml:space="preserve"> in 2014</w:t>
      </w:r>
      <w:r>
        <w:noBreakHyphen/>
      </w:r>
      <w:r w:rsidRPr="002E2383">
        <w:t>15 and a further $500</w:t>
      </w:r>
      <w:r>
        <w:t> million</w:t>
      </w:r>
      <w:r w:rsidRPr="002E2383">
        <w:t xml:space="preserve"> over the forward estimates, along with $500</w:t>
      </w:r>
      <w:r>
        <w:t> million</w:t>
      </w:r>
      <w:r w:rsidRPr="002E2383">
        <w:t xml:space="preserve"> being deferred from 2017</w:t>
      </w:r>
      <w:r>
        <w:noBreakHyphen/>
      </w:r>
      <w:r w:rsidRPr="002E2383">
        <w:t>18 to 2018</w:t>
      </w:r>
      <w:r>
        <w:noBreakHyphen/>
      </w:r>
      <w:r w:rsidRPr="002E2383">
        <w:t>19.</w:t>
      </w:r>
    </w:p>
    <w:p w:rsidR="00F87646" w:rsidRPr="002E2383" w:rsidRDefault="00F87646" w:rsidP="00DA32B5">
      <w:r w:rsidRPr="002E2383">
        <w:t>Other movements to Commonwealth specific purpose and national partnership grants include:</w:t>
      </w:r>
    </w:p>
    <w:p w:rsidR="00F87646" w:rsidRPr="002E2383" w:rsidRDefault="00F87646" w:rsidP="00DA32B5">
      <w:pPr>
        <w:pStyle w:val="BulletText"/>
      </w:pPr>
      <w:r w:rsidRPr="002E2383">
        <w:t>the cessation of the National Partnership Agreement on Certain Concessions for Pensioner Concession Card and Seniors Card Holders grants averaging $76</w:t>
      </w:r>
      <w:r>
        <w:t> million</w:t>
      </w:r>
      <w:r w:rsidRPr="002E2383">
        <w:t xml:space="preserve"> a year over the budget and forward estimates;</w:t>
      </w:r>
    </w:p>
    <w:p w:rsidR="00F87646" w:rsidRPr="002E2383" w:rsidRDefault="00F87646" w:rsidP="00DA32B5">
      <w:pPr>
        <w:pStyle w:val="BulletText"/>
      </w:pPr>
      <w:r w:rsidRPr="002E2383">
        <w:t>reduced grants for government schools averaging $58</w:t>
      </w:r>
      <w:r>
        <w:t> million</w:t>
      </w:r>
      <w:r w:rsidRPr="002E2383">
        <w:t xml:space="preserve"> a year over the budget and forward estimates, including a reduction of $105</w:t>
      </w:r>
      <w:r>
        <w:t> million</w:t>
      </w:r>
      <w:r w:rsidRPr="002E2383">
        <w:t xml:space="preserve"> in 2017</w:t>
      </w:r>
      <w:r>
        <w:noBreakHyphen/>
      </w:r>
      <w:r w:rsidRPr="002E2383">
        <w:t>18;</w:t>
      </w:r>
    </w:p>
    <w:p w:rsidR="00F87646" w:rsidRDefault="00F87646" w:rsidP="00DA32B5">
      <w:pPr>
        <w:pStyle w:val="BulletText"/>
      </w:pPr>
      <w:r w:rsidRPr="002E2383">
        <w:t>lower expected funding for hospitals in 2017</w:t>
      </w:r>
      <w:r>
        <w:noBreakHyphen/>
        <w:t>18;</w:t>
      </w:r>
    </w:p>
    <w:p w:rsidR="00F87646" w:rsidRDefault="00F87646" w:rsidP="00DA32B5">
      <w:pPr>
        <w:pStyle w:val="BulletText"/>
      </w:pPr>
      <w:r w:rsidRPr="002E2383">
        <w:t xml:space="preserve">a reduction in expected </w:t>
      </w:r>
      <w:r w:rsidRPr="005F3651">
        <w:rPr>
          <w:i/>
        </w:rPr>
        <w:t>Our Water Our Future</w:t>
      </w:r>
      <w:r w:rsidRPr="002E2383">
        <w:t xml:space="preserve"> grant payments of $125</w:t>
      </w:r>
      <w:r>
        <w:t> million</w:t>
      </w:r>
      <w:r w:rsidRPr="002E2383">
        <w:t xml:space="preserve"> in 2017</w:t>
      </w:r>
      <w:r>
        <w:noBreakHyphen/>
        <w:t>18; partially offset by</w:t>
      </w:r>
      <w:r>
        <w:tab/>
      </w:r>
    </w:p>
    <w:p w:rsidR="00F87646" w:rsidRPr="002E2383" w:rsidRDefault="00F87646" w:rsidP="00FC72C5">
      <w:pPr>
        <w:pStyle w:val="BulletText"/>
      </w:pPr>
      <w:r>
        <w:t xml:space="preserve">additional funding provided under the Universal Access to Early Childhood Education </w:t>
      </w:r>
      <w:r w:rsidRPr="002E2383">
        <w:t>National Partnership</w:t>
      </w:r>
      <w:r>
        <w:t xml:space="preserve"> averaging $49 million a year over 2014</w:t>
      </w:r>
      <w:r>
        <w:noBreakHyphen/>
        <w:t>15 and 2015</w:t>
      </w:r>
      <w:r>
        <w:noBreakHyphen/>
        <w:t xml:space="preserve">16, and funding averaging $57 million a year across the forward estimates for the Tullamarine Freeway widening – </w:t>
      </w:r>
      <w:r w:rsidRPr="00FC72C5">
        <w:t>Melrose D</w:t>
      </w:r>
      <w:r>
        <w:t>r</w:t>
      </w:r>
      <w:r w:rsidRPr="00FC72C5">
        <w:t>ive to the Airport</w:t>
      </w:r>
      <w:r>
        <w:t xml:space="preserve"> project.</w:t>
      </w:r>
    </w:p>
    <w:p w:rsidR="00F87646" w:rsidRPr="002E2383" w:rsidRDefault="00F87646" w:rsidP="00A315B6">
      <w:pPr>
        <w:pStyle w:val="Heading4"/>
      </w:pPr>
      <w:r w:rsidRPr="002E2383">
        <w:t>Own</w:t>
      </w:r>
      <w:r>
        <w:noBreakHyphen/>
      </w:r>
      <w:r w:rsidRPr="002E2383">
        <w:t>source revenue variations</w:t>
      </w:r>
    </w:p>
    <w:p w:rsidR="00F87646" w:rsidRPr="002E2383" w:rsidRDefault="00F87646" w:rsidP="002E2383">
      <w:r w:rsidRPr="002E2383">
        <w:t>Own</w:t>
      </w:r>
      <w:r>
        <w:noBreakHyphen/>
      </w:r>
      <w:r w:rsidRPr="002E2383">
        <w:t>source revenue has been revised up by $164</w:t>
      </w:r>
      <w:r>
        <w:t> million</w:t>
      </w:r>
      <w:r w:rsidRPr="002E2383">
        <w:t xml:space="preserve"> in 2014</w:t>
      </w:r>
      <w:r>
        <w:noBreakHyphen/>
      </w:r>
      <w:r w:rsidRPr="002E2383">
        <w:t>15 and by an average of $48</w:t>
      </w:r>
      <w:r>
        <w:t> million</w:t>
      </w:r>
      <w:r w:rsidRPr="002E2383">
        <w:t xml:space="preserve"> a year over the forward estimates. These movements are largely due to:</w:t>
      </w:r>
    </w:p>
    <w:p w:rsidR="00F87646" w:rsidRPr="002E2383" w:rsidRDefault="00F87646" w:rsidP="002E2383">
      <w:pPr>
        <w:numPr>
          <w:ilvl w:val="0"/>
          <w:numId w:val="22"/>
        </w:numPr>
      </w:pPr>
      <w:r w:rsidRPr="002E2383">
        <w:t>additional expected operating revenues each year from the hospitals sector and other agencies which are matched by higher expected own</w:t>
      </w:r>
      <w:r>
        <w:noBreakHyphen/>
      </w:r>
      <w:r w:rsidRPr="002E2383">
        <w:t>source expenses; and</w:t>
      </w:r>
    </w:p>
    <w:p w:rsidR="00F87646" w:rsidRPr="002E2383" w:rsidRDefault="00F87646" w:rsidP="002E2383">
      <w:pPr>
        <w:numPr>
          <w:ilvl w:val="0"/>
          <w:numId w:val="22"/>
        </w:numPr>
      </w:pPr>
      <w:r w:rsidRPr="002E2383">
        <w:t>higher forecast revenue for Kew Residential Services in 2014</w:t>
      </w:r>
      <w:r>
        <w:noBreakHyphen/>
      </w:r>
      <w:r w:rsidRPr="002E2383">
        <w:t>15.</w:t>
      </w:r>
    </w:p>
    <w:p w:rsidR="00F87646" w:rsidRPr="002E2383" w:rsidRDefault="00F87646" w:rsidP="00A315B6">
      <w:pPr>
        <w:pStyle w:val="Heading4"/>
      </w:pPr>
      <w:r w:rsidRPr="002E2383">
        <w:t>Administrative variations</w:t>
      </w:r>
    </w:p>
    <w:p w:rsidR="00F87646" w:rsidRPr="002E2383" w:rsidRDefault="00F87646" w:rsidP="002E2383">
      <w:r w:rsidRPr="002E2383">
        <w:t>Administrative revenue has been revised up by an average of $</w:t>
      </w:r>
      <w:r>
        <w:t>20 million</w:t>
      </w:r>
      <w:r w:rsidRPr="002E2383">
        <w:t xml:space="preserve"> a year over the budget and forward estimates</w:t>
      </w:r>
      <w:r>
        <w:t xml:space="preserve"> </w:t>
      </w:r>
      <w:r w:rsidRPr="002E2383">
        <w:t xml:space="preserve">relative to the </w:t>
      </w:r>
      <w:r w:rsidRPr="002E2383">
        <w:rPr>
          <w:i/>
        </w:rPr>
        <w:t>2014</w:t>
      </w:r>
      <w:r>
        <w:rPr>
          <w:i/>
        </w:rPr>
        <w:noBreakHyphen/>
      </w:r>
      <w:r w:rsidRPr="002E2383">
        <w:rPr>
          <w:i/>
        </w:rPr>
        <w:t>15 Budget</w:t>
      </w:r>
      <w:r w:rsidRPr="002E2383">
        <w:t xml:space="preserve">. This reflects various administrative movements including the accounting recognition of the use of </w:t>
      </w:r>
      <w:r w:rsidRPr="002E2383">
        <w:rPr>
          <w:i/>
        </w:rPr>
        <w:t>myki</w:t>
      </w:r>
      <w:r w:rsidRPr="002E2383">
        <w:t xml:space="preserve"> assets (owned by VicTrack) by Public Transport Victoria, partly offset by lower than </w:t>
      </w:r>
      <w:r>
        <w:t>expected</w:t>
      </w:r>
      <w:r w:rsidRPr="002E2383">
        <w:t xml:space="preserve"> fees and fines revenue in 2014</w:t>
      </w:r>
      <w:r>
        <w:noBreakHyphen/>
      </w:r>
      <w:r w:rsidRPr="002E2383">
        <w:t>15 and 2015</w:t>
      </w:r>
      <w:r>
        <w:noBreakHyphen/>
      </w:r>
      <w:r w:rsidRPr="002E2383">
        <w:t>16.</w:t>
      </w:r>
    </w:p>
    <w:p w:rsidR="00F87646" w:rsidRPr="002E2383" w:rsidRDefault="00F87646" w:rsidP="00A315B6">
      <w:pPr>
        <w:pStyle w:val="Heading3"/>
      </w:pPr>
      <w:r w:rsidRPr="002E2383">
        <w:t>Variations to expenses from transactions</w:t>
      </w:r>
    </w:p>
    <w:p w:rsidR="00F87646" w:rsidRPr="002E2383" w:rsidRDefault="00F87646" w:rsidP="002E2383">
      <w:r w:rsidRPr="002E2383">
        <w:t xml:space="preserve">Relative to the </w:t>
      </w:r>
      <w:r w:rsidRPr="002E2383">
        <w:rPr>
          <w:i/>
        </w:rPr>
        <w:t>2014</w:t>
      </w:r>
      <w:r>
        <w:rPr>
          <w:i/>
        </w:rPr>
        <w:noBreakHyphen/>
      </w:r>
      <w:r w:rsidRPr="002E2383">
        <w:rPr>
          <w:i/>
        </w:rPr>
        <w:t>15 Budget</w:t>
      </w:r>
      <w:r w:rsidRPr="002E2383">
        <w:t>, total expenses are higher by $</w:t>
      </w:r>
      <w:r>
        <w:t>344 million</w:t>
      </w:r>
      <w:r w:rsidRPr="002E2383">
        <w:t xml:space="preserve"> in 2014</w:t>
      </w:r>
      <w:r>
        <w:noBreakHyphen/>
      </w:r>
      <w:r w:rsidRPr="002E2383">
        <w:t>15 and by an average of $1</w:t>
      </w:r>
      <w:r>
        <w:t>62 million</w:t>
      </w:r>
      <w:r w:rsidRPr="002E2383">
        <w:t xml:space="preserve"> a year to 2016</w:t>
      </w:r>
      <w:r>
        <w:noBreakHyphen/>
      </w:r>
      <w:r w:rsidRPr="002E2383">
        <w:t>17, and lower by $1</w:t>
      </w:r>
      <w:r>
        <w:t>05 million</w:t>
      </w:r>
      <w:r w:rsidRPr="002E2383">
        <w:t xml:space="preserve"> in 2017</w:t>
      </w:r>
      <w:r>
        <w:noBreakHyphen/>
      </w:r>
      <w:r w:rsidRPr="002E2383">
        <w:t>18. These movements are largely driven by policy decision variations and variations in own</w:t>
      </w:r>
      <w:r>
        <w:noBreakHyphen/>
      </w:r>
      <w:r w:rsidRPr="002E2383">
        <w:t>source revenue, partly offset by a fall in Commonwealth grant expenses</w:t>
      </w:r>
      <w:r>
        <w:t xml:space="preserve"> from 2016</w:t>
      </w:r>
      <w:r>
        <w:noBreakHyphen/>
        <w:t>17</w:t>
      </w:r>
      <w:r w:rsidRPr="002E2383">
        <w:t>.</w:t>
      </w:r>
    </w:p>
    <w:p w:rsidR="00F87646" w:rsidRPr="002E2383" w:rsidRDefault="00F87646" w:rsidP="00A315B6">
      <w:pPr>
        <w:pStyle w:val="Heading4"/>
      </w:pPr>
      <w:r w:rsidRPr="002E2383">
        <w:lastRenderedPageBreak/>
        <w:t>Policy decision variations</w:t>
      </w:r>
    </w:p>
    <w:p w:rsidR="00F87646" w:rsidRPr="002E2383" w:rsidRDefault="00F87646" w:rsidP="002E2383">
      <w:r w:rsidRPr="002E2383">
        <w:t xml:space="preserve">New output policy decisions since the </w:t>
      </w:r>
      <w:r w:rsidRPr="002E2383">
        <w:rPr>
          <w:i/>
        </w:rPr>
        <w:t>2014</w:t>
      </w:r>
      <w:r>
        <w:rPr>
          <w:i/>
        </w:rPr>
        <w:noBreakHyphen/>
      </w:r>
      <w:r w:rsidRPr="002E2383">
        <w:rPr>
          <w:i/>
        </w:rPr>
        <w:t>15 Budget</w:t>
      </w:r>
      <w:r w:rsidRPr="002E2383">
        <w:t xml:space="preserve"> cost $1</w:t>
      </w:r>
      <w:r>
        <w:t>25 million</w:t>
      </w:r>
      <w:r w:rsidRPr="002E2383">
        <w:t xml:space="preserve"> in 2014</w:t>
      </w:r>
      <w:r>
        <w:noBreakHyphen/>
      </w:r>
      <w:r w:rsidRPr="002E2383">
        <w:t>15 and an average of $1</w:t>
      </w:r>
      <w:r>
        <w:t>52 million</w:t>
      </w:r>
      <w:r w:rsidRPr="002E2383">
        <w:t xml:space="preserve"> a year over the forward estimates.</w:t>
      </w:r>
    </w:p>
    <w:p w:rsidR="00F87646" w:rsidRPr="002E2383" w:rsidRDefault="00F87646" w:rsidP="002E2383">
      <w:r w:rsidRPr="002E2383">
        <w:t xml:space="preserve">Details of new policy initiatives since the </w:t>
      </w:r>
      <w:r w:rsidRPr="002E2383">
        <w:rPr>
          <w:i/>
        </w:rPr>
        <w:t>2014</w:t>
      </w:r>
      <w:r>
        <w:rPr>
          <w:i/>
        </w:rPr>
        <w:noBreakHyphen/>
      </w:r>
      <w:r w:rsidRPr="002E2383">
        <w:rPr>
          <w:i/>
        </w:rPr>
        <w:t>15 Budget</w:t>
      </w:r>
      <w:r w:rsidRPr="002E2383">
        <w:t xml:space="preserve"> are contained in Appendix</w:t>
      </w:r>
      <w:r>
        <w:t> </w:t>
      </w:r>
      <w:r w:rsidRPr="002E2383">
        <w:t xml:space="preserve">A </w:t>
      </w:r>
      <w:r w:rsidRPr="002E2383">
        <w:rPr>
          <w:i/>
        </w:rPr>
        <w:t xml:space="preserve">Specific policy initiatives affecting </w:t>
      </w:r>
      <w:r>
        <w:rPr>
          <w:i/>
        </w:rPr>
        <w:t xml:space="preserve">the </w:t>
      </w:r>
      <w:r w:rsidRPr="002E2383">
        <w:rPr>
          <w:i/>
        </w:rPr>
        <w:t>budget position</w:t>
      </w:r>
      <w:r w:rsidRPr="002E2383">
        <w:t>.</w:t>
      </w:r>
    </w:p>
    <w:p w:rsidR="00F87646" w:rsidRPr="002E2383" w:rsidRDefault="00F87646" w:rsidP="00A315B6">
      <w:pPr>
        <w:pStyle w:val="Heading4"/>
      </w:pPr>
      <w:r w:rsidRPr="002E2383">
        <w:t>Commonwealth grants variations</w:t>
      </w:r>
    </w:p>
    <w:p w:rsidR="00F87646" w:rsidRPr="002E2383" w:rsidRDefault="00F87646" w:rsidP="002E2383">
      <w:r w:rsidRPr="002E2383">
        <w:t>Commonwealth grants expenditure has been revised up</w:t>
      </w:r>
      <w:r>
        <w:t xml:space="preserve"> by</w:t>
      </w:r>
      <w:r w:rsidRPr="002E2383">
        <w:t xml:space="preserve"> </w:t>
      </w:r>
      <w:r>
        <w:t>$101 million</w:t>
      </w:r>
      <w:r w:rsidRPr="002E2383">
        <w:t> </w:t>
      </w:r>
      <w:r>
        <w:t>in 2014</w:t>
      </w:r>
      <w:r>
        <w:noBreakHyphen/>
        <w:t>15 and $40 million in 2015</w:t>
      </w:r>
      <w:r>
        <w:noBreakHyphen/>
        <w:t xml:space="preserve">16, </w:t>
      </w:r>
      <w:r w:rsidRPr="002E2383">
        <w:t>and down by an average of $1</w:t>
      </w:r>
      <w:r>
        <w:t>70 million</w:t>
      </w:r>
      <w:r w:rsidRPr="002E2383">
        <w:t xml:space="preserve"> a year </w:t>
      </w:r>
      <w:r>
        <w:t>for 2016</w:t>
      </w:r>
      <w:r>
        <w:noBreakHyphen/>
        <w:t>17 and 2017</w:t>
      </w:r>
      <w:r>
        <w:noBreakHyphen/>
        <w:t>18</w:t>
      </w:r>
      <w:r w:rsidRPr="002E2383">
        <w:t xml:space="preserve">. The downwards movements </w:t>
      </w:r>
      <w:r>
        <w:t>from 2016</w:t>
      </w:r>
      <w:r>
        <w:noBreakHyphen/>
        <w:t>17</w:t>
      </w:r>
      <w:r w:rsidRPr="002E2383">
        <w:t xml:space="preserve"> primarily reflect movements in associated Commonwealth grant revenues, including:</w:t>
      </w:r>
    </w:p>
    <w:p w:rsidR="00F87646" w:rsidRPr="002E2383" w:rsidRDefault="00F87646" w:rsidP="002E2383">
      <w:pPr>
        <w:numPr>
          <w:ilvl w:val="0"/>
          <w:numId w:val="22"/>
        </w:numPr>
      </w:pPr>
      <w:r>
        <w:t>reduced</w:t>
      </w:r>
      <w:r w:rsidRPr="002E2383">
        <w:t xml:space="preserve"> funding for government schools and hospitals; and</w:t>
      </w:r>
    </w:p>
    <w:p w:rsidR="00F87646" w:rsidRPr="002E2383" w:rsidRDefault="00F87646" w:rsidP="002E2383">
      <w:pPr>
        <w:numPr>
          <w:ilvl w:val="0"/>
          <w:numId w:val="22"/>
        </w:numPr>
      </w:pPr>
      <w:r w:rsidRPr="002E2383">
        <w:t>lower on</w:t>
      </w:r>
      <w:r>
        <w:noBreakHyphen/>
      </w:r>
      <w:r w:rsidRPr="002E2383">
        <w:t>passed local government grants.</w:t>
      </w:r>
    </w:p>
    <w:p w:rsidR="00F87646" w:rsidRPr="002E2383" w:rsidRDefault="00F87646" w:rsidP="002E2383">
      <w:r w:rsidRPr="002E2383">
        <w:t>Expected Commonwealth grants expenditure has increased for 2014</w:t>
      </w:r>
      <w:r>
        <w:noBreakHyphen/>
      </w:r>
      <w:r w:rsidRPr="002E2383">
        <w:t>15 primarily due to increased payments for the home and community care and homelessn</w:t>
      </w:r>
      <w:r>
        <w:t>ess national partnerships, and</w:t>
      </w:r>
      <w:r w:rsidRPr="002E2383">
        <w:t xml:space="preserve"> higher expected payment</w:t>
      </w:r>
      <w:r>
        <w:t xml:space="preserve">s under the </w:t>
      </w:r>
      <w:r w:rsidRPr="002E2383">
        <w:t>National Health Reform Agreement</w:t>
      </w:r>
      <w:r>
        <w:t xml:space="preserve"> and the</w:t>
      </w:r>
      <w:r w:rsidRPr="00543923">
        <w:t xml:space="preserve"> </w:t>
      </w:r>
      <w:r>
        <w:t xml:space="preserve">Universal Access to Early Childhood Education </w:t>
      </w:r>
      <w:r w:rsidRPr="002E2383">
        <w:t>National Partnership.</w:t>
      </w:r>
    </w:p>
    <w:p w:rsidR="00F87646" w:rsidRPr="002E2383" w:rsidRDefault="00F87646" w:rsidP="00A315B6">
      <w:pPr>
        <w:pStyle w:val="Heading4"/>
      </w:pPr>
      <w:r w:rsidRPr="002E2383">
        <w:t>Variations in own</w:t>
      </w:r>
      <w:r>
        <w:noBreakHyphen/>
      </w:r>
      <w:r w:rsidRPr="002E2383">
        <w:t>source revenue</w:t>
      </w:r>
    </w:p>
    <w:p w:rsidR="00F87646" w:rsidRPr="002E2383" w:rsidRDefault="00F87646" w:rsidP="002E2383">
      <w:r w:rsidRPr="002E2383">
        <w:t>Expenses associated with own</w:t>
      </w:r>
      <w:r>
        <w:noBreakHyphen/>
      </w:r>
      <w:r w:rsidRPr="002E2383">
        <w:t>source revenue increased by $172</w:t>
      </w:r>
      <w:r>
        <w:t> million</w:t>
      </w:r>
      <w:r w:rsidRPr="002E2383">
        <w:t xml:space="preserve"> in 2014</w:t>
      </w:r>
      <w:r>
        <w:noBreakHyphen/>
      </w:r>
      <w:r w:rsidRPr="002E2383">
        <w:t>15 and by an average of $68</w:t>
      </w:r>
      <w:r>
        <w:t> million</w:t>
      </w:r>
      <w:r w:rsidRPr="002E2383">
        <w:t xml:space="preserve"> a year across the forward estimates. These movements largely relate to higher revenues for hospitals, Kew Residential Services, and agencies including the Adult Multicultural Education Services.</w:t>
      </w:r>
    </w:p>
    <w:p w:rsidR="00F87646" w:rsidRPr="002E2383" w:rsidRDefault="00F87646" w:rsidP="00A315B6">
      <w:pPr>
        <w:pStyle w:val="Heading4"/>
      </w:pPr>
      <w:r w:rsidRPr="002E2383">
        <w:t>Administrative variations</w:t>
      </w:r>
    </w:p>
    <w:p w:rsidR="00F87646" w:rsidRPr="002E2383" w:rsidRDefault="00F87646" w:rsidP="002E2383">
      <w:pPr>
        <w:rPr>
          <w:rFonts w:eastAsiaTheme="minorHAnsi" w:cs="Garamond"/>
          <w:color w:val="000000"/>
          <w:szCs w:val="22"/>
        </w:rPr>
      </w:pPr>
      <w:r w:rsidRPr="002E2383">
        <w:rPr>
          <w:rFonts w:eastAsiaTheme="minorHAnsi" w:cs="Garamond"/>
          <w:color w:val="000000"/>
          <w:szCs w:val="22"/>
        </w:rPr>
        <w:t>Variations to superannuation expenses have resulted in an average upward revision of $</w:t>
      </w:r>
      <w:r>
        <w:rPr>
          <w:rFonts w:eastAsiaTheme="minorHAnsi" w:cs="Garamond"/>
          <w:color w:val="000000"/>
          <w:szCs w:val="22"/>
        </w:rPr>
        <w:t>49 million</w:t>
      </w:r>
      <w:r w:rsidRPr="002E2383">
        <w:rPr>
          <w:rFonts w:eastAsiaTheme="minorHAnsi" w:cs="Garamond"/>
          <w:color w:val="000000"/>
          <w:szCs w:val="22"/>
        </w:rPr>
        <w:t xml:space="preserve"> a year over the budget and forward estimates. This is primarily due to the impact of reductions in the bond yields that underlie the key superannuation valuation assumptions.</w:t>
      </w:r>
    </w:p>
    <w:p w:rsidR="00F87646" w:rsidRPr="002E2383" w:rsidRDefault="00F87646" w:rsidP="002E2383">
      <w:r w:rsidRPr="002E2383">
        <w:t>Other administrative variations have decreased by an average of $</w:t>
      </w:r>
      <w:r>
        <w:t>98 million</w:t>
      </w:r>
      <w:r w:rsidRPr="002E2383">
        <w:t xml:space="preserve"> over the budget and forward estimates, largely due to:</w:t>
      </w:r>
    </w:p>
    <w:p w:rsidR="00F87646" w:rsidRPr="002E2383" w:rsidRDefault="00F87646" w:rsidP="002E2383">
      <w:pPr>
        <w:numPr>
          <w:ilvl w:val="0"/>
          <w:numId w:val="22"/>
        </w:numPr>
      </w:pPr>
      <w:r w:rsidRPr="002E2383">
        <w:t>lower depreciation estimates for the health sector;</w:t>
      </w:r>
    </w:p>
    <w:p w:rsidR="00F87646" w:rsidRPr="002E2383" w:rsidRDefault="00F87646" w:rsidP="002E2383">
      <w:pPr>
        <w:numPr>
          <w:ilvl w:val="0"/>
          <w:numId w:val="22"/>
        </w:numPr>
      </w:pPr>
      <w:r w:rsidRPr="002E2383">
        <w:t xml:space="preserve">lower interest payments to reflect lower interest rates </w:t>
      </w:r>
      <w:r>
        <w:t xml:space="preserve">and a </w:t>
      </w:r>
      <w:r w:rsidRPr="002E2383">
        <w:t xml:space="preserve">revised profile of government borrowings; </w:t>
      </w:r>
    </w:p>
    <w:p w:rsidR="00F87646" w:rsidRPr="002E2383" w:rsidRDefault="00F87646" w:rsidP="002E2383">
      <w:pPr>
        <w:numPr>
          <w:ilvl w:val="0"/>
          <w:numId w:val="22"/>
        </w:numPr>
      </w:pPr>
      <w:r w:rsidRPr="002E2383">
        <w:t xml:space="preserve">adjustments to the level of contingency provisions </w:t>
      </w:r>
      <w:r>
        <w:t>in line with government funding decisions</w:t>
      </w:r>
      <w:r w:rsidRPr="002E2383">
        <w:t>; and</w:t>
      </w:r>
    </w:p>
    <w:p w:rsidR="00F87646" w:rsidRPr="002E2383" w:rsidRDefault="00F87646" w:rsidP="002E2383">
      <w:pPr>
        <w:numPr>
          <w:ilvl w:val="0"/>
          <w:numId w:val="22"/>
        </w:numPr>
      </w:pPr>
      <w:r w:rsidRPr="002E2383">
        <w:t xml:space="preserve">higher additional expenditure associated with the accounting recognition of the use of </w:t>
      </w:r>
      <w:r w:rsidRPr="002E2383">
        <w:rPr>
          <w:i/>
        </w:rPr>
        <w:t>myki</w:t>
      </w:r>
      <w:r w:rsidRPr="002E2383">
        <w:t xml:space="preserve"> assets by Public Transport Victoria.</w:t>
      </w:r>
    </w:p>
    <w:p w:rsidR="00F87646" w:rsidRPr="002E2383" w:rsidRDefault="00F87646" w:rsidP="00534D5F">
      <w:pPr>
        <w:pStyle w:val="Heading1"/>
      </w:pPr>
      <w:bookmarkStart w:id="18" w:name="_Toc401056871"/>
      <w:bookmarkStart w:id="19" w:name="_Toc401147493"/>
      <w:bookmarkStart w:id="20" w:name="_Toc403386688"/>
      <w:r w:rsidRPr="002E2383">
        <w:lastRenderedPageBreak/>
        <w:t>Cash flows</w:t>
      </w:r>
      <w:bookmarkEnd w:id="18"/>
      <w:bookmarkEnd w:id="19"/>
      <w:bookmarkEnd w:id="20"/>
    </w:p>
    <w:p w:rsidR="00F87646" w:rsidRPr="002E2383" w:rsidRDefault="00F87646" w:rsidP="00534D5F">
      <w:pPr>
        <w:pStyle w:val="Tableheading"/>
      </w:pPr>
      <w:r w:rsidRPr="002E2383">
        <w:t xml:space="preserve">Table </w:t>
      </w:r>
      <w:r>
        <w:t>2.</w:t>
      </w:r>
      <w:r w:rsidRPr="002E2383">
        <w:t>4:</w:t>
      </w:r>
      <w:r w:rsidRPr="002E2383">
        <w:tab/>
        <w:t>Application of cash resources for the general government sector</w:t>
      </w:r>
    </w:p>
    <w:p w:rsidR="00F87646" w:rsidRPr="00FA56FA" w:rsidRDefault="00F87646" w:rsidP="00DA32B5">
      <w:pPr>
        <w:pStyle w:val="million"/>
      </w:pPr>
      <w:r w:rsidRPr="002E2383">
        <w:t>($</w:t>
      </w:r>
      <w:r>
        <w:t> million</w:t>
      </w:r>
      <w:r w:rsidRPr="002E2383">
        <w: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267"/>
        <w:gridCol w:w="625"/>
        <w:gridCol w:w="892"/>
        <w:gridCol w:w="893"/>
        <w:gridCol w:w="893"/>
        <w:gridCol w:w="893"/>
        <w:gridCol w:w="893"/>
      </w:tblGrid>
      <w:tr w:rsidR="00F87646" w:rsidRPr="00FA56FA" w:rsidTr="00DA32B5">
        <w:trPr>
          <w:cantSplit/>
        </w:trPr>
        <w:tc>
          <w:tcPr>
            <w:tcW w:w="2420" w:type="dxa"/>
            <w:tcBorders>
              <w:top w:val="single" w:sz="4" w:space="0" w:color="auto"/>
              <w:left w:val="single" w:sz="4" w:space="0" w:color="auto"/>
              <w:bottom w:val="nil"/>
              <w:right w:val="nil"/>
            </w:tcBorders>
            <w:shd w:val="clear" w:color="auto" w:fill="000000"/>
          </w:tcPr>
          <w:p w:rsidR="00F87646" w:rsidRPr="00FA56FA" w:rsidRDefault="00F87646" w:rsidP="00DA32B5">
            <w:pPr>
              <w:pStyle w:val="Tabletext"/>
              <w:rPr>
                <w:rFonts w:eastAsiaTheme="minorEastAsia"/>
                <w:lang w:eastAsia="en-AU"/>
              </w:rPr>
            </w:pPr>
            <w:r w:rsidRPr="00FA56FA">
              <w:rPr>
                <w:rFonts w:eastAsiaTheme="minorEastAsia"/>
                <w:lang w:eastAsia="en-AU"/>
              </w:rPr>
              <w:t xml:space="preserve"> </w:t>
            </w:r>
          </w:p>
        </w:tc>
        <w:tc>
          <w:tcPr>
            <w:tcW w:w="892" w:type="dxa"/>
            <w:gridSpan w:val="2"/>
            <w:tcBorders>
              <w:top w:val="single" w:sz="4" w:space="0" w:color="auto"/>
              <w:left w:val="nil"/>
              <w:bottom w:val="nil"/>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2013</w:t>
            </w:r>
            <w:r>
              <w:rPr>
                <w:rFonts w:eastAsiaTheme="minorEastAsia"/>
                <w:lang w:eastAsia="en-AU"/>
              </w:rPr>
              <w:noBreakHyphen/>
            </w:r>
            <w:r w:rsidRPr="00FA56FA">
              <w:rPr>
                <w:rFonts w:eastAsiaTheme="minorEastAsia"/>
                <w:lang w:eastAsia="en-AU"/>
              </w:rPr>
              <w:t>14</w:t>
            </w:r>
          </w:p>
        </w:tc>
        <w:tc>
          <w:tcPr>
            <w:tcW w:w="892" w:type="dxa"/>
            <w:tcBorders>
              <w:top w:val="single" w:sz="4" w:space="0" w:color="auto"/>
              <w:left w:val="nil"/>
              <w:bottom w:val="nil"/>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2014</w:t>
            </w:r>
            <w:r>
              <w:rPr>
                <w:rFonts w:eastAsiaTheme="minorEastAsia"/>
                <w:lang w:eastAsia="en-AU"/>
              </w:rPr>
              <w:noBreakHyphen/>
            </w:r>
            <w:r w:rsidRPr="00FA56FA">
              <w:rPr>
                <w:rFonts w:eastAsiaTheme="minorEastAsia"/>
                <w:lang w:eastAsia="en-AU"/>
              </w:rPr>
              <w:t>15</w:t>
            </w:r>
          </w:p>
        </w:tc>
        <w:tc>
          <w:tcPr>
            <w:tcW w:w="893" w:type="dxa"/>
            <w:tcBorders>
              <w:top w:val="single" w:sz="4" w:space="0" w:color="auto"/>
              <w:left w:val="nil"/>
              <w:bottom w:val="nil"/>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2014</w:t>
            </w:r>
            <w:r>
              <w:rPr>
                <w:rFonts w:eastAsiaTheme="minorEastAsia"/>
                <w:lang w:eastAsia="en-AU"/>
              </w:rPr>
              <w:noBreakHyphen/>
            </w:r>
            <w:r w:rsidRPr="00FA56FA">
              <w:rPr>
                <w:rFonts w:eastAsiaTheme="minorEastAsia"/>
                <w:lang w:eastAsia="en-AU"/>
              </w:rPr>
              <w:t>15</w:t>
            </w:r>
          </w:p>
        </w:tc>
        <w:tc>
          <w:tcPr>
            <w:tcW w:w="893" w:type="dxa"/>
            <w:tcBorders>
              <w:top w:val="single" w:sz="4" w:space="0" w:color="auto"/>
              <w:left w:val="nil"/>
              <w:bottom w:val="nil"/>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2015</w:t>
            </w:r>
            <w:r>
              <w:rPr>
                <w:rFonts w:eastAsiaTheme="minorEastAsia"/>
                <w:lang w:eastAsia="en-AU"/>
              </w:rPr>
              <w:noBreakHyphen/>
            </w:r>
            <w:r w:rsidRPr="00FA56FA">
              <w:rPr>
                <w:rFonts w:eastAsiaTheme="minorEastAsia"/>
                <w:lang w:eastAsia="en-AU"/>
              </w:rPr>
              <w:t>16</w:t>
            </w:r>
          </w:p>
        </w:tc>
        <w:tc>
          <w:tcPr>
            <w:tcW w:w="893" w:type="dxa"/>
            <w:tcBorders>
              <w:top w:val="single" w:sz="4" w:space="0" w:color="auto"/>
              <w:left w:val="nil"/>
              <w:bottom w:val="nil"/>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2016</w:t>
            </w:r>
            <w:r>
              <w:rPr>
                <w:rFonts w:eastAsiaTheme="minorEastAsia"/>
                <w:lang w:eastAsia="en-AU"/>
              </w:rPr>
              <w:noBreakHyphen/>
            </w:r>
            <w:r w:rsidRPr="00FA56FA">
              <w:rPr>
                <w:rFonts w:eastAsiaTheme="minorEastAsia"/>
                <w:lang w:eastAsia="en-AU"/>
              </w:rPr>
              <w:t>17</w:t>
            </w:r>
          </w:p>
        </w:tc>
        <w:tc>
          <w:tcPr>
            <w:tcW w:w="893" w:type="dxa"/>
            <w:tcBorders>
              <w:top w:val="single" w:sz="4" w:space="0" w:color="auto"/>
              <w:left w:val="nil"/>
              <w:bottom w:val="nil"/>
              <w:right w:val="single" w:sz="4" w:space="0" w:color="auto"/>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2017</w:t>
            </w:r>
            <w:r>
              <w:rPr>
                <w:rFonts w:eastAsiaTheme="minorEastAsia"/>
                <w:lang w:eastAsia="en-AU"/>
              </w:rPr>
              <w:noBreakHyphen/>
            </w:r>
            <w:r w:rsidRPr="00FA56FA">
              <w:rPr>
                <w:rFonts w:eastAsiaTheme="minorEastAsia"/>
                <w:lang w:eastAsia="en-AU"/>
              </w:rPr>
              <w:t>18</w:t>
            </w:r>
          </w:p>
        </w:tc>
      </w:tr>
      <w:tr w:rsidR="00F87646" w:rsidRPr="00FA56FA" w:rsidTr="00DA32B5">
        <w:trPr>
          <w:cantSplit/>
        </w:trPr>
        <w:tc>
          <w:tcPr>
            <w:tcW w:w="2420" w:type="dxa"/>
            <w:tcBorders>
              <w:top w:val="nil"/>
              <w:left w:val="single" w:sz="4" w:space="0" w:color="auto"/>
              <w:bottom w:val="single" w:sz="4" w:space="0" w:color="auto"/>
              <w:right w:val="nil"/>
            </w:tcBorders>
            <w:shd w:val="clear" w:color="auto" w:fill="000000"/>
          </w:tcPr>
          <w:p w:rsidR="00F87646" w:rsidRPr="00FA56FA" w:rsidRDefault="00F87646" w:rsidP="00DA32B5">
            <w:pPr>
              <w:pStyle w:val="Tabletext"/>
              <w:rPr>
                <w:rFonts w:eastAsiaTheme="minorEastAsia"/>
                <w:lang w:eastAsia="en-AU"/>
              </w:rPr>
            </w:pPr>
            <w:r w:rsidRPr="00FA56FA">
              <w:rPr>
                <w:rFonts w:eastAsiaTheme="minorEastAsia"/>
                <w:lang w:eastAsia="en-AU"/>
              </w:rPr>
              <w:t xml:space="preserve"> </w:t>
            </w:r>
          </w:p>
        </w:tc>
        <w:tc>
          <w:tcPr>
            <w:tcW w:w="892" w:type="dxa"/>
            <w:gridSpan w:val="2"/>
            <w:tcBorders>
              <w:top w:val="nil"/>
              <w:left w:val="nil"/>
              <w:bottom w:val="single" w:sz="4" w:space="0" w:color="auto"/>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F87646" w:rsidRPr="00FA56FA" w:rsidRDefault="00F87646" w:rsidP="00DA32B5">
            <w:pPr>
              <w:pStyle w:val="Tabletextheading"/>
              <w:rPr>
                <w:rFonts w:eastAsiaTheme="minorEastAsia"/>
                <w:lang w:eastAsia="en-AU"/>
              </w:rPr>
            </w:pPr>
            <w:r w:rsidRPr="00FA56FA">
              <w:rPr>
                <w:rFonts w:eastAsiaTheme="minorEastAsia"/>
                <w:lang w:eastAsia="en-AU"/>
              </w:rPr>
              <w:t>estimate</w:t>
            </w:r>
          </w:p>
        </w:tc>
      </w:tr>
      <w:tr w:rsidR="00F87646" w:rsidRPr="00FA56FA" w:rsidTr="00DA32B5">
        <w:trPr>
          <w:cantSplit/>
        </w:trPr>
        <w:tc>
          <w:tcPr>
            <w:tcW w:w="2420" w:type="dxa"/>
            <w:tcBorders>
              <w:top w:val="single" w:sz="4" w:space="0" w:color="auto"/>
              <w:left w:val="nil"/>
              <w:bottom w:val="nil"/>
              <w:right w:val="nil"/>
            </w:tcBorders>
            <w:shd w:val="solid" w:color="FFFFFF" w:fill="auto"/>
          </w:tcPr>
          <w:p w:rsidR="00F87646" w:rsidRPr="00FA56FA" w:rsidRDefault="00F87646" w:rsidP="00DA32B5">
            <w:pPr>
              <w:pStyle w:val="Tabletext"/>
              <w:rPr>
                <w:rFonts w:eastAsiaTheme="minorEastAsia"/>
                <w:b/>
                <w:bCs/>
                <w:color w:val="000000"/>
                <w:lang w:eastAsia="en-AU"/>
              </w:rPr>
            </w:pPr>
            <w:r w:rsidRPr="00FA56FA">
              <w:rPr>
                <w:rFonts w:eastAsiaTheme="minorEastAsia"/>
                <w:b/>
                <w:bCs/>
                <w:color w:val="000000"/>
                <w:lang w:eastAsia="en-AU"/>
              </w:rPr>
              <w:t>Net result from transactions</w:t>
            </w:r>
          </w:p>
        </w:tc>
        <w:tc>
          <w:tcPr>
            <w:tcW w:w="892" w:type="dxa"/>
            <w:gridSpan w:val="2"/>
            <w:tcBorders>
              <w:top w:val="single" w:sz="4" w:space="0" w:color="auto"/>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1 976.2</w:t>
            </w:r>
          </w:p>
        </w:tc>
        <w:tc>
          <w:tcPr>
            <w:tcW w:w="892" w:type="dxa"/>
            <w:tcBorders>
              <w:top w:val="single" w:sz="4" w:space="0" w:color="auto"/>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1 326.7</w:t>
            </w:r>
          </w:p>
        </w:tc>
        <w:tc>
          <w:tcPr>
            <w:tcW w:w="893" w:type="dxa"/>
            <w:tcBorders>
              <w:top w:val="single" w:sz="4" w:space="0" w:color="auto"/>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1 092.4</w:t>
            </w:r>
          </w:p>
        </w:tc>
        <w:tc>
          <w:tcPr>
            <w:tcW w:w="893" w:type="dxa"/>
            <w:tcBorders>
              <w:top w:val="single" w:sz="4" w:space="0" w:color="auto"/>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2 294.4</w:t>
            </w:r>
          </w:p>
        </w:tc>
        <w:tc>
          <w:tcPr>
            <w:tcW w:w="893" w:type="dxa"/>
            <w:tcBorders>
              <w:top w:val="single" w:sz="4" w:space="0" w:color="auto"/>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2 679.6</w:t>
            </w:r>
          </w:p>
        </w:tc>
        <w:tc>
          <w:tcPr>
            <w:tcW w:w="893" w:type="dxa"/>
            <w:tcBorders>
              <w:top w:val="single" w:sz="4" w:space="0" w:color="auto"/>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2 965.2</w:t>
            </w:r>
          </w:p>
        </w:tc>
      </w:tr>
      <w:tr w:rsidR="00F87646" w:rsidRPr="00FA56FA" w:rsidTr="00DA32B5">
        <w:trPr>
          <w:cantSplit/>
        </w:trPr>
        <w:tc>
          <w:tcPr>
            <w:tcW w:w="2420" w:type="dxa"/>
            <w:tcBorders>
              <w:top w:val="nil"/>
              <w:left w:val="nil"/>
              <w:bottom w:val="single" w:sz="6" w:space="0" w:color="auto"/>
              <w:right w:val="nil"/>
            </w:tcBorders>
            <w:shd w:val="solid" w:color="FFFFFF" w:fill="auto"/>
          </w:tcPr>
          <w:p w:rsidR="00F87646" w:rsidRPr="00FA56FA" w:rsidRDefault="00F87646" w:rsidP="00DA32B5">
            <w:pPr>
              <w:pStyle w:val="Tabletext"/>
              <w:rPr>
                <w:rFonts w:eastAsiaTheme="minorEastAsia"/>
                <w:color w:val="000000"/>
                <w:vertAlign w:val="superscript"/>
                <w:lang w:eastAsia="en-AU"/>
              </w:rPr>
            </w:pPr>
            <w:r w:rsidRPr="00FA56FA">
              <w:rPr>
                <w:rFonts w:eastAsiaTheme="minorEastAsia"/>
                <w:color w:val="000000"/>
                <w:lang w:eastAsia="en-AU"/>
              </w:rPr>
              <w:t>Add back: non</w:t>
            </w:r>
            <w:r>
              <w:rPr>
                <w:rFonts w:eastAsiaTheme="minorEastAsia"/>
                <w:color w:val="000000"/>
                <w:lang w:eastAsia="en-AU"/>
              </w:rPr>
              <w:noBreakHyphen/>
            </w:r>
            <w:r w:rsidRPr="00FA56FA">
              <w:rPr>
                <w:rFonts w:eastAsiaTheme="minorEastAsia"/>
                <w:color w:val="000000"/>
                <w:lang w:eastAsia="en-AU"/>
              </w:rPr>
              <w:t xml:space="preserve">cash revenue and expenses (net) </w:t>
            </w:r>
            <w:r w:rsidRPr="00FA56FA">
              <w:rPr>
                <w:rFonts w:eastAsiaTheme="minorEastAsia"/>
                <w:color w:val="000000"/>
                <w:vertAlign w:val="superscript"/>
                <w:lang w:eastAsia="en-AU"/>
              </w:rPr>
              <w:t>(a)</w:t>
            </w:r>
          </w:p>
        </w:tc>
        <w:tc>
          <w:tcPr>
            <w:tcW w:w="892" w:type="dxa"/>
            <w:gridSpan w:val="2"/>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1 966.3</w:t>
            </w:r>
          </w:p>
        </w:tc>
        <w:tc>
          <w:tcPr>
            <w:tcW w:w="892"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2 512.7</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2 874.0</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2 741.9</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2 656.8</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2 766.3</w:t>
            </w:r>
          </w:p>
        </w:tc>
      </w:tr>
      <w:tr w:rsidR="00F87646" w:rsidRPr="00FA56FA" w:rsidTr="00DA32B5">
        <w:trPr>
          <w:cantSplit/>
        </w:trPr>
        <w:tc>
          <w:tcPr>
            <w:tcW w:w="2420" w:type="dxa"/>
            <w:tcBorders>
              <w:top w:val="single" w:sz="6" w:space="0" w:color="auto"/>
              <w:left w:val="nil"/>
              <w:bottom w:val="nil"/>
              <w:right w:val="nil"/>
            </w:tcBorders>
            <w:shd w:val="solid" w:color="FFFFFF" w:fill="auto"/>
          </w:tcPr>
          <w:p w:rsidR="00F87646" w:rsidRPr="00FA56FA" w:rsidRDefault="00F87646" w:rsidP="00DA32B5">
            <w:pPr>
              <w:pStyle w:val="Tabletext"/>
              <w:rPr>
                <w:rFonts w:eastAsiaTheme="minorEastAsia"/>
                <w:b/>
                <w:bCs/>
                <w:color w:val="000000"/>
                <w:lang w:eastAsia="en-AU"/>
              </w:rPr>
            </w:pPr>
            <w:r w:rsidRPr="00FA56FA">
              <w:rPr>
                <w:rFonts w:eastAsiaTheme="minorEastAsia"/>
                <w:b/>
                <w:bCs/>
                <w:color w:val="000000"/>
                <w:lang w:eastAsia="en-AU"/>
              </w:rPr>
              <w:t xml:space="preserve">Net cash flows from operating activities </w:t>
            </w:r>
          </w:p>
        </w:tc>
        <w:tc>
          <w:tcPr>
            <w:tcW w:w="892" w:type="dxa"/>
            <w:gridSpan w:val="2"/>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3 942.5</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3 839.5</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3 966.5</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5 036.3</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5 336.4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5 731.4</w:t>
            </w:r>
          </w:p>
        </w:tc>
      </w:tr>
      <w:tr w:rsidR="00F87646" w:rsidRPr="00FA56FA" w:rsidTr="00DA32B5">
        <w:trPr>
          <w:cantSplit/>
        </w:trPr>
        <w:tc>
          <w:tcPr>
            <w:tcW w:w="2420" w:type="dxa"/>
            <w:tcBorders>
              <w:top w:val="nil"/>
              <w:left w:val="nil"/>
              <w:bottom w:val="nil"/>
              <w:right w:val="nil"/>
            </w:tcBorders>
            <w:shd w:val="solid" w:color="FFFFFF" w:fill="auto"/>
          </w:tcPr>
          <w:p w:rsidR="00F87646" w:rsidRPr="00FA56FA" w:rsidRDefault="00F87646" w:rsidP="00DA32B5">
            <w:pPr>
              <w:pStyle w:val="Tabletext"/>
              <w:rPr>
                <w:rFonts w:eastAsiaTheme="minorEastAsia"/>
                <w:color w:val="000000"/>
                <w:lang w:eastAsia="en-AU"/>
              </w:rPr>
            </w:pPr>
            <w:r w:rsidRPr="00FA56FA">
              <w:rPr>
                <w:rFonts w:eastAsiaTheme="minorEastAsia"/>
                <w:color w:val="000000"/>
                <w:lang w:eastAsia="en-AU"/>
              </w:rPr>
              <w:t>Less:</w:t>
            </w:r>
          </w:p>
        </w:tc>
        <w:tc>
          <w:tcPr>
            <w:tcW w:w="892" w:type="dxa"/>
            <w:gridSpan w:val="2"/>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p>
        </w:tc>
      </w:tr>
      <w:tr w:rsidR="00F87646" w:rsidRPr="00FA56FA" w:rsidTr="00DA32B5">
        <w:trPr>
          <w:cantSplit/>
        </w:trPr>
        <w:tc>
          <w:tcPr>
            <w:tcW w:w="2687" w:type="dxa"/>
            <w:gridSpan w:val="2"/>
            <w:tcBorders>
              <w:top w:val="nil"/>
              <w:left w:val="nil"/>
              <w:bottom w:val="nil"/>
              <w:right w:val="nil"/>
            </w:tcBorders>
            <w:shd w:val="solid" w:color="FFFFFF" w:fill="auto"/>
          </w:tcPr>
          <w:p w:rsidR="00F87646" w:rsidRPr="00FA56FA" w:rsidRDefault="00F87646" w:rsidP="00DA32B5">
            <w:pPr>
              <w:pStyle w:val="Tabletext"/>
              <w:rPr>
                <w:rFonts w:eastAsiaTheme="minorEastAsia"/>
                <w:b/>
                <w:bCs/>
                <w:color w:val="000000"/>
                <w:lang w:eastAsia="en-AU"/>
              </w:rPr>
            </w:pPr>
            <w:r w:rsidRPr="00FA56FA">
              <w:rPr>
                <w:rFonts w:eastAsiaTheme="minorEastAsia"/>
                <w:b/>
                <w:bCs/>
                <w:color w:val="000000"/>
                <w:lang w:eastAsia="en-AU"/>
              </w:rPr>
              <w:t>Net investment in fixed assets</w:t>
            </w:r>
          </w:p>
        </w:tc>
        <w:tc>
          <w:tcPr>
            <w:tcW w:w="625"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 xml:space="preserve"> </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b/>
                <w:bCs/>
                <w:color w:val="000000"/>
                <w:lang w:eastAsia="en-AU"/>
              </w:rPr>
            </w:pP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w:t>
            </w:r>
          </w:p>
        </w:tc>
      </w:tr>
      <w:tr w:rsidR="00F87646" w:rsidRPr="00FA56FA" w:rsidTr="00DA32B5">
        <w:trPr>
          <w:cantSplit/>
        </w:trPr>
        <w:tc>
          <w:tcPr>
            <w:tcW w:w="2420" w:type="dxa"/>
            <w:tcBorders>
              <w:top w:val="nil"/>
              <w:left w:val="nil"/>
              <w:bottom w:val="nil"/>
              <w:right w:val="nil"/>
            </w:tcBorders>
            <w:shd w:val="solid" w:color="FFFFFF" w:fill="auto"/>
          </w:tcPr>
          <w:p w:rsidR="00F87646" w:rsidRPr="00FA56FA" w:rsidRDefault="00F87646" w:rsidP="00DA32B5">
            <w:pPr>
              <w:pStyle w:val="Tabletext"/>
              <w:rPr>
                <w:rFonts w:eastAsiaTheme="minorEastAsia"/>
                <w:color w:val="000000"/>
                <w:lang w:eastAsia="en-AU"/>
              </w:rPr>
            </w:pPr>
            <w:r w:rsidRPr="00FA56FA">
              <w:rPr>
                <w:rFonts w:eastAsiaTheme="minorEastAsia"/>
                <w:color w:val="000000"/>
                <w:lang w:eastAsia="en-AU"/>
              </w:rPr>
              <w:t>Purchases of non</w:t>
            </w:r>
            <w:r>
              <w:rPr>
                <w:rFonts w:eastAsiaTheme="minorEastAsia"/>
                <w:color w:val="000000"/>
                <w:lang w:eastAsia="en-AU"/>
              </w:rPr>
              <w:noBreakHyphen/>
            </w:r>
            <w:r w:rsidRPr="00FA56FA">
              <w:rPr>
                <w:rFonts w:eastAsiaTheme="minorEastAsia"/>
                <w:color w:val="000000"/>
                <w:lang w:eastAsia="en-AU"/>
              </w:rPr>
              <w:t>financial assets</w:t>
            </w:r>
          </w:p>
        </w:tc>
        <w:tc>
          <w:tcPr>
            <w:tcW w:w="892" w:type="dxa"/>
            <w:gridSpan w:val="2"/>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3 997.3</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5 312.4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4 761.6</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4 763.4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5 350.4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5 036.0</w:t>
            </w:r>
          </w:p>
        </w:tc>
      </w:tr>
      <w:tr w:rsidR="00F87646" w:rsidRPr="00FA56FA" w:rsidTr="00DA32B5">
        <w:trPr>
          <w:cantSplit/>
        </w:trPr>
        <w:tc>
          <w:tcPr>
            <w:tcW w:w="2420" w:type="dxa"/>
            <w:tcBorders>
              <w:top w:val="nil"/>
              <w:left w:val="nil"/>
              <w:bottom w:val="nil"/>
              <w:right w:val="nil"/>
            </w:tcBorders>
            <w:shd w:val="solid" w:color="FFFFFF" w:fill="auto"/>
          </w:tcPr>
          <w:p w:rsidR="00F87646" w:rsidRPr="00FA56FA" w:rsidRDefault="00F87646" w:rsidP="00DA32B5">
            <w:pPr>
              <w:pStyle w:val="Tabletext"/>
              <w:rPr>
                <w:rFonts w:eastAsiaTheme="minorEastAsia"/>
                <w:color w:val="000000"/>
                <w:lang w:eastAsia="en-AU"/>
              </w:rPr>
            </w:pPr>
            <w:r w:rsidRPr="00FA56FA">
              <w:rPr>
                <w:rFonts w:eastAsiaTheme="minorEastAsia"/>
                <w:color w:val="000000"/>
                <w:lang w:eastAsia="en-AU"/>
              </w:rPr>
              <w:t>Net cash flows from investments in financial assets for policy purposes</w:t>
            </w:r>
          </w:p>
        </w:tc>
        <w:tc>
          <w:tcPr>
            <w:tcW w:w="892" w:type="dxa"/>
            <w:gridSpan w:val="2"/>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1 478.3</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676.8</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125.4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(5 002.2)</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65.5</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163.5</w:t>
            </w:r>
          </w:p>
        </w:tc>
      </w:tr>
      <w:tr w:rsidR="00F87646" w:rsidRPr="00FA56FA" w:rsidTr="00DA32B5">
        <w:trPr>
          <w:cantSplit/>
        </w:trPr>
        <w:tc>
          <w:tcPr>
            <w:tcW w:w="2420" w:type="dxa"/>
            <w:tcBorders>
              <w:top w:val="nil"/>
              <w:left w:val="nil"/>
              <w:bottom w:val="nil"/>
              <w:right w:val="nil"/>
            </w:tcBorders>
            <w:shd w:val="solid" w:color="FFFFFF" w:fill="auto"/>
          </w:tcPr>
          <w:p w:rsidR="00F87646" w:rsidRPr="00FA56FA" w:rsidRDefault="00F87646" w:rsidP="00DA32B5">
            <w:pPr>
              <w:pStyle w:val="Tabletext"/>
              <w:rPr>
                <w:rFonts w:eastAsiaTheme="minorEastAsia"/>
                <w:color w:val="000000"/>
                <w:vertAlign w:val="superscript"/>
                <w:lang w:eastAsia="en-AU"/>
              </w:rPr>
            </w:pPr>
            <w:r w:rsidRPr="00FA56FA">
              <w:rPr>
                <w:rFonts w:eastAsiaTheme="minorEastAsia"/>
                <w:color w:val="000000"/>
                <w:lang w:eastAsia="en-AU"/>
              </w:rPr>
              <w:t xml:space="preserve">Funding not allocated to specific purposes </w:t>
            </w:r>
            <w:r w:rsidRPr="00FA56FA">
              <w:rPr>
                <w:rFonts w:eastAsiaTheme="minorEastAsia"/>
                <w:color w:val="000000"/>
                <w:vertAlign w:val="superscript"/>
                <w:lang w:eastAsia="en-AU"/>
              </w:rPr>
              <w:t>(b)</w:t>
            </w:r>
          </w:p>
        </w:tc>
        <w:tc>
          <w:tcPr>
            <w:tcW w:w="892" w:type="dxa"/>
            <w:gridSpan w:val="2"/>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300.0</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523.3</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809.9</w:t>
            </w:r>
          </w:p>
        </w:tc>
      </w:tr>
      <w:tr w:rsidR="00F87646" w:rsidRPr="00FA56FA" w:rsidTr="00DA32B5">
        <w:trPr>
          <w:cantSplit/>
        </w:trPr>
        <w:tc>
          <w:tcPr>
            <w:tcW w:w="2420" w:type="dxa"/>
            <w:tcBorders>
              <w:top w:val="nil"/>
              <w:left w:val="nil"/>
              <w:bottom w:val="nil"/>
              <w:right w:val="nil"/>
            </w:tcBorders>
            <w:shd w:val="solid" w:color="FFFFFF" w:fill="auto"/>
          </w:tcPr>
          <w:p w:rsidR="00F87646" w:rsidRPr="00FA56FA" w:rsidRDefault="00F87646" w:rsidP="00DA32B5">
            <w:pPr>
              <w:pStyle w:val="Tabletext"/>
              <w:rPr>
                <w:rFonts w:eastAsiaTheme="minorEastAsia"/>
                <w:color w:val="000000"/>
                <w:lang w:eastAsia="en-AU"/>
              </w:rPr>
            </w:pPr>
            <w:r w:rsidRPr="00FA56FA">
              <w:rPr>
                <w:rFonts w:eastAsiaTheme="minorEastAsia"/>
                <w:color w:val="000000"/>
                <w:lang w:eastAsia="en-AU"/>
              </w:rPr>
              <w:t>Proceeds from asset sales</w:t>
            </w:r>
          </w:p>
        </w:tc>
        <w:tc>
          <w:tcPr>
            <w:tcW w:w="892" w:type="dxa"/>
            <w:gridSpan w:val="2"/>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( 270.9)</w:t>
            </w:r>
          </w:p>
        </w:tc>
        <w:tc>
          <w:tcPr>
            <w:tcW w:w="892"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( 384.9)</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( 395.2)</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( 310.6)</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( 472.6)</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( 396.1)</w:t>
            </w:r>
          </w:p>
        </w:tc>
      </w:tr>
      <w:tr w:rsidR="00F87646" w:rsidRPr="00FA56FA" w:rsidTr="00DA32B5">
        <w:trPr>
          <w:cantSplit/>
        </w:trPr>
        <w:tc>
          <w:tcPr>
            <w:tcW w:w="2420" w:type="dxa"/>
            <w:tcBorders>
              <w:top w:val="single" w:sz="6" w:space="0" w:color="auto"/>
              <w:left w:val="nil"/>
              <w:bottom w:val="single" w:sz="6" w:space="0" w:color="auto"/>
              <w:right w:val="nil"/>
            </w:tcBorders>
            <w:shd w:val="solid" w:color="FFFFFF" w:fill="auto"/>
          </w:tcPr>
          <w:p w:rsidR="00F87646" w:rsidRPr="00FA56FA" w:rsidRDefault="00F87646" w:rsidP="00DA32B5">
            <w:pPr>
              <w:pStyle w:val="Tabletext"/>
              <w:rPr>
                <w:rFonts w:eastAsiaTheme="minorEastAsia"/>
                <w:b/>
                <w:bCs/>
                <w:color w:val="000000"/>
                <w:vertAlign w:val="superscript"/>
                <w:lang w:eastAsia="en-AU"/>
              </w:rPr>
            </w:pPr>
            <w:r w:rsidRPr="00FA56FA">
              <w:rPr>
                <w:rFonts w:eastAsiaTheme="minorEastAsia"/>
                <w:b/>
                <w:bCs/>
                <w:color w:val="000000"/>
                <w:lang w:eastAsia="en-AU"/>
              </w:rPr>
              <w:t xml:space="preserve">Total net investment in fixed assets </w:t>
            </w:r>
            <w:r w:rsidRPr="00FA56FA">
              <w:rPr>
                <w:rFonts w:eastAsiaTheme="minorEastAsia"/>
                <w:b/>
                <w:bCs/>
                <w:color w:val="000000"/>
                <w:vertAlign w:val="superscript"/>
                <w:lang w:eastAsia="en-AU"/>
              </w:rPr>
              <w:t>(c)</w:t>
            </w:r>
          </w:p>
        </w:tc>
        <w:tc>
          <w:tcPr>
            <w:tcW w:w="892" w:type="dxa"/>
            <w:gridSpan w:val="2"/>
            <w:tcBorders>
              <w:top w:val="single" w:sz="6" w:space="0" w:color="auto"/>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5 204.7</w:t>
            </w:r>
          </w:p>
        </w:tc>
        <w:tc>
          <w:tcPr>
            <w:tcW w:w="892" w:type="dxa"/>
            <w:tcBorders>
              <w:top w:val="single" w:sz="6" w:space="0" w:color="auto"/>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5 604.3</w:t>
            </w:r>
          </w:p>
        </w:tc>
        <w:tc>
          <w:tcPr>
            <w:tcW w:w="893" w:type="dxa"/>
            <w:tcBorders>
              <w:top w:val="single" w:sz="6" w:space="0" w:color="auto"/>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4 491.9</w:t>
            </w:r>
          </w:p>
        </w:tc>
        <w:tc>
          <w:tcPr>
            <w:tcW w:w="893" w:type="dxa"/>
            <w:tcBorders>
              <w:top w:val="single" w:sz="6" w:space="0" w:color="auto"/>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( 249.4)</w:t>
            </w:r>
          </w:p>
        </w:tc>
        <w:tc>
          <w:tcPr>
            <w:tcW w:w="893" w:type="dxa"/>
            <w:tcBorders>
              <w:top w:val="single" w:sz="6" w:space="0" w:color="auto"/>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5 466.6</w:t>
            </w:r>
          </w:p>
        </w:tc>
        <w:tc>
          <w:tcPr>
            <w:tcW w:w="893" w:type="dxa"/>
            <w:tcBorders>
              <w:top w:val="single" w:sz="6" w:space="0" w:color="auto"/>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5 613.3</w:t>
            </w:r>
          </w:p>
        </w:tc>
      </w:tr>
      <w:tr w:rsidR="00F87646" w:rsidRPr="00FA56FA" w:rsidTr="00DA32B5">
        <w:trPr>
          <w:cantSplit/>
        </w:trPr>
        <w:tc>
          <w:tcPr>
            <w:tcW w:w="2420" w:type="dxa"/>
            <w:tcBorders>
              <w:top w:val="nil"/>
              <w:left w:val="nil"/>
              <w:bottom w:val="single" w:sz="6" w:space="0" w:color="auto"/>
              <w:right w:val="nil"/>
            </w:tcBorders>
            <w:shd w:val="solid" w:color="FFFFFF" w:fill="auto"/>
          </w:tcPr>
          <w:p w:rsidR="00F87646" w:rsidRPr="00FA56FA" w:rsidRDefault="00F87646" w:rsidP="00DA32B5">
            <w:pPr>
              <w:pStyle w:val="Tabletext"/>
              <w:rPr>
                <w:rFonts w:eastAsiaTheme="minorEastAsia"/>
                <w:b/>
                <w:bCs/>
                <w:color w:val="000000"/>
                <w:lang w:eastAsia="en-AU"/>
              </w:rPr>
            </w:pPr>
            <w:r w:rsidRPr="00FA56FA">
              <w:rPr>
                <w:rFonts w:eastAsiaTheme="minorEastAsia"/>
                <w:b/>
                <w:bCs/>
                <w:color w:val="000000"/>
                <w:lang w:eastAsia="en-AU"/>
              </w:rPr>
              <w:t>Surplus/(deficit) of cash from operations after funding net investment in fixed assets</w:t>
            </w:r>
          </w:p>
        </w:tc>
        <w:tc>
          <w:tcPr>
            <w:tcW w:w="892" w:type="dxa"/>
            <w:gridSpan w:val="2"/>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(1 262.1)</w:t>
            </w:r>
          </w:p>
        </w:tc>
        <w:tc>
          <w:tcPr>
            <w:tcW w:w="892"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(1 764.8)</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( 525.4)</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5 285.7</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s="Calibri"/>
                <w:b/>
                <w:bCs/>
                <w:color w:val="000000"/>
                <w:lang w:eastAsia="en-AU"/>
              </w:rPr>
            </w:pPr>
            <w:r w:rsidRPr="00FA56FA">
              <w:rPr>
                <w:rFonts w:eastAsiaTheme="minorEastAsia"/>
                <w:b/>
                <w:bCs/>
                <w:color w:val="000000"/>
                <w:lang w:eastAsia="en-AU"/>
              </w:rPr>
              <w:t>( 130.2</w:t>
            </w:r>
            <w:r w:rsidRPr="00FA56FA">
              <w:rPr>
                <w:rFonts w:eastAsiaTheme="minorEastAsia" w:cs="Calibri"/>
                <w:b/>
                <w:bCs/>
                <w:color w:val="000000"/>
                <w:lang w:eastAsia="en-AU"/>
              </w:rPr>
              <w:t>)</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 xml:space="preserve"> 118.2</w:t>
            </w:r>
          </w:p>
        </w:tc>
      </w:tr>
      <w:tr w:rsidR="00F87646" w:rsidRPr="00FA56FA" w:rsidTr="00DA32B5">
        <w:trPr>
          <w:cantSplit/>
        </w:trPr>
        <w:tc>
          <w:tcPr>
            <w:tcW w:w="2420" w:type="dxa"/>
            <w:tcBorders>
              <w:top w:val="nil"/>
              <w:left w:val="nil"/>
              <w:bottom w:val="nil"/>
              <w:right w:val="nil"/>
            </w:tcBorders>
            <w:shd w:val="solid" w:color="FFFFFF" w:fill="auto"/>
          </w:tcPr>
          <w:p w:rsidR="00F87646" w:rsidRPr="00FA56FA" w:rsidRDefault="00F87646" w:rsidP="00DA32B5">
            <w:pPr>
              <w:pStyle w:val="Tabletext"/>
              <w:rPr>
                <w:rFonts w:eastAsiaTheme="minorEastAsia"/>
                <w:color w:val="000000"/>
                <w:vertAlign w:val="superscript"/>
                <w:lang w:eastAsia="en-AU"/>
              </w:rPr>
            </w:pPr>
            <w:r w:rsidRPr="00FA56FA">
              <w:rPr>
                <w:rFonts w:eastAsiaTheme="minorEastAsia"/>
                <w:color w:val="000000"/>
                <w:lang w:eastAsia="en-AU"/>
              </w:rPr>
              <w:t xml:space="preserve">Finance leases </w:t>
            </w:r>
            <w:r w:rsidRPr="00FA56FA">
              <w:rPr>
                <w:rFonts w:eastAsiaTheme="minorEastAsia"/>
                <w:color w:val="000000"/>
                <w:vertAlign w:val="superscript"/>
                <w:lang w:eastAsia="en-AU"/>
              </w:rPr>
              <w:t>(d)</w:t>
            </w:r>
          </w:p>
        </w:tc>
        <w:tc>
          <w:tcPr>
            <w:tcW w:w="892" w:type="dxa"/>
            <w:gridSpan w:val="2"/>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109.5</w:t>
            </w:r>
          </w:p>
        </w:tc>
        <w:tc>
          <w:tcPr>
            <w:tcW w:w="892"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36.4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36.4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1 050.4</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873.0</w:t>
            </w:r>
          </w:p>
        </w:tc>
        <w:tc>
          <w:tcPr>
            <w:tcW w:w="893" w:type="dxa"/>
            <w:tcBorders>
              <w:top w:val="nil"/>
              <w:left w:val="nil"/>
              <w:bottom w:val="nil"/>
              <w:right w:val="nil"/>
            </w:tcBorders>
            <w:shd w:val="solid" w:color="FFFFFF" w:fill="auto"/>
          </w:tcPr>
          <w:p w:rsidR="00F87646" w:rsidRPr="00FA56FA" w:rsidRDefault="00F87646" w:rsidP="00DA32B5">
            <w:pPr>
              <w:pStyle w:val="TableofFigures"/>
              <w:rPr>
                <w:rFonts w:eastAsiaTheme="minorEastAsia" w:cs="Calibri"/>
                <w:color w:val="000000"/>
                <w:lang w:eastAsia="en-AU"/>
              </w:rPr>
            </w:pPr>
            <w:r w:rsidRPr="00FA56FA">
              <w:rPr>
                <w:rFonts w:eastAsiaTheme="minorEastAsia"/>
                <w:color w:val="000000"/>
                <w:lang w:eastAsia="en-AU"/>
              </w:rPr>
              <w:t>1 055.8</w:t>
            </w:r>
          </w:p>
        </w:tc>
      </w:tr>
      <w:tr w:rsidR="00F87646" w:rsidRPr="00FA56FA" w:rsidTr="00DA32B5">
        <w:trPr>
          <w:cantSplit/>
        </w:trPr>
        <w:tc>
          <w:tcPr>
            <w:tcW w:w="2420" w:type="dxa"/>
            <w:tcBorders>
              <w:top w:val="nil"/>
              <w:left w:val="nil"/>
              <w:bottom w:val="single" w:sz="6" w:space="0" w:color="auto"/>
              <w:right w:val="nil"/>
            </w:tcBorders>
            <w:shd w:val="solid" w:color="FFFFFF" w:fill="auto"/>
          </w:tcPr>
          <w:p w:rsidR="00F87646" w:rsidRPr="00FA56FA" w:rsidRDefault="00F87646" w:rsidP="00DA32B5">
            <w:pPr>
              <w:pStyle w:val="Tabletext"/>
              <w:rPr>
                <w:rFonts w:eastAsiaTheme="minorEastAsia"/>
                <w:color w:val="000000"/>
                <w:lang w:eastAsia="en-AU"/>
              </w:rPr>
            </w:pPr>
            <w:r w:rsidRPr="00FA56FA">
              <w:rPr>
                <w:rFonts w:eastAsiaTheme="minorEastAsia"/>
                <w:color w:val="000000"/>
                <w:lang w:eastAsia="en-AU"/>
              </w:rPr>
              <w:t>Other investment activities (net)</w:t>
            </w:r>
          </w:p>
        </w:tc>
        <w:tc>
          <w:tcPr>
            <w:tcW w:w="892" w:type="dxa"/>
            <w:gridSpan w:val="2"/>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( 19.1)</w:t>
            </w:r>
          </w:p>
        </w:tc>
        <w:tc>
          <w:tcPr>
            <w:tcW w:w="892"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51.7</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32.3</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30.8</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42.4</w:t>
            </w:r>
          </w:p>
        </w:tc>
        <w:tc>
          <w:tcPr>
            <w:tcW w:w="893" w:type="dxa"/>
            <w:tcBorders>
              <w:top w:val="nil"/>
              <w:left w:val="nil"/>
              <w:bottom w:val="single" w:sz="6" w:space="0" w:color="auto"/>
              <w:right w:val="nil"/>
            </w:tcBorders>
            <w:shd w:val="solid" w:color="FFFFFF" w:fill="auto"/>
          </w:tcPr>
          <w:p w:rsidR="00F87646" w:rsidRPr="00FA56FA" w:rsidRDefault="00F87646" w:rsidP="00DA32B5">
            <w:pPr>
              <w:pStyle w:val="TableofFigures"/>
              <w:rPr>
                <w:rFonts w:eastAsiaTheme="minorEastAsia"/>
                <w:color w:val="000000"/>
                <w:lang w:eastAsia="en-AU"/>
              </w:rPr>
            </w:pPr>
            <w:r w:rsidRPr="00FA56FA">
              <w:rPr>
                <w:rFonts w:eastAsiaTheme="minorEastAsia"/>
                <w:color w:val="000000"/>
                <w:lang w:eastAsia="en-AU"/>
              </w:rPr>
              <w:t xml:space="preserve"> 50.0</w:t>
            </w:r>
          </w:p>
        </w:tc>
      </w:tr>
      <w:tr w:rsidR="00F87646" w:rsidRPr="00FA56FA" w:rsidTr="00DA32B5">
        <w:trPr>
          <w:cantSplit/>
        </w:trPr>
        <w:tc>
          <w:tcPr>
            <w:tcW w:w="2420" w:type="dxa"/>
            <w:tcBorders>
              <w:top w:val="single" w:sz="6" w:space="0" w:color="auto"/>
              <w:left w:val="nil"/>
              <w:bottom w:val="single" w:sz="12" w:space="0" w:color="auto"/>
              <w:right w:val="nil"/>
            </w:tcBorders>
            <w:shd w:val="solid" w:color="FFFFFF" w:fill="auto"/>
          </w:tcPr>
          <w:p w:rsidR="00F87646" w:rsidRPr="00FA56FA" w:rsidRDefault="00F87646" w:rsidP="00DA32B5">
            <w:pPr>
              <w:pStyle w:val="Tabletext"/>
              <w:rPr>
                <w:rFonts w:eastAsiaTheme="minorEastAsia"/>
                <w:b/>
                <w:bCs/>
                <w:color w:val="000000"/>
                <w:lang w:eastAsia="en-AU"/>
              </w:rPr>
            </w:pPr>
            <w:r w:rsidRPr="00FA56FA">
              <w:rPr>
                <w:rFonts w:eastAsiaTheme="minorEastAsia"/>
                <w:b/>
                <w:bCs/>
                <w:color w:val="000000"/>
                <w:lang w:eastAsia="en-AU"/>
              </w:rPr>
              <w:t>Decrease/(increase) in net debt</w:t>
            </w:r>
          </w:p>
        </w:tc>
        <w:tc>
          <w:tcPr>
            <w:tcW w:w="892" w:type="dxa"/>
            <w:gridSpan w:val="2"/>
            <w:tcBorders>
              <w:top w:val="single" w:sz="6" w:space="0" w:color="auto"/>
              <w:left w:val="nil"/>
              <w:bottom w:val="single" w:sz="12"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(1 352.5)</w:t>
            </w:r>
          </w:p>
        </w:tc>
        <w:tc>
          <w:tcPr>
            <w:tcW w:w="892" w:type="dxa"/>
            <w:tcBorders>
              <w:top w:val="single" w:sz="6" w:space="0" w:color="auto"/>
              <w:left w:val="nil"/>
              <w:bottom w:val="single" w:sz="12"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(1 853.0)</w:t>
            </w:r>
          </w:p>
        </w:tc>
        <w:tc>
          <w:tcPr>
            <w:tcW w:w="893" w:type="dxa"/>
            <w:tcBorders>
              <w:top w:val="single" w:sz="6" w:space="0" w:color="auto"/>
              <w:left w:val="nil"/>
              <w:bottom w:val="single" w:sz="12" w:space="0" w:color="auto"/>
              <w:right w:val="nil"/>
            </w:tcBorders>
            <w:shd w:val="solid" w:color="FFFFFF" w:fill="auto"/>
          </w:tcPr>
          <w:p w:rsidR="00F87646" w:rsidRPr="00FA56FA" w:rsidRDefault="00F87646" w:rsidP="00DA32B5">
            <w:pPr>
              <w:pStyle w:val="TableofFigures"/>
              <w:rPr>
                <w:rFonts w:eastAsiaTheme="minorEastAsia" w:cs="Calibri"/>
                <w:b/>
                <w:bCs/>
                <w:color w:val="000000"/>
                <w:lang w:eastAsia="en-AU"/>
              </w:rPr>
            </w:pPr>
            <w:r w:rsidRPr="00FA56FA">
              <w:rPr>
                <w:rFonts w:eastAsiaTheme="minorEastAsia"/>
                <w:b/>
                <w:bCs/>
                <w:color w:val="000000"/>
                <w:lang w:eastAsia="en-AU"/>
              </w:rPr>
              <w:t>( 594.1</w:t>
            </w:r>
            <w:r w:rsidRPr="00FA56FA">
              <w:rPr>
                <w:rFonts w:eastAsiaTheme="minorEastAsia" w:cs="Calibri"/>
                <w:b/>
                <w:bCs/>
                <w:color w:val="000000"/>
                <w:lang w:eastAsia="en-AU"/>
              </w:rPr>
              <w:t>)</w:t>
            </w:r>
          </w:p>
        </w:tc>
        <w:tc>
          <w:tcPr>
            <w:tcW w:w="893" w:type="dxa"/>
            <w:tcBorders>
              <w:top w:val="single" w:sz="6" w:space="0" w:color="auto"/>
              <w:left w:val="nil"/>
              <w:bottom w:val="single" w:sz="12"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4 204.5</w:t>
            </w:r>
          </w:p>
        </w:tc>
        <w:tc>
          <w:tcPr>
            <w:tcW w:w="893" w:type="dxa"/>
            <w:tcBorders>
              <w:top w:val="single" w:sz="6" w:space="0" w:color="auto"/>
              <w:left w:val="nil"/>
              <w:bottom w:val="single" w:sz="12" w:space="0" w:color="auto"/>
              <w:right w:val="nil"/>
            </w:tcBorders>
            <w:shd w:val="solid" w:color="FFFFFF" w:fill="auto"/>
          </w:tcPr>
          <w:p w:rsidR="00F87646" w:rsidRPr="00FA56FA" w:rsidRDefault="00F87646" w:rsidP="00DA32B5">
            <w:pPr>
              <w:pStyle w:val="TableofFigures"/>
              <w:rPr>
                <w:rFonts w:eastAsiaTheme="minorEastAsia" w:cs="Calibri"/>
                <w:b/>
                <w:bCs/>
                <w:color w:val="000000"/>
                <w:lang w:eastAsia="en-AU"/>
              </w:rPr>
            </w:pPr>
            <w:r w:rsidRPr="00FA56FA">
              <w:rPr>
                <w:rFonts w:eastAsiaTheme="minorEastAsia"/>
                <w:b/>
                <w:bCs/>
                <w:color w:val="000000"/>
                <w:lang w:eastAsia="en-AU"/>
              </w:rPr>
              <w:t>(1 045.6)</w:t>
            </w:r>
          </w:p>
        </w:tc>
        <w:tc>
          <w:tcPr>
            <w:tcW w:w="893" w:type="dxa"/>
            <w:tcBorders>
              <w:top w:val="single" w:sz="6" w:space="0" w:color="auto"/>
              <w:left w:val="nil"/>
              <w:bottom w:val="single" w:sz="12" w:space="0" w:color="auto"/>
              <w:right w:val="nil"/>
            </w:tcBorders>
            <w:shd w:val="solid" w:color="FFFFFF" w:fill="auto"/>
          </w:tcPr>
          <w:p w:rsidR="00F87646" w:rsidRPr="00FA56FA" w:rsidRDefault="00F87646" w:rsidP="00DA32B5">
            <w:pPr>
              <w:pStyle w:val="TableofFigures"/>
              <w:rPr>
                <w:rFonts w:eastAsiaTheme="minorEastAsia"/>
                <w:b/>
                <w:bCs/>
                <w:color w:val="000000"/>
                <w:lang w:eastAsia="en-AU"/>
              </w:rPr>
            </w:pPr>
            <w:r w:rsidRPr="00FA56FA">
              <w:rPr>
                <w:rFonts w:eastAsiaTheme="minorEastAsia"/>
                <w:b/>
                <w:bCs/>
                <w:color w:val="000000"/>
                <w:lang w:eastAsia="en-AU"/>
              </w:rPr>
              <w:t>( 987.6)</w:t>
            </w:r>
          </w:p>
        </w:tc>
      </w:tr>
    </w:tbl>
    <w:p w:rsidR="00F87646" w:rsidRPr="002E2383" w:rsidRDefault="00F87646" w:rsidP="00DA32B5">
      <w:pPr>
        <w:pStyle w:val="Source"/>
      </w:pPr>
      <w:r w:rsidRPr="002E2383">
        <w:t>Source: Department of Treasury and Finance</w:t>
      </w:r>
    </w:p>
    <w:p w:rsidR="00F87646" w:rsidRPr="002E2383" w:rsidRDefault="00F87646" w:rsidP="00DA32B5">
      <w:pPr>
        <w:pStyle w:val="Notes"/>
      </w:pPr>
      <w:r w:rsidRPr="002E2383">
        <w:t>Notes:</w:t>
      </w:r>
    </w:p>
    <w:p w:rsidR="00F87646" w:rsidRPr="002E2383" w:rsidRDefault="00F87646" w:rsidP="00DA32B5">
      <w:pPr>
        <w:pStyle w:val="Notes"/>
      </w:pPr>
      <w:r w:rsidRPr="002E2383">
        <w:t xml:space="preserve">(a) </w:t>
      </w:r>
      <w:r w:rsidRPr="002E2383">
        <w:tab/>
        <w:t>Includes depreciation, movements in the unfunded superannuation liability and liability for employee benefits.</w:t>
      </w:r>
    </w:p>
    <w:p w:rsidR="00F87646" w:rsidRPr="002E2383" w:rsidRDefault="00F87646" w:rsidP="00DA32B5">
      <w:pPr>
        <w:pStyle w:val="Notes"/>
      </w:pPr>
      <w:r w:rsidRPr="002E2383">
        <w:t xml:space="preserve">(b) </w:t>
      </w:r>
      <w:r w:rsidRPr="002E2383">
        <w:tab/>
        <w:t>Amount available to be allocated to specific departments and projects in future budgets including capital contributions to other sectors.</w:t>
      </w:r>
    </w:p>
    <w:p w:rsidR="00F87646" w:rsidRPr="002E2383" w:rsidRDefault="00F87646" w:rsidP="00DA32B5">
      <w:pPr>
        <w:pStyle w:val="Notes"/>
      </w:pPr>
      <w:r w:rsidRPr="002E2383">
        <w:t xml:space="preserve">(c) </w:t>
      </w:r>
      <w:r w:rsidRPr="002E2383">
        <w:tab/>
        <w:t>Includes total purchases of plant, property and equipment, and capital contributions to other sectors of government net of proceeds from asset sales.</w:t>
      </w:r>
    </w:p>
    <w:p w:rsidR="00F87646" w:rsidRDefault="00F87646" w:rsidP="00DA32B5">
      <w:pPr>
        <w:pStyle w:val="Notes"/>
      </w:pPr>
      <w:r w:rsidRPr="002E2383">
        <w:t>(d)</w:t>
      </w:r>
      <w:r w:rsidRPr="002E2383">
        <w:tab/>
        <w:t>The finance lease acquisition in 2014</w:t>
      </w:r>
      <w:r>
        <w:noBreakHyphen/>
      </w:r>
      <w:r w:rsidRPr="002E2383">
        <w:t>15 relates to metropolitan buses contract. The 2015</w:t>
      </w:r>
      <w:r>
        <w:noBreakHyphen/>
      </w:r>
      <w:r w:rsidRPr="002E2383">
        <w:t>16 estimate relates to the Victorian Comprehensive Cancer Centre. The 2016</w:t>
      </w:r>
      <w:r>
        <w:noBreakHyphen/>
      </w:r>
      <w:r w:rsidRPr="002E2383">
        <w:t>17 estimate relates to the new Bendigo Hospital project (Stage 1), the Cranbourne</w:t>
      </w:r>
      <w:r>
        <w:noBreakHyphen/>
      </w:r>
      <w:r w:rsidRPr="002E2383">
        <w:t>Pakenham Rail Corridor project and the School capital program (Tranche 1). The 2017</w:t>
      </w:r>
      <w:r>
        <w:noBreakHyphen/>
      </w:r>
      <w:r w:rsidRPr="002E2383">
        <w:t>18 estimate relates to the Cranbourne</w:t>
      </w:r>
      <w:r>
        <w:noBreakHyphen/>
      </w:r>
      <w:r w:rsidRPr="002E2383">
        <w:t>Pakenham Rail C</w:t>
      </w:r>
      <w:r>
        <w:t>orridor project, the Ravenhall P</w:t>
      </w:r>
      <w:r w:rsidRPr="002E2383">
        <w:t>rison project, the School capital program (Tranche 2) and the new Bendigo Hospital project (Stage 2).</w:t>
      </w:r>
    </w:p>
    <w:p w:rsidR="00F87646" w:rsidRPr="002E2383" w:rsidRDefault="00F87646" w:rsidP="00DA32B5">
      <w:pPr>
        <w:pStyle w:val="Source"/>
      </w:pPr>
    </w:p>
    <w:p w:rsidR="00F87646" w:rsidRDefault="00F87646">
      <w:pPr>
        <w:spacing w:after="0"/>
      </w:pPr>
      <w:r>
        <w:br w:type="page"/>
      </w:r>
    </w:p>
    <w:p w:rsidR="00F87646" w:rsidRDefault="00F87646" w:rsidP="00DA32B5">
      <w:r w:rsidRPr="002E2383">
        <w:lastRenderedPageBreak/>
        <w:t>Total net investment in fixed assets is projected to be $4</w:t>
      </w:r>
      <w:r>
        <w:t>.5 billion</w:t>
      </w:r>
      <w:r w:rsidRPr="002E2383">
        <w:t xml:space="preserve"> in 2014</w:t>
      </w:r>
      <w:r>
        <w:noBreakHyphen/>
      </w:r>
      <w:r w:rsidRPr="002E2383">
        <w:t>15.</w:t>
      </w:r>
      <w:r>
        <w:t xml:space="preserve"> </w:t>
      </w:r>
      <w:r w:rsidRPr="002E2383">
        <w:t xml:space="preserve">In addition to net investment in fixed assets, infrastructure investment </w:t>
      </w:r>
      <w:r>
        <w:t xml:space="preserve">is also funded and delivered </w:t>
      </w:r>
      <w:r w:rsidRPr="002E2383">
        <w:t>through public private partnerships. These projects are not captured through the net investment in fixed assets measure as the construction of these infrastructure assets is generally un</w:t>
      </w:r>
      <w:r>
        <w:t>dertaken by the private sector.</w:t>
      </w:r>
    </w:p>
    <w:p w:rsidR="00F87646" w:rsidRPr="002E2383" w:rsidRDefault="00F87646" w:rsidP="00DA32B5">
      <w:r w:rsidRPr="002E2383">
        <w:t>By including estimated cash flows associated with the construction of infrastructure under public private partnership arrangements, total government infrastructure in</w:t>
      </w:r>
      <w:r>
        <w:t>vestment is projected to be $5.8 billion</w:t>
      </w:r>
      <w:r w:rsidRPr="002E2383">
        <w:t xml:space="preserve"> in 2014</w:t>
      </w:r>
      <w:r>
        <w:noBreakHyphen/>
      </w:r>
      <w:r w:rsidRPr="002E2383">
        <w:t>15</w:t>
      </w:r>
      <w:r>
        <w:t xml:space="preserve"> and $7.0 billion</w:t>
      </w:r>
      <w:r w:rsidRPr="002E2383">
        <w:t xml:space="preserve"> a year on average over the forward estimates.</w:t>
      </w:r>
    </w:p>
    <w:p w:rsidR="00F87646" w:rsidRPr="002E2383" w:rsidRDefault="00F87646" w:rsidP="006B2FC1">
      <w:pPr>
        <w:pStyle w:val="Heading1"/>
      </w:pPr>
      <w:bookmarkStart w:id="21" w:name="_Toc401056872"/>
      <w:bookmarkStart w:id="22" w:name="_Toc401147494"/>
      <w:bookmarkStart w:id="23" w:name="_Toc403386689"/>
      <w:r w:rsidRPr="002E2383">
        <w:t xml:space="preserve">Net debt and net </w:t>
      </w:r>
      <w:r w:rsidRPr="006B2FC1">
        <w:t>financial</w:t>
      </w:r>
      <w:r w:rsidRPr="002E2383">
        <w:t xml:space="preserve"> liabilities</w:t>
      </w:r>
      <w:bookmarkEnd w:id="21"/>
      <w:bookmarkEnd w:id="22"/>
      <w:bookmarkEnd w:id="23"/>
    </w:p>
    <w:p w:rsidR="00F87646" w:rsidRPr="002E2383" w:rsidRDefault="00F87646" w:rsidP="006B2FC1">
      <w:r w:rsidRPr="002E2383">
        <w:t xml:space="preserve">Chart </w:t>
      </w:r>
      <w:r>
        <w:t>2.</w:t>
      </w:r>
      <w:r w:rsidRPr="002E2383">
        <w:t>1 presents the trend in net financial liabilities, a key measure of overall indebtedness used by international credit rating agencies to assess the State</w:t>
      </w:r>
      <w:r>
        <w:t>’</w:t>
      </w:r>
      <w:r w:rsidRPr="002E2383">
        <w:t xml:space="preserve">s financial position. </w:t>
      </w:r>
    </w:p>
    <w:p w:rsidR="00F87646" w:rsidRDefault="00F87646" w:rsidP="006B2FC1">
      <w:pPr>
        <w:pStyle w:val="Chartheading"/>
        <w:rPr>
          <w:vertAlign w:val="superscript"/>
        </w:rPr>
      </w:pPr>
      <w:r w:rsidRPr="002E2383">
        <w:t xml:space="preserve">Chart </w:t>
      </w:r>
      <w:r>
        <w:t>2.</w:t>
      </w:r>
      <w:r w:rsidRPr="002E2383">
        <w:t>1:</w:t>
      </w:r>
      <w:r w:rsidRPr="002E2383">
        <w:tab/>
      </w:r>
      <w:r w:rsidRPr="006B2FC1">
        <w:t>General</w:t>
      </w:r>
      <w:r w:rsidRPr="002E2383">
        <w:t xml:space="preserve"> government net financial liabilities</w:t>
      </w:r>
      <w:r w:rsidRPr="002E2383">
        <w:rPr>
          <w:vertAlign w:val="superscript"/>
        </w:rPr>
        <w:t>(a)</w:t>
      </w:r>
    </w:p>
    <w:p w:rsidR="00F87646" w:rsidRPr="006B2FC1" w:rsidRDefault="001B1C9E" w:rsidP="006B2FC1">
      <w:pPr>
        <w:pStyle w:val="Chartpara"/>
      </w:pPr>
      <w:r>
        <w:rPr>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27.25pt">
            <v:imagedata r:id="rId21" o:title=""/>
          </v:shape>
        </w:pict>
      </w:r>
    </w:p>
    <w:p w:rsidR="00F87646" w:rsidRPr="002E2383" w:rsidRDefault="00F87646" w:rsidP="006B2FC1">
      <w:pPr>
        <w:pStyle w:val="Source"/>
      </w:pPr>
      <w:r w:rsidRPr="002E2383">
        <w:t>Source: Department of Treasury and Finance</w:t>
      </w:r>
    </w:p>
    <w:p w:rsidR="00F87646" w:rsidRPr="002E2383" w:rsidRDefault="00F87646" w:rsidP="005A3CEF">
      <w:pPr>
        <w:pStyle w:val="Notes"/>
      </w:pPr>
      <w:r w:rsidRPr="002E2383">
        <w:t xml:space="preserve">Note: </w:t>
      </w:r>
    </w:p>
    <w:p w:rsidR="00F87646" w:rsidRPr="002E2383" w:rsidRDefault="00F87646" w:rsidP="006B2FC1">
      <w:pPr>
        <w:pStyle w:val="Notes"/>
      </w:pPr>
      <w:r w:rsidRPr="002E2383">
        <w:t xml:space="preserve">(a) </w:t>
      </w:r>
      <w:r w:rsidRPr="002E2383">
        <w:tab/>
        <w:t>Superannuation liabilities between 1999 and 2004 are calculated under the previous Australian accounting standard, whereas from 2005 onward AASB 119 Employee Benefits has been applied.</w:t>
      </w:r>
    </w:p>
    <w:p w:rsidR="00F87646" w:rsidRPr="006B2FC1" w:rsidRDefault="00F87646" w:rsidP="006B2FC1">
      <w:pPr>
        <w:pStyle w:val="Source"/>
      </w:pPr>
    </w:p>
    <w:p w:rsidR="00F87646" w:rsidRPr="002E2383" w:rsidRDefault="00F87646" w:rsidP="00FB2B13">
      <w:r w:rsidRPr="002E2383">
        <w:t xml:space="preserve">General government net financial liabilities is a measure that sums the superannuation liability, net debt (sum of deposits held, advances received and borrowings less the sum of cash, deposits, advances paid and investments, loans and placements) and other net liabilities. </w:t>
      </w:r>
    </w:p>
    <w:p w:rsidR="00F87646" w:rsidRDefault="00F87646">
      <w:pPr>
        <w:spacing w:after="0"/>
      </w:pPr>
      <w:r>
        <w:br w:type="page"/>
      </w:r>
    </w:p>
    <w:p w:rsidR="00F87646" w:rsidRPr="002E2383" w:rsidRDefault="00F87646" w:rsidP="002E2383">
      <w:r w:rsidRPr="002E2383">
        <w:lastRenderedPageBreak/>
        <w:t xml:space="preserve">Net debt is projected to peak at a lower level when compared to the </w:t>
      </w:r>
      <w:r w:rsidRPr="002E2383">
        <w:rPr>
          <w:i/>
        </w:rPr>
        <w:t>2014</w:t>
      </w:r>
      <w:r>
        <w:rPr>
          <w:i/>
        </w:rPr>
        <w:noBreakHyphen/>
      </w:r>
      <w:r w:rsidRPr="002E2383">
        <w:rPr>
          <w:i/>
        </w:rPr>
        <w:t>15 Budget</w:t>
      </w:r>
      <w:r w:rsidRPr="002E2383">
        <w:t xml:space="preserve"> largely due to the timing of payments for capital projects</w:t>
      </w:r>
      <w:r>
        <w:t xml:space="preserve"> </w:t>
      </w:r>
      <w:r w:rsidRPr="00854278">
        <w:t>and revised capital grants from the Commonwealth.</w:t>
      </w:r>
    </w:p>
    <w:p w:rsidR="00F87646" w:rsidRPr="002E2383" w:rsidRDefault="00F87646" w:rsidP="00FB2B13">
      <w:r w:rsidRPr="002E2383">
        <w:t>Movement in the superannuation liability primarily reflects variations in the discount rate required to value the superannuation liability under Australian Accounting Standard AASB 119</w:t>
      </w:r>
      <w:r w:rsidRPr="002E2383">
        <w:rPr>
          <w:i/>
        </w:rPr>
        <w:t xml:space="preserve"> Employee Benefits</w:t>
      </w:r>
      <w:r w:rsidRPr="002E2383">
        <w:t xml:space="preserve">. </w:t>
      </w:r>
    </w:p>
    <w:p w:rsidR="00F87646" w:rsidRPr="002E2383" w:rsidRDefault="00F87646" w:rsidP="002E2383">
      <w:r w:rsidRPr="002E2383">
        <w:t>Overall, estimated net financial liabilities as a proportion of GSP are on a downward trajectory over the forward estimates.</w:t>
      </w:r>
    </w:p>
    <w:p w:rsidR="00F87646" w:rsidRPr="002E2383" w:rsidRDefault="00F87646" w:rsidP="00FB2B13">
      <w:pPr>
        <w:pStyle w:val="Tableheading"/>
      </w:pPr>
      <w:r w:rsidRPr="002E2383">
        <w:t xml:space="preserve">Table </w:t>
      </w:r>
      <w:r>
        <w:t>2.</w:t>
      </w:r>
      <w:r w:rsidRPr="002E2383">
        <w:t>5:</w:t>
      </w:r>
      <w:r w:rsidRPr="002E2383">
        <w:tab/>
        <w:t xml:space="preserve">General </w:t>
      </w:r>
      <w:r w:rsidRPr="006B2FC1">
        <w:t>government</w:t>
      </w:r>
      <w:r w:rsidRPr="002E2383">
        <w:t xml:space="preserve"> sector net debt and net financial liabilities</w:t>
      </w:r>
    </w:p>
    <w:p w:rsidR="00F87646" w:rsidRPr="00FB2B13" w:rsidRDefault="00F87646" w:rsidP="006B2FC1">
      <w:pPr>
        <w:pStyle w:val="million"/>
      </w:pPr>
      <w:r w:rsidRPr="002E2383">
        <w:t>($</w:t>
      </w:r>
      <w:r>
        <w:t> billion)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312"/>
        <w:gridCol w:w="580"/>
        <w:gridCol w:w="892"/>
        <w:gridCol w:w="157"/>
        <w:gridCol w:w="736"/>
        <w:gridCol w:w="893"/>
        <w:gridCol w:w="893"/>
        <w:gridCol w:w="893"/>
      </w:tblGrid>
      <w:tr w:rsidR="00F87646" w:rsidRPr="00FB2B13" w:rsidTr="00FB2B13">
        <w:tc>
          <w:tcPr>
            <w:tcW w:w="2420" w:type="dxa"/>
            <w:tcBorders>
              <w:top w:val="single" w:sz="4" w:space="0" w:color="auto"/>
              <w:left w:val="single" w:sz="4" w:space="0" w:color="auto"/>
              <w:bottom w:val="nil"/>
              <w:right w:val="nil"/>
            </w:tcBorders>
            <w:shd w:val="clear" w:color="auto" w:fill="000000"/>
          </w:tcPr>
          <w:p w:rsidR="00F87646" w:rsidRPr="00FB2B13" w:rsidRDefault="00F87646" w:rsidP="00FB2B13">
            <w:pPr>
              <w:pStyle w:val="Tabletext"/>
              <w:rPr>
                <w:rFonts w:eastAsiaTheme="minorEastAsia"/>
                <w:lang w:eastAsia="en-AU"/>
              </w:rPr>
            </w:pPr>
            <w:r w:rsidRPr="00FB2B13">
              <w:rPr>
                <w:rFonts w:eastAsiaTheme="minorEastAsia"/>
                <w:lang w:eastAsia="en-AU"/>
              </w:rPr>
              <w:t xml:space="preserve"> </w:t>
            </w:r>
          </w:p>
        </w:tc>
        <w:tc>
          <w:tcPr>
            <w:tcW w:w="892" w:type="dxa"/>
            <w:gridSpan w:val="2"/>
            <w:tcBorders>
              <w:top w:val="single" w:sz="4" w:space="0" w:color="auto"/>
              <w:left w:val="nil"/>
              <w:bottom w:val="nil"/>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2014</w:t>
            </w:r>
          </w:p>
        </w:tc>
        <w:tc>
          <w:tcPr>
            <w:tcW w:w="892" w:type="dxa"/>
            <w:tcBorders>
              <w:top w:val="single" w:sz="4" w:space="0" w:color="auto"/>
              <w:left w:val="nil"/>
              <w:bottom w:val="nil"/>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2015</w:t>
            </w:r>
          </w:p>
        </w:tc>
        <w:tc>
          <w:tcPr>
            <w:tcW w:w="893" w:type="dxa"/>
            <w:gridSpan w:val="2"/>
            <w:tcBorders>
              <w:top w:val="single" w:sz="4" w:space="0" w:color="auto"/>
              <w:left w:val="nil"/>
              <w:bottom w:val="nil"/>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2015</w:t>
            </w:r>
          </w:p>
        </w:tc>
        <w:tc>
          <w:tcPr>
            <w:tcW w:w="893" w:type="dxa"/>
            <w:tcBorders>
              <w:top w:val="single" w:sz="4" w:space="0" w:color="auto"/>
              <w:left w:val="nil"/>
              <w:bottom w:val="nil"/>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2016</w:t>
            </w:r>
          </w:p>
        </w:tc>
        <w:tc>
          <w:tcPr>
            <w:tcW w:w="893" w:type="dxa"/>
            <w:tcBorders>
              <w:top w:val="single" w:sz="4" w:space="0" w:color="auto"/>
              <w:left w:val="nil"/>
              <w:bottom w:val="nil"/>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2017</w:t>
            </w:r>
          </w:p>
        </w:tc>
        <w:tc>
          <w:tcPr>
            <w:tcW w:w="893" w:type="dxa"/>
            <w:tcBorders>
              <w:top w:val="single" w:sz="4" w:space="0" w:color="auto"/>
              <w:left w:val="nil"/>
              <w:bottom w:val="nil"/>
              <w:right w:val="single" w:sz="4" w:space="0" w:color="auto"/>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2018</w:t>
            </w:r>
          </w:p>
        </w:tc>
      </w:tr>
      <w:tr w:rsidR="00F87646" w:rsidRPr="00FB2B13" w:rsidTr="00FB2B13">
        <w:tc>
          <w:tcPr>
            <w:tcW w:w="2420" w:type="dxa"/>
            <w:tcBorders>
              <w:top w:val="nil"/>
              <w:left w:val="single" w:sz="4" w:space="0" w:color="auto"/>
              <w:bottom w:val="single" w:sz="4" w:space="0" w:color="auto"/>
              <w:right w:val="nil"/>
            </w:tcBorders>
            <w:shd w:val="clear" w:color="auto" w:fill="000000"/>
          </w:tcPr>
          <w:p w:rsidR="00F87646" w:rsidRPr="00FB2B13" w:rsidRDefault="00F87646" w:rsidP="00FB2B13">
            <w:pPr>
              <w:pStyle w:val="Tabletext"/>
              <w:rPr>
                <w:rFonts w:eastAsiaTheme="minorEastAsia"/>
                <w:lang w:eastAsia="en-AU"/>
              </w:rPr>
            </w:pPr>
            <w:r w:rsidRPr="00FB2B13">
              <w:rPr>
                <w:rFonts w:eastAsiaTheme="minorEastAsia"/>
                <w:lang w:eastAsia="en-AU"/>
              </w:rPr>
              <w:t xml:space="preserve"> </w:t>
            </w:r>
          </w:p>
        </w:tc>
        <w:tc>
          <w:tcPr>
            <w:tcW w:w="892" w:type="dxa"/>
            <w:gridSpan w:val="2"/>
            <w:tcBorders>
              <w:top w:val="nil"/>
              <w:left w:val="nil"/>
              <w:bottom w:val="single" w:sz="4" w:space="0" w:color="auto"/>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budget</w:t>
            </w:r>
          </w:p>
        </w:tc>
        <w:tc>
          <w:tcPr>
            <w:tcW w:w="893" w:type="dxa"/>
            <w:gridSpan w:val="2"/>
            <w:tcBorders>
              <w:top w:val="nil"/>
              <w:left w:val="nil"/>
              <w:bottom w:val="single" w:sz="4" w:space="0" w:color="auto"/>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F87646" w:rsidRPr="00FB2B13" w:rsidRDefault="00F87646" w:rsidP="00FB2B13">
            <w:pPr>
              <w:pStyle w:val="Tabletextheading"/>
              <w:rPr>
                <w:rFonts w:eastAsiaTheme="minorEastAsia"/>
                <w:lang w:eastAsia="en-AU"/>
              </w:rPr>
            </w:pPr>
            <w:r w:rsidRPr="00FB2B13">
              <w:rPr>
                <w:rFonts w:eastAsiaTheme="minorEastAsia"/>
                <w:lang w:eastAsia="en-AU"/>
              </w:rPr>
              <w:t>estimate</w:t>
            </w:r>
          </w:p>
        </w:tc>
      </w:tr>
      <w:tr w:rsidR="00F87646" w:rsidRPr="00FB2B13" w:rsidTr="00FB2B13">
        <w:tc>
          <w:tcPr>
            <w:tcW w:w="2420" w:type="dxa"/>
            <w:tcBorders>
              <w:top w:val="single" w:sz="4" w:space="0" w:color="auto"/>
              <w:left w:val="nil"/>
              <w:bottom w:val="nil"/>
              <w:right w:val="nil"/>
            </w:tcBorders>
            <w:shd w:val="solid" w:color="FFFFFF" w:fill="auto"/>
          </w:tcPr>
          <w:p w:rsidR="00F87646" w:rsidRPr="00FB2B13" w:rsidRDefault="00F87646" w:rsidP="00FB2B13">
            <w:pPr>
              <w:pStyle w:val="Tabletext"/>
              <w:rPr>
                <w:rFonts w:eastAsiaTheme="minorEastAsia"/>
                <w:b/>
                <w:bCs/>
                <w:lang w:eastAsia="en-AU"/>
              </w:rPr>
            </w:pPr>
            <w:r w:rsidRPr="00FB2B13">
              <w:rPr>
                <w:rFonts w:eastAsiaTheme="minorEastAsia"/>
                <w:b/>
                <w:bCs/>
                <w:lang w:eastAsia="en-AU"/>
              </w:rPr>
              <w:t>Financial assets</w:t>
            </w:r>
          </w:p>
        </w:tc>
        <w:tc>
          <w:tcPr>
            <w:tcW w:w="892" w:type="dxa"/>
            <w:gridSpan w:val="2"/>
            <w:tcBorders>
              <w:top w:val="single" w:sz="4" w:space="0" w:color="auto"/>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2" w:type="dxa"/>
            <w:tcBorders>
              <w:top w:val="single" w:sz="4" w:space="0" w:color="auto"/>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p>
        </w:tc>
        <w:tc>
          <w:tcPr>
            <w:tcW w:w="893" w:type="dxa"/>
            <w:gridSpan w:val="2"/>
            <w:tcBorders>
              <w:top w:val="single" w:sz="4" w:space="0" w:color="auto"/>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single" w:sz="4" w:space="0" w:color="auto"/>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Cash and deposits</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4.5</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4.7</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4.7</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4.9</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5.2</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5.6</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Advances paid</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4.6</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4.5</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4.6</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4.5</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4.5</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4.4</w:t>
            </w:r>
          </w:p>
        </w:tc>
      </w:tr>
      <w:tr w:rsidR="00F87646" w:rsidRPr="00FB2B13" w:rsidTr="00FB2B13">
        <w:tc>
          <w:tcPr>
            <w:tcW w:w="2420" w:type="dxa"/>
            <w:tcBorders>
              <w:top w:val="nil"/>
              <w:left w:val="nil"/>
              <w:bottom w:val="single" w:sz="6" w:space="0" w:color="auto"/>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Investments, loans and placements</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3.1</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3.1</w:t>
            </w:r>
          </w:p>
        </w:tc>
        <w:tc>
          <w:tcPr>
            <w:tcW w:w="893" w:type="dxa"/>
            <w:gridSpan w:val="2"/>
            <w:tcBorders>
              <w:top w:val="nil"/>
              <w:left w:val="nil"/>
              <w:bottom w:val="single" w:sz="6"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3.1</w:t>
            </w:r>
          </w:p>
        </w:tc>
        <w:tc>
          <w:tcPr>
            <w:tcW w:w="893" w:type="dxa"/>
            <w:tcBorders>
              <w:top w:val="nil"/>
              <w:left w:val="nil"/>
              <w:bottom w:val="single" w:sz="6"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3.2</w:t>
            </w:r>
          </w:p>
        </w:tc>
        <w:tc>
          <w:tcPr>
            <w:tcW w:w="893" w:type="dxa"/>
            <w:tcBorders>
              <w:top w:val="nil"/>
              <w:left w:val="nil"/>
              <w:bottom w:val="single" w:sz="6"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3.3</w:t>
            </w:r>
          </w:p>
        </w:tc>
        <w:tc>
          <w:tcPr>
            <w:tcW w:w="893" w:type="dxa"/>
            <w:tcBorders>
              <w:top w:val="nil"/>
              <w:left w:val="nil"/>
              <w:bottom w:val="single" w:sz="6"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3.4</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b/>
                <w:bCs/>
                <w:lang w:eastAsia="en-AU"/>
              </w:rPr>
            </w:pPr>
            <w:r w:rsidRPr="00FB2B13">
              <w:rPr>
                <w:rFonts w:eastAsiaTheme="minorEastAsia"/>
                <w:b/>
                <w:bCs/>
                <w:lang w:eastAsia="en-AU"/>
              </w:rPr>
              <w:t>Total</w:t>
            </w:r>
          </w:p>
        </w:tc>
        <w:tc>
          <w:tcPr>
            <w:tcW w:w="892" w:type="dxa"/>
            <w:gridSpan w:val="2"/>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12.2</w:t>
            </w:r>
          </w:p>
        </w:tc>
        <w:tc>
          <w:tcPr>
            <w:tcW w:w="892" w:type="dxa"/>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12.3</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12.3</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12.6</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13.0</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13.5</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b/>
                <w:bCs/>
                <w:lang w:eastAsia="en-AU"/>
              </w:rPr>
            </w:pPr>
            <w:r w:rsidRPr="00FB2B13">
              <w:rPr>
                <w:rFonts w:eastAsiaTheme="minorEastAsia"/>
                <w:b/>
                <w:bCs/>
                <w:lang w:eastAsia="en-AU"/>
              </w:rPr>
              <w:t>Financial liabilities</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Deposits held and advances received</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0.4</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0.4</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0.4</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0.4</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0.4</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0.4</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Borrowings</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33.0</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34.9</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33.7</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29.8</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31.2</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32.6</w:t>
            </w:r>
          </w:p>
        </w:tc>
      </w:tr>
      <w:tr w:rsidR="00F87646" w:rsidRPr="00FB2B13" w:rsidTr="00FB2B13">
        <w:tc>
          <w:tcPr>
            <w:tcW w:w="2420"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text"/>
              <w:rPr>
                <w:rFonts w:eastAsiaTheme="minorEastAsia"/>
                <w:b/>
                <w:bCs/>
                <w:lang w:eastAsia="en-AU"/>
              </w:rPr>
            </w:pPr>
            <w:r w:rsidRPr="00FB2B13">
              <w:rPr>
                <w:rFonts w:eastAsiaTheme="minorEastAsia"/>
                <w:b/>
                <w:bCs/>
                <w:lang w:eastAsia="en-AU"/>
              </w:rPr>
              <w:t>Total</w:t>
            </w:r>
          </w:p>
        </w:tc>
        <w:tc>
          <w:tcPr>
            <w:tcW w:w="892" w:type="dxa"/>
            <w:gridSpan w:val="2"/>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33.4</w:t>
            </w:r>
          </w:p>
        </w:tc>
        <w:tc>
          <w:tcPr>
            <w:tcW w:w="892"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35.4</w:t>
            </w:r>
          </w:p>
        </w:tc>
        <w:tc>
          <w:tcPr>
            <w:tcW w:w="893" w:type="dxa"/>
            <w:gridSpan w:val="2"/>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34.1</w:t>
            </w:r>
          </w:p>
        </w:tc>
        <w:tc>
          <w:tcPr>
            <w:tcW w:w="893"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30.2</w:t>
            </w:r>
          </w:p>
        </w:tc>
        <w:tc>
          <w:tcPr>
            <w:tcW w:w="893"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31.6</w:t>
            </w:r>
          </w:p>
        </w:tc>
        <w:tc>
          <w:tcPr>
            <w:tcW w:w="893"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33.1</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b/>
                <w:bCs/>
                <w:vertAlign w:val="superscript"/>
                <w:lang w:eastAsia="en-AU"/>
              </w:rPr>
            </w:pPr>
            <w:r w:rsidRPr="00FB2B13">
              <w:rPr>
                <w:rFonts w:eastAsiaTheme="minorEastAsia"/>
                <w:b/>
                <w:bCs/>
                <w:lang w:eastAsia="en-AU"/>
              </w:rPr>
              <w:t xml:space="preserve">Net debt </w:t>
            </w:r>
            <w:r w:rsidRPr="00FB2B13">
              <w:rPr>
                <w:rFonts w:eastAsiaTheme="minorEastAsia"/>
                <w:b/>
                <w:bCs/>
                <w:vertAlign w:val="superscript"/>
                <w:lang w:eastAsia="en-AU"/>
              </w:rPr>
              <w:t>(a)(b)</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21.2</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23.0</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21.8</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17.6</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18.6</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19.6</w:t>
            </w:r>
          </w:p>
        </w:tc>
      </w:tr>
      <w:tr w:rsidR="00F87646" w:rsidRPr="00FB2B13" w:rsidTr="00FB2B13">
        <w:tc>
          <w:tcPr>
            <w:tcW w:w="2420" w:type="dxa"/>
            <w:tcBorders>
              <w:top w:val="nil"/>
              <w:left w:val="nil"/>
              <w:bottom w:val="single" w:sz="6" w:space="0" w:color="auto"/>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Superannuation liability</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25.7</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25.4</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26.1</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25.6</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25.0</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24.3</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b/>
                <w:bCs/>
                <w:lang w:eastAsia="en-AU"/>
              </w:rPr>
            </w:pPr>
            <w:r w:rsidRPr="00FB2B13">
              <w:rPr>
                <w:rFonts w:eastAsiaTheme="minorEastAsia"/>
                <w:b/>
                <w:bCs/>
                <w:lang w:eastAsia="en-AU"/>
              </w:rPr>
              <w:t>Net debt plus superannuation liability</w:t>
            </w:r>
          </w:p>
        </w:tc>
        <w:tc>
          <w:tcPr>
            <w:tcW w:w="892" w:type="dxa"/>
            <w:gridSpan w:val="2"/>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46.9</w:t>
            </w:r>
          </w:p>
        </w:tc>
        <w:tc>
          <w:tcPr>
            <w:tcW w:w="892" w:type="dxa"/>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48.4</w:t>
            </w:r>
          </w:p>
        </w:tc>
        <w:tc>
          <w:tcPr>
            <w:tcW w:w="893" w:type="dxa"/>
            <w:gridSpan w:val="2"/>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47.9</w:t>
            </w:r>
          </w:p>
        </w:tc>
        <w:tc>
          <w:tcPr>
            <w:tcW w:w="893" w:type="dxa"/>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43.2</w:t>
            </w:r>
          </w:p>
        </w:tc>
        <w:tc>
          <w:tcPr>
            <w:tcW w:w="893" w:type="dxa"/>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43.6</w:t>
            </w:r>
          </w:p>
        </w:tc>
        <w:tc>
          <w:tcPr>
            <w:tcW w:w="893" w:type="dxa"/>
            <w:tcBorders>
              <w:top w:val="single" w:sz="6" w:space="0" w:color="auto"/>
              <w:left w:val="nil"/>
              <w:bottom w:val="nil"/>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43.9</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vertAlign w:val="superscript"/>
                <w:lang w:eastAsia="en-AU"/>
              </w:rPr>
            </w:pPr>
            <w:r w:rsidRPr="00FB2B13">
              <w:rPr>
                <w:rFonts w:eastAsiaTheme="minorEastAsia"/>
                <w:lang w:eastAsia="en-AU"/>
              </w:rPr>
              <w:t xml:space="preserve">Other liabilities (net) </w:t>
            </w:r>
            <w:r w:rsidRPr="00FB2B13">
              <w:rPr>
                <w:rFonts w:eastAsiaTheme="minorEastAsia"/>
                <w:vertAlign w:val="superscript"/>
                <w:lang w:eastAsia="en-AU"/>
              </w:rPr>
              <w:t>(c)</w:t>
            </w:r>
          </w:p>
        </w:tc>
        <w:tc>
          <w:tcPr>
            <w:tcW w:w="892"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6.7</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6.5</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6.8</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7.1</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7.3</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7.4</w:t>
            </w:r>
          </w:p>
        </w:tc>
      </w:tr>
      <w:tr w:rsidR="00F87646" w:rsidRPr="00FB2B13" w:rsidTr="00FB2B13">
        <w:tc>
          <w:tcPr>
            <w:tcW w:w="2420"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text"/>
              <w:rPr>
                <w:rFonts w:eastAsiaTheme="minorEastAsia"/>
                <w:b/>
                <w:bCs/>
                <w:vertAlign w:val="superscript"/>
                <w:lang w:eastAsia="en-AU"/>
              </w:rPr>
            </w:pPr>
            <w:r w:rsidRPr="00FB2B13">
              <w:rPr>
                <w:rFonts w:eastAsiaTheme="minorEastAsia"/>
                <w:b/>
                <w:bCs/>
                <w:lang w:eastAsia="en-AU"/>
              </w:rPr>
              <w:t xml:space="preserve">Net financial liabilities </w:t>
            </w:r>
            <w:r w:rsidRPr="00FB2B13">
              <w:rPr>
                <w:rFonts w:eastAsiaTheme="minorEastAsia"/>
                <w:b/>
                <w:bCs/>
                <w:vertAlign w:val="superscript"/>
                <w:lang w:eastAsia="en-AU"/>
              </w:rPr>
              <w:t>(d)</w:t>
            </w:r>
          </w:p>
        </w:tc>
        <w:tc>
          <w:tcPr>
            <w:tcW w:w="892" w:type="dxa"/>
            <w:gridSpan w:val="2"/>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53.5</w:t>
            </w:r>
          </w:p>
        </w:tc>
        <w:tc>
          <w:tcPr>
            <w:tcW w:w="892"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54.9</w:t>
            </w:r>
          </w:p>
        </w:tc>
        <w:tc>
          <w:tcPr>
            <w:tcW w:w="893" w:type="dxa"/>
            <w:gridSpan w:val="2"/>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54.7</w:t>
            </w:r>
          </w:p>
        </w:tc>
        <w:tc>
          <w:tcPr>
            <w:tcW w:w="893"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50.3</w:t>
            </w:r>
          </w:p>
        </w:tc>
        <w:tc>
          <w:tcPr>
            <w:tcW w:w="893"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50.9</w:t>
            </w:r>
          </w:p>
        </w:tc>
        <w:tc>
          <w:tcPr>
            <w:tcW w:w="893" w:type="dxa"/>
            <w:tcBorders>
              <w:top w:val="single" w:sz="6" w:space="0" w:color="auto"/>
              <w:left w:val="nil"/>
              <w:bottom w:val="single" w:sz="6" w:space="0" w:color="auto"/>
              <w:right w:val="nil"/>
            </w:tcBorders>
            <w:shd w:val="solid" w:color="FFFFFF" w:fill="auto"/>
          </w:tcPr>
          <w:p w:rsidR="00F87646" w:rsidRPr="00FB2B13" w:rsidRDefault="00F87646" w:rsidP="00FB2B13">
            <w:pPr>
              <w:pStyle w:val="TableofFigures"/>
              <w:rPr>
                <w:rFonts w:eastAsiaTheme="minorEastAsia"/>
                <w:b/>
                <w:bCs/>
                <w:color w:val="000000"/>
                <w:lang w:eastAsia="en-AU"/>
              </w:rPr>
            </w:pPr>
            <w:r w:rsidRPr="00FB2B13">
              <w:rPr>
                <w:rFonts w:eastAsiaTheme="minorEastAsia"/>
                <w:b/>
                <w:bCs/>
                <w:color w:val="000000"/>
                <w:lang w:eastAsia="en-AU"/>
              </w:rPr>
              <w:t xml:space="preserve"> 51.3</w:t>
            </w:r>
          </w:p>
        </w:tc>
      </w:tr>
      <w:tr w:rsidR="00F87646" w:rsidRPr="00FB2B13" w:rsidTr="00FB2B13">
        <w:tc>
          <w:tcPr>
            <w:tcW w:w="2420" w:type="dxa"/>
            <w:tcBorders>
              <w:top w:val="nil"/>
              <w:left w:val="nil"/>
              <w:bottom w:val="nil"/>
              <w:right w:val="nil"/>
            </w:tcBorders>
            <w:shd w:val="solid" w:color="FFFFFF" w:fill="auto"/>
          </w:tcPr>
          <w:p w:rsidR="00F87646" w:rsidRPr="00FB2B13" w:rsidRDefault="00F87646" w:rsidP="00FB2B13">
            <w:pPr>
              <w:pStyle w:val="Tabletext"/>
              <w:rPr>
                <w:rFonts w:eastAsiaTheme="minorEastAsia"/>
                <w:lang w:eastAsia="en-AU"/>
              </w:rPr>
            </w:pPr>
            <w:r w:rsidRPr="00FB2B13">
              <w:rPr>
                <w:rFonts w:eastAsiaTheme="minorEastAsia"/>
                <w:lang w:eastAsia="en-AU"/>
              </w:rPr>
              <w:t xml:space="preserve"> </w:t>
            </w:r>
          </w:p>
        </w:tc>
        <w:tc>
          <w:tcPr>
            <w:tcW w:w="892" w:type="dxa"/>
            <w:gridSpan w:val="2"/>
            <w:tcBorders>
              <w:top w:val="nil"/>
              <w:left w:val="nil"/>
              <w:bottom w:val="nil"/>
              <w:right w:val="nil"/>
            </w:tcBorders>
            <w:shd w:val="solid" w:color="FFFFFF" w:fill="auto"/>
          </w:tcPr>
          <w:p w:rsidR="00F87646" w:rsidRPr="00FB2B13" w:rsidRDefault="00F87646" w:rsidP="00FB2B13">
            <w:pPr>
              <w:pStyle w:val="million"/>
              <w:rPr>
                <w:rFonts w:eastAsiaTheme="minorEastAsia"/>
                <w:lang w:eastAsia="en-AU"/>
              </w:rPr>
            </w:pPr>
            <w:r w:rsidRPr="00FB2B13">
              <w:rPr>
                <w:rFonts w:eastAsiaTheme="minorEastAsia"/>
                <w:lang w:eastAsia="en-AU"/>
              </w:rPr>
              <w:t xml:space="preserve"> </w:t>
            </w:r>
          </w:p>
        </w:tc>
        <w:tc>
          <w:tcPr>
            <w:tcW w:w="1049" w:type="dxa"/>
            <w:gridSpan w:val="2"/>
            <w:tcBorders>
              <w:top w:val="nil"/>
              <w:left w:val="nil"/>
              <w:bottom w:val="nil"/>
              <w:right w:val="nil"/>
            </w:tcBorders>
            <w:shd w:val="solid" w:color="FFFFFF" w:fill="auto"/>
          </w:tcPr>
          <w:p w:rsidR="00F87646" w:rsidRPr="00FB2B13" w:rsidRDefault="00F87646" w:rsidP="00FB2B13">
            <w:pPr>
              <w:pStyle w:val="million"/>
              <w:rPr>
                <w:rFonts w:eastAsiaTheme="minorEastAsia"/>
                <w:lang w:eastAsia="en-AU"/>
              </w:rPr>
            </w:pPr>
            <w:r w:rsidRPr="00FB2B13">
              <w:rPr>
                <w:rFonts w:eastAsiaTheme="minorEastAsia"/>
                <w:lang w:eastAsia="en-AU"/>
              </w:rPr>
              <w:t xml:space="preserve">(per cent) </w:t>
            </w:r>
          </w:p>
        </w:tc>
        <w:tc>
          <w:tcPr>
            <w:tcW w:w="736" w:type="dxa"/>
            <w:tcBorders>
              <w:top w:val="nil"/>
              <w:left w:val="nil"/>
              <w:bottom w:val="nil"/>
              <w:right w:val="nil"/>
            </w:tcBorders>
            <w:shd w:val="solid" w:color="FFFFFF" w:fill="auto"/>
          </w:tcPr>
          <w:p w:rsidR="00F87646" w:rsidRPr="00FB2B13" w:rsidRDefault="00F87646" w:rsidP="00FB2B13">
            <w:pPr>
              <w:pStyle w:val="million"/>
              <w:rPr>
                <w:rFonts w:eastAsiaTheme="minorEastAsia"/>
                <w:lang w:eastAsia="en-AU"/>
              </w:rPr>
            </w:pPr>
            <w:r w:rsidRPr="00FB2B13">
              <w:rPr>
                <w:rFonts w:eastAsiaTheme="minorEastAsia"/>
                <w:lang w:eastAsia="en-AU"/>
              </w:rPr>
              <w:t xml:space="preserve"> </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 xml:space="preserve"> </w:t>
            </w:r>
          </w:p>
        </w:tc>
      </w:tr>
      <w:tr w:rsidR="00F87646" w:rsidRPr="00FB2B13" w:rsidTr="00FB2B13">
        <w:tc>
          <w:tcPr>
            <w:tcW w:w="2732" w:type="dxa"/>
            <w:gridSpan w:val="2"/>
            <w:tcBorders>
              <w:top w:val="nil"/>
              <w:left w:val="nil"/>
              <w:bottom w:val="nil"/>
              <w:right w:val="nil"/>
            </w:tcBorders>
            <w:shd w:val="solid" w:color="FFFFFF" w:fill="auto"/>
          </w:tcPr>
          <w:p w:rsidR="00F87646" w:rsidRPr="00FB2B13" w:rsidRDefault="00F87646" w:rsidP="00FB2B13">
            <w:pPr>
              <w:pStyle w:val="Tabletext"/>
              <w:rPr>
                <w:rFonts w:eastAsiaTheme="minorEastAsia"/>
                <w:b/>
                <w:bCs/>
                <w:vertAlign w:val="superscript"/>
                <w:lang w:eastAsia="en-AU"/>
              </w:rPr>
            </w:pPr>
            <w:r w:rsidRPr="00FB2B13">
              <w:rPr>
                <w:rFonts w:eastAsiaTheme="minorEastAsia"/>
                <w:b/>
                <w:bCs/>
                <w:lang w:eastAsia="en-AU"/>
              </w:rPr>
              <w:t xml:space="preserve">Net debt to GSP </w:t>
            </w:r>
            <w:r w:rsidRPr="00FB2B13">
              <w:rPr>
                <w:rFonts w:eastAsiaTheme="minorEastAsia"/>
                <w:b/>
                <w:bCs/>
                <w:vertAlign w:val="superscript"/>
                <w:lang w:eastAsia="en-AU"/>
              </w:rPr>
              <w:t>(e)</w:t>
            </w:r>
          </w:p>
        </w:tc>
        <w:tc>
          <w:tcPr>
            <w:tcW w:w="580"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6.0</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6.2</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5.9</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4.5</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4.5</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4.5</w:t>
            </w:r>
          </w:p>
        </w:tc>
      </w:tr>
      <w:tr w:rsidR="00F87646" w:rsidRPr="00FB2B13" w:rsidTr="00FB2B13">
        <w:tc>
          <w:tcPr>
            <w:tcW w:w="2732" w:type="dxa"/>
            <w:gridSpan w:val="2"/>
            <w:tcBorders>
              <w:top w:val="nil"/>
              <w:left w:val="nil"/>
              <w:bottom w:val="nil"/>
              <w:right w:val="nil"/>
            </w:tcBorders>
            <w:shd w:val="solid" w:color="FFFFFF" w:fill="auto"/>
          </w:tcPr>
          <w:p w:rsidR="00F87646" w:rsidRPr="00FB2B13" w:rsidRDefault="00F87646" w:rsidP="00FB2B13">
            <w:pPr>
              <w:pStyle w:val="Tabletext"/>
              <w:rPr>
                <w:rFonts w:eastAsiaTheme="minorEastAsia"/>
                <w:b/>
                <w:bCs/>
                <w:vertAlign w:val="superscript"/>
                <w:lang w:eastAsia="en-AU"/>
              </w:rPr>
            </w:pPr>
            <w:r w:rsidRPr="00FB2B13">
              <w:rPr>
                <w:rFonts w:eastAsiaTheme="minorEastAsia"/>
                <w:b/>
                <w:bCs/>
                <w:lang w:eastAsia="en-AU"/>
              </w:rPr>
              <w:t xml:space="preserve">Net debt plus superannuation liability to GSP </w:t>
            </w:r>
            <w:r w:rsidRPr="00FB2B13">
              <w:rPr>
                <w:rFonts w:eastAsiaTheme="minorEastAsia"/>
                <w:b/>
                <w:bCs/>
                <w:vertAlign w:val="superscript"/>
                <w:lang w:eastAsia="en-AU"/>
              </w:rPr>
              <w:t>(e)</w:t>
            </w:r>
          </w:p>
        </w:tc>
        <w:tc>
          <w:tcPr>
            <w:tcW w:w="580"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13.3</w:t>
            </w:r>
          </w:p>
        </w:tc>
        <w:tc>
          <w:tcPr>
            <w:tcW w:w="892"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13.1</w:t>
            </w:r>
          </w:p>
        </w:tc>
        <w:tc>
          <w:tcPr>
            <w:tcW w:w="893" w:type="dxa"/>
            <w:gridSpan w:val="2"/>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12.9</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11.1</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10.6</w:t>
            </w:r>
          </w:p>
        </w:tc>
        <w:tc>
          <w:tcPr>
            <w:tcW w:w="893" w:type="dxa"/>
            <w:tcBorders>
              <w:top w:val="nil"/>
              <w:left w:val="nil"/>
              <w:bottom w:val="nil"/>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10.1</w:t>
            </w:r>
          </w:p>
        </w:tc>
      </w:tr>
      <w:tr w:rsidR="00F87646" w:rsidRPr="00FB2B13" w:rsidTr="00FB2B13">
        <w:tc>
          <w:tcPr>
            <w:tcW w:w="2732" w:type="dxa"/>
            <w:gridSpan w:val="2"/>
            <w:tcBorders>
              <w:top w:val="nil"/>
              <w:left w:val="nil"/>
              <w:bottom w:val="single" w:sz="12" w:space="0" w:color="auto"/>
              <w:right w:val="nil"/>
            </w:tcBorders>
            <w:shd w:val="solid" w:color="FFFFFF" w:fill="auto"/>
          </w:tcPr>
          <w:p w:rsidR="00F87646" w:rsidRPr="00FB2B13" w:rsidRDefault="00F87646" w:rsidP="00FB2B13">
            <w:pPr>
              <w:pStyle w:val="Tabletext"/>
              <w:rPr>
                <w:rFonts w:eastAsiaTheme="minorEastAsia"/>
                <w:b/>
                <w:bCs/>
                <w:vertAlign w:val="superscript"/>
                <w:lang w:eastAsia="en-AU"/>
              </w:rPr>
            </w:pPr>
            <w:r w:rsidRPr="00FB2B13">
              <w:rPr>
                <w:rFonts w:eastAsiaTheme="minorEastAsia"/>
                <w:b/>
                <w:bCs/>
                <w:lang w:eastAsia="en-AU"/>
              </w:rPr>
              <w:t xml:space="preserve">Net financial liabilities to GSP </w:t>
            </w:r>
            <w:r w:rsidRPr="00FB2B13">
              <w:rPr>
                <w:rFonts w:eastAsiaTheme="minorEastAsia"/>
                <w:b/>
                <w:bCs/>
                <w:vertAlign w:val="superscript"/>
                <w:lang w:eastAsia="en-AU"/>
              </w:rPr>
              <w:t>(e)</w:t>
            </w:r>
          </w:p>
        </w:tc>
        <w:tc>
          <w:tcPr>
            <w:tcW w:w="580" w:type="dxa"/>
            <w:tcBorders>
              <w:top w:val="nil"/>
              <w:left w:val="nil"/>
              <w:bottom w:val="single" w:sz="12"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15.1</w:t>
            </w:r>
          </w:p>
        </w:tc>
        <w:tc>
          <w:tcPr>
            <w:tcW w:w="892" w:type="dxa"/>
            <w:tcBorders>
              <w:top w:val="nil"/>
              <w:left w:val="nil"/>
              <w:bottom w:val="single" w:sz="12"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14.8</w:t>
            </w:r>
          </w:p>
        </w:tc>
        <w:tc>
          <w:tcPr>
            <w:tcW w:w="893" w:type="dxa"/>
            <w:gridSpan w:val="2"/>
            <w:tcBorders>
              <w:top w:val="nil"/>
              <w:left w:val="nil"/>
              <w:bottom w:val="single" w:sz="12"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14.8</w:t>
            </w:r>
          </w:p>
        </w:tc>
        <w:tc>
          <w:tcPr>
            <w:tcW w:w="893" w:type="dxa"/>
            <w:tcBorders>
              <w:top w:val="nil"/>
              <w:left w:val="nil"/>
              <w:bottom w:val="single" w:sz="12"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12.9</w:t>
            </w:r>
          </w:p>
        </w:tc>
        <w:tc>
          <w:tcPr>
            <w:tcW w:w="893" w:type="dxa"/>
            <w:tcBorders>
              <w:top w:val="nil"/>
              <w:left w:val="nil"/>
              <w:bottom w:val="single" w:sz="12"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12.4</w:t>
            </w:r>
          </w:p>
        </w:tc>
        <w:tc>
          <w:tcPr>
            <w:tcW w:w="893" w:type="dxa"/>
            <w:tcBorders>
              <w:top w:val="nil"/>
              <w:left w:val="nil"/>
              <w:bottom w:val="single" w:sz="12" w:space="0" w:color="auto"/>
              <w:right w:val="nil"/>
            </w:tcBorders>
            <w:shd w:val="solid" w:color="FFFFFF" w:fill="auto"/>
          </w:tcPr>
          <w:p w:rsidR="00F87646" w:rsidRPr="00FB2B13" w:rsidRDefault="00F87646" w:rsidP="00FB2B13">
            <w:pPr>
              <w:pStyle w:val="TableofFigures"/>
              <w:rPr>
                <w:rFonts w:eastAsiaTheme="minorEastAsia"/>
                <w:color w:val="000000"/>
                <w:lang w:eastAsia="en-AU"/>
              </w:rPr>
            </w:pPr>
            <w:r w:rsidRPr="00FB2B13">
              <w:rPr>
                <w:rFonts w:eastAsiaTheme="minorEastAsia"/>
                <w:color w:val="000000"/>
                <w:lang w:eastAsia="en-AU"/>
              </w:rPr>
              <w:t>11.8</w:t>
            </w:r>
          </w:p>
        </w:tc>
      </w:tr>
    </w:tbl>
    <w:p w:rsidR="00F87646" w:rsidRPr="002E2383" w:rsidRDefault="00F87646" w:rsidP="0081640C">
      <w:pPr>
        <w:pStyle w:val="Notes"/>
      </w:pPr>
      <w:r w:rsidRPr="002E2383">
        <w:t>Notes:</w:t>
      </w:r>
    </w:p>
    <w:p w:rsidR="00F87646" w:rsidRPr="002E2383" w:rsidRDefault="00F87646" w:rsidP="00534D5F">
      <w:pPr>
        <w:pStyle w:val="Notes"/>
      </w:pPr>
      <w:r w:rsidRPr="002E2383">
        <w:t>(a)</w:t>
      </w:r>
      <w:r w:rsidRPr="002E2383">
        <w:tab/>
        <w:t>Net debt figure for 2014</w:t>
      </w:r>
      <w:r>
        <w:noBreakHyphen/>
      </w:r>
      <w:r w:rsidRPr="002E2383">
        <w:t>15 budget reflects actual opening balances at 1 July 2014 plus 2014</w:t>
      </w:r>
      <w:r>
        <w:noBreakHyphen/>
      </w:r>
      <w:r w:rsidRPr="002E2383">
        <w:t>15 budgeted movements.</w:t>
      </w:r>
    </w:p>
    <w:p w:rsidR="00F87646" w:rsidRPr="002E2383" w:rsidRDefault="00F87646" w:rsidP="00534D5F">
      <w:pPr>
        <w:pStyle w:val="Notes"/>
      </w:pPr>
      <w:r w:rsidRPr="002E2383">
        <w:t>(b)</w:t>
      </w:r>
      <w:r>
        <w:tab/>
      </w:r>
      <w:r w:rsidRPr="002E2383">
        <w:t>Net debt is the sum of deposits held, advances received and borrowings less the sum of cash, deposits, advances paid and investments, loans and placements.</w:t>
      </w:r>
      <w:r>
        <w:t xml:space="preserve"> </w:t>
      </w:r>
    </w:p>
    <w:p w:rsidR="00F87646" w:rsidRPr="002E2383" w:rsidRDefault="00F87646" w:rsidP="00534D5F">
      <w:pPr>
        <w:pStyle w:val="Notes"/>
      </w:pPr>
      <w:r w:rsidRPr="002E2383">
        <w:t>(</w:t>
      </w:r>
      <w:r>
        <w:t>c</w:t>
      </w:r>
      <w:r w:rsidRPr="002E2383">
        <w:t>)</w:t>
      </w:r>
      <w:r w:rsidRPr="002E2383">
        <w:tab/>
        <w:t>Includes other employee entitlements and provisions and liabilities, less other non</w:t>
      </w:r>
      <w:r>
        <w:rPr>
          <w:rFonts w:cs="Calibri"/>
        </w:rPr>
        <w:noBreakHyphen/>
      </w:r>
      <w:r w:rsidRPr="002E2383">
        <w:t>equity financial assets.</w:t>
      </w:r>
    </w:p>
    <w:p w:rsidR="00F87646" w:rsidRPr="002E2383" w:rsidRDefault="00F87646" w:rsidP="00534D5F">
      <w:pPr>
        <w:pStyle w:val="Notes"/>
      </w:pPr>
      <w:r w:rsidRPr="002E2383">
        <w:t>(</w:t>
      </w:r>
      <w:r>
        <w:t>d</w:t>
      </w:r>
      <w:r w:rsidRPr="002E2383">
        <w:t xml:space="preserve">) </w:t>
      </w:r>
      <w:r w:rsidRPr="002E2383">
        <w:tab/>
        <w:t>Net financial liabilities are the sum of superannuation, borrowings and other liabilities less other non</w:t>
      </w:r>
      <w:r>
        <w:noBreakHyphen/>
      </w:r>
      <w:r w:rsidRPr="002E2383">
        <w:t>equity financial assets.</w:t>
      </w:r>
    </w:p>
    <w:p w:rsidR="00F87646" w:rsidRPr="002E2383" w:rsidRDefault="00F87646" w:rsidP="00534D5F">
      <w:pPr>
        <w:pStyle w:val="Notes"/>
      </w:pPr>
      <w:r w:rsidRPr="002E2383">
        <w:t>(</w:t>
      </w:r>
      <w:r>
        <w:t>e</w:t>
      </w:r>
      <w:r w:rsidRPr="002E2383">
        <w:t xml:space="preserve">) </w:t>
      </w:r>
      <w:r w:rsidRPr="002E2383">
        <w:tab/>
        <w:t>Ratios to GSP may vary from publications year to year due to revisions to the ABS GSP data.</w:t>
      </w:r>
    </w:p>
    <w:p w:rsidR="00F87646" w:rsidRPr="002E2383" w:rsidRDefault="00F87646" w:rsidP="00534D5F">
      <w:r w:rsidRPr="002E2383">
        <w:br w:type="page"/>
      </w:r>
    </w:p>
    <w:p w:rsidR="00F87646" w:rsidRPr="002E2383" w:rsidRDefault="00F87646" w:rsidP="00534D5F">
      <w:pPr>
        <w:pStyle w:val="Heading1"/>
      </w:pPr>
      <w:bookmarkStart w:id="24" w:name="_Toc401056873"/>
      <w:bookmarkStart w:id="25" w:name="_Toc401147495"/>
      <w:bookmarkStart w:id="26" w:name="_Toc403386690"/>
      <w:r w:rsidRPr="002E2383">
        <w:lastRenderedPageBreak/>
        <w:t>Fiscal risks</w:t>
      </w:r>
      <w:bookmarkEnd w:id="24"/>
      <w:bookmarkEnd w:id="25"/>
      <w:bookmarkEnd w:id="26"/>
    </w:p>
    <w:p w:rsidR="00F87646" w:rsidRPr="002E2383" w:rsidRDefault="00F87646" w:rsidP="002E2383">
      <w:pPr>
        <w:rPr>
          <w:rFonts w:ascii="Calibri" w:hAnsi="Calibri"/>
          <w:b/>
          <w:i/>
          <w:kern w:val="28"/>
          <w:sz w:val="24"/>
          <w:szCs w:val="22"/>
        </w:rPr>
      </w:pPr>
      <w:r w:rsidRPr="002E2383">
        <w:t>This section contains a number of known risks, which if realised, are likely to impact on the State</w:t>
      </w:r>
      <w:r>
        <w:t>’</w:t>
      </w:r>
      <w:r w:rsidRPr="002E2383">
        <w:t xml:space="preserve">s financial position and budget outcomes. </w:t>
      </w:r>
    </w:p>
    <w:p w:rsidR="00F87646" w:rsidRPr="002E2383" w:rsidRDefault="00F87646" w:rsidP="002E2383">
      <w:r w:rsidRPr="002E2383">
        <w:t>Details of specific contingent assets and liabilities, defined as possible assets or liabilities that arise from past events, whose existence will be confirmed only by the occurrence or non</w:t>
      </w:r>
      <w:r>
        <w:noBreakHyphen/>
      </w:r>
      <w:r w:rsidRPr="002E2383">
        <w:t>occurrence of one or more uncertain future events not wholly within the control of the entity</w:t>
      </w:r>
      <w:r>
        <w:t>, are contained within Chapter 4</w:t>
      </w:r>
      <w:r w:rsidRPr="002E2383">
        <w:t xml:space="preserve"> </w:t>
      </w:r>
      <w:r>
        <w:rPr>
          <w:i/>
        </w:rPr>
        <w:t>Contingent a</w:t>
      </w:r>
      <w:r w:rsidRPr="002E2383">
        <w:rPr>
          <w:i/>
        </w:rPr>
        <w:t xml:space="preserve">ssets and </w:t>
      </w:r>
      <w:r>
        <w:rPr>
          <w:i/>
        </w:rPr>
        <w:t>contingent l</w:t>
      </w:r>
      <w:r w:rsidRPr="002E2383">
        <w:rPr>
          <w:i/>
        </w:rPr>
        <w:t>iabilities</w:t>
      </w:r>
      <w:r w:rsidRPr="002E2383">
        <w:t>.</w:t>
      </w:r>
    </w:p>
    <w:p w:rsidR="00F87646" w:rsidRPr="002E2383" w:rsidRDefault="00F87646" w:rsidP="0081640C">
      <w:pPr>
        <w:pStyle w:val="Heading2"/>
      </w:pPr>
      <w:r w:rsidRPr="002E2383">
        <w:t xml:space="preserve">General </w:t>
      </w:r>
      <w:r w:rsidRPr="0081640C">
        <w:t>fiscal</w:t>
      </w:r>
      <w:r w:rsidRPr="002E2383">
        <w:t xml:space="preserve"> risks</w:t>
      </w:r>
    </w:p>
    <w:p w:rsidR="00F87646" w:rsidRPr="002E2383" w:rsidRDefault="00F87646" w:rsidP="00534D5F">
      <w:pPr>
        <w:pStyle w:val="Heading3"/>
      </w:pPr>
      <w:r w:rsidRPr="002E2383">
        <w:t>State taxes</w:t>
      </w:r>
    </w:p>
    <w:p w:rsidR="00F87646" w:rsidRPr="002E2383" w:rsidRDefault="00F87646" w:rsidP="002E2383">
      <w:r w:rsidRPr="002E2383">
        <w:t>State tax forecasts are primarily based on an estimated relationship between taxation revenue and projected economic variables. As a result, the main source of risk to the taxation estimates is the economic environment.</w:t>
      </w:r>
    </w:p>
    <w:p w:rsidR="00F87646" w:rsidRPr="002E2383" w:rsidRDefault="00F87646" w:rsidP="002E2383">
      <w:r w:rsidRPr="002E2383">
        <w:t xml:space="preserve">For example, higher than expected economic activity or inflation will tend to lead to higher taxation revenue. Specific economic risks are presented in Chapter </w:t>
      </w:r>
      <w:r>
        <w:t>1</w:t>
      </w:r>
      <w:r w:rsidRPr="002E2383">
        <w:t xml:space="preserve"> </w:t>
      </w:r>
      <w:r w:rsidRPr="002E2383">
        <w:rPr>
          <w:i/>
        </w:rPr>
        <w:t xml:space="preserve">Economic conditions and outlook </w:t>
      </w:r>
      <w:r w:rsidRPr="002E2383">
        <w:t xml:space="preserve">and the fiscal implications of variations in economic parameters from forecasts are considered in Appendix B </w:t>
      </w:r>
      <w:r w:rsidRPr="002E2383">
        <w:rPr>
          <w:i/>
        </w:rPr>
        <w:t>Sensitivity analysis table</w:t>
      </w:r>
      <w:r w:rsidRPr="002E2383">
        <w:t>.</w:t>
      </w:r>
    </w:p>
    <w:p w:rsidR="00F87646" w:rsidRPr="002E2383" w:rsidRDefault="00F87646" w:rsidP="002E2383">
      <w:r w:rsidRPr="002E2383">
        <w:t>There is also the risk of changes in the relationship between the economic variables and taxation revenue (such as between consumer spending and motor vehicle taxes, or between employment and payroll tax). Some state taxes, such as stamp duty on land transfers, are sourced from relatively volatile tax bases, and revenue from these sources may be subject to substantial annual variations.</w:t>
      </w:r>
    </w:p>
    <w:p w:rsidR="00F87646" w:rsidRPr="002E2383" w:rsidRDefault="00F87646" w:rsidP="00534D5F">
      <w:pPr>
        <w:pStyle w:val="Heading3"/>
      </w:pPr>
      <w:r w:rsidRPr="002E2383">
        <w:t>Commonwealth grants</w:t>
      </w:r>
    </w:p>
    <w:p w:rsidR="00F87646" w:rsidRPr="002E2383" w:rsidRDefault="00F87646" w:rsidP="002E2383">
      <w:r w:rsidRPr="002E2383">
        <w:t>The distribution of GST grants between states and territories is determined by the size of the national GST pool and each jurisdiction</w:t>
      </w:r>
      <w:r>
        <w:t>’</w:t>
      </w:r>
      <w:r w:rsidRPr="002E2383">
        <w:t>s population share weighted by its GST relativity, as informed by the recommendations of the Commonwealth Grants Comm</w:t>
      </w:r>
      <w:r>
        <w:t>ission</w:t>
      </w:r>
      <w:r w:rsidRPr="002E2383">
        <w:t xml:space="preserve"> (CGC). </w:t>
      </w:r>
    </w:p>
    <w:p w:rsidR="00F87646" w:rsidRPr="002E2383" w:rsidRDefault="00F87646" w:rsidP="002E2383">
      <w:r w:rsidRPr="002E2383">
        <w:t>Changes to national economic conditions, particularly regarding consumer spending, affect the size of the national pool, while other changes, including to the CGC</w:t>
      </w:r>
      <w:r>
        <w:t>’</w:t>
      </w:r>
      <w:r w:rsidRPr="002E2383">
        <w:t>s methodology, will affect each jurisdiction</w:t>
      </w:r>
      <w:r>
        <w:t>’</w:t>
      </w:r>
      <w:r w:rsidRPr="002E2383">
        <w:t xml:space="preserve">s fiscal capacity. </w:t>
      </w:r>
    </w:p>
    <w:p w:rsidR="00F87646" w:rsidRPr="002E2383" w:rsidRDefault="00F87646" w:rsidP="002E2383">
      <w:r w:rsidRPr="002E2383">
        <w:t xml:space="preserve">The Commonwealth provides additional funding to Victoria as set out in national partnership agreements, several of which are due to lapse over the forward estimates. </w:t>
      </w:r>
    </w:p>
    <w:p w:rsidR="00F87646" w:rsidRPr="002E2383" w:rsidRDefault="00F87646" w:rsidP="00534D5F">
      <w:pPr>
        <w:pStyle w:val="Heading3"/>
      </w:pPr>
      <w:r w:rsidRPr="002E2383">
        <w:t>Employee expenses</w:t>
      </w:r>
    </w:p>
    <w:p w:rsidR="00F87646" w:rsidRPr="002E2383" w:rsidRDefault="00F87646" w:rsidP="002E2383">
      <w:r w:rsidRPr="002E2383">
        <w:t>Employee expenses are the State</w:t>
      </w:r>
      <w:r>
        <w:t>’</w:t>
      </w:r>
      <w:r w:rsidRPr="002E2383">
        <w:t>s largest expense. Major enterprise agreements are a significant driver of this expense. If enterprise agreement costs above the wage guideline rate are not offset by genuine productivity gains, this will increase expenditure.</w:t>
      </w:r>
    </w:p>
    <w:p w:rsidR="00F87646" w:rsidRPr="002E2383" w:rsidRDefault="00F87646" w:rsidP="0081640C">
      <w:r w:rsidRPr="002E2383">
        <w:br w:type="page"/>
      </w:r>
    </w:p>
    <w:p w:rsidR="00F87646" w:rsidRPr="002E2383" w:rsidRDefault="00F87646" w:rsidP="00534D5F">
      <w:pPr>
        <w:pStyle w:val="Heading3"/>
      </w:pPr>
      <w:r w:rsidRPr="002E2383">
        <w:lastRenderedPageBreak/>
        <w:t>Demand growth</w:t>
      </w:r>
    </w:p>
    <w:p w:rsidR="00F87646" w:rsidRPr="002E2383" w:rsidRDefault="00F87646" w:rsidP="002E2383">
      <w:r w:rsidRPr="002E2383">
        <w:t>Another key risk is growth in demand for government services exceeding current projections. This can occur, for example, as a result of higher than forecast population growth or expenditure in response to unforeseen events such as natural disasters, including bushfires and floods.</w:t>
      </w:r>
    </w:p>
    <w:p w:rsidR="00F87646" w:rsidRPr="002E2383" w:rsidRDefault="00F87646" w:rsidP="002E2383">
      <w:r w:rsidRPr="002E2383">
        <w:t>The estimates incorporate contingency provisions to mitigate the impact of expenditure risks, which may be realised during the budget and forward estimates. The contingency provisions are designed to address the likely growth in Victoria</w:t>
      </w:r>
      <w:r>
        <w:t>’</w:t>
      </w:r>
      <w:r w:rsidRPr="002E2383">
        <w:t>s population and consequent derived demand for government services.</w:t>
      </w:r>
    </w:p>
    <w:p w:rsidR="00F87646" w:rsidRPr="002E2383" w:rsidRDefault="00F87646" w:rsidP="002E2383">
      <w:r w:rsidRPr="002E2383">
        <w:t xml:space="preserve">Realised expenditure risks will affect total expenditure and the annual budget position to the extent they exceed the contingency provision factored into the estimates. More detailed disclosures of general government output and asset contingencies not allocated to departments are shown in note 12(c) and note 19(c) of Chapter </w:t>
      </w:r>
      <w:r>
        <w:t>3</w:t>
      </w:r>
      <w:r w:rsidRPr="002E2383">
        <w:t xml:space="preserve"> </w:t>
      </w:r>
      <w:r w:rsidRPr="002E2383">
        <w:rPr>
          <w:i/>
        </w:rPr>
        <w:t>Estimated financial statements and notes.</w:t>
      </w:r>
    </w:p>
    <w:p w:rsidR="00F87646" w:rsidRPr="002E2383" w:rsidRDefault="00F87646" w:rsidP="0081640C">
      <w:pPr>
        <w:pStyle w:val="Heading3"/>
      </w:pPr>
      <w:r w:rsidRPr="002E2383">
        <w:t xml:space="preserve">Major capital </w:t>
      </w:r>
      <w:r w:rsidRPr="0081640C">
        <w:t>investment</w:t>
      </w:r>
    </w:p>
    <w:p w:rsidR="00F87646" w:rsidRPr="002E2383" w:rsidRDefault="00F87646" w:rsidP="002E2383">
      <w:r w:rsidRPr="002E2383">
        <w:t xml:space="preserve">The estimates incorporate provisions and plans for significant capital expenditure during and beyond the forward estimates, including for the impacts of the major transport initiatives announced as part of the </w:t>
      </w:r>
      <w:r w:rsidRPr="002E2383">
        <w:rPr>
          <w:i/>
        </w:rPr>
        <w:t>2014</w:t>
      </w:r>
      <w:r>
        <w:rPr>
          <w:i/>
        </w:rPr>
        <w:noBreakHyphen/>
      </w:r>
      <w:r w:rsidRPr="002E2383">
        <w:rPr>
          <w:i/>
        </w:rPr>
        <w:t>15 Budget</w:t>
      </w:r>
      <w:r w:rsidRPr="002E2383">
        <w:t>.</w:t>
      </w:r>
    </w:p>
    <w:p w:rsidR="00F87646" w:rsidRPr="002E2383" w:rsidRDefault="00F87646" w:rsidP="002E2383">
      <w:r w:rsidRPr="002E2383">
        <w:t>The financing structure and annual cash flow profile of large and complex projects may change over the duration of the Government</w:t>
      </w:r>
      <w:r>
        <w:t>’</w:t>
      </w:r>
      <w:r w:rsidRPr="002E2383">
        <w:t>s approved capital program, and result in changes to annual capital expenditure estimates. It is expected that annual variations would not materially alter the broad trajectory for net debt beyond the forward estimates.</w:t>
      </w:r>
    </w:p>
    <w:p w:rsidR="00F87646" w:rsidRPr="002E2383" w:rsidRDefault="00F87646" w:rsidP="002E2383">
      <w:r w:rsidRPr="002E2383">
        <w:t>The budget and forward estimates assume capital cost pressures are managed within existing financial estimates. Capital cost pressures can be managed by:</w:t>
      </w:r>
    </w:p>
    <w:p w:rsidR="00F87646" w:rsidRPr="002E2383" w:rsidRDefault="00F87646" w:rsidP="00636512">
      <w:pPr>
        <w:pStyle w:val="BulletText"/>
      </w:pPr>
      <w:r w:rsidRPr="002E2383">
        <w:t xml:space="preserve">reallocating existing </w:t>
      </w:r>
      <w:r w:rsidRPr="00636512">
        <w:t>departmental</w:t>
      </w:r>
      <w:r w:rsidRPr="002E2383">
        <w:t xml:space="preserve"> resources within a department</w:t>
      </w:r>
      <w:r>
        <w:t>’</w:t>
      </w:r>
      <w:r w:rsidRPr="002E2383">
        <w:t xml:space="preserve">s global capital budget (reflecting the likelihood that cost overruns on some projects will be offset by cost underruns in other areas); </w:t>
      </w:r>
    </w:p>
    <w:p w:rsidR="00F87646" w:rsidRPr="002E2383" w:rsidRDefault="00F87646" w:rsidP="00636512">
      <w:pPr>
        <w:pStyle w:val="BulletText"/>
      </w:pPr>
      <w:r w:rsidRPr="002E2383">
        <w:t>re</w:t>
      </w:r>
      <w:r>
        <w:noBreakHyphen/>
      </w:r>
      <w:r w:rsidRPr="002E2383">
        <w:t>scoping projects to fit within funding parameters; or</w:t>
      </w:r>
    </w:p>
    <w:p w:rsidR="00F87646" w:rsidRPr="002E2383" w:rsidRDefault="00F87646" w:rsidP="00636512">
      <w:pPr>
        <w:pStyle w:val="BulletText"/>
      </w:pPr>
      <w:r w:rsidRPr="002E2383">
        <w:t xml:space="preserve">funding projects from the </w:t>
      </w:r>
      <w:r>
        <w:t>‘</w:t>
      </w:r>
      <w:r w:rsidRPr="00FC72C5">
        <w:t>funding not allocated to specific purposes</w:t>
      </w:r>
      <w:r>
        <w:t>’</w:t>
      </w:r>
      <w:r w:rsidRPr="002E2383">
        <w:t xml:space="preserve"> provision that provides capacity for future asset investments.</w:t>
      </w:r>
    </w:p>
    <w:p w:rsidR="00F87646" w:rsidRPr="002E2383" w:rsidRDefault="00F87646" w:rsidP="0081640C">
      <w:r w:rsidRPr="002E2383">
        <w:br w:type="page"/>
      </w:r>
    </w:p>
    <w:p w:rsidR="00F87646" w:rsidRPr="002E2383" w:rsidRDefault="00F87646" w:rsidP="0081640C">
      <w:pPr>
        <w:pStyle w:val="Heading2"/>
      </w:pPr>
      <w:r w:rsidRPr="002E2383">
        <w:lastRenderedPageBreak/>
        <w:t>Specific fiscal risks</w:t>
      </w:r>
    </w:p>
    <w:p w:rsidR="00F87646" w:rsidRPr="002E2383" w:rsidRDefault="00F87646" w:rsidP="0081640C">
      <w:pPr>
        <w:pStyle w:val="Heading3"/>
      </w:pPr>
      <w:r w:rsidRPr="002E2383">
        <w:t xml:space="preserve">National </w:t>
      </w:r>
      <w:r w:rsidRPr="0081640C">
        <w:t>Disability</w:t>
      </w:r>
      <w:r w:rsidRPr="002E2383">
        <w:t xml:space="preserve"> Insurance Scheme</w:t>
      </w:r>
    </w:p>
    <w:p w:rsidR="00F87646" w:rsidRPr="002E2383" w:rsidRDefault="00F87646" w:rsidP="002E2383">
      <w:r w:rsidRPr="002E2383">
        <w:t>On 4 May 2013, the Victorian Government reached an agreement with the Commonwealth Government to roll out the National Disability Insurance Scheme (NDIS) across Victoria by July 2019. Once fully implemented, Victoria</w:t>
      </w:r>
      <w:r>
        <w:t>’</w:t>
      </w:r>
      <w:r w:rsidRPr="002E2383">
        <w:t>s investment in disability care and support will increase to an estimated $2.5</w:t>
      </w:r>
      <w:r>
        <w:t> billion</w:t>
      </w:r>
      <w:r w:rsidRPr="002E2383">
        <w:t xml:space="preserve"> a year, with the Commonwealth providing around $2.6</w:t>
      </w:r>
      <w:r>
        <w:t> billion</w:t>
      </w:r>
      <w:r w:rsidRPr="002E2383">
        <w:t xml:space="preserve"> a year. Further, Victoria continues to host a launch site for the NDIS in the Barwon area of the state. Victoria will work with the Commonwealth to monitor and manage any risks associated with implementing the full scheme. </w:t>
      </w:r>
    </w:p>
    <w:p w:rsidR="00F87646" w:rsidRPr="002E2383" w:rsidRDefault="00F87646" w:rsidP="00534D5F">
      <w:pPr>
        <w:pStyle w:val="Heading3"/>
      </w:pPr>
      <w:r w:rsidRPr="002E2383">
        <w:t>National Injury Insurance Scheme</w:t>
      </w:r>
    </w:p>
    <w:p w:rsidR="00F87646" w:rsidRPr="002E2383" w:rsidRDefault="00F87646" w:rsidP="002E2383">
      <w:r w:rsidRPr="002E2383">
        <w:t>The Commonwealth Government expects the State to fund the total cost in Victoria of a National Injury Insurance Scheme, to support people who suffer catastrophic injuries. Victoria already provides support for people injured in motor vehicle and workplace accidents, but has not agreed to implement other streams of a National Injury Insurance Scheme.</w:t>
      </w:r>
    </w:p>
    <w:p w:rsidR="00F87646" w:rsidRPr="002E2383" w:rsidRDefault="00F87646" w:rsidP="00534D5F">
      <w:pPr>
        <w:pStyle w:val="Heading3"/>
      </w:pPr>
      <w:r w:rsidRPr="002E2383">
        <w:t>Commonwealth schools funding</w:t>
      </w:r>
    </w:p>
    <w:p w:rsidR="00F87646" w:rsidRPr="002E2383" w:rsidRDefault="00F87646" w:rsidP="005A3CEF">
      <w:r w:rsidRPr="002E2383">
        <w:t xml:space="preserve">While final State allocations for the 2018 school year are still subject to negotiation, the </w:t>
      </w:r>
      <w:r w:rsidRPr="002E2383">
        <w:rPr>
          <w:i/>
        </w:rPr>
        <w:t>2014</w:t>
      </w:r>
      <w:r>
        <w:rPr>
          <w:i/>
        </w:rPr>
        <w:noBreakHyphen/>
      </w:r>
      <w:r w:rsidRPr="002E2383">
        <w:rPr>
          <w:i/>
        </w:rPr>
        <w:t>15 Commonwealth Budget</w:t>
      </w:r>
      <w:r w:rsidRPr="002E2383">
        <w:t xml:space="preserve"> indicated that Commonwealth funding for Victorian schools would be reduced to the rate of growth of the Consumer Price Index, plus an adjustment for enrolment growth.</w:t>
      </w:r>
    </w:p>
    <w:p w:rsidR="00F87646" w:rsidRPr="002E2383" w:rsidRDefault="00F87646" w:rsidP="00534D5F">
      <w:pPr>
        <w:pStyle w:val="Heading3"/>
      </w:pPr>
      <w:r w:rsidRPr="002E2383">
        <w:t>National Health Reform</w:t>
      </w:r>
    </w:p>
    <w:p w:rsidR="00F87646" w:rsidRPr="002E2383" w:rsidRDefault="00F87646" w:rsidP="002E2383">
      <w:r w:rsidRPr="002E2383">
        <w:t xml:space="preserve">The National Health Reform Agreement (NHRA) significantly changed the way the Commonwealth funds Victorian health services. The Agreement includes a more complex funding model based on the number of procedures delivered (activity) and an efficient price determined by an independent administrator. Given this added complexity, as well as the early implementation stage of the Agreement, the Commonwealth funding outcome is uncertain. Moreover, the </w:t>
      </w:r>
      <w:r w:rsidRPr="002E2383">
        <w:rPr>
          <w:i/>
        </w:rPr>
        <w:t>2014</w:t>
      </w:r>
      <w:r>
        <w:rPr>
          <w:i/>
        </w:rPr>
        <w:noBreakHyphen/>
      </w:r>
      <w:r w:rsidRPr="002E2383">
        <w:rPr>
          <w:i/>
        </w:rPr>
        <w:t>15 Commonwealth Budget</w:t>
      </w:r>
      <w:r w:rsidRPr="002E2383">
        <w:t xml:space="preserve"> indicated that the Commonwealth Government will cease the guarantees that were previously included under the NHRA (for example, a guarantee that Victoria will receive equivalent funding to that under the previous arrangements). The Commonwealth Government indicated that it will cease the NHRA from 1 July 2017, and return to a funding model where growth funding is based on the Consumer Price Index and population growth.</w:t>
      </w:r>
    </w:p>
    <w:p w:rsidR="00F87646" w:rsidRPr="002E2383" w:rsidRDefault="00F87646" w:rsidP="0081640C">
      <w:r w:rsidRPr="002E2383">
        <w:br w:type="page"/>
      </w:r>
    </w:p>
    <w:p w:rsidR="00F87646" w:rsidRPr="002E2383" w:rsidRDefault="00F87646" w:rsidP="0081640C">
      <w:pPr>
        <w:pStyle w:val="Heading3"/>
      </w:pPr>
      <w:r w:rsidRPr="002E2383">
        <w:lastRenderedPageBreak/>
        <w:t xml:space="preserve">Methodology Review of GST </w:t>
      </w:r>
      <w:r w:rsidRPr="0081640C">
        <w:t>Revenue</w:t>
      </w:r>
      <w:r w:rsidRPr="002E2383">
        <w:t xml:space="preserve"> Sharing Relativities</w:t>
      </w:r>
    </w:p>
    <w:p w:rsidR="00F87646" w:rsidRPr="002E2383" w:rsidRDefault="00F87646" w:rsidP="002E2383">
      <w:r w:rsidRPr="002E2383">
        <w:t>The CGC is currently reviewing the methodology for calculating GST relativities for distributing the national pool among the states and territories. The CGC 2015 Methodology Review of GST Revenue Sharing Relativities is due to be released in February 2015, along with the relativities for the 2015</w:t>
      </w:r>
      <w:r>
        <w:noBreakHyphen/>
      </w:r>
      <w:r w:rsidRPr="002E2383">
        <w:t>16 financial year. The final outcome of the review has the potential to affect Victoria</w:t>
      </w:r>
      <w:r>
        <w:t>’</w:t>
      </w:r>
      <w:r w:rsidRPr="002E2383">
        <w:t>s GST grant share, the magnitude of which will be unclear prior to the finalisation of relativities for 2015</w:t>
      </w:r>
      <w:r>
        <w:noBreakHyphen/>
      </w:r>
      <w:r w:rsidRPr="002E2383">
        <w:t>16.</w:t>
      </w:r>
    </w:p>
    <w:p w:rsidR="00F87646" w:rsidRPr="002E2383" w:rsidRDefault="00F87646" w:rsidP="00534D5F">
      <w:pPr>
        <w:pStyle w:val="Heading3"/>
      </w:pPr>
      <w:r w:rsidRPr="002E2383">
        <w:t>Victoria</w:t>
      </w:r>
      <w:r>
        <w:t>’</w:t>
      </w:r>
      <w:r w:rsidRPr="002E2383">
        <w:t>s GST relativity</w:t>
      </w:r>
    </w:p>
    <w:p w:rsidR="00F87646" w:rsidRPr="002E2383" w:rsidRDefault="00F87646" w:rsidP="002E2383">
      <w:r w:rsidRPr="002E2383">
        <w:t>Strong growth in mining royalties is an important driver for the per capita relativities of each jurisdiction over the forward estimates. Royalty revenue is influenced by commodity prices, the value of the Australia</w:t>
      </w:r>
      <w:r>
        <w:t>n</w:t>
      </w:r>
      <w:r w:rsidRPr="002E2383">
        <w:t xml:space="preserve"> dollar and production and export volumes. Official forecasts currently reflect a softening of commodity prices offset by rising production and export volumes. Although the net effect is difficult to predict, it should be noted that the iron ore price has fallen significantly below that forecast by Western Australia in its </w:t>
      </w:r>
      <w:r w:rsidRPr="00DA3D4C">
        <w:rPr>
          <w:i/>
        </w:rPr>
        <w:t>2014</w:t>
      </w:r>
      <w:r>
        <w:rPr>
          <w:i/>
        </w:rPr>
        <w:noBreakHyphen/>
        <w:t>15 </w:t>
      </w:r>
      <w:r w:rsidRPr="00DA3D4C">
        <w:rPr>
          <w:i/>
        </w:rPr>
        <w:t>Budget</w:t>
      </w:r>
      <w:r w:rsidRPr="002E2383">
        <w:t>, which could see mining royalties below expectations. This would pose a downside risk to Victoria</w:t>
      </w:r>
      <w:r>
        <w:t>’</w:t>
      </w:r>
      <w:r w:rsidRPr="002E2383">
        <w:t>s relativity, weighing on GST revenue from 2016</w:t>
      </w:r>
      <w:r>
        <w:noBreakHyphen/>
      </w:r>
      <w:r w:rsidRPr="002E2383">
        <w:t>17.</w:t>
      </w:r>
    </w:p>
    <w:p w:rsidR="00F87646" w:rsidRPr="002E2383" w:rsidRDefault="00F87646" w:rsidP="00534D5F">
      <w:pPr>
        <w:pStyle w:val="Heading3"/>
      </w:pPr>
      <w:r w:rsidRPr="002E2383">
        <w:t>Australian Synchrotron</w:t>
      </w:r>
    </w:p>
    <w:p w:rsidR="00F87646" w:rsidRDefault="00F87646" w:rsidP="002E2383">
      <w:r w:rsidRPr="002E2383">
        <w:t>The Australian Synchrotron is a world class national research facility supporting a broad range of high quality research, with applications in sectors from medicine and nanotechnology to manufacturing and mineral exploration. The State Government has been in discussions with the Commonwealth Government to transfer ownership of this asset to the Commonwealth for no consideration. The timing of this transfer is being negotiated.</w:t>
      </w:r>
    </w:p>
    <w:p w:rsidR="00F87646" w:rsidRPr="002E2383" w:rsidRDefault="00F87646" w:rsidP="00534D5F">
      <w:pPr>
        <w:pStyle w:val="Heading3"/>
      </w:pPr>
      <w:r>
        <w:t>Melbourne Convention</w:t>
      </w:r>
      <w:r w:rsidRPr="00045C6B">
        <w:t xml:space="preserve"> and Exhibition Centre</w:t>
      </w:r>
    </w:p>
    <w:p w:rsidR="00F87646" w:rsidRPr="002E2383" w:rsidRDefault="00F87646" w:rsidP="00045C6B">
      <w:r w:rsidRPr="00045C6B">
        <w:t xml:space="preserve">The Government has commenced negotiations with Plenary to consider how an expansion of the Melbourne Convention and Exhibition Centre (MCEC) can be integrated </w:t>
      </w:r>
      <w:r>
        <w:t>into the existing facility. S</w:t>
      </w:r>
      <w:r w:rsidRPr="00045C6B">
        <w:t>tate costs associated with a future decision to proceed with an expansion of MCEC w</w:t>
      </w:r>
      <w:r>
        <w:t>ould require a funding decision by government.</w:t>
      </w:r>
    </w:p>
    <w:p w:rsidR="00F87646" w:rsidRDefault="00F87646" w:rsidP="002E2383"/>
    <w:p w:rsidR="00F87646" w:rsidRDefault="00F87646">
      <w:pPr>
        <w:spacing w:after="0"/>
      </w:pPr>
      <w:r>
        <w:br w:type="page"/>
      </w:r>
    </w:p>
    <w:p w:rsidR="00F87646" w:rsidRPr="002E2383" w:rsidRDefault="00F87646" w:rsidP="002E2383"/>
    <w:p w:rsidR="00F87646" w:rsidRDefault="00F87646" w:rsidP="00986765">
      <w:pPr>
        <w:sectPr w:rsidR="00F87646" w:rsidSect="002869F8">
          <w:footerReference w:type="even" r:id="rId22"/>
          <w:footerReference w:type="default" r:id="rId23"/>
          <w:pgSz w:w="9979" w:h="14181" w:code="138"/>
          <w:pgMar w:top="1138" w:right="1138" w:bottom="1138" w:left="1138" w:header="720" w:footer="432" w:gutter="0"/>
          <w:cols w:space="708"/>
          <w:docGrid w:linePitch="360"/>
        </w:sectPr>
      </w:pPr>
    </w:p>
    <w:p w:rsidR="00F87646" w:rsidRDefault="00F87646" w:rsidP="00FE349F">
      <w:pPr>
        <w:pStyle w:val="ChapterHeading"/>
      </w:pPr>
      <w:bookmarkStart w:id="27" w:name="_Toc403386691"/>
      <w:r>
        <w:lastRenderedPageBreak/>
        <w:t>Chapter 3 – Estimated financial statements and notes</w:t>
      </w:r>
      <w:bookmarkEnd w:id="27"/>
    </w:p>
    <w:p w:rsidR="00F87646" w:rsidRDefault="00F87646" w:rsidP="005E2118">
      <w:pPr>
        <w:pStyle w:val="Tableheading"/>
      </w:pPr>
      <w:r>
        <w:t>Table 3</w:t>
      </w:r>
      <w:r w:rsidRPr="001F0A68">
        <w:t xml:space="preserve">.1 </w:t>
      </w:r>
      <w:r>
        <w:tab/>
        <w:t xml:space="preserve">Estimated general government sector </w:t>
      </w:r>
      <w:r w:rsidRPr="001F0A68">
        <w:t>comprehensive operating statement for the financial year ending 30 June</w:t>
      </w:r>
    </w:p>
    <w:p w:rsidR="00F87646" w:rsidRPr="00885307" w:rsidRDefault="00F87646" w:rsidP="00885307">
      <w:pPr>
        <w:pStyle w:val="million"/>
      </w:pPr>
      <w:r>
        <w:t>($ million)</w:t>
      </w:r>
    </w:p>
    <w:tbl>
      <w:tblPr>
        <w:tblW w:w="7756" w:type="dxa"/>
        <w:tblInd w:w="29" w:type="dxa"/>
        <w:tblLayout w:type="fixed"/>
        <w:tblCellMar>
          <w:left w:w="43" w:type="dxa"/>
          <w:right w:w="43" w:type="dxa"/>
        </w:tblCellMar>
        <w:tblLook w:val="0000" w:firstRow="0" w:lastRow="0" w:firstColumn="0" w:lastColumn="0" w:noHBand="0" w:noVBand="0"/>
      </w:tblPr>
      <w:tblGrid>
        <w:gridCol w:w="2839"/>
        <w:gridCol w:w="55"/>
        <w:gridCol w:w="618"/>
        <w:gridCol w:w="269"/>
        <w:gridCol w:w="578"/>
        <w:gridCol w:w="83"/>
        <w:gridCol w:w="661"/>
        <w:gridCol w:w="104"/>
        <w:gridCol w:w="558"/>
        <w:gridCol w:w="292"/>
        <w:gridCol w:w="371"/>
        <w:gridCol w:w="478"/>
        <w:gridCol w:w="184"/>
        <w:gridCol w:w="666"/>
      </w:tblGrid>
      <w:tr w:rsidR="00F87646" w:rsidRPr="00C10F2D" w:rsidTr="0061183A">
        <w:trPr>
          <w:cantSplit/>
          <w:tblHeader/>
        </w:trPr>
        <w:tc>
          <w:tcPr>
            <w:tcW w:w="2894" w:type="dxa"/>
            <w:gridSpan w:val="2"/>
            <w:tcBorders>
              <w:top w:val="single" w:sz="6" w:space="0" w:color="auto"/>
              <w:left w:val="single" w:sz="6" w:space="0" w:color="auto"/>
              <w:right w:val="nil"/>
            </w:tcBorders>
            <w:shd w:val="clear" w:color="auto" w:fill="000000"/>
          </w:tcPr>
          <w:p w:rsidR="00F87646" w:rsidRPr="00C10F2D" w:rsidRDefault="00F87646" w:rsidP="00885307">
            <w:pPr>
              <w:pStyle w:val="Tabletext"/>
              <w:rPr>
                <w:rFonts w:eastAsiaTheme="minorEastAsia"/>
                <w:sz w:val="19"/>
                <w:szCs w:val="19"/>
                <w:lang w:eastAsia="en-AU"/>
              </w:rPr>
            </w:pPr>
            <w:r w:rsidRPr="00C10F2D">
              <w:rPr>
                <w:rFonts w:eastAsiaTheme="minorEastAsia"/>
                <w:sz w:val="19"/>
                <w:szCs w:val="19"/>
                <w:lang w:eastAsia="en-AU"/>
              </w:rPr>
              <w:t xml:space="preserve"> </w:t>
            </w:r>
          </w:p>
        </w:tc>
        <w:tc>
          <w:tcPr>
            <w:tcW w:w="618" w:type="dxa"/>
            <w:tcBorders>
              <w:top w:val="single" w:sz="6" w:space="0" w:color="auto"/>
              <w:left w:val="nil"/>
              <w:right w:val="nil"/>
            </w:tcBorders>
            <w:shd w:val="clear" w:color="auto" w:fill="000000"/>
          </w:tcPr>
          <w:p w:rsidR="00F87646" w:rsidRPr="00C10F2D" w:rsidRDefault="00F87646" w:rsidP="00885307">
            <w:pPr>
              <w:pStyle w:val="Tabletextheadingcentred"/>
              <w:rPr>
                <w:rFonts w:eastAsiaTheme="minorEastAsia"/>
                <w:sz w:val="19"/>
                <w:szCs w:val="19"/>
                <w:lang w:eastAsia="en-AU"/>
              </w:rPr>
            </w:pPr>
            <w:r w:rsidRPr="00C10F2D">
              <w:rPr>
                <w:rFonts w:eastAsiaTheme="minorEastAsia"/>
                <w:sz w:val="19"/>
                <w:szCs w:val="19"/>
                <w:lang w:eastAsia="en-AU"/>
              </w:rPr>
              <w:t xml:space="preserve"> </w:t>
            </w:r>
          </w:p>
        </w:tc>
        <w:tc>
          <w:tcPr>
            <w:tcW w:w="847" w:type="dxa"/>
            <w:gridSpan w:val="2"/>
            <w:tcBorders>
              <w:top w:val="single" w:sz="6" w:space="0" w:color="auto"/>
              <w:left w:val="nil"/>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2014</w:t>
            </w:r>
            <w:r>
              <w:rPr>
                <w:rFonts w:eastAsiaTheme="minorEastAsia"/>
                <w:sz w:val="19"/>
                <w:szCs w:val="19"/>
                <w:lang w:eastAsia="en-AU"/>
              </w:rPr>
              <w:noBreakHyphen/>
            </w:r>
            <w:r w:rsidRPr="00C10F2D">
              <w:rPr>
                <w:rFonts w:eastAsiaTheme="minorEastAsia"/>
                <w:sz w:val="19"/>
                <w:szCs w:val="19"/>
                <w:lang w:eastAsia="en-AU"/>
              </w:rPr>
              <w:t>15</w:t>
            </w:r>
          </w:p>
        </w:tc>
        <w:tc>
          <w:tcPr>
            <w:tcW w:w="848" w:type="dxa"/>
            <w:gridSpan w:val="3"/>
            <w:tcBorders>
              <w:top w:val="single" w:sz="6" w:space="0" w:color="auto"/>
              <w:left w:val="nil"/>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2014</w:t>
            </w:r>
            <w:r>
              <w:rPr>
                <w:rFonts w:eastAsiaTheme="minorEastAsia"/>
                <w:sz w:val="19"/>
                <w:szCs w:val="19"/>
                <w:lang w:eastAsia="en-AU"/>
              </w:rPr>
              <w:noBreakHyphen/>
            </w:r>
            <w:r w:rsidRPr="00C10F2D">
              <w:rPr>
                <w:rFonts w:eastAsiaTheme="minorEastAsia"/>
                <w:sz w:val="19"/>
                <w:szCs w:val="19"/>
                <w:lang w:eastAsia="en-AU"/>
              </w:rPr>
              <w:t>15</w:t>
            </w:r>
          </w:p>
        </w:tc>
        <w:tc>
          <w:tcPr>
            <w:tcW w:w="850" w:type="dxa"/>
            <w:gridSpan w:val="2"/>
            <w:tcBorders>
              <w:top w:val="single" w:sz="6" w:space="0" w:color="auto"/>
              <w:left w:val="nil"/>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2015</w:t>
            </w:r>
            <w:r>
              <w:rPr>
                <w:rFonts w:eastAsiaTheme="minorEastAsia"/>
                <w:sz w:val="19"/>
                <w:szCs w:val="19"/>
                <w:lang w:eastAsia="en-AU"/>
              </w:rPr>
              <w:noBreakHyphen/>
            </w:r>
            <w:r w:rsidRPr="00C10F2D">
              <w:rPr>
                <w:rFonts w:eastAsiaTheme="minorEastAsia"/>
                <w:sz w:val="19"/>
                <w:szCs w:val="19"/>
                <w:lang w:eastAsia="en-AU"/>
              </w:rPr>
              <w:t>16</w:t>
            </w:r>
          </w:p>
        </w:tc>
        <w:tc>
          <w:tcPr>
            <w:tcW w:w="849" w:type="dxa"/>
            <w:gridSpan w:val="2"/>
            <w:tcBorders>
              <w:top w:val="single" w:sz="6" w:space="0" w:color="auto"/>
              <w:left w:val="nil"/>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2016</w:t>
            </w:r>
            <w:r>
              <w:rPr>
                <w:rFonts w:eastAsiaTheme="minorEastAsia"/>
                <w:sz w:val="19"/>
                <w:szCs w:val="19"/>
                <w:lang w:eastAsia="en-AU"/>
              </w:rPr>
              <w:noBreakHyphen/>
            </w:r>
            <w:r w:rsidRPr="00C10F2D">
              <w:rPr>
                <w:rFonts w:eastAsiaTheme="minorEastAsia"/>
                <w:sz w:val="19"/>
                <w:szCs w:val="19"/>
                <w:lang w:eastAsia="en-AU"/>
              </w:rPr>
              <w:t>17</w:t>
            </w:r>
          </w:p>
        </w:tc>
        <w:tc>
          <w:tcPr>
            <w:tcW w:w="850" w:type="dxa"/>
            <w:gridSpan w:val="2"/>
            <w:tcBorders>
              <w:top w:val="single" w:sz="6" w:space="0" w:color="auto"/>
              <w:left w:val="nil"/>
              <w:right w:val="single" w:sz="6" w:space="0" w:color="auto"/>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2017</w:t>
            </w:r>
            <w:r>
              <w:rPr>
                <w:rFonts w:eastAsiaTheme="minorEastAsia"/>
                <w:sz w:val="19"/>
                <w:szCs w:val="19"/>
                <w:lang w:eastAsia="en-AU"/>
              </w:rPr>
              <w:noBreakHyphen/>
            </w:r>
            <w:r w:rsidRPr="00C10F2D">
              <w:rPr>
                <w:rFonts w:eastAsiaTheme="minorEastAsia"/>
                <w:sz w:val="19"/>
                <w:szCs w:val="19"/>
                <w:lang w:eastAsia="en-AU"/>
              </w:rPr>
              <w:t>18</w:t>
            </w:r>
          </w:p>
        </w:tc>
      </w:tr>
      <w:tr w:rsidR="00F87646" w:rsidRPr="00C10F2D" w:rsidTr="0061183A">
        <w:trPr>
          <w:cantSplit/>
          <w:tblHeader/>
        </w:trPr>
        <w:tc>
          <w:tcPr>
            <w:tcW w:w="2894" w:type="dxa"/>
            <w:gridSpan w:val="2"/>
            <w:tcBorders>
              <w:left w:val="single" w:sz="6" w:space="0" w:color="auto"/>
              <w:bottom w:val="single" w:sz="6" w:space="0" w:color="auto"/>
              <w:right w:val="nil"/>
            </w:tcBorders>
            <w:shd w:val="clear" w:color="auto" w:fill="000000"/>
          </w:tcPr>
          <w:p w:rsidR="00F87646" w:rsidRPr="00C10F2D" w:rsidRDefault="00F87646" w:rsidP="00885307">
            <w:pPr>
              <w:pStyle w:val="Tabletext"/>
              <w:rPr>
                <w:rFonts w:eastAsiaTheme="minorEastAsia"/>
                <w:sz w:val="19"/>
                <w:szCs w:val="19"/>
                <w:lang w:eastAsia="en-AU"/>
              </w:rPr>
            </w:pPr>
            <w:r w:rsidRPr="00C10F2D">
              <w:rPr>
                <w:rFonts w:eastAsiaTheme="minorEastAsia"/>
                <w:sz w:val="19"/>
                <w:szCs w:val="19"/>
                <w:lang w:eastAsia="en-AU"/>
              </w:rPr>
              <w:t xml:space="preserve"> </w:t>
            </w:r>
          </w:p>
        </w:tc>
        <w:tc>
          <w:tcPr>
            <w:tcW w:w="618" w:type="dxa"/>
            <w:tcBorders>
              <w:left w:val="nil"/>
              <w:bottom w:val="single" w:sz="6" w:space="0" w:color="auto"/>
              <w:right w:val="nil"/>
            </w:tcBorders>
            <w:shd w:val="clear" w:color="auto" w:fill="000000"/>
          </w:tcPr>
          <w:p w:rsidR="00F87646" w:rsidRPr="00C10F2D" w:rsidRDefault="00F87646" w:rsidP="00885307">
            <w:pPr>
              <w:pStyle w:val="Tabletextheadingcentred"/>
              <w:rPr>
                <w:rFonts w:eastAsiaTheme="minorEastAsia"/>
                <w:sz w:val="19"/>
                <w:szCs w:val="19"/>
                <w:lang w:eastAsia="en-AU"/>
              </w:rPr>
            </w:pPr>
            <w:r w:rsidRPr="00C10F2D">
              <w:rPr>
                <w:rFonts w:eastAsiaTheme="minorEastAsia"/>
                <w:sz w:val="19"/>
                <w:szCs w:val="19"/>
                <w:lang w:eastAsia="en-AU"/>
              </w:rPr>
              <w:t>Notes</w:t>
            </w:r>
          </w:p>
        </w:tc>
        <w:tc>
          <w:tcPr>
            <w:tcW w:w="847" w:type="dxa"/>
            <w:gridSpan w:val="2"/>
            <w:tcBorders>
              <w:left w:val="nil"/>
              <w:bottom w:val="single" w:sz="6" w:space="0" w:color="auto"/>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budget</w:t>
            </w:r>
          </w:p>
        </w:tc>
        <w:tc>
          <w:tcPr>
            <w:tcW w:w="848" w:type="dxa"/>
            <w:gridSpan w:val="3"/>
            <w:tcBorders>
              <w:left w:val="nil"/>
              <w:bottom w:val="single" w:sz="6" w:space="0" w:color="auto"/>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revised</w:t>
            </w:r>
          </w:p>
        </w:tc>
        <w:tc>
          <w:tcPr>
            <w:tcW w:w="850" w:type="dxa"/>
            <w:gridSpan w:val="2"/>
            <w:tcBorders>
              <w:left w:val="nil"/>
              <w:bottom w:val="single" w:sz="6" w:space="0" w:color="auto"/>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estimate</w:t>
            </w:r>
          </w:p>
        </w:tc>
        <w:tc>
          <w:tcPr>
            <w:tcW w:w="849" w:type="dxa"/>
            <w:gridSpan w:val="2"/>
            <w:tcBorders>
              <w:left w:val="nil"/>
              <w:bottom w:val="single" w:sz="6" w:space="0" w:color="auto"/>
              <w:right w:val="nil"/>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estimate</w:t>
            </w:r>
          </w:p>
        </w:tc>
        <w:tc>
          <w:tcPr>
            <w:tcW w:w="850" w:type="dxa"/>
            <w:gridSpan w:val="2"/>
            <w:tcBorders>
              <w:left w:val="nil"/>
              <w:bottom w:val="single" w:sz="6" w:space="0" w:color="auto"/>
              <w:right w:val="single" w:sz="6" w:space="0" w:color="auto"/>
            </w:tcBorders>
            <w:shd w:val="clear" w:color="auto" w:fill="000000"/>
          </w:tcPr>
          <w:p w:rsidR="00F87646" w:rsidRPr="00C10F2D" w:rsidRDefault="00F87646" w:rsidP="00885307">
            <w:pPr>
              <w:pStyle w:val="Tabletextheading"/>
              <w:rPr>
                <w:rFonts w:eastAsiaTheme="minorEastAsia"/>
                <w:sz w:val="19"/>
                <w:szCs w:val="19"/>
                <w:lang w:eastAsia="en-AU"/>
              </w:rPr>
            </w:pPr>
            <w:r w:rsidRPr="00C10F2D">
              <w:rPr>
                <w:rFonts w:eastAsiaTheme="minorEastAsia"/>
                <w:sz w:val="19"/>
                <w:szCs w:val="19"/>
                <w:lang w:eastAsia="en-AU"/>
              </w:rPr>
              <w:t>estimate</w:t>
            </w:r>
          </w:p>
        </w:tc>
      </w:tr>
      <w:tr w:rsidR="00F87646" w:rsidRPr="00C10F2D" w:rsidTr="0061183A">
        <w:trPr>
          <w:cantSplit/>
        </w:trPr>
        <w:tc>
          <w:tcPr>
            <w:tcW w:w="2894" w:type="dxa"/>
            <w:gridSpan w:val="2"/>
            <w:tcBorders>
              <w:top w:val="single" w:sz="6" w:space="0" w:color="auto"/>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Revenue from transactions</w:t>
            </w:r>
          </w:p>
        </w:tc>
        <w:tc>
          <w:tcPr>
            <w:tcW w:w="618" w:type="dxa"/>
            <w:tcBorders>
              <w:top w:val="single" w:sz="6" w:space="0" w:color="auto"/>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7"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8" w:type="dxa"/>
            <w:gridSpan w:val="3"/>
            <w:tcBorders>
              <w:top w:val="single" w:sz="6" w:space="0" w:color="auto"/>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50"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9"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50"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Taxation revenue</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2</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18 067.5</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17 871.1</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18 692.1</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19 662.6</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20 487.6</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Interest revenue</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842.1</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834.4</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849.8</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864.0</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878.7</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vertAlign w:val="superscript"/>
                <w:lang w:eastAsia="en-AU"/>
              </w:rPr>
            </w:pPr>
            <w:r w:rsidRPr="00C10F2D">
              <w:rPr>
                <w:rFonts w:eastAsiaTheme="minorEastAsia"/>
                <w:color w:val="000000"/>
                <w:sz w:val="19"/>
                <w:szCs w:val="19"/>
                <w:lang w:eastAsia="en-AU"/>
              </w:rPr>
              <w:t>Dividends and income tax equivalent and rate equivalent revenue</w:t>
            </w:r>
            <w:r w:rsidRPr="00C10F2D">
              <w:rPr>
                <w:rFonts w:eastAsiaTheme="minorEastAsia"/>
                <w:color w:val="000000"/>
                <w:sz w:val="19"/>
                <w:szCs w:val="19"/>
                <w:vertAlign w:val="superscript"/>
                <w:lang w:eastAsia="en-AU"/>
              </w:rPr>
              <w:t xml:space="preserve"> </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3</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584.7</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1 091.5</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887.7</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874.0</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1 129.8</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Sales of goods and services</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4</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6 478.4</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6 559.5</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6 842.5</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6 847.2</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6 905.0</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Grants</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5</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24 855.3</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24 513.5</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25 114.2</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25 915.0</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26 976.0</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Other revenue</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6</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2 073.9</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2 141.7</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2 095.9</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2 183.2</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2 147.5</w:t>
            </w:r>
          </w:p>
        </w:tc>
      </w:tr>
      <w:tr w:rsidR="00F87646" w:rsidRPr="00C10F2D" w:rsidTr="0061183A">
        <w:trPr>
          <w:cantSplit/>
        </w:trPr>
        <w:tc>
          <w:tcPr>
            <w:tcW w:w="2894" w:type="dxa"/>
            <w:gridSpan w:val="2"/>
            <w:tcBorders>
              <w:top w:val="single" w:sz="6" w:space="0" w:color="auto"/>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Total revenue from transactions</w:t>
            </w:r>
          </w:p>
        </w:tc>
        <w:tc>
          <w:tcPr>
            <w:tcW w:w="618" w:type="dxa"/>
            <w:tcBorders>
              <w:top w:val="single" w:sz="6" w:space="0" w:color="auto"/>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52 901.9</w:t>
            </w:r>
          </w:p>
        </w:tc>
        <w:tc>
          <w:tcPr>
            <w:tcW w:w="848" w:type="dxa"/>
            <w:gridSpan w:val="3"/>
            <w:tcBorders>
              <w:top w:val="single" w:sz="6" w:space="0" w:color="auto"/>
              <w:left w:val="nil"/>
              <w:bottom w:val="nil"/>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53 011.6</w:t>
            </w:r>
          </w:p>
        </w:tc>
        <w:tc>
          <w:tcPr>
            <w:tcW w:w="850"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54 482.3</w:t>
            </w:r>
          </w:p>
        </w:tc>
        <w:tc>
          <w:tcPr>
            <w:tcW w:w="849"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56 346.1</w:t>
            </w:r>
          </w:p>
        </w:tc>
        <w:tc>
          <w:tcPr>
            <w:tcW w:w="850" w:type="dxa"/>
            <w:gridSpan w:val="2"/>
            <w:tcBorders>
              <w:top w:val="single" w:sz="6" w:space="0" w:color="auto"/>
              <w:left w:val="nil"/>
              <w:bottom w:val="nil"/>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58 524.6</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Expenses from transactions</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Employee expenses</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18 442.3</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18 492.7</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19 548.1</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20 101.6</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20 875.0</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vertAlign w:val="superscript"/>
                <w:lang w:eastAsia="en-AU"/>
              </w:rPr>
            </w:pPr>
            <w:r w:rsidRPr="00C10F2D">
              <w:rPr>
                <w:rFonts w:eastAsiaTheme="minorEastAsia"/>
                <w:color w:val="000000"/>
                <w:sz w:val="19"/>
                <w:szCs w:val="19"/>
                <w:lang w:eastAsia="en-AU"/>
              </w:rPr>
              <w:t>Net superannuation interest expense</w:t>
            </w:r>
            <w:r w:rsidRPr="00C10F2D">
              <w:rPr>
                <w:rFonts w:eastAsiaTheme="minorEastAsia"/>
                <w:color w:val="000000"/>
                <w:sz w:val="19"/>
                <w:szCs w:val="19"/>
                <w:vertAlign w:val="superscript"/>
                <w:lang w:eastAsia="en-AU"/>
              </w:rPr>
              <w:t xml:space="preserve"> </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7</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1 023.9</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1 014.8</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976.7</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958.2</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936.4</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Other superannuation</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7</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1 863.7</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1 937.8</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1 993.0</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2 012.5</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2 029.3</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Depreciation</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8</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2 496.0</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2 454.9</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2 544.4</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2 726.8</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2 947.9</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Interest expense</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9</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2 195.8</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2 116.3</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2 013.5</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1 985.4</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2 020.1</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Grants and other transfers</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10</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8 294.3</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8 237.8</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8 511.7</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8 900.1</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9 056.7</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Other operating expenses</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11</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17 259.2</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17 664.8</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16 600.5</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16 981.9</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17 694.1</w:t>
            </w:r>
          </w:p>
        </w:tc>
      </w:tr>
      <w:tr w:rsidR="00F87646" w:rsidRPr="00C10F2D" w:rsidTr="0061183A">
        <w:trPr>
          <w:cantSplit/>
        </w:trPr>
        <w:tc>
          <w:tcPr>
            <w:tcW w:w="2839" w:type="dxa"/>
            <w:tcBorders>
              <w:top w:val="single" w:sz="6" w:space="0" w:color="auto"/>
              <w:left w:val="nil"/>
              <w:bottom w:val="single" w:sz="6"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Total expenses from transactions</w:t>
            </w:r>
          </w:p>
        </w:tc>
        <w:tc>
          <w:tcPr>
            <w:tcW w:w="673" w:type="dxa"/>
            <w:gridSpan w:val="2"/>
            <w:tcBorders>
              <w:top w:val="single" w:sz="6" w:space="0" w:color="auto"/>
              <w:left w:val="nil"/>
              <w:bottom w:val="single" w:sz="6" w:space="0" w:color="auto"/>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12</w:t>
            </w:r>
          </w:p>
        </w:tc>
        <w:tc>
          <w:tcPr>
            <w:tcW w:w="847"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51 575.1</w:t>
            </w:r>
          </w:p>
        </w:tc>
        <w:tc>
          <w:tcPr>
            <w:tcW w:w="848" w:type="dxa"/>
            <w:gridSpan w:val="3"/>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51 919.1</w:t>
            </w:r>
          </w:p>
        </w:tc>
        <w:tc>
          <w:tcPr>
            <w:tcW w:w="850"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52 187.9</w:t>
            </w:r>
          </w:p>
        </w:tc>
        <w:tc>
          <w:tcPr>
            <w:tcW w:w="849"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53 666.5</w:t>
            </w:r>
          </w:p>
        </w:tc>
        <w:tc>
          <w:tcPr>
            <w:tcW w:w="850"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55 559.4</w:t>
            </w:r>
          </w:p>
        </w:tc>
      </w:tr>
      <w:tr w:rsidR="00F87646" w:rsidRPr="00C10F2D" w:rsidTr="0061183A">
        <w:trPr>
          <w:cantSplit/>
        </w:trPr>
        <w:tc>
          <w:tcPr>
            <w:tcW w:w="2894" w:type="dxa"/>
            <w:gridSpan w:val="2"/>
            <w:tcBorders>
              <w:top w:val="nil"/>
              <w:left w:val="nil"/>
              <w:bottom w:val="single" w:sz="12"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Net result from transactions – net operating balance</w:t>
            </w:r>
          </w:p>
        </w:tc>
        <w:tc>
          <w:tcPr>
            <w:tcW w:w="618" w:type="dxa"/>
            <w:tcBorders>
              <w:top w:val="single" w:sz="6" w:space="0" w:color="auto"/>
              <w:left w:val="nil"/>
              <w:bottom w:val="single" w:sz="12" w:space="0" w:color="auto"/>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1 326.7</w:t>
            </w:r>
          </w:p>
        </w:tc>
        <w:tc>
          <w:tcPr>
            <w:tcW w:w="848" w:type="dxa"/>
            <w:gridSpan w:val="3"/>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1 092.4</w:t>
            </w:r>
          </w:p>
        </w:tc>
        <w:tc>
          <w:tcPr>
            <w:tcW w:w="850" w:type="dxa"/>
            <w:gridSpan w:val="2"/>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2 294.4</w:t>
            </w:r>
          </w:p>
        </w:tc>
        <w:tc>
          <w:tcPr>
            <w:tcW w:w="849" w:type="dxa"/>
            <w:gridSpan w:val="2"/>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2 679.6</w:t>
            </w:r>
          </w:p>
        </w:tc>
        <w:tc>
          <w:tcPr>
            <w:tcW w:w="850" w:type="dxa"/>
            <w:gridSpan w:val="2"/>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2 965.2</w:t>
            </w:r>
          </w:p>
        </w:tc>
      </w:tr>
      <w:tr w:rsidR="00F87646" w:rsidRPr="00C10F2D" w:rsidTr="0061183A">
        <w:trPr>
          <w:cantSplit/>
        </w:trPr>
        <w:tc>
          <w:tcPr>
            <w:tcW w:w="3781" w:type="dxa"/>
            <w:gridSpan w:val="4"/>
            <w:tcBorders>
              <w:top w:val="nil"/>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Other economic flows included in net result</w:t>
            </w:r>
          </w:p>
        </w:tc>
        <w:tc>
          <w:tcPr>
            <w:tcW w:w="661" w:type="dxa"/>
            <w:gridSpan w:val="2"/>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661" w:type="dxa"/>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62"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63"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62"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66" w:type="dxa"/>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Net gain/(loss) on disposal of non</w:t>
            </w:r>
            <w:r>
              <w:rPr>
                <w:rFonts w:eastAsiaTheme="minorEastAsia"/>
                <w:color w:val="000000"/>
                <w:sz w:val="19"/>
                <w:szCs w:val="19"/>
                <w:lang w:eastAsia="en-AU"/>
              </w:rPr>
              <w:noBreakHyphen/>
            </w:r>
            <w:r w:rsidRPr="00C10F2D">
              <w:rPr>
                <w:rFonts w:eastAsiaTheme="minorEastAsia"/>
                <w:color w:val="000000"/>
                <w:sz w:val="19"/>
                <w:szCs w:val="19"/>
                <w:lang w:eastAsia="en-AU"/>
              </w:rPr>
              <w:t>financial assets</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106.3</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65.1</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61.8</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64.6</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73.8</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Net gain/(loss) on financial assets or liabilities at fair value</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2.8</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3.3</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4 503.6</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6.8</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6.8</w:t>
            </w:r>
          </w:p>
        </w:tc>
      </w:tr>
      <w:tr w:rsidR="00F87646" w:rsidRPr="00C10F2D" w:rsidTr="0061183A">
        <w:trPr>
          <w:cantSplit/>
        </w:trPr>
        <w:tc>
          <w:tcPr>
            <w:tcW w:w="2894" w:type="dxa"/>
            <w:gridSpan w:val="2"/>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Other gains/(losses) from other economic flows</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13</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( 283.6)</w:t>
            </w:r>
          </w:p>
        </w:tc>
        <w:tc>
          <w:tcPr>
            <w:tcW w:w="848"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( 286.2)</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( 310.3)</w:t>
            </w:r>
          </w:p>
        </w:tc>
        <w:tc>
          <w:tcPr>
            <w:tcW w:w="849"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( 334.7)</w:t>
            </w:r>
          </w:p>
        </w:tc>
        <w:tc>
          <w:tcPr>
            <w:tcW w:w="850"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( 363.8)</w:t>
            </w:r>
          </w:p>
        </w:tc>
      </w:tr>
      <w:tr w:rsidR="00F87646" w:rsidRPr="00C10F2D" w:rsidTr="0061183A">
        <w:trPr>
          <w:cantSplit/>
        </w:trPr>
        <w:tc>
          <w:tcPr>
            <w:tcW w:w="2894" w:type="dxa"/>
            <w:gridSpan w:val="2"/>
            <w:tcBorders>
              <w:top w:val="single" w:sz="6" w:space="0" w:color="auto"/>
              <w:left w:val="nil"/>
              <w:bottom w:val="single" w:sz="6"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Total other economic flows included in net result</w:t>
            </w:r>
          </w:p>
        </w:tc>
        <w:tc>
          <w:tcPr>
            <w:tcW w:w="618" w:type="dxa"/>
            <w:tcBorders>
              <w:top w:val="single" w:sz="6" w:space="0" w:color="auto"/>
              <w:left w:val="nil"/>
              <w:bottom w:val="single" w:sz="6" w:space="0" w:color="auto"/>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7"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( 174.5)</w:t>
            </w:r>
          </w:p>
        </w:tc>
        <w:tc>
          <w:tcPr>
            <w:tcW w:w="848" w:type="dxa"/>
            <w:gridSpan w:val="3"/>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( 217.8)</w:t>
            </w:r>
          </w:p>
        </w:tc>
        <w:tc>
          <w:tcPr>
            <w:tcW w:w="850"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4 255.1</w:t>
            </w:r>
          </w:p>
        </w:tc>
        <w:tc>
          <w:tcPr>
            <w:tcW w:w="849"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( 263.3)</w:t>
            </w:r>
          </w:p>
        </w:tc>
        <w:tc>
          <w:tcPr>
            <w:tcW w:w="850"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( 283.3)</w:t>
            </w:r>
          </w:p>
        </w:tc>
      </w:tr>
      <w:tr w:rsidR="00F87646" w:rsidRPr="00C10F2D" w:rsidTr="0061183A">
        <w:trPr>
          <w:cantSplit/>
        </w:trPr>
        <w:tc>
          <w:tcPr>
            <w:tcW w:w="2894" w:type="dxa"/>
            <w:gridSpan w:val="2"/>
            <w:tcBorders>
              <w:top w:val="single" w:sz="6" w:space="0" w:color="auto"/>
              <w:left w:val="nil"/>
              <w:bottom w:val="single" w:sz="6"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Net result</w:t>
            </w:r>
          </w:p>
        </w:tc>
        <w:tc>
          <w:tcPr>
            <w:tcW w:w="618" w:type="dxa"/>
            <w:tcBorders>
              <w:top w:val="nil"/>
              <w:left w:val="nil"/>
              <w:bottom w:val="single" w:sz="6" w:space="0" w:color="auto"/>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1 152.2</w:t>
            </w:r>
          </w:p>
        </w:tc>
        <w:tc>
          <w:tcPr>
            <w:tcW w:w="848" w:type="dxa"/>
            <w:gridSpan w:val="3"/>
            <w:tcBorders>
              <w:top w:val="nil"/>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xml:space="preserve"> 874.6</w:t>
            </w:r>
          </w:p>
        </w:tc>
        <w:tc>
          <w:tcPr>
            <w:tcW w:w="850" w:type="dxa"/>
            <w:gridSpan w:val="2"/>
            <w:tcBorders>
              <w:top w:val="nil"/>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6 549.5</w:t>
            </w:r>
          </w:p>
        </w:tc>
        <w:tc>
          <w:tcPr>
            <w:tcW w:w="849" w:type="dxa"/>
            <w:gridSpan w:val="2"/>
            <w:tcBorders>
              <w:top w:val="nil"/>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2 416.3</w:t>
            </w:r>
          </w:p>
        </w:tc>
        <w:tc>
          <w:tcPr>
            <w:tcW w:w="850" w:type="dxa"/>
            <w:gridSpan w:val="2"/>
            <w:tcBorders>
              <w:top w:val="nil"/>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2 681.9</w:t>
            </w:r>
          </w:p>
        </w:tc>
      </w:tr>
    </w:tbl>
    <w:p w:rsidR="00F87646" w:rsidRDefault="00F87646" w:rsidP="0061183A">
      <w:pPr>
        <w:pStyle w:val="Tableheading"/>
      </w:pPr>
      <w:r>
        <w:rPr>
          <w:rFonts w:ascii="Garamond" w:hAnsi="Garamond"/>
        </w:rPr>
        <w:br w:type="page"/>
      </w:r>
      <w:r>
        <w:lastRenderedPageBreak/>
        <w:t>Table 3</w:t>
      </w:r>
      <w:r w:rsidRPr="001F0A68">
        <w:t xml:space="preserve">.1 </w:t>
      </w:r>
      <w:r>
        <w:tab/>
        <w:t xml:space="preserve">Estimated general government sector </w:t>
      </w:r>
      <w:r w:rsidRPr="001F0A68">
        <w:t>comprehensive operating statement for the financial year ending 30 June</w:t>
      </w:r>
      <w:r>
        <w:t xml:space="preserve"> </w:t>
      </w:r>
      <w:r w:rsidRPr="0061183A">
        <w:rPr>
          <w:i/>
        </w:rPr>
        <w:t>(continued)</w:t>
      </w:r>
    </w:p>
    <w:p w:rsidR="00F87646" w:rsidRDefault="00F87646" w:rsidP="0061183A">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618"/>
        <w:gridCol w:w="538"/>
        <w:gridCol w:w="309"/>
        <w:gridCol w:w="307"/>
        <w:gridCol w:w="102"/>
        <w:gridCol w:w="269"/>
        <w:gridCol w:w="170"/>
        <w:gridCol w:w="58"/>
        <w:gridCol w:w="18"/>
        <w:gridCol w:w="207"/>
        <w:gridCol w:w="275"/>
        <w:gridCol w:w="135"/>
        <w:gridCol w:w="42"/>
        <w:gridCol w:w="115"/>
        <w:gridCol w:w="206"/>
        <w:gridCol w:w="132"/>
        <w:gridCol w:w="123"/>
        <w:gridCol w:w="242"/>
        <w:gridCol w:w="87"/>
        <w:gridCol w:w="59"/>
        <w:gridCol w:w="229"/>
        <w:gridCol w:w="123"/>
        <w:gridCol w:w="42"/>
        <w:gridCol w:w="456"/>
        <w:gridCol w:w="20"/>
      </w:tblGrid>
      <w:tr w:rsidR="00F87646" w:rsidRPr="00C10F2D" w:rsidTr="0061183A">
        <w:trPr>
          <w:gridAfter w:val="1"/>
          <w:wAfter w:w="20" w:type="dxa"/>
          <w:cantSplit/>
          <w:tblHeader/>
        </w:trPr>
        <w:tc>
          <w:tcPr>
            <w:tcW w:w="2894" w:type="dxa"/>
            <w:tcBorders>
              <w:top w:val="single" w:sz="6" w:space="0" w:color="auto"/>
              <w:left w:val="single" w:sz="6" w:space="0" w:color="auto"/>
              <w:right w:val="nil"/>
            </w:tcBorders>
            <w:shd w:val="clear" w:color="auto" w:fill="000000"/>
          </w:tcPr>
          <w:p w:rsidR="00F87646" w:rsidRPr="00C10F2D" w:rsidRDefault="00F87646" w:rsidP="005820F0">
            <w:pPr>
              <w:pStyle w:val="Tabletext"/>
              <w:rPr>
                <w:rFonts w:eastAsiaTheme="minorEastAsia"/>
                <w:sz w:val="19"/>
                <w:szCs w:val="19"/>
                <w:lang w:eastAsia="en-AU"/>
              </w:rPr>
            </w:pPr>
            <w:r w:rsidRPr="00C10F2D">
              <w:rPr>
                <w:rFonts w:eastAsiaTheme="minorEastAsia"/>
                <w:sz w:val="19"/>
                <w:szCs w:val="19"/>
                <w:lang w:eastAsia="en-AU"/>
              </w:rPr>
              <w:t xml:space="preserve"> </w:t>
            </w:r>
          </w:p>
        </w:tc>
        <w:tc>
          <w:tcPr>
            <w:tcW w:w="618" w:type="dxa"/>
            <w:tcBorders>
              <w:top w:val="single" w:sz="6" w:space="0" w:color="auto"/>
              <w:left w:val="nil"/>
              <w:right w:val="nil"/>
            </w:tcBorders>
            <w:shd w:val="clear" w:color="auto" w:fill="000000"/>
          </w:tcPr>
          <w:p w:rsidR="00F87646" w:rsidRPr="00C10F2D" w:rsidRDefault="00F87646" w:rsidP="005820F0">
            <w:pPr>
              <w:pStyle w:val="Tabletextheadingcentred"/>
              <w:rPr>
                <w:rFonts w:eastAsiaTheme="minorEastAsia"/>
                <w:sz w:val="19"/>
                <w:szCs w:val="19"/>
                <w:lang w:eastAsia="en-AU"/>
              </w:rPr>
            </w:pPr>
            <w:r w:rsidRPr="00C10F2D">
              <w:rPr>
                <w:rFonts w:eastAsiaTheme="minorEastAsia"/>
                <w:sz w:val="19"/>
                <w:szCs w:val="19"/>
                <w:lang w:eastAsia="en-AU"/>
              </w:rPr>
              <w:t xml:space="preserve"> </w:t>
            </w:r>
          </w:p>
        </w:tc>
        <w:tc>
          <w:tcPr>
            <w:tcW w:w="847" w:type="dxa"/>
            <w:gridSpan w:val="2"/>
            <w:tcBorders>
              <w:top w:val="single" w:sz="6" w:space="0" w:color="auto"/>
              <w:left w:val="nil"/>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2014</w:t>
            </w:r>
            <w:r>
              <w:rPr>
                <w:rFonts w:eastAsiaTheme="minorEastAsia"/>
                <w:sz w:val="19"/>
                <w:szCs w:val="19"/>
                <w:lang w:eastAsia="en-AU"/>
              </w:rPr>
              <w:noBreakHyphen/>
            </w:r>
            <w:r w:rsidRPr="00C10F2D">
              <w:rPr>
                <w:rFonts w:eastAsiaTheme="minorEastAsia"/>
                <w:sz w:val="19"/>
                <w:szCs w:val="19"/>
                <w:lang w:eastAsia="en-AU"/>
              </w:rPr>
              <w:t>15</w:t>
            </w:r>
          </w:p>
        </w:tc>
        <w:tc>
          <w:tcPr>
            <w:tcW w:w="848" w:type="dxa"/>
            <w:gridSpan w:val="4"/>
            <w:tcBorders>
              <w:top w:val="single" w:sz="6" w:space="0" w:color="auto"/>
              <w:left w:val="nil"/>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2014</w:t>
            </w:r>
            <w:r>
              <w:rPr>
                <w:rFonts w:eastAsiaTheme="minorEastAsia"/>
                <w:sz w:val="19"/>
                <w:szCs w:val="19"/>
                <w:lang w:eastAsia="en-AU"/>
              </w:rPr>
              <w:noBreakHyphen/>
            </w:r>
            <w:r w:rsidRPr="00C10F2D">
              <w:rPr>
                <w:rFonts w:eastAsiaTheme="minorEastAsia"/>
                <w:sz w:val="19"/>
                <w:szCs w:val="19"/>
                <w:lang w:eastAsia="en-AU"/>
              </w:rPr>
              <w:t>15</w:t>
            </w:r>
          </w:p>
        </w:tc>
        <w:tc>
          <w:tcPr>
            <w:tcW w:w="850" w:type="dxa"/>
            <w:gridSpan w:val="7"/>
            <w:tcBorders>
              <w:top w:val="single" w:sz="6" w:space="0" w:color="auto"/>
              <w:left w:val="nil"/>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2015</w:t>
            </w:r>
            <w:r>
              <w:rPr>
                <w:rFonts w:eastAsiaTheme="minorEastAsia"/>
                <w:sz w:val="19"/>
                <w:szCs w:val="19"/>
                <w:lang w:eastAsia="en-AU"/>
              </w:rPr>
              <w:noBreakHyphen/>
            </w:r>
            <w:r w:rsidRPr="00C10F2D">
              <w:rPr>
                <w:rFonts w:eastAsiaTheme="minorEastAsia"/>
                <w:sz w:val="19"/>
                <w:szCs w:val="19"/>
                <w:lang w:eastAsia="en-AU"/>
              </w:rPr>
              <w:t>16</w:t>
            </w:r>
          </w:p>
        </w:tc>
        <w:tc>
          <w:tcPr>
            <w:tcW w:w="849" w:type="dxa"/>
            <w:gridSpan w:val="6"/>
            <w:tcBorders>
              <w:top w:val="single" w:sz="6" w:space="0" w:color="auto"/>
              <w:left w:val="nil"/>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2016</w:t>
            </w:r>
            <w:r>
              <w:rPr>
                <w:rFonts w:eastAsiaTheme="minorEastAsia"/>
                <w:sz w:val="19"/>
                <w:szCs w:val="19"/>
                <w:lang w:eastAsia="en-AU"/>
              </w:rPr>
              <w:noBreakHyphen/>
            </w:r>
            <w:r w:rsidRPr="00C10F2D">
              <w:rPr>
                <w:rFonts w:eastAsiaTheme="minorEastAsia"/>
                <w:sz w:val="19"/>
                <w:szCs w:val="19"/>
                <w:lang w:eastAsia="en-AU"/>
              </w:rPr>
              <w:t>17</w:t>
            </w:r>
          </w:p>
        </w:tc>
        <w:tc>
          <w:tcPr>
            <w:tcW w:w="850" w:type="dxa"/>
            <w:gridSpan w:val="4"/>
            <w:tcBorders>
              <w:top w:val="single" w:sz="6" w:space="0" w:color="auto"/>
              <w:left w:val="nil"/>
              <w:right w:val="single" w:sz="6" w:space="0" w:color="auto"/>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2017</w:t>
            </w:r>
            <w:r>
              <w:rPr>
                <w:rFonts w:eastAsiaTheme="minorEastAsia"/>
                <w:sz w:val="19"/>
                <w:szCs w:val="19"/>
                <w:lang w:eastAsia="en-AU"/>
              </w:rPr>
              <w:noBreakHyphen/>
            </w:r>
            <w:r w:rsidRPr="00C10F2D">
              <w:rPr>
                <w:rFonts w:eastAsiaTheme="minorEastAsia"/>
                <w:sz w:val="19"/>
                <w:szCs w:val="19"/>
                <w:lang w:eastAsia="en-AU"/>
              </w:rPr>
              <w:t>18</w:t>
            </w:r>
          </w:p>
        </w:tc>
      </w:tr>
      <w:tr w:rsidR="00F87646" w:rsidRPr="00C10F2D" w:rsidTr="0061183A">
        <w:trPr>
          <w:gridAfter w:val="1"/>
          <w:wAfter w:w="20" w:type="dxa"/>
          <w:cantSplit/>
          <w:tblHeader/>
        </w:trPr>
        <w:tc>
          <w:tcPr>
            <w:tcW w:w="2894" w:type="dxa"/>
            <w:tcBorders>
              <w:left w:val="single" w:sz="6" w:space="0" w:color="auto"/>
              <w:bottom w:val="single" w:sz="6" w:space="0" w:color="auto"/>
              <w:right w:val="nil"/>
            </w:tcBorders>
            <w:shd w:val="clear" w:color="auto" w:fill="000000"/>
          </w:tcPr>
          <w:p w:rsidR="00F87646" w:rsidRPr="00C10F2D" w:rsidRDefault="00F87646" w:rsidP="005820F0">
            <w:pPr>
              <w:pStyle w:val="Tabletext"/>
              <w:rPr>
                <w:rFonts w:eastAsiaTheme="minorEastAsia"/>
                <w:sz w:val="19"/>
                <w:szCs w:val="19"/>
                <w:lang w:eastAsia="en-AU"/>
              </w:rPr>
            </w:pPr>
            <w:r w:rsidRPr="00C10F2D">
              <w:rPr>
                <w:rFonts w:eastAsiaTheme="minorEastAsia"/>
                <w:sz w:val="19"/>
                <w:szCs w:val="19"/>
                <w:lang w:eastAsia="en-AU"/>
              </w:rPr>
              <w:t xml:space="preserve"> </w:t>
            </w:r>
          </w:p>
        </w:tc>
        <w:tc>
          <w:tcPr>
            <w:tcW w:w="618" w:type="dxa"/>
            <w:tcBorders>
              <w:left w:val="nil"/>
              <w:bottom w:val="single" w:sz="6" w:space="0" w:color="auto"/>
              <w:right w:val="nil"/>
            </w:tcBorders>
            <w:shd w:val="clear" w:color="auto" w:fill="000000"/>
          </w:tcPr>
          <w:p w:rsidR="00F87646" w:rsidRPr="00C10F2D" w:rsidRDefault="00F87646" w:rsidP="005820F0">
            <w:pPr>
              <w:pStyle w:val="Tabletextheadingcentred"/>
              <w:rPr>
                <w:rFonts w:eastAsiaTheme="minorEastAsia"/>
                <w:sz w:val="19"/>
                <w:szCs w:val="19"/>
                <w:lang w:eastAsia="en-AU"/>
              </w:rPr>
            </w:pPr>
            <w:r w:rsidRPr="00C10F2D">
              <w:rPr>
                <w:rFonts w:eastAsiaTheme="minorEastAsia"/>
                <w:sz w:val="19"/>
                <w:szCs w:val="19"/>
                <w:lang w:eastAsia="en-AU"/>
              </w:rPr>
              <w:t>Notes</w:t>
            </w:r>
          </w:p>
        </w:tc>
        <w:tc>
          <w:tcPr>
            <w:tcW w:w="847" w:type="dxa"/>
            <w:gridSpan w:val="2"/>
            <w:tcBorders>
              <w:left w:val="nil"/>
              <w:bottom w:val="single" w:sz="6" w:space="0" w:color="auto"/>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budget</w:t>
            </w:r>
          </w:p>
        </w:tc>
        <w:tc>
          <w:tcPr>
            <w:tcW w:w="848" w:type="dxa"/>
            <w:gridSpan w:val="4"/>
            <w:tcBorders>
              <w:left w:val="nil"/>
              <w:bottom w:val="single" w:sz="6" w:space="0" w:color="auto"/>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revised</w:t>
            </w:r>
          </w:p>
        </w:tc>
        <w:tc>
          <w:tcPr>
            <w:tcW w:w="850" w:type="dxa"/>
            <w:gridSpan w:val="7"/>
            <w:tcBorders>
              <w:left w:val="nil"/>
              <w:bottom w:val="single" w:sz="6" w:space="0" w:color="auto"/>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estimate</w:t>
            </w:r>
          </w:p>
        </w:tc>
        <w:tc>
          <w:tcPr>
            <w:tcW w:w="849" w:type="dxa"/>
            <w:gridSpan w:val="6"/>
            <w:tcBorders>
              <w:left w:val="nil"/>
              <w:bottom w:val="single" w:sz="6" w:space="0" w:color="auto"/>
              <w:right w:val="nil"/>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estimate</w:t>
            </w:r>
          </w:p>
        </w:tc>
        <w:tc>
          <w:tcPr>
            <w:tcW w:w="850" w:type="dxa"/>
            <w:gridSpan w:val="4"/>
            <w:tcBorders>
              <w:left w:val="nil"/>
              <w:bottom w:val="single" w:sz="6" w:space="0" w:color="auto"/>
              <w:right w:val="single" w:sz="6" w:space="0" w:color="auto"/>
            </w:tcBorders>
            <w:shd w:val="clear" w:color="auto" w:fill="000000"/>
          </w:tcPr>
          <w:p w:rsidR="00F87646" w:rsidRPr="00C10F2D" w:rsidRDefault="00F87646" w:rsidP="005820F0">
            <w:pPr>
              <w:pStyle w:val="Tabletextheading"/>
              <w:rPr>
                <w:rFonts w:eastAsiaTheme="minorEastAsia"/>
                <w:sz w:val="19"/>
                <w:szCs w:val="19"/>
                <w:lang w:eastAsia="en-AU"/>
              </w:rPr>
            </w:pPr>
            <w:r w:rsidRPr="00C10F2D">
              <w:rPr>
                <w:rFonts w:eastAsiaTheme="minorEastAsia"/>
                <w:sz w:val="19"/>
                <w:szCs w:val="19"/>
                <w:lang w:eastAsia="en-AU"/>
              </w:rPr>
              <w:t>estimate</w:t>
            </w:r>
          </w:p>
        </w:tc>
      </w:tr>
      <w:tr w:rsidR="00F87646" w:rsidRPr="00C10F2D" w:rsidTr="0061183A">
        <w:trPr>
          <w:gridAfter w:val="1"/>
          <w:wAfter w:w="20" w:type="dxa"/>
          <w:cantSplit/>
        </w:trPr>
        <w:tc>
          <w:tcPr>
            <w:tcW w:w="4768" w:type="dxa"/>
            <w:gridSpan w:val="6"/>
            <w:tcBorders>
              <w:top w:val="nil"/>
              <w:left w:val="nil"/>
              <w:bottom w:val="nil"/>
              <w:right w:val="nil"/>
            </w:tcBorders>
          </w:tcPr>
          <w:p w:rsidR="00F87646" w:rsidRPr="00C10F2D" w:rsidRDefault="00F87646" w:rsidP="0061183A">
            <w:pPr>
              <w:pStyle w:val="Tabletext"/>
              <w:ind w:left="187" w:hanging="187"/>
              <w:rPr>
                <w:rFonts w:eastAsiaTheme="minorEastAsia"/>
                <w:b/>
                <w:bCs/>
                <w:color w:val="000000"/>
                <w:sz w:val="19"/>
                <w:szCs w:val="19"/>
                <w:lang w:eastAsia="en-AU"/>
              </w:rPr>
            </w:pPr>
            <w:r w:rsidRPr="00C10F2D">
              <w:rPr>
                <w:rFonts w:eastAsiaTheme="minorEastAsia"/>
                <w:b/>
                <w:bCs/>
                <w:color w:val="000000"/>
                <w:sz w:val="19"/>
                <w:szCs w:val="19"/>
                <w:lang w:eastAsia="en-AU"/>
              </w:rPr>
              <w:t>Other economic flows – other comprehensive income</w:t>
            </w:r>
          </w:p>
        </w:tc>
        <w:tc>
          <w:tcPr>
            <w:tcW w:w="497" w:type="dxa"/>
            <w:gridSpan w:val="3"/>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500"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9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97"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9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98"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gridAfter w:val="1"/>
          <w:wAfter w:w="20" w:type="dxa"/>
          <w:cantSplit/>
        </w:trPr>
        <w:tc>
          <w:tcPr>
            <w:tcW w:w="4050" w:type="dxa"/>
            <w:gridSpan w:val="3"/>
            <w:tcBorders>
              <w:top w:val="nil"/>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Items that will not be reclassified to net result</w:t>
            </w:r>
          </w:p>
        </w:tc>
        <w:tc>
          <w:tcPr>
            <w:tcW w:w="616" w:type="dxa"/>
            <w:gridSpan w:val="2"/>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617" w:type="dxa"/>
            <w:gridSpan w:val="5"/>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17"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18" w:type="dxa"/>
            <w:gridSpan w:val="5"/>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17"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621"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Changes in non</w:t>
            </w:r>
            <w:r>
              <w:rPr>
                <w:rFonts w:eastAsiaTheme="minorEastAsia"/>
                <w:color w:val="000000"/>
                <w:sz w:val="19"/>
                <w:szCs w:val="19"/>
                <w:lang w:eastAsia="en-AU"/>
              </w:rPr>
              <w:noBreakHyphen/>
            </w:r>
            <w:r w:rsidRPr="00C10F2D">
              <w:rPr>
                <w:rFonts w:eastAsiaTheme="minorEastAsia"/>
                <w:color w:val="000000"/>
                <w:sz w:val="19"/>
                <w:szCs w:val="19"/>
                <w:lang w:eastAsia="en-AU"/>
              </w:rPr>
              <w:t>financial assets revaluation surplus</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3 906.5</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3 871.6</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426.0</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1 933.4</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4 595.9</w:t>
            </w:r>
          </w:p>
        </w:tc>
      </w:tr>
      <w:tr w:rsidR="00F87646" w:rsidRPr="00C10F2D" w:rsidTr="0061183A">
        <w:trPr>
          <w:gridAfter w:val="1"/>
          <w:wAfter w:w="20" w:type="dxa"/>
          <w:cantSplit/>
        </w:trPr>
        <w:tc>
          <w:tcPr>
            <w:tcW w:w="2894" w:type="dxa"/>
            <w:tcBorders>
              <w:top w:val="nil"/>
              <w:left w:val="nil"/>
              <w:bottom w:val="nil"/>
              <w:right w:val="nil"/>
            </w:tcBorders>
            <w:shd w:val="solid" w:color="FFFFFF" w:fill="auto"/>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 xml:space="preserve">Remeasurement of superannuation defined benefit plans </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7</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499.2</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( 177.2)</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699.6</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714.2</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728.4</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Net gain/(loss) on equity investments in other sector entities at proportional share of the carrying amount of net assets</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14</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2 884.3</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2 884.3</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438.8</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( 137.4)</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( 93.5)</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Other movements in equity</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0.1</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( 0.8)</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( 7.6)</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( 8.4)</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( 5.4)</w:t>
            </w:r>
          </w:p>
        </w:tc>
      </w:tr>
      <w:tr w:rsidR="00F87646" w:rsidRPr="00C10F2D" w:rsidTr="0061183A">
        <w:trPr>
          <w:cantSplit/>
        </w:trPr>
        <w:tc>
          <w:tcPr>
            <w:tcW w:w="5037" w:type="dxa"/>
            <w:gridSpan w:val="7"/>
            <w:tcBorders>
              <w:top w:val="nil"/>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Items that may be reclassified subsequently to net result</w:t>
            </w:r>
          </w:p>
        </w:tc>
        <w:tc>
          <w:tcPr>
            <w:tcW w:w="453" w:type="dxa"/>
            <w:gridSpan w:val="4"/>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52"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53"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52" w:type="dxa"/>
            <w:gridSpan w:val="3"/>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53"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476"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Net gain/(loss) on financial assets at fair value</w:t>
            </w:r>
          </w:p>
        </w:tc>
        <w:tc>
          <w:tcPr>
            <w:tcW w:w="618" w:type="dxa"/>
            <w:tcBorders>
              <w:top w:val="nil"/>
              <w:left w:val="nil"/>
              <w:bottom w:val="nil"/>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1.1</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1.1</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1.2</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1.2</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1.2</w:t>
            </w:r>
          </w:p>
        </w:tc>
      </w:tr>
      <w:tr w:rsidR="00F87646" w:rsidRPr="00C10F2D" w:rsidTr="0061183A">
        <w:trPr>
          <w:gridAfter w:val="1"/>
          <w:wAfter w:w="20" w:type="dxa"/>
          <w:cantSplit/>
        </w:trPr>
        <w:tc>
          <w:tcPr>
            <w:tcW w:w="2894" w:type="dxa"/>
            <w:tcBorders>
              <w:top w:val="single" w:sz="6" w:space="0" w:color="auto"/>
              <w:left w:val="nil"/>
              <w:bottom w:val="single" w:sz="6"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Total other economic flows – other comprehensive income</w:t>
            </w:r>
          </w:p>
        </w:tc>
        <w:tc>
          <w:tcPr>
            <w:tcW w:w="618" w:type="dxa"/>
            <w:tcBorders>
              <w:top w:val="single" w:sz="6" w:space="0" w:color="auto"/>
              <w:left w:val="nil"/>
              <w:bottom w:val="single" w:sz="6" w:space="0" w:color="auto"/>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7 291.2</w:t>
            </w:r>
          </w:p>
        </w:tc>
        <w:tc>
          <w:tcPr>
            <w:tcW w:w="848" w:type="dxa"/>
            <w:gridSpan w:val="4"/>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6 579.1</w:t>
            </w:r>
          </w:p>
        </w:tc>
        <w:tc>
          <w:tcPr>
            <w:tcW w:w="850" w:type="dxa"/>
            <w:gridSpan w:val="7"/>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1 558.1</w:t>
            </w:r>
          </w:p>
        </w:tc>
        <w:tc>
          <w:tcPr>
            <w:tcW w:w="849" w:type="dxa"/>
            <w:gridSpan w:val="6"/>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2 503.0</w:t>
            </w:r>
          </w:p>
        </w:tc>
        <w:tc>
          <w:tcPr>
            <w:tcW w:w="850" w:type="dxa"/>
            <w:gridSpan w:val="4"/>
            <w:tcBorders>
              <w:top w:val="single" w:sz="6" w:space="0" w:color="auto"/>
              <w:left w:val="nil"/>
              <w:bottom w:val="single" w:sz="6"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5 226.6</w:t>
            </w:r>
          </w:p>
        </w:tc>
      </w:tr>
      <w:tr w:rsidR="00F87646" w:rsidRPr="00C10F2D" w:rsidTr="0061183A">
        <w:trPr>
          <w:gridAfter w:val="1"/>
          <w:wAfter w:w="20" w:type="dxa"/>
          <w:cantSplit/>
        </w:trPr>
        <w:tc>
          <w:tcPr>
            <w:tcW w:w="2894" w:type="dxa"/>
            <w:tcBorders>
              <w:top w:val="single" w:sz="6" w:space="0" w:color="auto"/>
              <w:left w:val="nil"/>
              <w:bottom w:val="single" w:sz="12"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Comprehensive result – total change in net worth</w:t>
            </w:r>
          </w:p>
        </w:tc>
        <w:tc>
          <w:tcPr>
            <w:tcW w:w="618" w:type="dxa"/>
            <w:tcBorders>
              <w:top w:val="single" w:sz="6" w:space="0" w:color="auto"/>
              <w:left w:val="nil"/>
              <w:bottom w:val="single" w:sz="12" w:space="0" w:color="auto"/>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8 443.5</w:t>
            </w:r>
          </w:p>
        </w:tc>
        <w:tc>
          <w:tcPr>
            <w:tcW w:w="848" w:type="dxa"/>
            <w:gridSpan w:val="4"/>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7 453.7</w:t>
            </w:r>
          </w:p>
        </w:tc>
        <w:tc>
          <w:tcPr>
            <w:tcW w:w="850" w:type="dxa"/>
            <w:gridSpan w:val="7"/>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8 107.6</w:t>
            </w:r>
          </w:p>
        </w:tc>
        <w:tc>
          <w:tcPr>
            <w:tcW w:w="849" w:type="dxa"/>
            <w:gridSpan w:val="6"/>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4 919.3</w:t>
            </w:r>
          </w:p>
        </w:tc>
        <w:tc>
          <w:tcPr>
            <w:tcW w:w="850" w:type="dxa"/>
            <w:gridSpan w:val="4"/>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7 908.5</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KEY FISCAL AGGREGATES</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Net operating balance</w:t>
            </w:r>
          </w:p>
        </w:tc>
        <w:tc>
          <w:tcPr>
            <w:tcW w:w="618" w:type="dxa"/>
            <w:tcBorders>
              <w:top w:val="nil"/>
              <w:left w:val="nil"/>
              <w:bottom w:val="nil"/>
              <w:right w:val="nil"/>
            </w:tcBorders>
          </w:tcPr>
          <w:p w:rsidR="00F87646" w:rsidRPr="00C10F2D" w:rsidRDefault="00F87646" w:rsidP="00885307">
            <w:pPr>
              <w:pStyle w:val="Tabletextcentred"/>
              <w:rPr>
                <w:rFonts w:eastAsiaTheme="minorEastAsia"/>
                <w:b/>
                <w:bCs/>
                <w:color w:val="000000"/>
                <w:sz w:val="19"/>
                <w:szCs w:val="19"/>
                <w:lang w:eastAsia="en-AU"/>
              </w:rPr>
            </w:pPr>
            <w:r w:rsidRPr="00C10F2D">
              <w:rPr>
                <w:rFonts w:eastAsiaTheme="minorEastAsia"/>
                <w:b/>
                <w:bCs/>
                <w:color w:val="000000"/>
                <w:sz w:val="19"/>
                <w:szCs w:val="19"/>
                <w:lang w:eastAsia="en-AU"/>
              </w:rPr>
              <w:t xml:space="preserve"> </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1 326.7</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1 092.4</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2 294.4</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2 679.6</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2 965.2</w:t>
            </w:r>
          </w:p>
        </w:tc>
      </w:tr>
      <w:tr w:rsidR="00F87646" w:rsidRPr="00C10F2D" w:rsidTr="0061183A">
        <w:trPr>
          <w:gridAfter w:val="1"/>
          <w:wAfter w:w="20" w:type="dxa"/>
          <w:cantSplit/>
        </w:trPr>
        <w:tc>
          <w:tcPr>
            <w:tcW w:w="2894" w:type="dxa"/>
            <w:tcBorders>
              <w:top w:val="nil"/>
              <w:left w:val="nil"/>
              <w:bottom w:val="nil"/>
              <w:right w:val="nil"/>
            </w:tcBorders>
          </w:tcPr>
          <w:p w:rsidR="00F87646" w:rsidRPr="00C10F2D" w:rsidRDefault="00F87646" w:rsidP="00885307">
            <w:pPr>
              <w:pStyle w:val="Tabletext"/>
              <w:rPr>
                <w:rFonts w:eastAsiaTheme="minorEastAsia"/>
                <w:color w:val="000000"/>
                <w:sz w:val="19"/>
                <w:szCs w:val="19"/>
                <w:lang w:eastAsia="en-AU"/>
              </w:rPr>
            </w:pPr>
            <w:r w:rsidRPr="00C10F2D">
              <w:rPr>
                <w:rFonts w:eastAsiaTheme="minorEastAsia"/>
                <w:color w:val="000000"/>
                <w:sz w:val="19"/>
                <w:szCs w:val="19"/>
                <w:lang w:eastAsia="en-AU"/>
              </w:rPr>
              <w:t>Less: Net acquisition of non</w:t>
            </w:r>
            <w:r>
              <w:rPr>
                <w:rFonts w:eastAsiaTheme="minorEastAsia"/>
                <w:color w:val="000000"/>
                <w:sz w:val="19"/>
                <w:szCs w:val="19"/>
                <w:lang w:eastAsia="en-AU"/>
              </w:rPr>
              <w:noBreakHyphen/>
            </w:r>
            <w:r w:rsidRPr="00C10F2D">
              <w:rPr>
                <w:rFonts w:eastAsiaTheme="minorEastAsia"/>
                <w:color w:val="000000"/>
                <w:sz w:val="19"/>
                <w:szCs w:val="19"/>
                <w:lang w:eastAsia="en-AU"/>
              </w:rPr>
              <w:t>financial assets from transactions</w:t>
            </w:r>
          </w:p>
        </w:tc>
        <w:tc>
          <w:tcPr>
            <w:tcW w:w="618" w:type="dxa"/>
            <w:tcBorders>
              <w:top w:val="nil"/>
              <w:left w:val="nil"/>
              <w:bottom w:val="single" w:sz="6" w:space="0" w:color="auto"/>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15</w:t>
            </w:r>
          </w:p>
        </w:tc>
        <w:tc>
          <w:tcPr>
            <w:tcW w:w="847" w:type="dxa"/>
            <w:gridSpan w:val="2"/>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966.4</w:t>
            </w:r>
          </w:p>
        </w:tc>
        <w:tc>
          <w:tcPr>
            <w:tcW w:w="848"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 xml:space="preserve"> 584.3</w:t>
            </w:r>
          </w:p>
        </w:tc>
        <w:tc>
          <w:tcPr>
            <w:tcW w:w="850" w:type="dxa"/>
            <w:gridSpan w:val="7"/>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2 391.5</w:t>
            </w:r>
          </w:p>
        </w:tc>
        <w:tc>
          <w:tcPr>
            <w:tcW w:w="849" w:type="dxa"/>
            <w:gridSpan w:val="6"/>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2 992.8</w:t>
            </w:r>
          </w:p>
        </w:tc>
        <w:tc>
          <w:tcPr>
            <w:tcW w:w="850" w:type="dxa"/>
            <w:gridSpan w:val="4"/>
            <w:tcBorders>
              <w:top w:val="nil"/>
              <w:left w:val="nil"/>
              <w:bottom w:val="nil"/>
              <w:right w:val="nil"/>
            </w:tcBorders>
          </w:tcPr>
          <w:p w:rsidR="00F87646" w:rsidRPr="00C10F2D" w:rsidRDefault="00F87646" w:rsidP="00885307">
            <w:pPr>
              <w:pStyle w:val="TableofFigures"/>
              <w:rPr>
                <w:rFonts w:eastAsiaTheme="minorEastAsia"/>
                <w:color w:val="000000"/>
                <w:sz w:val="19"/>
                <w:szCs w:val="19"/>
                <w:lang w:eastAsia="en-AU"/>
              </w:rPr>
            </w:pPr>
            <w:r w:rsidRPr="00C10F2D">
              <w:rPr>
                <w:rFonts w:eastAsiaTheme="minorEastAsia"/>
                <w:color w:val="000000"/>
                <w:sz w:val="19"/>
                <w:szCs w:val="19"/>
                <w:lang w:eastAsia="en-AU"/>
              </w:rPr>
              <w:t>2 776.9</w:t>
            </w:r>
          </w:p>
        </w:tc>
      </w:tr>
      <w:tr w:rsidR="00F87646" w:rsidRPr="00C10F2D" w:rsidTr="0061183A">
        <w:trPr>
          <w:gridAfter w:val="1"/>
          <w:wAfter w:w="20" w:type="dxa"/>
          <w:cantSplit/>
        </w:trPr>
        <w:tc>
          <w:tcPr>
            <w:tcW w:w="2894" w:type="dxa"/>
            <w:tcBorders>
              <w:top w:val="single" w:sz="6" w:space="0" w:color="auto"/>
              <w:left w:val="nil"/>
              <w:bottom w:val="single" w:sz="12" w:space="0" w:color="auto"/>
              <w:right w:val="nil"/>
            </w:tcBorders>
          </w:tcPr>
          <w:p w:rsidR="00F87646" w:rsidRPr="00C10F2D" w:rsidRDefault="00F87646" w:rsidP="00885307">
            <w:pPr>
              <w:pStyle w:val="Tabletext"/>
              <w:rPr>
                <w:rFonts w:eastAsiaTheme="minorEastAsia"/>
                <w:b/>
                <w:bCs/>
                <w:color w:val="000000"/>
                <w:sz w:val="19"/>
                <w:szCs w:val="19"/>
                <w:lang w:eastAsia="en-AU"/>
              </w:rPr>
            </w:pPr>
            <w:r w:rsidRPr="00C10F2D">
              <w:rPr>
                <w:rFonts w:eastAsiaTheme="minorEastAsia"/>
                <w:b/>
                <w:bCs/>
                <w:color w:val="000000"/>
                <w:sz w:val="19"/>
                <w:szCs w:val="19"/>
                <w:lang w:eastAsia="en-AU"/>
              </w:rPr>
              <w:t>Net lending/(borrowing)</w:t>
            </w:r>
          </w:p>
        </w:tc>
        <w:tc>
          <w:tcPr>
            <w:tcW w:w="618" w:type="dxa"/>
            <w:tcBorders>
              <w:top w:val="nil"/>
              <w:left w:val="nil"/>
              <w:bottom w:val="single" w:sz="12" w:space="0" w:color="auto"/>
              <w:right w:val="nil"/>
            </w:tcBorders>
          </w:tcPr>
          <w:p w:rsidR="00F87646" w:rsidRPr="00C10F2D" w:rsidRDefault="00F87646" w:rsidP="00885307">
            <w:pPr>
              <w:pStyle w:val="Tabletextcentred"/>
              <w:rPr>
                <w:rFonts w:eastAsiaTheme="minorEastAsia"/>
                <w:color w:val="000000"/>
                <w:sz w:val="19"/>
                <w:szCs w:val="19"/>
                <w:lang w:eastAsia="en-AU"/>
              </w:rPr>
            </w:pPr>
            <w:r w:rsidRPr="00C10F2D">
              <w:rPr>
                <w:rFonts w:eastAsiaTheme="minorEastAsia"/>
                <w:color w:val="000000"/>
                <w:sz w:val="19"/>
                <w:szCs w:val="19"/>
                <w:lang w:eastAsia="en-AU"/>
              </w:rPr>
              <w:t xml:space="preserve"> </w:t>
            </w:r>
          </w:p>
        </w:tc>
        <w:tc>
          <w:tcPr>
            <w:tcW w:w="847" w:type="dxa"/>
            <w:gridSpan w:val="2"/>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xml:space="preserve"> 360.4</w:t>
            </w:r>
          </w:p>
        </w:tc>
        <w:tc>
          <w:tcPr>
            <w:tcW w:w="848" w:type="dxa"/>
            <w:gridSpan w:val="4"/>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xml:space="preserve"> 508.2</w:t>
            </w:r>
          </w:p>
        </w:tc>
        <w:tc>
          <w:tcPr>
            <w:tcW w:w="850" w:type="dxa"/>
            <w:gridSpan w:val="7"/>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( 97.1)</w:t>
            </w:r>
          </w:p>
        </w:tc>
        <w:tc>
          <w:tcPr>
            <w:tcW w:w="849" w:type="dxa"/>
            <w:gridSpan w:val="6"/>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( 313.2)</w:t>
            </w:r>
          </w:p>
        </w:tc>
        <w:tc>
          <w:tcPr>
            <w:tcW w:w="850" w:type="dxa"/>
            <w:gridSpan w:val="4"/>
            <w:tcBorders>
              <w:top w:val="single" w:sz="6" w:space="0" w:color="auto"/>
              <w:left w:val="nil"/>
              <w:bottom w:val="single" w:sz="12" w:space="0" w:color="auto"/>
              <w:right w:val="nil"/>
            </w:tcBorders>
          </w:tcPr>
          <w:p w:rsidR="00F87646" w:rsidRPr="00C10F2D" w:rsidRDefault="00F87646" w:rsidP="00885307">
            <w:pPr>
              <w:pStyle w:val="TableofFigures"/>
              <w:rPr>
                <w:rFonts w:eastAsiaTheme="minorEastAsia"/>
                <w:b/>
                <w:bCs/>
                <w:color w:val="000000"/>
                <w:sz w:val="19"/>
                <w:szCs w:val="19"/>
                <w:lang w:eastAsia="en-AU"/>
              </w:rPr>
            </w:pPr>
            <w:r w:rsidRPr="00C10F2D">
              <w:rPr>
                <w:rFonts w:eastAsiaTheme="minorEastAsia"/>
                <w:b/>
                <w:bCs/>
                <w:color w:val="000000"/>
                <w:sz w:val="19"/>
                <w:szCs w:val="19"/>
                <w:lang w:eastAsia="en-AU"/>
              </w:rPr>
              <w:t xml:space="preserve"> 188.3</w:t>
            </w:r>
          </w:p>
        </w:tc>
      </w:tr>
    </w:tbl>
    <w:p w:rsidR="00F87646" w:rsidRPr="00C10F2D" w:rsidRDefault="00F87646" w:rsidP="00C10F2D">
      <w:pPr>
        <w:pStyle w:val="Source"/>
      </w:pPr>
      <w:r>
        <w:t>The accompanying notes form part of these estimated financial statements</w:t>
      </w:r>
    </w:p>
    <w:p w:rsidR="00F87646" w:rsidRDefault="00F87646" w:rsidP="00406137">
      <w:pPr>
        <w:pStyle w:val="Source"/>
      </w:pPr>
    </w:p>
    <w:p w:rsidR="00F87646" w:rsidRDefault="00F87646">
      <w:pPr>
        <w:spacing w:after="0"/>
        <w:rPr>
          <w:rFonts w:ascii="Calibri" w:hAnsi="Calibri"/>
          <w:b/>
        </w:rPr>
      </w:pPr>
      <w:r>
        <w:br w:type="page"/>
      </w:r>
    </w:p>
    <w:p w:rsidR="00F87646" w:rsidRDefault="00F87646" w:rsidP="005E2118">
      <w:pPr>
        <w:pStyle w:val="Tableheading"/>
      </w:pPr>
      <w:r>
        <w:lastRenderedPageBreak/>
        <w:t>Table 3.2</w:t>
      </w:r>
      <w:r w:rsidRPr="001F0A68">
        <w:t xml:space="preserve"> </w:t>
      </w:r>
      <w:r>
        <w:tab/>
        <w:t xml:space="preserve">Estimated general government sector </w:t>
      </w:r>
      <w:r w:rsidRPr="001F0A68">
        <w:t>balance sheet as at 30 June</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534"/>
        <w:gridCol w:w="630"/>
        <w:gridCol w:w="922"/>
        <w:gridCol w:w="922"/>
        <w:gridCol w:w="923"/>
        <w:gridCol w:w="922"/>
        <w:gridCol w:w="923"/>
      </w:tblGrid>
      <w:tr w:rsidR="00F87646" w:rsidRPr="00885307" w:rsidTr="00885307">
        <w:tc>
          <w:tcPr>
            <w:tcW w:w="253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630" w:type="dxa"/>
            <w:tcBorders>
              <w:top w:val="single" w:sz="4" w:space="0" w:color="auto"/>
              <w:left w:val="nil"/>
              <w:bottom w:val="nil"/>
              <w:right w:val="nil"/>
            </w:tcBorders>
            <w:shd w:val="clear" w:color="auto" w:fill="000000"/>
          </w:tcPr>
          <w:p w:rsidR="00F87646" w:rsidRPr="00885307" w:rsidRDefault="00F87646" w:rsidP="00885307">
            <w:pPr>
              <w:pStyle w:val="Tabletextheadingcentred"/>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253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 xml:space="preserve"> </w:t>
            </w:r>
          </w:p>
        </w:tc>
        <w:tc>
          <w:tcPr>
            <w:tcW w:w="630" w:type="dxa"/>
            <w:tcBorders>
              <w:top w:val="nil"/>
              <w:left w:val="nil"/>
              <w:bottom w:val="single" w:sz="4" w:space="0" w:color="auto"/>
              <w:right w:val="nil"/>
            </w:tcBorders>
            <w:shd w:val="clear" w:color="auto" w:fill="000000"/>
          </w:tcPr>
          <w:p w:rsidR="00F87646" w:rsidRPr="00885307" w:rsidRDefault="00F87646" w:rsidP="00885307">
            <w:pPr>
              <w:pStyle w:val="Tabletextheadingcentred"/>
              <w:rPr>
                <w:rFonts w:eastAsiaTheme="minorEastAsia"/>
                <w:lang w:eastAsia="en-AU"/>
              </w:rPr>
            </w:pPr>
            <w:r w:rsidRPr="00885307">
              <w:rPr>
                <w:rFonts w:eastAsiaTheme="minorEastAsia"/>
                <w:lang w:eastAsia="en-AU"/>
              </w:rPr>
              <w:t>Notes</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vertAlign w:val="superscript"/>
                <w:lang w:eastAsia="en-AU"/>
              </w:rPr>
            </w:pPr>
            <w:r w:rsidRPr="00885307">
              <w:rPr>
                <w:rFonts w:eastAsiaTheme="minorEastAsia"/>
                <w:lang w:eastAsia="en-AU"/>
              </w:rPr>
              <w:t>budget</w:t>
            </w:r>
            <w:r w:rsidRPr="00885307">
              <w:rPr>
                <w:rFonts w:eastAsiaTheme="minorEastAsia"/>
                <w:vertAlign w:val="superscript"/>
                <w:lang w:eastAsia="en-AU"/>
              </w:rPr>
              <w:t xml:space="preserve"> (a)</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534"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Assets</w:t>
            </w:r>
          </w:p>
        </w:tc>
        <w:tc>
          <w:tcPr>
            <w:tcW w:w="630" w:type="dxa"/>
            <w:tcBorders>
              <w:top w:val="single" w:sz="4" w:space="0" w:color="auto"/>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Financial assets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Cash and deposits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4 654.1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4 662.6</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4 928.3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5 229.8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5 575.9</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Advances paid</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16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4 537.7</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4 563.8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4 519.5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4 482.1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4 435.2</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Receivables </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4 861.3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5 055.3</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4 879.6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4 874.8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4 946.6</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Investments, loans and placements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16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3 140.3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3 102.1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3 198.5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3 318.4</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3 444.5</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Investments accounted for using equity method</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44.1</w:t>
            </w:r>
          </w:p>
        </w:tc>
      </w:tr>
      <w:tr w:rsidR="00F87646" w:rsidRPr="00885307" w:rsidTr="00885307">
        <w:tc>
          <w:tcPr>
            <w:tcW w:w="2534" w:type="dxa"/>
            <w:tcBorders>
              <w:top w:val="nil"/>
              <w:left w:val="nil"/>
              <w:bottom w:val="single" w:sz="6"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Investments in other sector entities</w:t>
            </w:r>
          </w:p>
        </w:tc>
        <w:tc>
          <w:tcPr>
            <w:tcW w:w="630" w:type="dxa"/>
            <w:tcBorders>
              <w:top w:val="nil"/>
              <w:left w:val="nil"/>
              <w:bottom w:val="single" w:sz="6"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14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81 013.8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80 287.5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81 149.5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81 709.4</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82 653.0</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financial assets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98 251.3</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97 715.4</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98 719.6</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99 658.6</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101 099.4</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Non</w:t>
            </w:r>
            <w:r>
              <w:rPr>
                <w:rFonts w:eastAsiaTheme="minorEastAsia"/>
                <w:b/>
                <w:bCs/>
                <w:color w:val="000000"/>
                <w:lang w:eastAsia="en-AU"/>
              </w:rPr>
              <w:noBreakHyphen/>
            </w:r>
            <w:r w:rsidRPr="00885307">
              <w:rPr>
                <w:rFonts w:eastAsiaTheme="minorEastAsia"/>
                <w:b/>
                <w:bCs/>
                <w:color w:val="000000"/>
                <w:lang w:eastAsia="en-AU"/>
              </w:rPr>
              <w:t>financial assets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Inventories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175.1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170.6</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174.2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177.8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182.3</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Non</w:t>
            </w:r>
            <w:r>
              <w:rPr>
                <w:rFonts w:eastAsiaTheme="minorEastAsia"/>
                <w:color w:val="000000"/>
                <w:lang w:eastAsia="en-AU"/>
              </w:rPr>
              <w:noBreakHyphen/>
            </w:r>
            <w:r w:rsidRPr="00885307">
              <w:rPr>
                <w:rFonts w:eastAsiaTheme="minorEastAsia"/>
                <w:color w:val="000000"/>
                <w:lang w:eastAsia="en-AU"/>
              </w:rPr>
              <w:t>financial assets held for sale</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142.5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139.2</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Land, buildings, infrastructure, plant and equipment</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17, 18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108 299.7</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107 867.5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110 807.2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115 776.5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123 230.7</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non</w:t>
            </w:r>
            <w:r>
              <w:rPr>
                <w:rFonts w:eastAsiaTheme="minorEastAsia"/>
                <w:color w:val="000000"/>
                <w:lang w:eastAsia="en-AU"/>
              </w:rPr>
              <w:noBreakHyphen/>
            </w:r>
            <w:r w:rsidRPr="00885307">
              <w:rPr>
                <w:rFonts w:eastAsiaTheme="minorEastAsia"/>
                <w:color w:val="000000"/>
                <w:lang w:eastAsia="en-AU"/>
              </w:rPr>
              <w:t>financial assets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1 190.5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1 172.8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1 113.1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1 084.7</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962.8</w:t>
            </w:r>
          </w:p>
        </w:tc>
      </w:tr>
      <w:tr w:rsidR="00F87646" w:rsidRPr="00885307" w:rsidTr="00885307">
        <w:tc>
          <w:tcPr>
            <w:tcW w:w="253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non</w:t>
            </w:r>
            <w:r>
              <w:rPr>
                <w:rFonts w:eastAsiaTheme="minorEastAsia"/>
                <w:b/>
                <w:bCs/>
                <w:color w:val="000000"/>
                <w:lang w:eastAsia="en-AU"/>
              </w:rPr>
              <w:noBreakHyphen/>
            </w:r>
            <w:r w:rsidRPr="00885307">
              <w:rPr>
                <w:rFonts w:eastAsiaTheme="minorEastAsia"/>
                <w:b/>
                <w:bCs/>
                <w:color w:val="000000"/>
                <w:lang w:eastAsia="en-AU"/>
              </w:rPr>
              <w:t>financial assets</w:t>
            </w:r>
          </w:p>
        </w:tc>
        <w:tc>
          <w:tcPr>
            <w:tcW w:w="630" w:type="dxa"/>
            <w:tcBorders>
              <w:top w:val="single" w:sz="6" w:space="0" w:color="auto"/>
              <w:left w:val="nil"/>
              <w:bottom w:val="single" w:sz="6"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109 807.8</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109 350.1</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112 233.8</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117 178.1</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124 514.9</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assets</w:t>
            </w:r>
          </w:p>
        </w:tc>
        <w:tc>
          <w:tcPr>
            <w:tcW w:w="630" w:type="dxa"/>
            <w:tcBorders>
              <w:top w:val="single" w:sz="6" w:space="0" w:color="auto"/>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19(d)</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208 059.1</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207 065.5</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210 953.4</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216 836.7</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225 614.2</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Liabilities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Deposits held and advances received</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426.4</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426.1</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Payables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20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5 207.0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5 742.9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5 610.0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5 508.9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5 370.2</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Borrowings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21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34 933.3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33 670.9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29 784.4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31 214.0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32 626.9</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Employee benefits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22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5 535.2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5 527.8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5 778.2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6 027.8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6 280.4</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Superannuation</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7</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25 377.9</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26 107.4</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25 635.8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24 997.4</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24 313.9</w:t>
            </w:r>
          </w:p>
        </w:tc>
      </w:tr>
      <w:tr w:rsidR="00F87646" w:rsidRPr="00885307" w:rsidTr="00885307">
        <w:tc>
          <w:tcPr>
            <w:tcW w:w="2534" w:type="dxa"/>
            <w:tcBorders>
              <w:top w:val="nil"/>
              <w:left w:val="nil"/>
              <w:bottom w:val="single" w:sz="6"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provisions</w:t>
            </w:r>
          </w:p>
        </w:tc>
        <w:tc>
          <w:tcPr>
            <w:tcW w:w="630" w:type="dxa"/>
            <w:tcBorders>
              <w:top w:val="nil"/>
              <w:left w:val="nil"/>
              <w:bottom w:val="single" w:sz="6"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649.1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649.6</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670.5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694.9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720.7</w:t>
            </w:r>
          </w:p>
        </w:tc>
      </w:tr>
      <w:tr w:rsidR="00F87646" w:rsidRPr="00885307" w:rsidTr="00885307">
        <w:tc>
          <w:tcPr>
            <w:tcW w:w="253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liabilities</w:t>
            </w:r>
          </w:p>
        </w:tc>
        <w:tc>
          <w:tcPr>
            <w:tcW w:w="630" w:type="dxa"/>
            <w:tcBorders>
              <w:top w:val="single" w:sz="6" w:space="0" w:color="auto"/>
              <w:left w:val="nil"/>
              <w:bottom w:val="single" w:sz="6"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72 128.8</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72 124.9</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67 905.2</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68 869.2</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69 738.2</w:t>
            </w:r>
          </w:p>
        </w:tc>
      </w:tr>
      <w:tr w:rsidR="00F87646" w:rsidRPr="00885307" w:rsidTr="00885307">
        <w:tc>
          <w:tcPr>
            <w:tcW w:w="2534" w:type="dxa"/>
            <w:tcBorders>
              <w:top w:val="nil"/>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Net assets</w:t>
            </w:r>
          </w:p>
        </w:tc>
        <w:tc>
          <w:tcPr>
            <w:tcW w:w="630" w:type="dxa"/>
            <w:tcBorders>
              <w:top w:val="nil"/>
              <w:left w:val="nil"/>
              <w:bottom w:val="single" w:sz="12"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135 930.3</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134 940.6</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143 048.2</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147 967.5</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155 876.0</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Accumulated surplus/(deficit)</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46 066.5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45 110.9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52 348.1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55 460.9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58 855.4</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Reserves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23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89 813.8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89 779.6</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90 650.0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92 456.5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96 970.6</w:t>
            </w:r>
          </w:p>
        </w:tc>
      </w:tr>
      <w:tr w:rsidR="00F87646" w:rsidRPr="00885307" w:rsidTr="00885307">
        <w:tc>
          <w:tcPr>
            <w:tcW w:w="2534" w:type="dxa"/>
            <w:tcBorders>
              <w:top w:val="nil"/>
              <w:left w:val="nil"/>
              <w:bottom w:val="single" w:sz="6"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Non</w:t>
            </w:r>
            <w:r>
              <w:rPr>
                <w:rFonts w:eastAsiaTheme="minorEastAsia"/>
                <w:color w:val="000000"/>
                <w:lang w:eastAsia="en-AU"/>
              </w:rPr>
              <w:noBreakHyphen/>
            </w:r>
            <w:r w:rsidRPr="00885307">
              <w:rPr>
                <w:rFonts w:eastAsiaTheme="minorEastAsia"/>
                <w:color w:val="000000"/>
                <w:lang w:eastAsia="en-AU"/>
              </w:rPr>
              <w:t>controlling interest</w:t>
            </w:r>
          </w:p>
        </w:tc>
        <w:tc>
          <w:tcPr>
            <w:tcW w:w="630" w:type="dxa"/>
            <w:tcBorders>
              <w:top w:val="nil"/>
              <w:left w:val="nil"/>
              <w:bottom w:val="single" w:sz="6"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r>
      <w:tr w:rsidR="00F87646" w:rsidRPr="00885307" w:rsidTr="00885307">
        <w:tc>
          <w:tcPr>
            <w:tcW w:w="253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Net worth</w:t>
            </w:r>
          </w:p>
        </w:tc>
        <w:tc>
          <w:tcPr>
            <w:tcW w:w="630" w:type="dxa"/>
            <w:tcBorders>
              <w:top w:val="single" w:sz="6" w:space="0" w:color="auto"/>
              <w:left w:val="nil"/>
              <w:bottom w:val="single" w:sz="6"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135 930.3</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134 940.6</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143 048.2</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147 967.5</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155 876.0</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FISCAL AGGREGATES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Net financial worth </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26 122.6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25 590.5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30 814.4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30 789.3</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31 361.1</w:t>
            </w:r>
          </w:p>
        </w:tc>
      </w:tr>
      <w:tr w:rsidR="00F87646" w:rsidRPr="00885307" w:rsidTr="00885307">
        <w:tc>
          <w:tcPr>
            <w:tcW w:w="253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Net financial liabilities</w:t>
            </w:r>
          </w:p>
        </w:tc>
        <w:tc>
          <w:tcPr>
            <w:tcW w:w="630" w:type="dxa"/>
            <w:tcBorders>
              <w:top w:val="nil"/>
              <w:left w:val="nil"/>
              <w:bottom w:val="nil"/>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54 891.3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54 697.1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50 335.1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50 920.1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51 291.9</w:t>
            </w:r>
          </w:p>
        </w:tc>
      </w:tr>
      <w:tr w:rsidR="00F87646" w:rsidRPr="00885307" w:rsidTr="00885307">
        <w:tc>
          <w:tcPr>
            <w:tcW w:w="2534" w:type="dxa"/>
            <w:tcBorders>
              <w:top w:val="nil"/>
              <w:left w:val="nil"/>
              <w:bottom w:val="single" w:sz="12"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Net debt</w:t>
            </w:r>
          </w:p>
        </w:tc>
        <w:tc>
          <w:tcPr>
            <w:tcW w:w="630" w:type="dxa"/>
            <w:tcBorders>
              <w:top w:val="nil"/>
              <w:left w:val="nil"/>
              <w:bottom w:val="single" w:sz="12" w:space="0" w:color="auto"/>
              <w:right w:val="nil"/>
            </w:tcBorders>
          </w:tcPr>
          <w:p w:rsidR="00F87646" w:rsidRPr="00885307" w:rsidRDefault="00F87646" w:rsidP="00885307">
            <w:pPr>
              <w:pStyle w:val="Tabletextcentred"/>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23 027.6</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21 768.8</w:t>
            </w:r>
          </w:p>
        </w:tc>
        <w:tc>
          <w:tcPr>
            <w:tcW w:w="923" w:type="dxa"/>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17 564.3</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18 609.9</w:t>
            </w:r>
          </w:p>
        </w:tc>
        <w:tc>
          <w:tcPr>
            <w:tcW w:w="923" w:type="dxa"/>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19 597.5</w:t>
            </w:r>
          </w:p>
        </w:tc>
      </w:tr>
    </w:tbl>
    <w:p w:rsidR="00F87646" w:rsidRDefault="00F87646" w:rsidP="00D07D58">
      <w:pPr>
        <w:pStyle w:val="Source"/>
      </w:pPr>
      <w:r>
        <w:t>The accompanying notes form part of these estimated financial statements</w:t>
      </w:r>
    </w:p>
    <w:p w:rsidR="00F87646" w:rsidRDefault="00F87646" w:rsidP="00132BD7">
      <w:pPr>
        <w:pStyle w:val="Notes"/>
      </w:pPr>
      <w:r>
        <w:t>Note:</w:t>
      </w:r>
    </w:p>
    <w:p w:rsidR="00F87646" w:rsidRDefault="00F87646" w:rsidP="00132BD7">
      <w:pPr>
        <w:pStyle w:val="Notes"/>
      </w:pPr>
      <w:r>
        <w:t>(a)</w:t>
      </w:r>
      <w:r>
        <w:tab/>
        <w:t>Balances represent actual opening balances at 1 July 2014 plus 2014</w:t>
      </w:r>
      <w:r>
        <w:noBreakHyphen/>
        <w:t>15 budgeted movements.</w:t>
      </w:r>
    </w:p>
    <w:p w:rsidR="00F87646" w:rsidRDefault="00F87646" w:rsidP="005E2118">
      <w:pPr>
        <w:pStyle w:val="Tableheading"/>
      </w:pPr>
      <w:r>
        <w:lastRenderedPageBreak/>
        <w:t>Table 3.3</w:t>
      </w:r>
      <w:r w:rsidRPr="001F0A68">
        <w:t xml:space="preserve"> </w:t>
      </w:r>
      <w:r>
        <w:tab/>
        <w:t>Estimated general government sector</w:t>
      </w:r>
      <w:r w:rsidRPr="002D292F">
        <w:t xml:space="preserve"> cash flow statement for the financial year ended 30 June</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346"/>
        <w:gridCol w:w="65"/>
        <w:gridCol w:w="114"/>
        <w:gridCol w:w="449"/>
        <w:gridCol w:w="45"/>
        <w:gridCol w:w="45"/>
        <w:gridCol w:w="90"/>
        <w:gridCol w:w="90"/>
        <w:gridCol w:w="601"/>
        <w:gridCol w:w="75"/>
        <w:gridCol w:w="10"/>
        <w:gridCol w:w="65"/>
        <w:gridCol w:w="631"/>
        <w:gridCol w:w="60"/>
        <w:gridCol w:w="60"/>
        <w:gridCol w:w="140"/>
        <w:gridCol w:w="522"/>
        <w:gridCol w:w="45"/>
        <w:gridCol w:w="45"/>
        <w:gridCol w:w="345"/>
        <w:gridCol w:w="346"/>
        <w:gridCol w:w="30"/>
        <w:gridCol w:w="30"/>
        <w:gridCol w:w="550"/>
        <w:gridCol w:w="172"/>
        <w:gridCol w:w="15"/>
        <w:gridCol w:w="15"/>
        <w:gridCol w:w="755"/>
        <w:gridCol w:w="20"/>
      </w:tblGrid>
      <w:tr w:rsidR="00F87646" w:rsidRPr="00885307" w:rsidTr="00665F27">
        <w:trPr>
          <w:gridAfter w:val="1"/>
          <w:wAfter w:w="20" w:type="dxa"/>
          <w:tblHeader/>
        </w:trPr>
        <w:tc>
          <w:tcPr>
            <w:tcW w:w="2420" w:type="dxa"/>
            <w:gridSpan w:val="2"/>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564"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centred"/>
              <w:rPr>
                <w:rFonts w:eastAsiaTheme="minorEastAsia"/>
                <w:lang w:eastAsia="en-AU"/>
              </w:rPr>
            </w:pPr>
            <w:r w:rsidRPr="00885307">
              <w:rPr>
                <w:rFonts w:eastAsiaTheme="minorEastAsia"/>
                <w:lang w:eastAsia="en-AU"/>
              </w:rPr>
              <w:t xml:space="preserve">  </w:t>
            </w:r>
          </w:p>
        </w:tc>
        <w:tc>
          <w:tcPr>
            <w:tcW w:w="958" w:type="dxa"/>
            <w:gridSpan w:val="7"/>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58" w:type="dxa"/>
            <w:gridSpan w:val="5"/>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59" w:type="dxa"/>
            <w:gridSpan w:val="4"/>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58" w:type="dxa"/>
            <w:gridSpan w:val="4"/>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59" w:type="dxa"/>
            <w:gridSpan w:val="4"/>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665F27">
        <w:trPr>
          <w:gridAfter w:val="1"/>
          <w:wAfter w:w="20" w:type="dxa"/>
          <w:tblHeader/>
        </w:trPr>
        <w:tc>
          <w:tcPr>
            <w:tcW w:w="2420" w:type="dxa"/>
            <w:gridSpan w:val="2"/>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i/>
                <w:iCs/>
                <w:color w:val="FFFFFF"/>
                <w:lang w:eastAsia="en-AU"/>
              </w:rPr>
            </w:pPr>
            <w:r w:rsidRPr="00885307">
              <w:rPr>
                <w:rFonts w:eastAsiaTheme="minorEastAsia"/>
                <w:i/>
                <w:iCs/>
                <w:color w:val="FFFFFF"/>
                <w:lang w:eastAsia="en-AU"/>
              </w:rPr>
              <w:t xml:space="preserve">  </w:t>
            </w:r>
          </w:p>
        </w:tc>
        <w:tc>
          <w:tcPr>
            <w:tcW w:w="564"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centred"/>
              <w:rPr>
                <w:rFonts w:eastAsiaTheme="minorEastAsia"/>
                <w:iCs/>
                <w:color w:val="FFFFFF"/>
                <w:lang w:eastAsia="en-AU"/>
              </w:rPr>
            </w:pPr>
            <w:r w:rsidRPr="00885307">
              <w:rPr>
                <w:rFonts w:eastAsiaTheme="minorEastAsia"/>
                <w:iCs/>
                <w:color w:val="FFFFFF"/>
                <w:lang w:eastAsia="en-AU"/>
              </w:rPr>
              <w:t>Notes</w:t>
            </w:r>
          </w:p>
        </w:tc>
        <w:tc>
          <w:tcPr>
            <w:tcW w:w="958" w:type="dxa"/>
            <w:gridSpan w:val="7"/>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58" w:type="dxa"/>
            <w:gridSpan w:val="5"/>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59" w:type="dxa"/>
            <w:gridSpan w:val="4"/>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58" w:type="dxa"/>
            <w:gridSpan w:val="4"/>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59" w:type="dxa"/>
            <w:gridSpan w:val="4"/>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rPr>
          <w:gridAfter w:val="1"/>
          <w:wAfter w:w="20" w:type="dxa"/>
        </w:trPr>
        <w:tc>
          <w:tcPr>
            <w:tcW w:w="3164" w:type="dxa"/>
            <w:gridSpan w:val="7"/>
            <w:tcBorders>
              <w:top w:val="single" w:sz="4"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Cash flows from operating activities</w:t>
            </w:r>
          </w:p>
        </w:tc>
        <w:tc>
          <w:tcPr>
            <w:tcW w:w="768" w:type="dxa"/>
            <w:gridSpan w:val="3"/>
            <w:tcBorders>
              <w:top w:val="single" w:sz="4" w:space="0" w:color="auto"/>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768" w:type="dxa"/>
            <w:gridSpan w:val="4"/>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68" w:type="dxa"/>
            <w:gridSpan w:val="4"/>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68" w:type="dxa"/>
            <w:gridSpan w:val="4"/>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68" w:type="dxa"/>
            <w:gridSpan w:val="4"/>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72"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Receipts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Taxes received</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18 043.9</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18 077.2</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18 694.1</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19 613.7</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20 358.8</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Grants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24 848.0</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24 475.1</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25 202.7</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25 914.7</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26 975.8</w:t>
            </w:r>
          </w:p>
        </w:tc>
      </w:tr>
      <w:tr w:rsidR="00F87646" w:rsidRPr="00885307" w:rsidTr="00885307">
        <w:trPr>
          <w:gridAfter w:val="1"/>
          <w:wAfter w:w="20" w:type="dxa"/>
        </w:trPr>
        <w:tc>
          <w:tcPr>
            <w:tcW w:w="2534" w:type="dxa"/>
            <w:gridSpan w:val="3"/>
            <w:tcBorders>
              <w:top w:val="nil"/>
              <w:left w:val="nil"/>
              <w:bottom w:val="nil"/>
              <w:right w:val="nil"/>
            </w:tcBorders>
          </w:tcPr>
          <w:p w:rsidR="00F87646" w:rsidRPr="00885307" w:rsidRDefault="00F87646" w:rsidP="00885307">
            <w:pPr>
              <w:pStyle w:val="Tabletext"/>
              <w:rPr>
                <w:rFonts w:eastAsiaTheme="minorEastAsia"/>
                <w:vertAlign w:val="superscript"/>
                <w:lang w:eastAsia="en-AU"/>
              </w:rPr>
            </w:pPr>
            <w:r w:rsidRPr="00885307">
              <w:rPr>
                <w:rFonts w:eastAsiaTheme="minorEastAsia"/>
                <w:lang w:eastAsia="en-AU"/>
              </w:rPr>
              <w:t xml:space="preserve">Sales of goods and services </w:t>
            </w:r>
            <w:r w:rsidRPr="00885307">
              <w:rPr>
                <w:rFonts w:eastAsiaTheme="minorEastAsia"/>
                <w:vertAlign w:val="superscript"/>
                <w:lang w:eastAsia="en-AU"/>
              </w:rPr>
              <w:t>(a)</w:t>
            </w:r>
          </w:p>
        </w:tc>
        <w:tc>
          <w:tcPr>
            <w:tcW w:w="450" w:type="dxa"/>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7 094.1</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7 234.0</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7 619.7</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7 662.6</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7 696.9</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Interest received</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821.7</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813.9</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830.7</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846.8</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861.4</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Dividends and income tax equivalent and rate equivalent receipts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581.1</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1 087.9</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887.6</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868.5</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1 124.3</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Other receipts</w:t>
            </w:r>
          </w:p>
        </w:tc>
        <w:tc>
          <w:tcPr>
            <w:tcW w:w="564" w:type="dxa"/>
            <w:gridSpan w:val="2"/>
            <w:tcBorders>
              <w:top w:val="nil"/>
              <w:left w:val="nil"/>
              <w:bottom w:val="single" w:sz="6"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1 796.6</w:t>
            </w:r>
          </w:p>
        </w:tc>
        <w:tc>
          <w:tcPr>
            <w:tcW w:w="958" w:type="dxa"/>
            <w:gridSpan w:val="5"/>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1 895.9</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1 688.3</w:t>
            </w:r>
          </w:p>
        </w:tc>
        <w:tc>
          <w:tcPr>
            <w:tcW w:w="958"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1 745.0</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1 674.7</w:t>
            </w:r>
          </w:p>
        </w:tc>
      </w:tr>
      <w:tr w:rsidR="00F87646" w:rsidRPr="00885307" w:rsidTr="00885307">
        <w:trPr>
          <w:gridAfter w:val="1"/>
          <w:wAfter w:w="20" w:type="dxa"/>
        </w:trPr>
        <w:tc>
          <w:tcPr>
            <w:tcW w:w="2420" w:type="dxa"/>
            <w:gridSpan w:val="2"/>
            <w:tcBorders>
              <w:top w:val="single" w:sz="6"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receipts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53 185.4</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53 584.0</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54 923.1</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56 651.4</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58 691.8</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Payments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Payments for employees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(18 212.0)</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(18 274.3)</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(19 299.9)</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(19 854.2)</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(20 624.7)</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Superannuation</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(2 691.2)</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(2 703.1)</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(2 741.6)</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(2 894.9)</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(2 920.9)</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Interest paid</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(2 155.3)</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(2 075.8)</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(1 975.9)</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(1 949.0)</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(1 983.5)</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Grants and subsidies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(8 331.7)</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(8 277.8)</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(8 576.3)</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(9 000.3)</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(9 082.3)</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vertAlign w:val="superscript"/>
                <w:lang w:eastAsia="en-AU"/>
              </w:rPr>
            </w:pPr>
            <w:r w:rsidRPr="00885307">
              <w:rPr>
                <w:rFonts w:eastAsiaTheme="minorEastAsia"/>
                <w:lang w:eastAsia="en-AU"/>
              </w:rPr>
              <w:t xml:space="preserve">Goods and services </w:t>
            </w:r>
            <w:r w:rsidRPr="00885307">
              <w:rPr>
                <w:rFonts w:eastAsiaTheme="minorEastAsia"/>
                <w:vertAlign w:val="superscript"/>
                <w:lang w:eastAsia="en-AU"/>
              </w:rPr>
              <w:t>(a)</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(17 285.6)</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(17 614.9)</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(16 633.4)</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(16 922.1)</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(17 614.7)</w:t>
            </w:r>
          </w:p>
        </w:tc>
      </w:tr>
      <w:tr w:rsidR="00F87646" w:rsidRPr="00885307" w:rsidTr="00885307">
        <w:trPr>
          <w:gridAfter w:val="1"/>
          <w:wAfter w:w="20" w:type="dxa"/>
        </w:trPr>
        <w:tc>
          <w:tcPr>
            <w:tcW w:w="2420" w:type="dxa"/>
            <w:gridSpan w:val="2"/>
            <w:tcBorders>
              <w:top w:val="nil"/>
              <w:left w:val="nil"/>
              <w:bottom w:val="single" w:sz="6" w:space="0" w:color="auto"/>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Other payments</w:t>
            </w:r>
          </w:p>
        </w:tc>
        <w:tc>
          <w:tcPr>
            <w:tcW w:w="564" w:type="dxa"/>
            <w:gridSpan w:val="2"/>
            <w:tcBorders>
              <w:top w:val="nil"/>
              <w:left w:val="nil"/>
              <w:bottom w:val="single" w:sz="6"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( 670.1)</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( 671.5)</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( 659.8)</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( 694.6)</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( 734.4)</w:t>
            </w:r>
          </w:p>
        </w:tc>
      </w:tr>
      <w:tr w:rsidR="00F87646" w:rsidRPr="00885307" w:rsidTr="00885307">
        <w:trPr>
          <w:gridAfter w:val="1"/>
          <w:wAfter w:w="20" w:type="dxa"/>
        </w:trPr>
        <w:tc>
          <w:tcPr>
            <w:tcW w:w="2420" w:type="dxa"/>
            <w:gridSpan w:val="2"/>
            <w:tcBorders>
              <w:top w:val="nil"/>
              <w:left w:val="nil"/>
              <w:bottom w:val="single" w:sz="6"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payments</w:t>
            </w:r>
          </w:p>
        </w:tc>
        <w:tc>
          <w:tcPr>
            <w:tcW w:w="564" w:type="dxa"/>
            <w:gridSpan w:val="2"/>
            <w:tcBorders>
              <w:top w:val="nil"/>
              <w:left w:val="nil"/>
              <w:bottom w:val="single" w:sz="6"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(49 345.9)</w:t>
            </w:r>
          </w:p>
        </w:tc>
        <w:tc>
          <w:tcPr>
            <w:tcW w:w="958" w:type="dxa"/>
            <w:gridSpan w:val="5"/>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(49 617.5)</w:t>
            </w:r>
          </w:p>
        </w:tc>
        <w:tc>
          <w:tcPr>
            <w:tcW w:w="959"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(49 886.9)</w:t>
            </w:r>
          </w:p>
        </w:tc>
        <w:tc>
          <w:tcPr>
            <w:tcW w:w="958"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(51 315.0)</w:t>
            </w:r>
          </w:p>
        </w:tc>
        <w:tc>
          <w:tcPr>
            <w:tcW w:w="959"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(52 960.4)</w:t>
            </w:r>
          </w:p>
        </w:tc>
      </w:tr>
      <w:tr w:rsidR="00F87646" w:rsidRPr="00885307" w:rsidTr="00885307">
        <w:trPr>
          <w:gridAfter w:val="1"/>
          <w:wAfter w:w="20" w:type="dxa"/>
        </w:trPr>
        <w:tc>
          <w:tcPr>
            <w:tcW w:w="2420" w:type="dxa"/>
            <w:gridSpan w:val="2"/>
            <w:tcBorders>
              <w:top w:val="single" w:sz="6"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Net cash flows from operating activities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3 839.5</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3 966.5</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5 036.3</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5 336.4</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5 731.4</w:t>
            </w:r>
          </w:p>
        </w:tc>
      </w:tr>
      <w:tr w:rsidR="00F87646" w:rsidRPr="00885307" w:rsidTr="00885307">
        <w:trPr>
          <w:gridAfter w:val="1"/>
          <w:wAfter w:w="20" w:type="dxa"/>
        </w:trPr>
        <w:tc>
          <w:tcPr>
            <w:tcW w:w="3074" w:type="dxa"/>
            <w:gridSpan w:val="6"/>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Cash flows from investing activities</w:t>
            </w:r>
          </w:p>
        </w:tc>
        <w:tc>
          <w:tcPr>
            <w:tcW w:w="783" w:type="dxa"/>
            <w:gridSpan w:val="3"/>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78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8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8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8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87"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20" w:type="dxa"/>
        </w:trPr>
        <w:tc>
          <w:tcPr>
            <w:tcW w:w="2354"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Purchases of non</w:t>
            </w:r>
            <w:r>
              <w:rPr>
                <w:rFonts w:eastAsiaTheme="minorEastAsia"/>
                <w:lang w:eastAsia="en-AU"/>
              </w:rPr>
              <w:noBreakHyphen/>
            </w:r>
            <w:r w:rsidRPr="00885307">
              <w:rPr>
                <w:rFonts w:eastAsiaTheme="minorEastAsia"/>
                <w:lang w:eastAsia="en-AU"/>
              </w:rPr>
              <w:t>financial assets</w:t>
            </w:r>
          </w:p>
        </w:tc>
        <w:tc>
          <w:tcPr>
            <w:tcW w:w="675" w:type="dxa"/>
            <w:gridSpan w:val="4"/>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19a, b</w:t>
            </w:r>
          </w:p>
        </w:tc>
        <w:tc>
          <w:tcPr>
            <w:tcW w:w="913" w:type="dxa"/>
            <w:gridSpan w:val="6"/>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(5 312.4)</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(4 761.6)</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(5 063.4)</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(5 873.7)</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(5 845.8)</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Sales of non</w:t>
            </w:r>
            <w:r>
              <w:rPr>
                <w:rFonts w:eastAsiaTheme="minorEastAsia"/>
                <w:lang w:eastAsia="en-AU"/>
              </w:rPr>
              <w:noBreakHyphen/>
            </w:r>
            <w:r w:rsidRPr="00885307">
              <w:rPr>
                <w:rFonts w:eastAsiaTheme="minorEastAsia"/>
                <w:lang w:eastAsia="en-AU"/>
              </w:rPr>
              <w:t>financial assets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384.9</w:t>
            </w:r>
          </w:p>
        </w:tc>
        <w:tc>
          <w:tcPr>
            <w:tcW w:w="958" w:type="dxa"/>
            <w:gridSpan w:val="5"/>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395.2</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310.6</w:t>
            </w:r>
          </w:p>
        </w:tc>
        <w:tc>
          <w:tcPr>
            <w:tcW w:w="958"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472.6</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396.1</w:t>
            </w:r>
          </w:p>
        </w:tc>
      </w:tr>
      <w:tr w:rsidR="00F87646" w:rsidRPr="00885307" w:rsidTr="00885307">
        <w:trPr>
          <w:gridAfter w:val="1"/>
          <w:wAfter w:w="20" w:type="dxa"/>
        </w:trPr>
        <w:tc>
          <w:tcPr>
            <w:tcW w:w="2420" w:type="dxa"/>
            <w:gridSpan w:val="2"/>
            <w:tcBorders>
              <w:top w:val="single" w:sz="6" w:space="0" w:color="auto"/>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Cash flows from investments in non</w:t>
            </w:r>
            <w:r>
              <w:rPr>
                <w:rFonts w:eastAsiaTheme="minorEastAsia"/>
                <w:lang w:eastAsia="en-AU"/>
              </w:rPr>
              <w:noBreakHyphen/>
            </w:r>
            <w:r w:rsidRPr="00885307">
              <w:rPr>
                <w:rFonts w:eastAsiaTheme="minorEastAsia"/>
                <w:lang w:eastAsia="en-AU"/>
              </w:rPr>
              <w:t>financial assets</w:t>
            </w:r>
          </w:p>
        </w:tc>
        <w:tc>
          <w:tcPr>
            <w:tcW w:w="564" w:type="dxa"/>
            <w:gridSpan w:val="2"/>
            <w:tcBorders>
              <w:top w:val="single" w:sz="6" w:space="0" w:color="auto"/>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(4 927.5)</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(4 366.5)</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(4 752.8)</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(5 401.1)</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(5 449.7)</w:t>
            </w:r>
          </w:p>
        </w:tc>
      </w:tr>
      <w:tr w:rsidR="00F87646" w:rsidRPr="00885307" w:rsidTr="00885307">
        <w:trPr>
          <w:gridAfter w:val="1"/>
          <w:wAfter w:w="20" w:type="dxa"/>
        </w:trPr>
        <w:tc>
          <w:tcPr>
            <w:tcW w:w="2420" w:type="dxa"/>
            <w:gridSpan w:val="2"/>
            <w:tcBorders>
              <w:top w:val="nil"/>
              <w:left w:val="nil"/>
              <w:bottom w:val="single" w:sz="6" w:space="0" w:color="auto"/>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Net cash flows from investments in financial assets for policy purposes</w:t>
            </w:r>
          </w:p>
        </w:tc>
        <w:tc>
          <w:tcPr>
            <w:tcW w:w="564" w:type="dxa"/>
            <w:gridSpan w:val="2"/>
            <w:tcBorders>
              <w:top w:val="nil"/>
              <w:left w:val="nil"/>
              <w:bottom w:val="single" w:sz="6"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( 676.8)</w:t>
            </w:r>
          </w:p>
        </w:tc>
        <w:tc>
          <w:tcPr>
            <w:tcW w:w="958" w:type="dxa"/>
            <w:gridSpan w:val="5"/>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( 125.4)</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5 002.2</w:t>
            </w:r>
          </w:p>
        </w:tc>
        <w:tc>
          <w:tcPr>
            <w:tcW w:w="958"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( 65.5)</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( 163.5)</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b/>
                <w:bCs/>
                <w:vertAlign w:val="superscript"/>
                <w:lang w:eastAsia="en-AU"/>
              </w:rPr>
            </w:pPr>
            <w:r w:rsidRPr="00885307">
              <w:rPr>
                <w:rFonts w:eastAsiaTheme="minorEastAsia"/>
                <w:b/>
                <w:bCs/>
                <w:lang w:eastAsia="en-AU"/>
              </w:rPr>
              <w:t>Subtotal</w:t>
            </w:r>
            <w:r w:rsidRPr="00885307">
              <w:rPr>
                <w:rFonts w:eastAsiaTheme="minorEastAsia"/>
                <w:b/>
                <w:bCs/>
                <w:vertAlign w:val="superscript"/>
                <w:lang w:eastAsia="en-AU"/>
              </w:rPr>
              <w:t xml:space="preserve"> </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(5 604.3)</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(4 491.9)</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249.4</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(5 466.6)</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(5 613.3)</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Net cash flows from investments in financial assets for liquidity management purposes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( 17.7)</w:t>
            </w:r>
          </w:p>
        </w:tc>
        <w:tc>
          <w:tcPr>
            <w:tcW w:w="958" w:type="dxa"/>
            <w:gridSpan w:val="5"/>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13.6</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( 76.9)</w:t>
            </w:r>
          </w:p>
        </w:tc>
        <w:tc>
          <w:tcPr>
            <w:tcW w:w="958"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( 118.6)</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( 123.0)</w:t>
            </w:r>
          </w:p>
        </w:tc>
      </w:tr>
      <w:tr w:rsidR="00F87646" w:rsidRPr="00885307" w:rsidTr="00885307">
        <w:trPr>
          <w:gridAfter w:val="1"/>
          <w:wAfter w:w="20" w:type="dxa"/>
        </w:trPr>
        <w:tc>
          <w:tcPr>
            <w:tcW w:w="2420" w:type="dxa"/>
            <w:gridSpan w:val="2"/>
            <w:tcBorders>
              <w:top w:val="single" w:sz="6"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Net cash flows from investing activities</w:t>
            </w:r>
          </w:p>
        </w:tc>
        <w:tc>
          <w:tcPr>
            <w:tcW w:w="564" w:type="dxa"/>
            <w:gridSpan w:val="2"/>
            <w:tcBorders>
              <w:top w:val="single" w:sz="6" w:space="0" w:color="auto"/>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(5 622.0)</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(4 478.3)</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172.5</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(5 585.2)</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(5 736.2)</w:t>
            </w:r>
          </w:p>
        </w:tc>
      </w:tr>
      <w:tr w:rsidR="00F87646" w:rsidRPr="00885307" w:rsidTr="00885307">
        <w:tc>
          <w:tcPr>
            <w:tcW w:w="3254" w:type="dxa"/>
            <w:gridSpan w:val="8"/>
            <w:tcBorders>
              <w:top w:val="nil"/>
              <w:left w:val="nil"/>
              <w:bottom w:val="nil"/>
              <w:right w:val="nil"/>
            </w:tcBorders>
          </w:tcPr>
          <w:p w:rsidR="00F87646" w:rsidRPr="00885307" w:rsidRDefault="00F87646" w:rsidP="00885307">
            <w:pPr>
              <w:pStyle w:val="Tabletext"/>
              <w:pageBreakBefore/>
              <w:ind w:left="187" w:hanging="187"/>
              <w:rPr>
                <w:rFonts w:eastAsiaTheme="minorEastAsia"/>
                <w:b/>
                <w:bCs/>
                <w:lang w:eastAsia="en-AU"/>
              </w:rPr>
            </w:pPr>
            <w:r w:rsidRPr="00885307">
              <w:rPr>
                <w:rFonts w:eastAsiaTheme="minorEastAsia"/>
                <w:b/>
                <w:bCs/>
                <w:lang w:eastAsia="en-AU"/>
              </w:rPr>
              <w:lastRenderedPageBreak/>
              <w:t>Cash flows from financing activities</w:t>
            </w:r>
          </w:p>
        </w:tc>
        <w:tc>
          <w:tcPr>
            <w:tcW w:w="753" w:type="dxa"/>
            <w:gridSpan w:val="4"/>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75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75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75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5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5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Net borrowings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1 935.8</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673.6</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(4 942.9)</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550.4</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350.9</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Deposits received (net)</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( 0.1)</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( 0.1)</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( 0.1)</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( 0.1)</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( 0.1)</w:t>
            </w:r>
          </w:p>
        </w:tc>
      </w:tr>
      <w:tr w:rsidR="00F87646" w:rsidRPr="00885307" w:rsidTr="00885307">
        <w:trPr>
          <w:gridAfter w:val="1"/>
          <w:wAfter w:w="20" w:type="dxa"/>
        </w:trPr>
        <w:tc>
          <w:tcPr>
            <w:tcW w:w="2420" w:type="dxa"/>
            <w:gridSpan w:val="2"/>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Net cash flows from financing activities</w:t>
            </w:r>
          </w:p>
        </w:tc>
        <w:tc>
          <w:tcPr>
            <w:tcW w:w="564" w:type="dxa"/>
            <w:gridSpan w:val="2"/>
            <w:tcBorders>
              <w:top w:val="single" w:sz="6" w:space="0" w:color="auto"/>
              <w:left w:val="nil"/>
              <w:bottom w:val="single" w:sz="6"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1 935.7</w:t>
            </w:r>
          </w:p>
        </w:tc>
        <w:tc>
          <w:tcPr>
            <w:tcW w:w="958" w:type="dxa"/>
            <w:gridSpan w:val="5"/>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673.5</w:t>
            </w:r>
          </w:p>
        </w:tc>
        <w:tc>
          <w:tcPr>
            <w:tcW w:w="959"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(4 943.0)</w:t>
            </w:r>
          </w:p>
        </w:tc>
        <w:tc>
          <w:tcPr>
            <w:tcW w:w="958"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550.3</w:t>
            </w:r>
          </w:p>
        </w:tc>
        <w:tc>
          <w:tcPr>
            <w:tcW w:w="959"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350.9</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Net increase/(decrease) in cash and cash equivalents</w:t>
            </w:r>
          </w:p>
        </w:tc>
        <w:tc>
          <w:tcPr>
            <w:tcW w:w="564" w:type="dxa"/>
            <w:gridSpan w:val="2"/>
            <w:tcBorders>
              <w:top w:val="single" w:sz="6" w:space="0" w:color="auto"/>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153.2</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161.7</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265.8</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301.5</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346.1</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vertAlign w:val="superscript"/>
                <w:lang w:eastAsia="en-AU"/>
              </w:rPr>
            </w:pPr>
            <w:r w:rsidRPr="00885307">
              <w:rPr>
                <w:rFonts w:eastAsiaTheme="minorEastAsia"/>
                <w:lang w:eastAsia="en-AU"/>
              </w:rPr>
              <w:t xml:space="preserve">Cash and cash equivalents at beginning of reporting period </w:t>
            </w:r>
            <w:r w:rsidRPr="00885307">
              <w:rPr>
                <w:rFonts w:eastAsiaTheme="minorEastAsia"/>
                <w:vertAlign w:val="superscript"/>
                <w:lang w:eastAsia="en-AU"/>
              </w:rPr>
              <w:t>(b)</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4 500.9</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4 500.9</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4 662.6</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4 928.3</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5 229.8</w:t>
            </w:r>
          </w:p>
        </w:tc>
      </w:tr>
      <w:tr w:rsidR="00F87646" w:rsidRPr="00885307" w:rsidTr="00885307">
        <w:trPr>
          <w:gridAfter w:val="1"/>
          <w:wAfter w:w="20" w:type="dxa"/>
        </w:trPr>
        <w:tc>
          <w:tcPr>
            <w:tcW w:w="2420" w:type="dxa"/>
            <w:gridSpan w:val="2"/>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vertAlign w:val="superscript"/>
                <w:lang w:eastAsia="en-AU"/>
              </w:rPr>
            </w:pPr>
            <w:r w:rsidRPr="00885307">
              <w:rPr>
                <w:rFonts w:eastAsiaTheme="minorEastAsia"/>
                <w:b/>
                <w:bCs/>
                <w:lang w:eastAsia="en-AU"/>
              </w:rPr>
              <w:t xml:space="preserve">Cash and cash equivalents at end of reporting period </w:t>
            </w:r>
            <w:r w:rsidRPr="00885307">
              <w:rPr>
                <w:rFonts w:eastAsiaTheme="minorEastAsia"/>
                <w:b/>
                <w:bCs/>
                <w:vertAlign w:val="superscript"/>
                <w:lang w:eastAsia="en-AU"/>
              </w:rPr>
              <w:t>(b)</w:t>
            </w:r>
          </w:p>
        </w:tc>
        <w:tc>
          <w:tcPr>
            <w:tcW w:w="564" w:type="dxa"/>
            <w:gridSpan w:val="2"/>
            <w:tcBorders>
              <w:top w:val="single" w:sz="6" w:space="0" w:color="auto"/>
              <w:left w:val="nil"/>
              <w:bottom w:val="single" w:sz="12"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4 654.1</w:t>
            </w:r>
          </w:p>
        </w:tc>
        <w:tc>
          <w:tcPr>
            <w:tcW w:w="958" w:type="dxa"/>
            <w:gridSpan w:val="5"/>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4 662.6</w:t>
            </w:r>
          </w:p>
        </w:tc>
        <w:tc>
          <w:tcPr>
            <w:tcW w:w="959"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4 928.3</w:t>
            </w:r>
          </w:p>
        </w:tc>
        <w:tc>
          <w:tcPr>
            <w:tcW w:w="958"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5 229.8</w:t>
            </w:r>
          </w:p>
        </w:tc>
        <w:tc>
          <w:tcPr>
            <w:tcW w:w="959"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5 575.9</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FISCAL AGGREGATES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Net cash flows from operating activities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3 839.5</w:t>
            </w:r>
          </w:p>
        </w:tc>
        <w:tc>
          <w:tcPr>
            <w:tcW w:w="958" w:type="dxa"/>
            <w:gridSpan w:val="5"/>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3 966.5</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5 036.3</w:t>
            </w:r>
          </w:p>
        </w:tc>
        <w:tc>
          <w:tcPr>
            <w:tcW w:w="958"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5 336.4</w:t>
            </w:r>
          </w:p>
        </w:tc>
        <w:tc>
          <w:tcPr>
            <w:tcW w:w="959"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5 731.4</w:t>
            </w:r>
          </w:p>
        </w:tc>
      </w:tr>
      <w:tr w:rsidR="00F87646" w:rsidRPr="00885307" w:rsidTr="00885307">
        <w:trPr>
          <w:gridAfter w:val="1"/>
          <w:wAfter w:w="20" w:type="dxa"/>
        </w:trPr>
        <w:tc>
          <w:tcPr>
            <w:tcW w:w="2420" w:type="dxa"/>
            <w:gridSpan w:val="2"/>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Net cash flows from investments in non</w:t>
            </w:r>
            <w:r>
              <w:rPr>
                <w:rFonts w:eastAsiaTheme="minorEastAsia"/>
                <w:lang w:eastAsia="en-AU"/>
              </w:rPr>
              <w:noBreakHyphen/>
            </w:r>
            <w:r w:rsidRPr="00885307">
              <w:rPr>
                <w:rFonts w:eastAsiaTheme="minorEastAsia"/>
                <w:lang w:eastAsia="en-AU"/>
              </w:rPr>
              <w:t>financial assets</w:t>
            </w:r>
          </w:p>
        </w:tc>
        <w:tc>
          <w:tcPr>
            <w:tcW w:w="564" w:type="dxa"/>
            <w:gridSpan w:val="2"/>
            <w:tcBorders>
              <w:top w:val="nil"/>
              <w:left w:val="nil"/>
              <w:bottom w:val="nil"/>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(4 927.5)</w:t>
            </w:r>
          </w:p>
        </w:tc>
        <w:tc>
          <w:tcPr>
            <w:tcW w:w="958" w:type="dxa"/>
            <w:gridSpan w:val="5"/>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(4 366.5)</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(4 752.8)</w:t>
            </w:r>
          </w:p>
        </w:tc>
        <w:tc>
          <w:tcPr>
            <w:tcW w:w="958"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(5 401.1)</w:t>
            </w:r>
          </w:p>
        </w:tc>
        <w:tc>
          <w:tcPr>
            <w:tcW w:w="959"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(5 449.7)</w:t>
            </w:r>
          </w:p>
        </w:tc>
      </w:tr>
      <w:tr w:rsidR="00F87646" w:rsidRPr="00885307" w:rsidTr="00885307">
        <w:trPr>
          <w:gridAfter w:val="1"/>
          <w:wAfter w:w="20" w:type="dxa"/>
        </w:trPr>
        <w:tc>
          <w:tcPr>
            <w:tcW w:w="2420" w:type="dxa"/>
            <w:gridSpan w:val="2"/>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vertAlign w:val="superscript"/>
                <w:lang w:eastAsia="en-AU"/>
              </w:rPr>
            </w:pPr>
            <w:r w:rsidRPr="00885307">
              <w:rPr>
                <w:rFonts w:eastAsiaTheme="minorEastAsia"/>
                <w:b/>
                <w:bCs/>
                <w:lang w:eastAsia="en-AU"/>
              </w:rPr>
              <w:t xml:space="preserve">Cash surplus/(deficit) </w:t>
            </w:r>
          </w:p>
        </w:tc>
        <w:tc>
          <w:tcPr>
            <w:tcW w:w="564" w:type="dxa"/>
            <w:gridSpan w:val="2"/>
            <w:tcBorders>
              <w:top w:val="single" w:sz="6" w:space="0" w:color="auto"/>
              <w:left w:val="nil"/>
              <w:bottom w:val="single" w:sz="12" w:space="0" w:color="auto"/>
              <w:right w:val="nil"/>
            </w:tcBorders>
          </w:tcPr>
          <w:p w:rsidR="00F87646" w:rsidRPr="00885307" w:rsidRDefault="00F87646" w:rsidP="00885307">
            <w:pPr>
              <w:pStyle w:val="Tabletextcentred"/>
              <w:rPr>
                <w:rFonts w:eastAsiaTheme="minorEastAsia"/>
                <w:lang w:eastAsia="en-AU"/>
              </w:rPr>
            </w:pPr>
            <w:r w:rsidRPr="00885307">
              <w:rPr>
                <w:rFonts w:eastAsiaTheme="minorEastAsia"/>
                <w:lang w:eastAsia="en-AU"/>
              </w:rPr>
              <w:t xml:space="preserve"> </w:t>
            </w:r>
          </w:p>
        </w:tc>
        <w:tc>
          <w:tcPr>
            <w:tcW w:w="958" w:type="dxa"/>
            <w:gridSpan w:val="7"/>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(1 088.0)</w:t>
            </w:r>
          </w:p>
        </w:tc>
        <w:tc>
          <w:tcPr>
            <w:tcW w:w="958" w:type="dxa"/>
            <w:gridSpan w:val="5"/>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( 400.0)</w:t>
            </w:r>
          </w:p>
        </w:tc>
        <w:tc>
          <w:tcPr>
            <w:tcW w:w="959"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283.5</w:t>
            </w:r>
          </w:p>
        </w:tc>
        <w:tc>
          <w:tcPr>
            <w:tcW w:w="958"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cs="Calibri"/>
                <w:b/>
                <w:bCs/>
                <w:color w:val="000000"/>
                <w:lang w:eastAsia="en-AU"/>
              </w:rPr>
            </w:pPr>
            <w:r w:rsidRPr="00885307">
              <w:rPr>
                <w:rFonts w:eastAsiaTheme="minorEastAsia"/>
                <w:b/>
                <w:bCs/>
                <w:color w:val="000000"/>
                <w:lang w:eastAsia="en-AU"/>
              </w:rPr>
              <w:t>( 64.7</w:t>
            </w:r>
            <w:r w:rsidRPr="00885307">
              <w:rPr>
                <w:rFonts w:eastAsiaTheme="minorEastAsia" w:cs="Calibri"/>
                <w:b/>
                <w:bCs/>
                <w:color w:val="000000"/>
                <w:lang w:eastAsia="en-AU"/>
              </w:rPr>
              <w:t>)</w:t>
            </w:r>
          </w:p>
        </w:tc>
        <w:tc>
          <w:tcPr>
            <w:tcW w:w="959"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281.7</w:t>
            </w:r>
          </w:p>
        </w:tc>
      </w:tr>
    </w:tbl>
    <w:p w:rsidR="00F87646" w:rsidRDefault="00F87646" w:rsidP="005801D6">
      <w:pPr>
        <w:pStyle w:val="Source"/>
      </w:pPr>
      <w:r>
        <w:t>The accompanying notes form part of these estimated financial statements.</w:t>
      </w:r>
    </w:p>
    <w:p w:rsidR="00F87646" w:rsidRDefault="00F87646" w:rsidP="005801D6">
      <w:pPr>
        <w:pStyle w:val="Notes"/>
      </w:pPr>
      <w:r>
        <w:t>Notes:</w:t>
      </w:r>
    </w:p>
    <w:p w:rsidR="00F87646" w:rsidRDefault="00F87646" w:rsidP="005801D6">
      <w:pPr>
        <w:pStyle w:val="Notes"/>
      </w:pPr>
      <w:r>
        <w:t>(a)</w:t>
      </w:r>
      <w:r>
        <w:tab/>
        <w:t>Inclusive of goods and services tax.</w:t>
      </w:r>
    </w:p>
    <w:p w:rsidR="00F87646" w:rsidRDefault="00F87646" w:rsidP="00132BD7">
      <w:pPr>
        <w:pStyle w:val="Notes"/>
      </w:pPr>
      <w:r>
        <w:t>(b)</w:t>
      </w:r>
      <w:r>
        <w:tab/>
      </w:r>
      <w:r w:rsidRPr="00B717D4">
        <w:rPr>
          <w:i w:val="0"/>
        </w:rPr>
        <w:t>2014</w:t>
      </w:r>
      <w:r>
        <w:rPr>
          <w:i w:val="0"/>
        </w:rPr>
        <w:noBreakHyphen/>
      </w:r>
      <w:r w:rsidRPr="00B717D4">
        <w:rPr>
          <w:i w:val="0"/>
        </w:rPr>
        <w:t>15 Budget</w:t>
      </w:r>
      <w:r>
        <w:t xml:space="preserve"> figures have been restated to represent actual opening balances at 1 July 2014.</w:t>
      </w:r>
    </w:p>
    <w:p w:rsidR="00F87646" w:rsidRDefault="00F87646" w:rsidP="005801D6">
      <w:pPr>
        <w:pStyle w:val="Notes"/>
      </w:pPr>
    </w:p>
    <w:p w:rsidR="00F87646" w:rsidRDefault="00F87646">
      <w:pPr>
        <w:spacing w:after="0"/>
        <w:rPr>
          <w:rFonts w:ascii="Calibri" w:hAnsi="Calibri"/>
          <w:b/>
        </w:rPr>
      </w:pPr>
      <w:r>
        <w:br w:type="page"/>
      </w:r>
    </w:p>
    <w:p w:rsidR="00F87646" w:rsidRDefault="00F87646" w:rsidP="00C33018">
      <w:pPr>
        <w:pStyle w:val="Tableheading"/>
      </w:pPr>
      <w:r>
        <w:lastRenderedPageBreak/>
        <w:t>Table 3.4</w:t>
      </w:r>
      <w:r w:rsidRPr="001F0A68">
        <w:t xml:space="preserve"> </w:t>
      </w:r>
      <w:r>
        <w:tab/>
        <w:t>Estimated general government sector</w:t>
      </w:r>
      <w:r w:rsidRPr="0014211C">
        <w:t xml:space="preserve"> statement of changes in equity for the financial year ending 30 </w:t>
      </w:r>
      <w:r>
        <w:t>June</w:t>
      </w:r>
    </w:p>
    <w:p w:rsidR="00F87646" w:rsidRPr="00665F27" w:rsidRDefault="00F87646" w:rsidP="00665F2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964"/>
        <w:gridCol w:w="1440"/>
        <w:gridCol w:w="1372"/>
      </w:tblGrid>
      <w:tr w:rsidR="00F87646" w:rsidRPr="00665F27" w:rsidTr="00665F27">
        <w:tc>
          <w:tcPr>
            <w:tcW w:w="4964" w:type="dxa"/>
            <w:tcBorders>
              <w:top w:val="single" w:sz="4" w:space="0" w:color="auto"/>
              <w:left w:val="single" w:sz="4" w:space="0" w:color="auto"/>
              <w:bottom w:val="single" w:sz="6" w:space="0" w:color="auto"/>
              <w:right w:val="nil"/>
            </w:tcBorders>
            <w:shd w:val="clear" w:color="auto" w:fill="000000"/>
          </w:tcPr>
          <w:p w:rsidR="00F87646" w:rsidRPr="00665F27" w:rsidRDefault="00F87646" w:rsidP="00665F27">
            <w:pPr>
              <w:pStyle w:val="Tabletext"/>
              <w:rPr>
                <w:rFonts w:eastAsiaTheme="minorEastAsia"/>
                <w:lang w:eastAsia="en-AU"/>
              </w:rPr>
            </w:pPr>
            <w:r w:rsidRPr="00665F27">
              <w:rPr>
                <w:rFonts w:eastAsiaTheme="minorEastAsia"/>
                <w:lang w:eastAsia="en-AU"/>
              </w:rPr>
              <w:t xml:space="preserve"> </w:t>
            </w:r>
          </w:p>
        </w:tc>
        <w:tc>
          <w:tcPr>
            <w:tcW w:w="1440" w:type="dxa"/>
            <w:tcBorders>
              <w:top w:val="single" w:sz="4" w:space="0" w:color="auto"/>
              <w:left w:val="nil"/>
              <w:bottom w:val="single" w:sz="6" w:space="0" w:color="auto"/>
              <w:right w:val="nil"/>
            </w:tcBorders>
            <w:shd w:val="clear" w:color="auto" w:fill="000000"/>
          </w:tcPr>
          <w:p w:rsidR="00F87646" w:rsidRPr="00665F27" w:rsidRDefault="00F87646" w:rsidP="00665F27">
            <w:pPr>
              <w:pStyle w:val="Tabletextheading"/>
              <w:rPr>
                <w:rFonts w:eastAsiaTheme="minorEastAsia"/>
                <w:lang w:eastAsia="en-AU"/>
              </w:rPr>
            </w:pPr>
          </w:p>
          <w:p w:rsidR="00F87646" w:rsidRPr="00665F27" w:rsidRDefault="00F87646" w:rsidP="00665F27">
            <w:pPr>
              <w:pStyle w:val="Tabletextheading"/>
              <w:rPr>
                <w:rFonts w:eastAsiaTheme="minorEastAsia"/>
                <w:lang w:eastAsia="en-AU"/>
              </w:rPr>
            </w:pPr>
            <w:r w:rsidRPr="00665F27">
              <w:rPr>
                <w:rFonts w:eastAsiaTheme="minorEastAsia"/>
                <w:lang w:eastAsia="en-AU"/>
              </w:rPr>
              <w:t>Accumulated surplus/(deficit)</w:t>
            </w:r>
          </w:p>
        </w:tc>
        <w:tc>
          <w:tcPr>
            <w:tcW w:w="1372" w:type="dxa"/>
            <w:tcBorders>
              <w:top w:val="single" w:sz="4" w:space="0" w:color="auto"/>
              <w:left w:val="nil"/>
              <w:bottom w:val="single" w:sz="6" w:space="0" w:color="auto"/>
              <w:right w:val="single" w:sz="4" w:space="0" w:color="auto"/>
            </w:tcBorders>
            <w:shd w:val="clear" w:color="auto" w:fill="000000"/>
          </w:tcPr>
          <w:p w:rsidR="00F87646" w:rsidRPr="00665F27" w:rsidRDefault="00F87646" w:rsidP="00665F27">
            <w:pPr>
              <w:pStyle w:val="Tabletextheading"/>
              <w:rPr>
                <w:rFonts w:eastAsiaTheme="minorEastAsia"/>
                <w:lang w:eastAsia="en-AU"/>
              </w:rPr>
            </w:pPr>
          </w:p>
          <w:p w:rsidR="00F87646" w:rsidRPr="00665F27" w:rsidRDefault="00F87646" w:rsidP="00665F27">
            <w:pPr>
              <w:pStyle w:val="Tabletextheading"/>
              <w:rPr>
                <w:rFonts w:eastAsiaTheme="minorEastAsia"/>
                <w:lang w:eastAsia="en-AU"/>
              </w:rPr>
            </w:pPr>
            <w:r w:rsidRPr="00665F27">
              <w:rPr>
                <w:rFonts w:eastAsiaTheme="minorEastAsia"/>
                <w:lang w:eastAsia="en-AU"/>
              </w:rPr>
              <w:t>Non</w:t>
            </w:r>
            <w:r>
              <w:rPr>
                <w:rFonts w:eastAsiaTheme="minorEastAsia"/>
                <w:lang w:eastAsia="en-AU"/>
              </w:rPr>
              <w:noBreakHyphen/>
            </w:r>
            <w:r w:rsidRPr="00665F27">
              <w:rPr>
                <w:rFonts w:eastAsiaTheme="minorEastAsia"/>
                <w:lang w:eastAsia="en-AU"/>
              </w:rPr>
              <w:t>controlling interest</w:t>
            </w:r>
          </w:p>
        </w:tc>
      </w:tr>
      <w:tr w:rsidR="00F87646" w:rsidRPr="00665F27" w:rsidTr="00665F27">
        <w:tc>
          <w:tcPr>
            <w:tcW w:w="4964" w:type="dxa"/>
            <w:tcBorders>
              <w:top w:val="single" w:sz="4" w:space="0" w:color="auto"/>
              <w:left w:val="nil"/>
              <w:bottom w:val="nil"/>
              <w:right w:val="nil"/>
            </w:tcBorders>
          </w:tcPr>
          <w:p w:rsidR="00F87646" w:rsidRPr="00665F27" w:rsidRDefault="00F87646" w:rsidP="00665F27">
            <w:pPr>
              <w:pStyle w:val="Tabletext"/>
              <w:rPr>
                <w:rFonts w:eastAsiaTheme="minorEastAsia"/>
                <w:b/>
                <w:bCs/>
                <w:color w:val="000000"/>
                <w:vertAlign w:val="superscript"/>
                <w:lang w:eastAsia="en-AU"/>
              </w:rPr>
            </w:pPr>
            <w:r w:rsidRPr="00665F27">
              <w:rPr>
                <w:rFonts w:eastAsiaTheme="minorEastAsia"/>
                <w:b/>
                <w:bCs/>
                <w:color w:val="000000"/>
                <w:lang w:eastAsia="en-AU"/>
              </w:rPr>
              <w:t>2014</w:t>
            </w:r>
            <w:r>
              <w:rPr>
                <w:rFonts w:eastAsiaTheme="minorEastAsia"/>
                <w:b/>
                <w:bCs/>
                <w:color w:val="000000"/>
                <w:lang w:eastAsia="en-AU"/>
              </w:rPr>
              <w:noBreakHyphen/>
            </w:r>
            <w:r w:rsidRPr="00665F27">
              <w:rPr>
                <w:rFonts w:eastAsiaTheme="minorEastAsia"/>
                <w:b/>
                <w:bCs/>
                <w:color w:val="000000"/>
                <w:lang w:eastAsia="en-AU"/>
              </w:rPr>
              <w:t>15 budget</w:t>
            </w:r>
            <w:r w:rsidRPr="00665F27">
              <w:rPr>
                <w:rFonts w:eastAsiaTheme="minorEastAsia"/>
                <w:b/>
                <w:bCs/>
                <w:color w:val="000000"/>
                <w:vertAlign w:val="superscript"/>
                <w:lang w:eastAsia="en-AU"/>
              </w:rPr>
              <w:t xml:space="preserve"> (a)</w:t>
            </w:r>
          </w:p>
        </w:tc>
        <w:tc>
          <w:tcPr>
            <w:tcW w:w="1440" w:type="dxa"/>
            <w:tcBorders>
              <w:top w:val="single" w:sz="4" w:space="0" w:color="auto"/>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c>
          <w:tcPr>
            <w:tcW w:w="1372" w:type="dxa"/>
            <w:tcBorders>
              <w:top w:val="single" w:sz="4" w:space="0" w:color="auto"/>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Balance at 1 July 2014</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44 410.0</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Net result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1 152.2</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Other comprehensive income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504.3</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single" w:sz="6" w:space="0" w:color="auto"/>
              <w:left w:val="nil"/>
              <w:bottom w:val="single" w:sz="12" w:space="0" w:color="auto"/>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46 066.5</w:t>
            </w:r>
          </w:p>
        </w:tc>
        <w:tc>
          <w:tcPr>
            <w:tcW w:w="1372"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2014</w:t>
            </w:r>
            <w:r>
              <w:rPr>
                <w:rFonts w:eastAsiaTheme="minorEastAsia"/>
                <w:b/>
                <w:bCs/>
                <w:color w:val="000000"/>
                <w:lang w:eastAsia="en-AU"/>
              </w:rPr>
              <w:noBreakHyphen/>
            </w:r>
            <w:r w:rsidRPr="00665F27">
              <w:rPr>
                <w:rFonts w:eastAsiaTheme="minorEastAsia"/>
                <w:b/>
                <w:bCs/>
                <w:color w:val="000000"/>
                <w:lang w:eastAsia="en-AU"/>
              </w:rPr>
              <w:t>15 revised</w:t>
            </w:r>
          </w:p>
        </w:tc>
        <w:tc>
          <w:tcPr>
            <w:tcW w:w="1440"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c>
          <w:tcPr>
            <w:tcW w:w="1372"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Balance at 1 July 2014</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44 410.0</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Net result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874.6</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Other comprehensive income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( 173.7)</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single" w:sz="6" w:space="0" w:color="auto"/>
              <w:left w:val="nil"/>
              <w:bottom w:val="single" w:sz="12" w:space="0" w:color="auto"/>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45 110.9</w:t>
            </w:r>
          </w:p>
        </w:tc>
        <w:tc>
          <w:tcPr>
            <w:tcW w:w="1372"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2015</w:t>
            </w:r>
            <w:r>
              <w:rPr>
                <w:rFonts w:eastAsiaTheme="minorEastAsia"/>
                <w:b/>
                <w:bCs/>
                <w:color w:val="000000"/>
                <w:lang w:eastAsia="en-AU"/>
              </w:rPr>
              <w:noBreakHyphen/>
            </w:r>
            <w:r w:rsidRPr="00665F27">
              <w:rPr>
                <w:rFonts w:eastAsiaTheme="minorEastAsia"/>
                <w:b/>
                <w:bCs/>
                <w:color w:val="000000"/>
                <w:lang w:eastAsia="en-AU"/>
              </w:rPr>
              <w:t>16 estimate</w:t>
            </w:r>
          </w:p>
        </w:tc>
        <w:tc>
          <w:tcPr>
            <w:tcW w:w="1440"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c>
          <w:tcPr>
            <w:tcW w:w="1372"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Balance at 1 July 2015</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45 110.9</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Net result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6 549.5</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Other comprehensive income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687.7</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single" w:sz="6" w:space="0" w:color="auto"/>
              <w:left w:val="nil"/>
              <w:bottom w:val="single" w:sz="12" w:space="0" w:color="auto"/>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52 348.1</w:t>
            </w:r>
          </w:p>
        </w:tc>
        <w:tc>
          <w:tcPr>
            <w:tcW w:w="1372"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2016</w:t>
            </w:r>
            <w:r>
              <w:rPr>
                <w:rFonts w:eastAsiaTheme="minorEastAsia"/>
                <w:b/>
                <w:bCs/>
                <w:color w:val="000000"/>
                <w:lang w:eastAsia="en-AU"/>
              </w:rPr>
              <w:noBreakHyphen/>
            </w:r>
            <w:r w:rsidRPr="00665F27">
              <w:rPr>
                <w:rFonts w:eastAsiaTheme="minorEastAsia"/>
                <w:b/>
                <w:bCs/>
                <w:color w:val="000000"/>
                <w:lang w:eastAsia="en-AU"/>
              </w:rPr>
              <w:t>17 estimate</w:t>
            </w:r>
          </w:p>
        </w:tc>
        <w:tc>
          <w:tcPr>
            <w:tcW w:w="1440"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c>
          <w:tcPr>
            <w:tcW w:w="1372"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Balance at 1 July 2016</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52 348.1</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Net result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2 416.3</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Other comprehensive income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696.5</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single" w:sz="6" w:space="0" w:color="auto"/>
              <w:left w:val="nil"/>
              <w:bottom w:val="single" w:sz="12" w:space="0" w:color="auto"/>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55 460.9</w:t>
            </w:r>
          </w:p>
        </w:tc>
        <w:tc>
          <w:tcPr>
            <w:tcW w:w="1372"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2017</w:t>
            </w:r>
            <w:r>
              <w:rPr>
                <w:rFonts w:eastAsiaTheme="minorEastAsia"/>
                <w:b/>
                <w:bCs/>
                <w:color w:val="000000"/>
                <w:lang w:eastAsia="en-AU"/>
              </w:rPr>
              <w:noBreakHyphen/>
            </w:r>
            <w:r w:rsidRPr="00665F27">
              <w:rPr>
                <w:rFonts w:eastAsiaTheme="minorEastAsia"/>
                <w:b/>
                <w:bCs/>
                <w:color w:val="000000"/>
                <w:lang w:eastAsia="en-AU"/>
              </w:rPr>
              <w:t>18 estimate</w:t>
            </w:r>
          </w:p>
        </w:tc>
        <w:tc>
          <w:tcPr>
            <w:tcW w:w="1440"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c>
          <w:tcPr>
            <w:tcW w:w="1372" w:type="dxa"/>
            <w:tcBorders>
              <w:top w:val="nil"/>
              <w:left w:val="nil"/>
              <w:bottom w:val="nil"/>
              <w:right w:val="nil"/>
            </w:tcBorders>
          </w:tcPr>
          <w:p w:rsidR="00F87646" w:rsidRPr="00665F27" w:rsidRDefault="00F87646" w:rsidP="00665F27">
            <w:pPr>
              <w:pStyle w:val="TableofFigures"/>
              <w:rPr>
                <w:rFonts w:eastAsiaTheme="minorEastAsia"/>
                <w:b/>
                <w:bCs/>
                <w:color w:val="0000FF"/>
                <w:lang w:eastAsia="en-AU"/>
              </w:rPr>
            </w:pPr>
            <w:r w:rsidRPr="00665F27">
              <w:rPr>
                <w:rFonts w:eastAsiaTheme="minorEastAsia"/>
                <w:b/>
                <w:bCs/>
                <w:color w:val="0000FF"/>
                <w:lang w:eastAsia="en-AU"/>
              </w:rPr>
              <w:t xml:space="preserve">  </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Balance at 1 July 2017</w:t>
            </w:r>
          </w:p>
        </w:tc>
        <w:tc>
          <w:tcPr>
            <w:tcW w:w="1440" w:type="dxa"/>
            <w:tcBorders>
              <w:top w:val="nil"/>
              <w:left w:val="nil"/>
              <w:bottom w:val="nil"/>
              <w:right w:val="nil"/>
            </w:tcBorders>
            <w:shd w:val="solid" w:color="FFFFFF" w:fill="auto"/>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55 460.9</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50.0</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Net result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2 681.9</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nil"/>
              <w:left w:val="nil"/>
              <w:bottom w:val="nil"/>
              <w:right w:val="nil"/>
            </w:tcBorders>
          </w:tcPr>
          <w:p w:rsidR="00F87646" w:rsidRPr="00665F27" w:rsidRDefault="00F87646" w:rsidP="00665F27">
            <w:pPr>
              <w:pStyle w:val="Tabletext"/>
              <w:rPr>
                <w:rFonts w:eastAsiaTheme="minorEastAsia"/>
                <w:color w:val="000000"/>
                <w:lang w:eastAsia="en-AU"/>
              </w:rPr>
            </w:pPr>
            <w:r w:rsidRPr="00665F27">
              <w:rPr>
                <w:rFonts w:eastAsiaTheme="minorEastAsia"/>
                <w:color w:val="000000"/>
                <w:lang w:eastAsia="en-AU"/>
              </w:rPr>
              <w:t>Other comprehensive income for the year</w:t>
            </w:r>
          </w:p>
        </w:tc>
        <w:tc>
          <w:tcPr>
            <w:tcW w:w="1440"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 xml:space="preserve"> 712.5</w:t>
            </w:r>
          </w:p>
        </w:tc>
        <w:tc>
          <w:tcPr>
            <w:tcW w:w="1372" w:type="dxa"/>
            <w:tcBorders>
              <w:top w:val="nil"/>
              <w:left w:val="nil"/>
              <w:bottom w:val="nil"/>
              <w:right w:val="nil"/>
            </w:tcBorders>
          </w:tcPr>
          <w:p w:rsidR="00F87646" w:rsidRPr="00665F27" w:rsidRDefault="00F87646" w:rsidP="00665F27">
            <w:pPr>
              <w:pStyle w:val="TableofFigures"/>
              <w:rPr>
                <w:rFonts w:eastAsiaTheme="minorEastAsia"/>
                <w:color w:val="000000"/>
                <w:lang w:eastAsia="en-AU"/>
              </w:rPr>
            </w:pPr>
            <w:r w:rsidRPr="00665F27">
              <w:rPr>
                <w:rFonts w:eastAsiaTheme="minorEastAsia"/>
                <w:color w:val="000000"/>
                <w:lang w:eastAsia="en-AU"/>
              </w:rPr>
              <w:t>..</w:t>
            </w:r>
          </w:p>
        </w:tc>
      </w:tr>
      <w:tr w:rsidR="00F87646" w:rsidRPr="00665F27" w:rsidTr="00665F27">
        <w:tc>
          <w:tcPr>
            <w:tcW w:w="4964" w:type="dxa"/>
            <w:tcBorders>
              <w:top w:val="single" w:sz="6" w:space="0" w:color="auto"/>
              <w:left w:val="nil"/>
              <w:bottom w:val="single" w:sz="12" w:space="0" w:color="auto"/>
              <w:right w:val="nil"/>
            </w:tcBorders>
          </w:tcPr>
          <w:p w:rsidR="00F87646" w:rsidRPr="00665F27" w:rsidRDefault="00F87646" w:rsidP="00665F27">
            <w:pPr>
              <w:pStyle w:val="Tabletext"/>
              <w:rPr>
                <w:rFonts w:eastAsiaTheme="minorEastAsia"/>
                <w:b/>
                <w:bCs/>
                <w:color w:val="000000"/>
                <w:lang w:eastAsia="en-AU"/>
              </w:rPr>
            </w:pPr>
            <w:r w:rsidRPr="00665F27">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58 855.4</w:t>
            </w:r>
          </w:p>
        </w:tc>
        <w:tc>
          <w:tcPr>
            <w:tcW w:w="1372" w:type="dxa"/>
            <w:tcBorders>
              <w:top w:val="single" w:sz="6" w:space="0" w:color="auto"/>
              <w:left w:val="nil"/>
              <w:bottom w:val="single" w:sz="12" w:space="0" w:color="auto"/>
              <w:right w:val="nil"/>
            </w:tcBorders>
          </w:tcPr>
          <w:p w:rsidR="00F87646" w:rsidRPr="00665F27" w:rsidRDefault="00F87646" w:rsidP="00665F27">
            <w:pPr>
              <w:pStyle w:val="TableofFigures"/>
              <w:rPr>
                <w:rFonts w:eastAsiaTheme="minorEastAsia"/>
                <w:b/>
                <w:bCs/>
                <w:color w:val="000000"/>
                <w:lang w:eastAsia="en-AU"/>
              </w:rPr>
            </w:pPr>
            <w:r w:rsidRPr="00665F27">
              <w:rPr>
                <w:rFonts w:eastAsiaTheme="minorEastAsia"/>
                <w:b/>
                <w:bCs/>
                <w:color w:val="000000"/>
                <w:lang w:eastAsia="en-AU"/>
              </w:rPr>
              <w:t xml:space="preserve"> 50.0</w:t>
            </w:r>
          </w:p>
        </w:tc>
      </w:tr>
    </w:tbl>
    <w:p w:rsidR="00F87646" w:rsidRDefault="00F87646" w:rsidP="005C421F">
      <w:pPr>
        <w:pStyle w:val="Notes"/>
      </w:pPr>
      <w:r>
        <w:t>Note:</w:t>
      </w:r>
    </w:p>
    <w:p w:rsidR="00F87646" w:rsidRDefault="00F87646" w:rsidP="005C421F">
      <w:pPr>
        <w:pStyle w:val="Notes"/>
      </w:pPr>
      <w:r>
        <w:t>(a)</w:t>
      </w:r>
      <w:r>
        <w:tab/>
        <w:t>Balances represent opening balances at 1 July 2014 plus 2014</w:t>
      </w:r>
      <w:r>
        <w:noBreakHyphen/>
        <w:t>15 budgeted movements.</w:t>
      </w:r>
    </w:p>
    <w:p w:rsidR="00F87646" w:rsidRDefault="00F87646" w:rsidP="001F5B6A">
      <w:pPr>
        <w:pStyle w:val="Source"/>
      </w:pPr>
    </w:p>
    <w:p w:rsidR="00F87646" w:rsidRDefault="00F87646">
      <w:pPr>
        <w:spacing w:after="0"/>
      </w:pPr>
      <w:r>
        <w:br w:type="page"/>
      </w:r>
    </w:p>
    <w:p w:rsidR="00F87646" w:rsidRDefault="00F87646" w:rsidP="001F5B6A">
      <w:pPr>
        <w:pStyle w:val="Tableheading"/>
      </w:pPr>
      <w:r>
        <w:lastRenderedPageBreak/>
        <w:br/>
      </w:r>
    </w:p>
    <w:p w:rsidR="00F87646" w:rsidRDefault="00F87646" w:rsidP="001F5B6A">
      <w:pPr>
        <w:pStyle w:val="million"/>
        <w:rPr>
          <w:rFonts w:ascii="Times New Roman" w:hAnsi="Times New Roman"/>
          <w:i w:val="0"/>
          <w:sz w:val="20"/>
          <w:szCs w:val="20"/>
          <w:lang w:eastAsia="en-AU"/>
        </w:rPr>
      </w:pPr>
    </w:p>
    <w:tbl>
      <w:tblPr>
        <w:tblW w:w="7774" w:type="dxa"/>
        <w:tblInd w:w="29" w:type="dxa"/>
        <w:tblLayout w:type="fixed"/>
        <w:tblCellMar>
          <w:left w:w="43" w:type="dxa"/>
          <w:right w:w="43" w:type="dxa"/>
        </w:tblCellMar>
        <w:tblLook w:val="0000" w:firstRow="0" w:lastRow="0" w:firstColumn="0" w:lastColumn="0" w:noHBand="0" w:noVBand="0"/>
      </w:tblPr>
      <w:tblGrid>
        <w:gridCol w:w="2624"/>
        <w:gridCol w:w="1980"/>
        <w:gridCol w:w="1585"/>
        <w:gridCol w:w="1585"/>
      </w:tblGrid>
      <w:tr w:rsidR="00F87646" w:rsidRPr="00885307" w:rsidTr="00885307">
        <w:tc>
          <w:tcPr>
            <w:tcW w:w="2624" w:type="dxa"/>
            <w:tcBorders>
              <w:top w:val="single" w:sz="4" w:space="0" w:color="auto"/>
              <w:left w:val="single" w:sz="4" w:space="0" w:color="auto"/>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 xml:space="preserve">Land, buildings, </w:t>
            </w:r>
          </w:p>
          <w:p w:rsidR="00F87646" w:rsidRPr="00885307" w:rsidRDefault="00F87646" w:rsidP="00885307">
            <w:pPr>
              <w:pStyle w:val="Tabletextheading"/>
              <w:rPr>
                <w:rFonts w:eastAsiaTheme="minorEastAsia" w:cs="Calibri"/>
                <w:iCs/>
                <w:color w:val="FFFFFF"/>
                <w:lang w:eastAsia="en-AU"/>
              </w:rPr>
            </w:pPr>
            <w:r w:rsidRPr="00885307">
              <w:rPr>
                <w:rFonts w:eastAsiaTheme="minorEastAsia"/>
                <w:lang w:eastAsia="en-AU"/>
              </w:rPr>
              <w:t xml:space="preserve">infrastructure, plant and </w:t>
            </w:r>
          </w:p>
          <w:p w:rsidR="00F87646" w:rsidRPr="00885307" w:rsidRDefault="00F87646" w:rsidP="00885307">
            <w:pPr>
              <w:pStyle w:val="Tabletextheading"/>
              <w:rPr>
                <w:rFonts w:eastAsiaTheme="minorEastAsia" w:cs="Calibri"/>
                <w:iCs/>
                <w:color w:val="FFFFFF"/>
                <w:lang w:eastAsia="en-AU"/>
              </w:rPr>
            </w:pPr>
            <w:r w:rsidRPr="00885307">
              <w:rPr>
                <w:rFonts w:eastAsiaTheme="minorEastAsia"/>
                <w:lang w:eastAsia="en-AU"/>
              </w:rPr>
              <w:t>equipment revaluation surplus</w:t>
            </w:r>
          </w:p>
        </w:tc>
        <w:tc>
          <w:tcPr>
            <w:tcW w:w="1980" w:type="dxa"/>
            <w:tcBorders>
              <w:top w:val="single" w:sz="4" w:space="0" w:color="auto"/>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Investment in other sector entities revaluation surplus</w:t>
            </w:r>
          </w:p>
        </w:tc>
        <w:tc>
          <w:tcPr>
            <w:tcW w:w="1585" w:type="dxa"/>
            <w:tcBorders>
              <w:top w:val="single" w:sz="4" w:space="0" w:color="auto"/>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p>
          <w:p w:rsidR="00F87646" w:rsidRPr="00885307" w:rsidRDefault="00F87646" w:rsidP="00885307">
            <w:pPr>
              <w:pStyle w:val="Tabletextheading"/>
              <w:rPr>
                <w:rFonts w:eastAsiaTheme="minorEastAsia" w:cs="Calibri"/>
                <w:iCs/>
                <w:color w:val="FFFFFF"/>
                <w:lang w:eastAsia="en-AU"/>
              </w:rPr>
            </w:pPr>
            <w:r w:rsidRPr="00885307">
              <w:rPr>
                <w:rFonts w:eastAsiaTheme="minorEastAsia"/>
                <w:lang w:eastAsia="en-AU"/>
              </w:rPr>
              <w:t>Other</w:t>
            </w:r>
            <w:r w:rsidRPr="00885307">
              <w:rPr>
                <w:rFonts w:eastAsiaTheme="minorEastAsia" w:cs="Calibri"/>
                <w:iCs/>
                <w:color w:val="FFFFFF"/>
                <w:lang w:eastAsia="en-AU"/>
              </w:rPr>
              <w:t xml:space="preserve"> </w:t>
            </w:r>
          </w:p>
          <w:p w:rsidR="00F87646" w:rsidRPr="00885307" w:rsidRDefault="00F87646" w:rsidP="00885307">
            <w:pPr>
              <w:pStyle w:val="Tabletextheading"/>
              <w:rPr>
                <w:rFonts w:eastAsiaTheme="minorEastAsia"/>
                <w:lang w:eastAsia="en-AU"/>
              </w:rPr>
            </w:pPr>
            <w:r w:rsidRPr="00885307">
              <w:rPr>
                <w:rFonts w:eastAsiaTheme="minorEastAsia"/>
                <w:lang w:eastAsia="en-AU"/>
              </w:rPr>
              <w:t>reserves</w:t>
            </w:r>
          </w:p>
        </w:tc>
        <w:tc>
          <w:tcPr>
            <w:tcW w:w="1585" w:type="dxa"/>
            <w:tcBorders>
              <w:top w:val="single" w:sz="4" w:space="0" w:color="auto"/>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p>
          <w:p w:rsidR="00F87646" w:rsidRPr="00885307" w:rsidRDefault="00F87646" w:rsidP="00885307">
            <w:pPr>
              <w:pStyle w:val="Tabletextheading"/>
              <w:rPr>
                <w:rFonts w:eastAsiaTheme="minorEastAsia"/>
                <w:lang w:eastAsia="en-AU"/>
              </w:rPr>
            </w:pPr>
          </w:p>
          <w:p w:rsidR="00F87646" w:rsidRPr="00885307" w:rsidRDefault="00F87646" w:rsidP="00885307">
            <w:pPr>
              <w:pStyle w:val="Tabletextheading"/>
              <w:rPr>
                <w:rFonts w:eastAsiaTheme="minorEastAsia"/>
                <w:lang w:eastAsia="en-AU"/>
              </w:rPr>
            </w:pPr>
            <w:r w:rsidRPr="00885307">
              <w:rPr>
                <w:rFonts w:eastAsiaTheme="minorEastAsia"/>
                <w:lang w:eastAsia="en-AU"/>
              </w:rPr>
              <w:t>Total</w:t>
            </w:r>
          </w:p>
        </w:tc>
      </w:tr>
      <w:tr w:rsidR="00F87646" w:rsidRPr="00885307" w:rsidTr="00885307">
        <w:tc>
          <w:tcPr>
            <w:tcW w:w="2624"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980"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40 199.2</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42 187.3</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640.3</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127 486.9</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1 152.2</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3 906.5</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2 884.3</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( 3.9)</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7 291.2</w:t>
            </w:r>
          </w:p>
        </w:tc>
      </w:tr>
      <w:tr w:rsidR="00F87646" w:rsidRPr="00885307" w:rsidTr="00885307">
        <w:tc>
          <w:tcPr>
            <w:tcW w:w="2624"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44 105.8</w:t>
            </w:r>
          </w:p>
        </w:tc>
        <w:tc>
          <w:tcPr>
            <w:tcW w:w="198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45 071.6</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636.4</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135 930.3</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980"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40 199.2</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42 187.3</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640.3</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127 486.9</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874.6</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3 871.6</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2 884.3</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( 3.1)</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6 579.1</w:t>
            </w:r>
          </w:p>
        </w:tc>
      </w:tr>
      <w:tr w:rsidR="00F87646" w:rsidRPr="00885307" w:rsidTr="00885307">
        <w:tc>
          <w:tcPr>
            <w:tcW w:w="2624"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44 070.8</w:t>
            </w:r>
          </w:p>
        </w:tc>
        <w:tc>
          <w:tcPr>
            <w:tcW w:w="198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45 071.6</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637.2</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134 940.6</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980"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44 070.8</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45 071.6</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637.2</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134 940.6</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6 549.5</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426.0</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438.8</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5.5</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1 558.1</w:t>
            </w:r>
          </w:p>
        </w:tc>
      </w:tr>
      <w:tr w:rsidR="00F87646" w:rsidRPr="00885307" w:rsidTr="00885307">
        <w:tc>
          <w:tcPr>
            <w:tcW w:w="2624"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44 496.9</w:t>
            </w:r>
          </w:p>
        </w:tc>
        <w:tc>
          <w:tcPr>
            <w:tcW w:w="198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45 510.4</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642.7</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143 048.2</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980"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44 496.9</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45 510.4</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642.7</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143 048.2</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2 416.3</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1 933.4</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( 137.4)</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10.5</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2 503.0</w:t>
            </w:r>
          </w:p>
        </w:tc>
      </w:tr>
      <w:tr w:rsidR="00F87646" w:rsidRPr="00885307" w:rsidTr="00885307">
        <w:tc>
          <w:tcPr>
            <w:tcW w:w="2624"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46 430.3</w:t>
            </w:r>
          </w:p>
        </w:tc>
        <w:tc>
          <w:tcPr>
            <w:tcW w:w="198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45 373.1</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653.2</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147 967.5</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980"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c>
          <w:tcPr>
            <w:tcW w:w="1585" w:type="dxa"/>
            <w:tcBorders>
              <w:top w:val="nil"/>
              <w:left w:val="nil"/>
              <w:bottom w:val="nil"/>
              <w:right w:val="nil"/>
            </w:tcBorders>
          </w:tcPr>
          <w:p w:rsidR="00F87646" w:rsidRPr="00885307" w:rsidRDefault="00F87646" w:rsidP="00885307">
            <w:pPr>
              <w:pStyle w:val="TableofFigures"/>
              <w:rPr>
                <w:rFonts w:eastAsiaTheme="minorEastAsia"/>
                <w:b/>
                <w:bCs/>
                <w:color w:val="0000FF"/>
                <w:lang w:eastAsia="en-AU"/>
              </w:rPr>
            </w:pPr>
            <w:r w:rsidRPr="00885307">
              <w:rPr>
                <w:rFonts w:eastAsiaTheme="minorEastAsia"/>
                <w:b/>
                <w:bCs/>
                <w:color w:val="0000FF"/>
                <w:lang w:eastAsia="en-AU"/>
              </w:rPr>
              <w:t xml:space="preserve">  </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46 430.3</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45 373.1</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653.2</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147 967.5</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2 681.9</w:t>
            </w:r>
          </w:p>
        </w:tc>
      </w:tr>
      <w:tr w:rsidR="00F87646" w:rsidRPr="00885307" w:rsidTr="00885307">
        <w:tc>
          <w:tcPr>
            <w:tcW w:w="262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4 595.9</w:t>
            </w:r>
          </w:p>
        </w:tc>
        <w:tc>
          <w:tcPr>
            <w:tcW w:w="198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( 93.5)</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11.7</w:t>
            </w:r>
          </w:p>
        </w:tc>
        <w:tc>
          <w:tcPr>
            <w:tcW w:w="158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5 226.6</w:t>
            </w:r>
          </w:p>
        </w:tc>
      </w:tr>
      <w:tr w:rsidR="00F87646" w:rsidRPr="00885307" w:rsidTr="00885307">
        <w:tc>
          <w:tcPr>
            <w:tcW w:w="2624"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51 026.2</w:t>
            </w:r>
          </w:p>
        </w:tc>
        <w:tc>
          <w:tcPr>
            <w:tcW w:w="198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45 279.6</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664.8</w:t>
            </w:r>
          </w:p>
        </w:tc>
        <w:tc>
          <w:tcPr>
            <w:tcW w:w="1585"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155 876.0</w:t>
            </w:r>
          </w:p>
        </w:tc>
      </w:tr>
    </w:tbl>
    <w:p w:rsidR="00F87646" w:rsidRPr="001F5B6A" w:rsidRDefault="00F87646" w:rsidP="001F5B6A">
      <w:pPr>
        <w:pStyle w:val="million"/>
      </w:pPr>
    </w:p>
    <w:p w:rsidR="00F87646" w:rsidRDefault="00F87646" w:rsidP="006F73C1">
      <w:pPr>
        <w:pStyle w:val="million"/>
      </w:pPr>
    </w:p>
    <w:p w:rsidR="00F87646" w:rsidRDefault="00F87646">
      <w:pPr>
        <w:spacing w:after="0"/>
      </w:pPr>
      <w:r>
        <w:br w:type="page"/>
      </w:r>
    </w:p>
    <w:p w:rsidR="00F87646" w:rsidRPr="002D292F" w:rsidRDefault="00F87646" w:rsidP="006F73C1">
      <w:pPr>
        <w:pStyle w:val="Heading1"/>
      </w:pPr>
      <w:bookmarkStart w:id="28" w:name="_Toc403386692"/>
      <w:r w:rsidRPr="002D292F">
        <w:lastRenderedPageBreak/>
        <w:t>Notes to the financial statements</w:t>
      </w:r>
      <w:bookmarkEnd w:id="28"/>
    </w:p>
    <w:p w:rsidR="00F87646" w:rsidRDefault="00F87646">
      <w:pPr>
        <w:pStyle w:val="TOC4"/>
        <w:rPr>
          <w:rFonts w:asciiTheme="minorHAnsi" w:eastAsiaTheme="minorEastAsia" w:hAnsiTheme="minorHAnsi" w:cstheme="minorBidi"/>
          <w:sz w:val="22"/>
          <w:szCs w:val="22"/>
          <w:lang w:eastAsia="en-AU"/>
        </w:rPr>
      </w:pPr>
      <w:r>
        <w:fldChar w:fldCharType="begin"/>
      </w:r>
      <w:r>
        <w:instrText xml:space="preserve"> TOC \h \z \t "Heading 2 Notes,4" </w:instrText>
      </w:r>
      <w:r>
        <w:fldChar w:fldCharType="separate"/>
      </w:r>
      <w:hyperlink w:anchor="_Toc403141605" w:history="1">
        <w:r w:rsidRPr="00D67C14">
          <w:rPr>
            <w:rStyle w:val="Hyperlink"/>
          </w:rPr>
          <w:t>Note 1:</w:t>
        </w:r>
        <w:r>
          <w:rPr>
            <w:rFonts w:asciiTheme="minorHAnsi" w:eastAsiaTheme="minorEastAsia" w:hAnsiTheme="minorHAnsi" w:cstheme="minorBidi"/>
            <w:sz w:val="22"/>
            <w:szCs w:val="22"/>
            <w:lang w:eastAsia="en-AU"/>
          </w:rPr>
          <w:tab/>
        </w:r>
        <w:r w:rsidRPr="00D67C14">
          <w:rPr>
            <w:rStyle w:val="Hyperlink"/>
          </w:rPr>
          <w:t>Statement of significant accounting policies and forecast assumptions</w:t>
        </w:r>
        <w:r>
          <w:rPr>
            <w:webHidden/>
          </w:rPr>
          <w:tab/>
        </w:r>
        <w:r>
          <w:rPr>
            <w:webHidden/>
          </w:rPr>
          <w:fldChar w:fldCharType="begin"/>
        </w:r>
        <w:r>
          <w:rPr>
            <w:webHidden/>
          </w:rPr>
          <w:instrText xml:space="preserve"> PAGEREF _Toc403141605 \h </w:instrText>
        </w:r>
        <w:r>
          <w:rPr>
            <w:webHidden/>
          </w:rPr>
        </w:r>
        <w:r>
          <w:rPr>
            <w:webHidden/>
          </w:rPr>
          <w:fldChar w:fldCharType="separate"/>
        </w:r>
        <w:r>
          <w:rPr>
            <w:webHidden/>
          </w:rPr>
          <w:t>35</w:t>
        </w:r>
        <w:r>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06" w:history="1">
        <w:r w:rsidR="00F87646" w:rsidRPr="00D67C14">
          <w:rPr>
            <w:rStyle w:val="Hyperlink"/>
          </w:rPr>
          <w:t>Note 2:</w:t>
        </w:r>
        <w:r w:rsidR="00F87646">
          <w:rPr>
            <w:rFonts w:asciiTheme="minorHAnsi" w:eastAsiaTheme="minorEastAsia" w:hAnsiTheme="minorHAnsi" w:cstheme="minorBidi"/>
            <w:sz w:val="22"/>
            <w:szCs w:val="22"/>
            <w:lang w:eastAsia="en-AU"/>
          </w:rPr>
          <w:tab/>
        </w:r>
        <w:r w:rsidR="00F87646" w:rsidRPr="00D67C14">
          <w:rPr>
            <w:rStyle w:val="Hyperlink"/>
          </w:rPr>
          <w:t>Taxation</w:t>
        </w:r>
        <w:r w:rsidR="00F87646">
          <w:rPr>
            <w:webHidden/>
          </w:rPr>
          <w:tab/>
        </w:r>
        <w:r w:rsidR="00F87646">
          <w:rPr>
            <w:webHidden/>
          </w:rPr>
          <w:fldChar w:fldCharType="begin"/>
        </w:r>
        <w:r w:rsidR="00F87646">
          <w:rPr>
            <w:webHidden/>
          </w:rPr>
          <w:instrText xml:space="preserve"> PAGEREF _Toc403141606 \h </w:instrText>
        </w:r>
        <w:r w:rsidR="00F87646">
          <w:rPr>
            <w:webHidden/>
          </w:rPr>
        </w:r>
        <w:r w:rsidR="00F87646">
          <w:rPr>
            <w:webHidden/>
          </w:rPr>
          <w:fldChar w:fldCharType="separate"/>
        </w:r>
        <w:r w:rsidR="00F87646">
          <w:rPr>
            <w:webHidden/>
          </w:rPr>
          <w:t>42</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07" w:history="1">
        <w:r w:rsidR="00F87646" w:rsidRPr="00D67C14">
          <w:rPr>
            <w:rStyle w:val="Hyperlink"/>
          </w:rPr>
          <w:t>Note 3:</w:t>
        </w:r>
        <w:r w:rsidR="00F87646">
          <w:rPr>
            <w:rFonts w:asciiTheme="minorHAnsi" w:eastAsiaTheme="minorEastAsia" w:hAnsiTheme="minorHAnsi" w:cstheme="minorBidi"/>
            <w:sz w:val="22"/>
            <w:szCs w:val="22"/>
            <w:lang w:eastAsia="en-AU"/>
          </w:rPr>
          <w:tab/>
        </w:r>
        <w:r w:rsidR="00F87646" w:rsidRPr="00D67C14">
          <w:rPr>
            <w:rStyle w:val="Hyperlink"/>
          </w:rPr>
          <w:t>Dividends and income tax equivalent and rate equivalent revenue</w:t>
        </w:r>
        <w:r w:rsidR="00F87646">
          <w:rPr>
            <w:webHidden/>
          </w:rPr>
          <w:tab/>
        </w:r>
        <w:r w:rsidR="00F87646">
          <w:rPr>
            <w:webHidden/>
          </w:rPr>
          <w:fldChar w:fldCharType="begin"/>
        </w:r>
        <w:r w:rsidR="00F87646">
          <w:rPr>
            <w:webHidden/>
          </w:rPr>
          <w:instrText xml:space="preserve"> PAGEREF _Toc403141607 \h </w:instrText>
        </w:r>
        <w:r w:rsidR="00F87646">
          <w:rPr>
            <w:webHidden/>
          </w:rPr>
        </w:r>
        <w:r w:rsidR="00F87646">
          <w:rPr>
            <w:webHidden/>
          </w:rPr>
          <w:fldChar w:fldCharType="separate"/>
        </w:r>
        <w:r w:rsidR="00F87646">
          <w:rPr>
            <w:webHidden/>
          </w:rPr>
          <w:t>43</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08" w:history="1">
        <w:r w:rsidR="00F87646" w:rsidRPr="00D67C14">
          <w:rPr>
            <w:rStyle w:val="Hyperlink"/>
          </w:rPr>
          <w:t>Note 4:</w:t>
        </w:r>
        <w:r w:rsidR="00F87646">
          <w:rPr>
            <w:rFonts w:asciiTheme="minorHAnsi" w:eastAsiaTheme="minorEastAsia" w:hAnsiTheme="minorHAnsi" w:cstheme="minorBidi"/>
            <w:sz w:val="22"/>
            <w:szCs w:val="22"/>
            <w:lang w:eastAsia="en-AU"/>
          </w:rPr>
          <w:tab/>
        </w:r>
        <w:r w:rsidR="00F87646" w:rsidRPr="00D67C14">
          <w:rPr>
            <w:rStyle w:val="Hyperlink"/>
          </w:rPr>
          <w:t>Sale of goods and services</w:t>
        </w:r>
        <w:r w:rsidR="00F87646">
          <w:rPr>
            <w:webHidden/>
          </w:rPr>
          <w:tab/>
        </w:r>
        <w:r w:rsidR="00F87646">
          <w:rPr>
            <w:webHidden/>
          </w:rPr>
          <w:fldChar w:fldCharType="begin"/>
        </w:r>
        <w:r w:rsidR="00F87646">
          <w:rPr>
            <w:webHidden/>
          </w:rPr>
          <w:instrText xml:space="preserve"> PAGEREF _Toc403141608 \h </w:instrText>
        </w:r>
        <w:r w:rsidR="00F87646">
          <w:rPr>
            <w:webHidden/>
          </w:rPr>
        </w:r>
        <w:r w:rsidR="00F87646">
          <w:rPr>
            <w:webHidden/>
          </w:rPr>
          <w:fldChar w:fldCharType="separate"/>
        </w:r>
        <w:r w:rsidR="00F87646">
          <w:rPr>
            <w:webHidden/>
          </w:rPr>
          <w:t>45</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09" w:history="1">
        <w:r w:rsidR="00F87646" w:rsidRPr="00D67C14">
          <w:rPr>
            <w:rStyle w:val="Hyperlink"/>
          </w:rPr>
          <w:t>Note 5:</w:t>
        </w:r>
        <w:r w:rsidR="00F87646">
          <w:rPr>
            <w:rFonts w:asciiTheme="minorHAnsi" w:eastAsiaTheme="minorEastAsia" w:hAnsiTheme="minorHAnsi" w:cstheme="minorBidi"/>
            <w:sz w:val="22"/>
            <w:szCs w:val="22"/>
            <w:lang w:eastAsia="en-AU"/>
          </w:rPr>
          <w:tab/>
        </w:r>
        <w:r w:rsidR="00F87646" w:rsidRPr="00D67C14">
          <w:rPr>
            <w:rStyle w:val="Hyperlink"/>
          </w:rPr>
          <w:t>Grants</w:t>
        </w:r>
        <w:r w:rsidR="00F87646">
          <w:rPr>
            <w:webHidden/>
          </w:rPr>
          <w:tab/>
        </w:r>
        <w:r w:rsidR="00F87646">
          <w:rPr>
            <w:webHidden/>
          </w:rPr>
          <w:fldChar w:fldCharType="begin"/>
        </w:r>
        <w:r w:rsidR="00F87646">
          <w:rPr>
            <w:webHidden/>
          </w:rPr>
          <w:instrText xml:space="preserve"> PAGEREF _Toc403141609 \h </w:instrText>
        </w:r>
        <w:r w:rsidR="00F87646">
          <w:rPr>
            <w:webHidden/>
          </w:rPr>
        </w:r>
        <w:r w:rsidR="00F87646">
          <w:rPr>
            <w:webHidden/>
          </w:rPr>
          <w:fldChar w:fldCharType="separate"/>
        </w:r>
        <w:r w:rsidR="00F87646">
          <w:rPr>
            <w:webHidden/>
          </w:rPr>
          <w:t>45</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0" w:history="1">
        <w:r w:rsidR="00F87646" w:rsidRPr="00D67C14">
          <w:rPr>
            <w:rStyle w:val="Hyperlink"/>
          </w:rPr>
          <w:t>Note 6:</w:t>
        </w:r>
        <w:r w:rsidR="00F87646">
          <w:rPr>
            <w:rFonts w:asciiTheme="minorHAnsi" w:eastAsiaTheme="minorEastAsia" w:hAnsiTheme="minorHAnsi" w:cstheme="minorBidi"/>
            <w:sz w:val="22"/>
            <w:szCs w:val="22"/>
            <w:lang w:eastAsia="en-AU"/>
          </w:rPr>
          <w:tab/>
        </w:r>
        <w:r w:rsidR="00F87646" w:rsidRPr="00D67C14">
          <w:rPr>
            <w:rStyle w:val="Hyperlink"/>
          </w:rPr>
          <w:t>Other revenue</w:t>
        </w:r>
        <w:r w:rsidR="00F87646">
          <w:rPr>
            <w:webHidden/>
          </w:rPr>
          <w:tab/>
        </w:r>
        <w:r w:rsidR="00F87646">
          <w:rPr>
            <w:webHidden/>
          </w:rPr>
          <w:fldChar w:fldCharType="begin"/>
        </w:r>
        <w:r w:rsidR="00F87646">
          <w:rPr>
            <w:webHidden/>
          </w:rPr>
          <w:instrText xml:space="preserve"> PAGEREF _Toc403141610 \h </w:instrText>
        </w:r>
        <w:r w:rsidR="00F87646">
          <w:rPr>
            <w:webHidden/>
          </w:rPr>
        </w:r>
        <w:r w:rsidR="00F87646">
          <w:rPr>
            <w:webHidden/>
          </w:rPr>
          <w:fldChar w:fldCharType="separate"/>
        </w:r>
        <w:r w:rsidR="00F87646">
          <w:rPr>
            <w:webHidden/>
          </w:rPr>
          <w:t>45</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1" w:history="1">
        <w:r w:rsidR="00F87646" w:rsidRPr="00D67C14">
          <w:rPr>
            <w:rStyle w:val="Hyperlink"/>
          </w:rPr>
          <w:t>Note 7:</w:t>
        </w:r>
        <w:r w:rsidR="00F87646">
          <w:rPr>
            <w:rFonts w:asciiTheme="minorHAnsi" w:eastAsiaTheme="minorEastAsia" w:hAnsiTheme="minorHAnsi" w:cstheme="minorBidi"/>
            <w:sz w:val="22"/>
            <w:szCs w:val="22"/>
            <w:lang w:eastAsia="en-AU"/>
          </w:rPr>
          <w:tab/>
        </w:r>
        <w:r w:rsidR="00F87646" w:rsidRPr="00D67C14">
          <w:rPr>
            <w:rStyle w:val="Hyperlink"/>
          </w:rPr>
          <w:t>Superannuation</w:t>
        </w:r>
        <w:r w:rsidR="00F87646">
          <w:rPr>
            <w:webHidden/>
          </w:rPr>
          <w:tab/>
        </w:r>
        <w:r w:rsidR="00F87646">
          <w:rPr>
            <w:webHidden/>
          </w:rPr>
          <w:fldChar w:fldCharType="begin"/>
        </w:r>
        <w:r w:rsidR="00F87646">
          <w:rPr>
            <w:webHidden/>
          </w:rPr>
          <w:instrText xml:space="preserve"> PAGEREF _Toc403141611 \h </w:instrText>
        </w:r>
        <w:r w:rsidR="00F87646">
          <w:rPr>
            <w:webHidden/>
          </w:rPr>
        </w:r>
        <w:r w:rsidR="00F87646">
          <w:rPr>
            <w:webHidden/>
          </w:rPr>
          <w:fldChar w:fldCharType="separate"/>
        </w:r>
        <w:r w:rsidR="00F87646">
          <w:rPr>
            <w:webHidden/>
          </w:rPr>
          <w:t>46</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2" w:history="1">
        <w:r w:rsidR="00F87646" w:rsidRPr="00D67C14">
          <w:rPr>
            <w:rStyle w:val="Hyperlink"/>
          </w:rPr>
          <w:t>Note 8:</w:t>
        </w:r>
        <w:r w:rsidR="00F87646">
          <w:rPr>
            <w:rFonts w:asciiTheme="minorHAnsi" w:eastAsiaTheme="minorEastAsia" w:hAnsiTheme="minorHAnsi" w:cstheme="minorBidi"/>
            <w:sz w:val="22"/>
            <w:szCs w:val="22"/>
            <w:lang w:eastAsia="en-AU"/>
          </w:rPr>
          <w:tab/>
        </w:r>
        <w:r w:rsidR="00F87646" w:rsidRPr="00D67C14">
          <w:rPr>
            <w:rStyle w:val="Hyperlink"/>
          </w:rPr>
          <w:t>Depreciation</w:t>
        </w:r>
        <w:r w:rsidR="00F87646">
          <w:rPr>
            <w:webHidden/>
          </w:rPr>
          <w:tab/>
        </w:r>
        <w:r w:rsidR="00F87646">
          <w:rPr>
            <w:webHidden/>
          </w:rPr>
          <w:fldChar w:fldCharType="begin"/>
        </w:r>
        <w:r w:rsidR="00F87646">
          <w:rPr>
            <w:webHidden/>
          </w:rPr>
          <w:instrText xml:space="preserve"> PAGEREF _Toc403141612 \h </w:instrText>
        </w:r>
        <w:r w:rsidR="00F87646">
          <w:rPr>
            <w:webHidden/>
          </w:rPr>
        </w:r>
        <w:r w:rsidR="00F87646">
          <w:rPr>
            <w:webHidden/>
          </w:rPr>
          <w:fldChar w:fldCharType="separate"/>
        </w:r>
        <w:r w:rsidR="00F87646">
          <w:rPr>
            <w:webHidden/>
          </w:rPr>
          <w:t>49</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3" w:history="1">
        <w:r w:rsidR="00F87646" w:rsidRPr="00D67C14">
          <w:rPr>
            <w:rStyle w:val="Hyperlink"/>
          </w:rPr>
          <w:t>Note 9:</w:t>
        </w:r>
        <w:r w:rsidR="00F87646">
          <w:rPr>
            <w:rFonts w:asciiTheme="minorHAnsi" w:eastAsiaTheme="minorEastAsia" w:hAnsiTheme="minorHAnsi" w:cstheme="minorBidi"/>
            <w:sz w:val="22"/>
            <w:szCs w:val="22"/>
            <w:lang w:eastAsia="en-AU"/>
          </w:rPr>
          <w:tab/>
        </w:r>
        <w:r w:rsidR="00F87646" w:rsidRPr="00D67C14">
          <w:rPr>
            <w:rStyle w:val="Hyperlink"/>
          </w:rPr>
          <w:t>Interest expense</w:t>
        </w:r>
        <w:r w:rsidR="00F87646">
          <w:rPr>
            <w:webHidden/>
          </w:rPr>
          <w:tab/>
        </w:r>
        <w:r w:rsidR="00F87646">
          <w:rPr>
            <w:webHidden/>
          </w:rPr>
          <w:fldChar w:fldCharType="begin"/>
        </w:r>
        <w:r w:rsidR="00F87646">
          <w:rPr>
            <w:webHidden/>
          </w:rPr>
          <w:instrText xml:space="preserve"> PAGEREF _Toc403141613 \h </w:instrText>
        </w:r>
        <w:r w:rsidR="00F87646">
          <w:rPr>
            <w:webHidden/>
          </w:rPr>
        </w:r>
        <w:r w:rsidR="00F87646">
          <w:rPr>
            <w:webHidden/>
          </w:rPr>
          <w:fldChar w:fldCharType="separate"/>
        </w:r>
        <w:r w:rsidR="00F87646">
          <w:rPr>
            <w:webHidden/>
          </w:rPr>
          <w:t>49</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4" w:history="1">
        <w:r w:rsidR="00F87646" w:rsidRPr="00D67C14">
          <w:rPr>
            <w:rStyle w:val="Hyperlink"/>
          </w:rPr>
          <w:t>Note 10:</w:t>
        </w:r>
        <w:r w:rsidR="00F87646">
          <w:rPr>
            <w:rFonts w:asciiTheme="minorHAnsi" w:eastAsiaTheme="minorEastAsia" w:hAnsiTheme="minorHAnsi" w:cstheme="minorBidi"/>
            <w:sz w:val="22"/>
            <w:szCs w:val="22"/>
            <w:lang w:eastAsia="en-AU"/>
          </w:rPr>
          <w:tab/>
        </w:r>
        <w:r w:rsidR="00F87646" w:rsidRPr="00D67C14">
          <w:rPr>
            <w:rStyle w:val="Hyperlink"/>
          </w:rPr>
          <w:t>Grants and other transfers</w:t>
        </w:r>
        <w:r w:rsidR="00F87646">
          <w:rPr>
            <w:webHidden/>
          </w:rPr>
          <w:tab/>
        </w:r>
        <w:r w:rsidR="00F87646">
          <w:rPr>
            <w:webHidden/>
          </w:rPr>
          <w:fldChar w:fldCharType="begin"/>
        </w:r>
        <w:r w:rsidR="00F87646">
          <w:rPr>
            <w:webHidden/>
          </w:rPr>
          <w:instrText xml:space="preserve"> PAGEREF _Toc403141614 \h </w:instrText>
        </w:r>
        <w:r w:rsidR="00F87646">
          <w:rPr>
            <w:webHidden/>
          </w:rPr>
        </w:r>
        <w:r w:rsidR="00F87646">
          <w:rPr>
            <w:webHidden/>
          </w:rPr>
          <w:fldChar w:fldCharType="separate"/>
        </w:r>
        <w:r w:rsidR="00F87646">
          <w:rPr>
            <w:webHidden/>
          </w:rPr>
          <w:t>50</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5" w:history="1">
        <w:r w:rsidR="00F87646" w:rsidRPr="00D67C14">
          <w:rPr>
            <w:rStyle w:val="Hyperlink"/>
          </w:rPr>
          <w:t>Note 11:</w:t>
        </w:r>
        <w:r w:rsidR="00F87646">
          <w:rPr>
            <w:rFonts w:asciiTheme="minorHAnsi" w:eastAsiaTheme="minorEastAsia" w:hAnsiTheme="minorHAnsi" w:cstheme="minorBidi"/>
            <w:sz w:val="22"/>
            <w:szCs w:val="22"/>
            <w:lang w:eastAsia="en-AU"/>
          </w:rPr>
          <w:tab/>
        </w:r>
        <w:r w:rsidR="00F87646" w:rsidRPr="00D67C14">
          <w:rPr>
            <w:rStyle w:val="Hyperlink"/>
          </w:rPr>
          <w:t>Other operating expenses</w:t>
        </w:r>
        <w:r w:rsidR="00F87646">
          <w:rPr>
            <w:webHidden/>
          </w:rPr>
          <w:tab/>
        </w:r>
        <w:r w:rsidR="00F87646">
          <w:rPr>
            <w:webHidden/>
          </w:rPr>
          <w:fldChar w:fldCharType="begin"/>
        </w:r>
        <w:r w:rsidR="00F87646">
          <w:rPr>
            <w:webHidden/>
          </w:rPr>
          <w:instrText xml:space="preserve"> PAGEREF _Toc403141615 \h </w:instrText>
        </w:r>
        <w:r w:rsidR="00F87646">
          <w:rPr>
            <w:webHidden/>
          </w:rPr>
        </w:r>
        <w:r w:rsidR="00F87646">
          <w:rPr>
            <w:webHidden/>
          </w:rPr>
          <w:fldChar w:fldCharType="separate"/>
        </w:r>
        <w:r w:rsidR="00F87646">
          <w:rPr>
            <w:webHidden/>
          </w:rPr>
          <w:t>50</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6" w:history="1">
        <w:r w:rsidR="00F87646" w:rsidRPr="00D67C14">
          <w:rPr>
            <w:rStyle w:val="Hyperlink"/>
          </w:rPr>
          <w:t>Note 12:</w:t>
        </w:r>
        <w:r w:rsidR="00F87646">
          <w:rPr>
            <w:rFonts w:asciiTheme="minorHAnsi" w:eastAsiaTheme="minorEastAsia" w:hAnsiTheme="minorHAnsi" w:cstheme="minorBidi"/>
            <w:sz w:val="22"/>
            <w:szCs w:val="22"/>
            <w:lang w:eastAsia="en-AU"/>
          </w:rPr>
          <w:tab/>
        </w:r>
        <w:r w:rsidR="00F87646" w:rsidRPr="00D67C14">
          <w:rPr>
            <w:rStyle w:val="Hyperlink"/>
          </w:rPr>
          <w:t>Total expenses by government purpose and by department</w:t>
        </w:r>
        <w:r w:rsidR="00F87646">
          <w:rPr>
            <w:webHidden/>
          </w:rPr>
          <w:tab/>
        </w:r>
        <w:r w:rsidR="00F87646">
          <w:rPr>
            <w:webHidden/>
          </w:rPr>
          <w:fldChar w:fldCharType="begin"/>
        </w:r>
        <w:r w:rsidR="00F87646">
          <w:rPr>
            <w:webHidden/>
          </w:rPr>
          <w:instrText xml:space="preserve"> PAGEREF _Toc403141616 \h </w:instrText>
        </w:r>
        <w:r w:rsidR="00F87646">
          <w:rPr>
            <w:webHidden/>
          </w:rPr>
        </w:r>
        <w:r w:rsidR="00F87646">
          <w:rPr>
            <w:webHidden/>
          </w:rPr>
          <w:fldChar w:fldCharType="separate"/>
        </w:r>
        <w:r w:rsidR="00F87646">
          <w:rPr>
            <w:webHidden/>
          </w:rPr>
          <w:t>51</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7" w:history="1">
        <w:r w:rsidR="00F87646" w:rsidRPr="00D67C14">
          <w:rPr>
            <w:rStyle w:val="Hyperlink"/>
          </w:rPr>
          <w:t>Note 13:</w:t>
        </w:r>
        <w:r w:rsidR="00F87646">
          <w:rPr>
            <w:rFonts w:asciiTheme="minorHAnsi" w:eastAsiaTheme="minorEastAsia" w:hAnsiTheme="minorHAnsi" w:cstheme="minorBidi"/>
            <w:sz w:val="22"/>
            <w:szCs w:val="22"/>
            <w:lang w:eastAsia="en-AU"/>
          </w:rPr>
          <w:tab/>
        </w:r>
        <w:r w:rsidR="00F87646" w:rsidRPr="00D67C14">
          <w:rPr>
            <w:rStyle w:val="Hyperlink"/>
          </w:rPr>
          <w:t>Other gains/(losses) from other economic flows</w:t>
        </w:r>
        <w:r w:rsidR="00F87646">
          <w:rPr>
            <w:webHidden/>
          </w:rPr>
          <w:tab/>
        </w:r>
        <w:r w:rsidR="00F87646">
          <w:rPr>
            <w:webHidden/>
          </w:rPr>
          <w:fldChar w:fldCharType="begin"/>
        </w:r>
        <w:r w:rsidR="00F87646">
          <w:rPr>
            <w:webHidden/>
          </w:rPr>
          <w:instrText xml:space="preserve"> PAGEREF _Toc403141617 \h </w:instrText>
        </w:r>
        <w:r w:rsidR="00F87646">
          <w:rPr>
            <w:webHidden/>
          </w:rPr>
        </w:r>
        <w:r w:rsidR="00F87646">
          <w:rPr>
            <w:webHidden/>
          </w:rPr>
          <w:fldChar w:fldCharType="separate"/>
        </w:r>
        <w:r w:rsidR="00F87646">
          <w:rPr>
            <w:webHidden/>
          </w:rPr>
          <w:t>53</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8" w:history="1">
        <w:r w:rsidR="00F87646" w:rsidRPr="00D67C14">
          <w:rPr>
            <w:rStyle w:val="Hyperlink"/>
          </w:rPr>
          <w:t>Note 14:</w:t>
        </w:r>
        <w:r w:rsidR="00F87646">
          <w:rPr>
            <w:rFonts w:asciiTheme="minorHAnsi" w:eastAsiaTheme="minorEastAsia" w:hAnsiTheme="minorHAnsi" w:cstheme="minorBidi"/>
            <w:sz w:val="22"/>
            <w:szCs w:val="22"/>
            <w:lang w:eastAsia="en-AU"/>
          </w:rPr>
          <w:tab/>
        </w:r>
        <w:r w:rsidR="00F87646" w:rsidRPr="00D67C14">
          <w:rPr>
            <w:rStyle w:val="Hyperlink"/>
          </w:rPr>
          <w:t>Reconciliation of net gain on equity investments in other sector entities at proportional share of net assets</w:t>
        </w:r>
        <w:r w:rsidR="00F87646">
          <w:rPr>
            <w:webHidden/>
          </w:rPr>
          <w:tab/>
        </w:r>
        <w:r w:rsidR="00F87646">
          <w:rPr>
            <w:webHidden/>
          </w:rPr>
          <w:fldChar w:fldCharType="begin"/>
        </w:r>
        <w:r w:rsidR="00F87646">
          <w:rPr>
            <w:webHidden/>
          </w:rPr>
          <w:instrText xml:space="preserve"> PAGEREF _Toc403141618 \h </w:instrText>
        </w:r>
        <w:r w:rsidR="00F87646">
          <w:rPr>
            <w:webHidden/>
          </w:rPr>
        </w:r>
        <w:r w:rsidR="00F87646">
          <w:rPr>
            <w:webHidden/>
          </w:rPr>
          <w:fldChar w:fldCharType="separate"/>
        </w:r>
        <w:r w:rsidR="00F87646">
          <w:rPr>
            <w:webHidden/>
          </w:rPr>
          <w:t>54</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19" w:history="1">
        <w:r w:rsidR="00F87646" w:rsidRPr="00D67C14">
          <w:rPr>
            <w:rStyle w:val="Hyperlink"/>
          </w:rPr>
          <w:t>Note 15:</w:t>
        </w:r>
        <w:r w:rsidR="00F87646">
          <w:rPr>
            <w:rFonts w:asciiTheme="minorHAnsi" w:eastAsiaTheme="minorEastAsia" w:hAnsiTheme="minorHAnsi" w:cstheme="minorBidi"/>
            <w:sz w:val="22"/>
            <w:szCs w:val="22"/>
            <w:lang w:eastAsia="en-AU"/>
          </w:rPr>
          <w:tab/>
        </w:r>
        <w:r w:rsidR="00F87646" w:rsidRPr="00D67C14">
          <w:rPr>
            <w:rStyle w:val="Hyperlink"/>
          </w:rPr>
          <w:t>Net acquisition on non</w:t>
        </w:r>
        <w:r w:rsidR="00F87646" w:rsidRPr="00D67C14">
          <w:rPr>
            <w:rStyle w:val="Hyperlink"/>
          </w:rPr>
          <w:noBreakHyphen/>
          <w:t>financial assets from transactions</w:t>
        </w:r>
        <w:r w:rsidR="00F87646">
          <w:rPr>
            <w:webHidden/>
          </w:rPr>
          <w:tab/>
        </w:r>
        <w:r w:rsidR="00F87646">
          <w:rPr>
            <w:webHidden/>
          </w:rPr>
          <w:fldChar w:fldCharType="begin"/>
        </w:r>
        <w:r w:rsidR="00F87646">
          <w:rPr>
            <w:webHidden/>
          </w:rPr>
          <w:instrText xml:space="preserve"> PAGEREF _Toc403141619 \h </w:instrText>
        </w:r>
        <w:r w:rsidR="00F87646">
          <w:rPr>
            <w:webHidden/>
          </w:rPr>
        </w:r>
        <w:r w:rsidR="00F87646">
          <w:rPr>
            <w:webHidden/>
          </w:rPr>
          <w:fldChar w:fldCharType="separate"/>
        </w:r>
        <w:r w:rsidR="00F87646">
          <w:rPr>
            <w:webHidden/>
          </w:rPr>
          <w:t>54</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0" w:history="1">
        <w:r w:rsidR="00F87646" w:rsidRPr="00D67C14">
          <w:rPr>
            <w:rStyle w:val="Hyperlink"/>
          </w:rPr>
          <w:t>Note 16:</w:t>
        </w:r>
        <w:r w:rsidR="00F87646">
          <w:rPr>
            <w:rFonts w:asciiTheme="minorHAnsi" w:eastAsiaTheme="minorEastAsia" w:hAnsiTheme="minorHAnsi" w:cstheme="minorBidi"/>
            <w:sz w:val="22"/>
            <w:szCs w:val="22"/>
            <w:lang w:eastAsia="en-AU"/>
          </w:rPr>
          <w:tab/>
        </w:r>
        <w:r w:rsidR="00F87646" w:rsidRPr="00D67C14">
          <w:rPr>
            <w:rStyle w:val="Hyperlink"/>
          </w:rPr>
          <w:t>Advances paid and investments, loans and placements</w:t>
        </w:r>
        <w:r w:rsidR="00F87646">
          <w:rPr>
            <w:webHidden/>
          </w:rPr>
          <w:tab/>
        </w:r>
        <w:r w:rsidR="00F87646">
          <w:rPr>
            <w:webHidden/>
          </w:rPr>
          <w:fldChar w:fldCharType="begin"/>
        </w:r>
        <w:r w:rsidR="00F87646">
          <w:rPr>
            <w:webHidden/>
          </w:rPr>
          <w:instrText xml:space="preserve"> PAGEREF _Toc403141620 \h </w:instrText>
        </w:r>
        <w:r w:rsidR="00F87646">
          <w:rPr>
            <w:webHidden/>
          </w:rPr>
        </w:r>
        <w:r w:rsidR="00F87646">
          <w:rPr>
            <w:webHidden/>
          </w:rPr>
          <w:fldChar w:fldCharType="separate"/>
        </w:r>
        <w:r w:rsidR="00F87646">
          <w:rPr>
            <w:webHidden/>
          </w:rPr>
          <w:t>55</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1" w:history="1">
        <w:r w:rsidR="00F87646" w:rsidRPr="00D67C14">
          <w:rPr>
            <w:rStyle w:val="Hyperlink"/>
          </w:rPr>
          <w:t>Note 17:</w:t>
        </w:r>
        <w:r w:rsidR="00F87646">
          <w:rPr>
            <w:rFonts w:asciiTheme="minorHAnsi" w:eastAsiaTheme="minorEastAsia" w:hAnsiTheme="minorHAnsi" w:cstheme="minorBidi"/>
            <w:sz w:val="22"/>
            <w:szCs w:val="22"/>
            <w:lang w:eastAsia="en-AU"/>
          </w:rPr>
          <w:tab/>
        </w:r>
        <w:r w:rsidR="00F87646" w:rsidRPr="00D67C14">
          <w:rPr>
            <w:rStyle w:val="Hyperlink"/>
          </w:rPr>
          <w:t>Land, buildings, infrastructure, plant and equipment</w:t>
        </w:r>
        <w:r w:rsidR="00F87646">
          <w:rPr>
            <w:webHidden/>
          </w:rPr>
          <w:tab/>
        </w:r>
        <w:r w:rsidR="00F87646">
          <w:rPr>
            <w:webHidden/>
          </w:rPr>
          <w:fldChar w:fldCharType="begin"/>
        </w:r>
        <w:r w:rsidR="00F87646">
          <w:rPr>
            <w:webHidden/>
          </w:rPr>
          <w:instrText xml:space="preserve"> PAGEREF _Toc403141621 \h </w:instrText>
        </w:r>
        <w:r w:rsidR="00F87646">
          <w:rPr>
            <w:webHidden/>
          </w:rPr>
        </w:r>
        <w:r w:rsidR="00F87646">
          <w:rPr>
            <w:webHidden/>
          </w:rPr>
          <w:fldChar w:fldCharType="separate"/>
        </w:r>
        <w:r w:rsidR="00F87646">
          <w:rPr>
            <w:webHidden/>
          </w:rPr>
          <w:t>56</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2" w:history="1">
        <w:r w:rsidR="00F87646" w:rsidRPr="00D67C14">
          <w:rPr>
            <w:rStyle w:val="Hyperlink"/>
          </w:rPr>
          <w:t>Note 18:</w:t>
        </w:r>
        <w:r w:rsidR="00F87646">
          <w:rPr>
            <w:rFonts w:asciiTheme="minorHAnsi" w:eastAsiaTheme="minorEastAsia" w:hAnsiTheme="minorHAnsi" w:cstheme="minorBidi"/>
            <w:sz w:val="22"/>
            <w:szCs w:val="22"/>
            <w:lang w:eastAsia="en-AU"/>
          </w:rPr>
          <w:tab/>
        </w:r>
        <w:r w:rsidR="00F87646" w:rsidRPr="00D67C14">
          <w:rPr>
            <w:rStyle w:val="Hyperlink"/>
          </w:rPr>
          <w:t>Reconciliation of movements in land, buildings, infrastructure, plant and equipment</w:t>
        </w:r>
        <w:r w:rsidR="00F87646">
          <w:rPr>
            <w:webHidden/>
          </w:rPr>
          <w:tab/>
        </w:r>
        <w:r w:rsidR="00F87646">
          <w:rPr>
            <w:webHidden/>
          </w:rPr>
          <w:fldChar w:fldCharType="begin"/>
        </w:r>
        <w:r w:rsidR="00F87646">
          <w:rPr>
            <w:webHidden/>
          </w:rPr>
          <w:instrText xml:space="preserve"> PAGEREF _Toc403141622 \h </w:instrText>
        </w:r>
        <w:r w:rsidR="00F87646">
          <w:rPr>
            <w:webHidden/>
          </w:rPr>
        </w:r>
        <w:r w:rsidR="00F87646">
          <w:rPr>
            <w:webHidden/>
          </w:rPr>
          <w:fldChar w:fldCharType="separate"/>
        </w:r>
        <w:r w:rsidR="00F87646">
          <w:rPr>
            <w:webHidden/>
          </w:rPr>
          <w:t>56</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3" w:history="1">
        <w:r w:rsidR="00F87646" w:rsidRPr="00D67C14">
          <w:rPr>
            <w:rStyle w:val="Hyperlink"/>
          </w:rPr>
          <w:t>Note 19:</w:t>
        </w:r>
        <w:r w:rsidR="00F87646">
          <w:rPr>
            <w:rFonts w:asciiTheme="minorHAnsi" w:eastAsiaTheme="minorEastAsia" w:hAnsiTheme="minorHAnsi" w:cstheme="minorBidi"/>
            <w:sz w:val="22"/>
            <w:szCs w:val="22"/>
            <w:lang w:eastAsia="en-AU"/>
          </w:rPr>
          <w:tab/>
        </w:r>
        <w:r w:rsidR="00F87646" w:rsidRPr="00D67C14">
          <w:rPr>
            <w:rStyle w:val="Hyperlink"/>
          </w:rPr>
          <w:t>Assets classified by government purpose and by department</w:t>
        </w:r>
        <w:r w:rsidR="00F87646">
          <w:rPr>
            <w:webHidden/>
          </w:rPr>
          <w:tab/>
        </w:r>
        <w:r w:rsidR="00F87646">
          <w:rPr>
            <w:webHidden/>
          </w:rPr>
          <w:fldChar w:fldCharType="begin"/>
        </w:r>
        <w:r w:rsidR="00F87646">
          <w:rPr>
            <w:webHidden/>
          </w:rPr>
          <w:instrText xml:space="preserve"> PAGEREF _Toc403141623 \h </w:instrText>
        </w:r>
        <w:r w:rsidR="00F87646">
          <w:rPr>
            <w:webHidden/>
          </w:rPr>
        </w:r>
        <w:r w:rsidR="00F87646">
          <w:rPr>
            <w:webHidden/>
          </w:rPr>
          <w:fldChar w:fldCharType="separate"/>
        </w:r>
        <w:r w:rsidR="00F87646">
          <w:rPr>
            <w:webHidden/>
          </w:rPr>
          <w:t>57</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4" w:history="1">
        <w:r w:rsidR="00F87646" w:rsidRPr="00D67C14">
          <w:rPr>
            <w:rStyle w:val="Hyperlink"/>
          </w:rPr>
          <w:t>Note 20:</w:t>
        </w:r>
        <w:r w:rsidR="00F87646">
          <w:rPr>
            <w:rFonts w:asciiTheme="minorHAnsi" w:eastAsiaTheme="minorEastAsia" w:hAnsiTheme="minorHAnsi" w:cstheme="minorBidi"/>
            <w:sz w:val="22"/>
            <w:szCs w:val="22"/>
            <w:lang w:eastAsia="en-AU"/>
          </w:rPr>
          <w:tab/>
        </w:r>
        <w:r w:rsidR="00F87646" w:rsidRPr="00D67C14">
          <w:rPr>
            <w:rStyle w:val="Hyperlink"/>
          </w:rPr>
          <w:t>Payables</w:t>
        </w:r>
        <w:r w:rsidR="00F87646">
          <w:rPr>
            <w:webHidden/>
          </w:rPr>
          <w:tab/>
        </w:r>
        <w:r w:rsidR="00F87646">
          <w:rPr>
            <w:webHidden/>
          </w:rPr>
          <w:fldChar w:fldCharType="begin"/>
        </w:r>
        <w:r w:rsidR="00F87646">
          <w:rPr>
            <w:webHidden/>
          </w:rPr>
          <w:instrText xml:space="preserve"> PAGEREF _Toc403141624 \h </w:instrText>
        </w:r>
        <w:r w:rsidR="00F87646">
          <w:rPr>
            <w:webHidden/>
          </w:rPr>
        </w:r>
        <w:r w:rsidR="00F87646">
          <w:rPr>
            <w:webHidden/>
          </w:rPr>
          <w:fldChar w:fldCharType="separate"/>
        </w:r>
        <w:r w:rsidR="00F87646">
          <w:rPr>
            <w:webHidden/>
          </w:rPr>
          <w:t>60</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5" w:history="1">
        <w:r w:rsidR="00F87646" w:rsidRPr="00D67C14">
          <w:rPr>
            <w:rStyle w:val="Hyperlink"/>
          </w:rPr>
          <w:t>Note 21:</w:t>
        </w:r>
        <w:r w:rsidR="00F87646">
          <w:rPr>
            <w:rFonts w:asciiTheme="minorHAnsi" w:eastAsiaTheme="minorEastAsia" w:hAnsiTheme="minorHAnsi" w:cstheme="minorBidi"/>
            <w:sz w:val="22"/>
            <w:szCs w:val="22"/>
            <w:lang w:eastAsia="en-AU"/>
          </w:rPr>
          <w:tab/>
        </w:r>
        <w:r w:rsidR="00F87646" w:rsidRPr="00D67C14">
          <w:rPr>
            <w:rStyle w:val="Hyperlink"/>
          </w:rPr>
          <w:t>Borrowings</w:t>
        </w:r>
        <w:r w:rsidR="00F87646">
          <w:rPr>
            <w:webHidden/>
          </w:rPr>
          <w:tab/>
        </w:r>
        <w:r w:rsidR="00F87646">
          <w:rPr>
            <w:webHidden/>
          </w:rPr>
          <w:fldChar w:fldCharType="begin"/>
        </w:r>
        <w:r w:rsidR="00F87646">
          <w:rPr>
            <w:webHidden/>
          </w:rPr>
          <w:instrText xml:space="preserve"> PAGEREF _Toc403141625 \h </w:instrText>
        </w:r>
        <w:r w:rsidR="00F87646">
          <w:rPr>
            <w:webHidden/>
          </w:rPr>
        </w:r>
        <w:r w:rsidR="00F87646">
          <w:rPr>
            <w:webHidden/>
          </w:rPr>
          <w:fldChar w:fldCharType="separate"/>
        </w:r>
        <w:r w:rsidR="00F87646">
          <w:rPr>
            <w:webHidden/>
          </w:rPr>
          <w:t>60</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6" w:history="1">
        <w:r w:rsidR="00F87646" w:rsidRPr="00D67C14">
          <w:rPr>
            <w:rStyle w:val="Hyperlink"/>
          </w:rPr>
          <w:t>Note 22:</w:t>
        </w:r>
        <w:r w:rsidR="00F87646">
          <w:rPr>
            <w:rFonts w:asciiTheme="minorHAnsi" w:eastAsiaTheme="minorEastAsia" w:hAnsiTheme="minorHAnsi" w:cstheme="minorBidi"/>
            <w:sz w:val="22"/>
            <w:szCs w:val="22"/>
            <w:lang w:eastAsia="en-AU"/>
          </w:rPr>
          <w:tab/>
        </w:r>
        <w:r w:rsidR="00F87646" w:rsidRPr="00D67C14">
          <w:rPr>
            <w:rStyle w:val="Hyperlink"/>
          </w:rPr>
          <w:t>Employee benefits</w:t>
        </w:r>
        <w:r w:rsidR="00F87646">
          <w:rPr>
            <w:webHidden/>
          </w:rPr>
          <w:tab/>
        </w:r>
        <w:r w:rsidR="00F87646">
          <w:rPr>
            <w:webHidden/>
          </w:rPr>
          <w:fldChar w:fldCharType="begin"/>
        </w:r>
        <w:r w:rsidR="00F87646">
          <w:rPr>
            <w:webHidden/>
          </w:rPr>
          <w:instrText xml:space="preserve"> PAGEREF _Toc403141626 \h </w:instrText>
        </w:r>
        <w:r w:rsidR="00F87646">
          <w:rPr>
            <w:webHidden/>
          </w:rPr>
        </w:r>
        <w:r w:rsidR="00F87646">
          <w:rPr>
            <w:webHidden/>
          </w:rPr>
          <w:fldChar w:fldCharType="separate"/>
        </w:r>
        <w:r w:rsidR="00F87646">
          <w:rPr>
            <w:webHidden/>
          </w:rPr>
          <w:t>61</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7" w:history="1">
        <w:r w:rsidR="00F87646" w:rsidRPr="00D67C14">
          <w:rPr>
            <w:rStyle w:val="Hyperlink"/>
          </w:rPr>
          <w:t>Note 23:</w:t>
        </w:r>
        <w:r w:rsidR="00F87646">
          <w:rPr>
            <w:rFonts w:asciiTheme="minorHAnsi" w:eastAsiaTheme="minorEastAsia" w:hAnsiTheme="minorHAnsi" w:cstheme="minorBidi"/>
            <w:sz w:val="22"/>
            <w:szCs w:val="22"/>
            <w:lang w:eastAsia="en-AU"/>
          </w:rPr>
          <w:tab/>
        </w:r>
        <w:r w:rsidR="00F87646" w:rsidRPr="00D67C14">
          <w:rPr>
            <w:rStyle w:val="Hyperlink"/>
          </w:rPr>
          <w:t>Reserves</w:t>
        </w:r>
        <w:r w:rsidR="00F87646">
          <w:rPr>
            <w:webHidden/>
          </w:rPr>
          <w:tab/>
        </w:r>
        <w:r w:rsidR="00F87646">
          <w:rPr>
            <w:webHidden/>
          </w:rPr>
          <w:fldChar w:fldCharType="begin"/>
        </w:r>
        <w:r w:rsidR="00F87646">
          <w:rPr>
            <w:webHidden/>
          </w:rPr>
          <w:instrText xml:space="preserve"> PAGEREF _Toc403141627 \h </w:instrText>
        </w:r>
        <w:r w:rsidR="00F87646">
          <w:rPr>
            <w:webHidden/>
          </w:rPr>
        </w:r>
        <w:r w:rsidR="00F87646">
          <w:rPr>
            <w:webHidden/>
          </w:rPr>
          <w:fldChar w:fldCharType="separate"/>
        </w:r>
        <w:r w:rsidR="00F87646">
          <w:rPr>
            <w:webHidden/>
          </w:rPr>
          <w:t>61</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8" w:history="1">
        <w:r w:rsidR="00F87646" w:rsidRPr="00D67C14">
          <w:rPr>
            <w:rStyle w:val="Hyperlink"/>
          </w:rPr>
          <w:t>Note 24:</w:t>
        </w:r>
        <w:r w:rsidR="00F87646">
          <w:rPr>
            <w:rFonts w:asciiTheme="minorHAnsi" w:eastAsiaTheme="minorEastAsia" w:hAnsiTheme="minorHAnsi" w:cstheme="minorBidi"/>
            <w:sz w:val="22"/>
            <w:szCs w:val="22"/>
            <w:lang w:eastAsia="en-AU"/>
          </w:rPr>
          <w:tab/>
        </w:r>
        <w:r w:rsidR="00F87646" w:rsidRPr="00D67C14">
          <w:rPr>
            <w:rStyle w:val="Hyperlink"/>
          </w:rPr>
          <w:t>Reconciliations to government finance statistics – derivation of GFS cash/surplus deficit</w:t>
        </w:r>
        <w:r w:rsidR="00F87646">
          <w:rPr>
            <w:webHidden/>
          </w:rPr>
          <w:tab/>
        </w:r>
        <w:r w:rsidR="00F87646">
          <w:rPr>
            <w:webHidden/>
          </w:rPr>
          <w:fldChar w:fldCharType="begin"/>
        </w:r>
        <w:r w:rsidR="00F87646">
          <w:rPr>
            <w:webHidden/>
          </w:rPr>
          <w:instrText xml:space="preserve"> PAGEREF _Toc403141628 \h </w:instrText>
        </w:r>
        <w:r w:rsidR="00F87646">
          <w:rPr>
            <w:webHidden/>
          </w:rPr>
        </w:r>
        <w:r w:rsidR="00F87646">
          <w:rPr>
            <w:webHidden/>
          </w:rPr>
          <w:fldChar w:fldCharType="separate"/>
        </w:r>
        <w:r w:rsidR="00F87646">
          <w:rPr>
            <w:webHidden/>
          </w:rPr>
          <w:t>62</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29" w:history="1">
        <w:r w:rsidR="00F87646" w:rsidRPr="00D67C14">
          <w:rPr>
            <w:rStyle w:val="Hyperlink"/>
          </w:rPr>
          <w:t>Note 25:</w:t>
        </w:r>
        <w:r w:rsidR="00F87646">
          <w:rPr>
            <w:rFonts w:asciiTheme="minorHAnsi" w:eastAsiaTheme="minorEastAsia" w:hAnsiTheme="minorHAnsi" w:cstheme="minorBidi"/>
            <w:sz w:val="22"/>
            <w:szCs w:val="22"/>
            <w:lang w:eastAsia="en-AU"/>
          </w:rPr>
          <w:tab/>
        </w:r>
        <w:r w:rsidR="00F87646" w:rsidRPr="00D67C14">
          <w:rPr>
            <w:rStyle w:val="Hyperlink"/>
          </w:rPr>
          <w:t>Financial instruments</w:t>
        </w:r>
        <w:r w:rsidR="00F87646">
          <w:rPr>
            <w:webHidden/>
          </w:rPr>
          <w:tab/>
        </w:r>
        <w:r w:rsidR="00F87646">
          <w:rPr>
            <w:webHidden/>
          </w:rPr>
          <w:fldChar w:fldCharType="begin"/>
        </w:r>
        <w:r w:rsidR="00F87646">
          <w:rPr>
            <w:webHidden/>
          </w:rPr>
          <w:instrText xml:space="preserve"> PAGEREF _Toc403141629 \h </w:instrText>
        </w:r>
        <w:r w:rsidR="00F87646">
          <w:rPr>
            <w:webHidden/>
          </w:rPr>
        </w:r>
        <w:r w:rsidR="00F87646">
          <w:rPr>
            <w:webHidden/>
          </w:rPr>
          <w:fldChar w:fldCharType="separate"/>
        </w:r>
        <w:r w:rsidR="00F87646">
          <w:rPr>
            <w:webHidden/>
          </w:rPr>
          <w:t>62</w:t>
        </w:r>
        <w:r w:rsidR="00F87646">
          <w:rPr>
            <w:webHidden/>
          </w:rPr>
          <w:fldChar w:fldCharType="end"/>
        </w:r>
      </w:hyperlink>
    </w:p>
    <w:p w:rsidR="00F87646" w:rsidRDefault="00C414AB">
      <w:pPr>
        <w:pStyle w:val="TOC4"/>
        <w:rPr>
          <w:rFonts w:asciiTheme="minorHAnsi" w:eastAsiaTheme="minorEastAsia" w:hAnsiTheme="minorHAnsi" w:cstheme="minorBidi"/>
          <w:sz w:val="22"/>
          <w:szCs w:val="22"/>
          <w:lang w:eastAsia="en-AU"/>
        </w:rPr>
      </w:pPr>
      <w:hyperlink w:anchor="_Toc403141630" w:history="1">
        <w:r w:rsidR="00F87646" w:rsidRPr="00D67C14">
          <w:rPr>
            <w:rStyle w:val="Hyperlink"/>
          </w:rPr>
          <w:t>Note 26:</w:t>
        </w:r>
        <w:r w:rsidR="00F87646">
          <w:rPr>
            <w:rFonts w:asciiTheme="minorHAnsi" w:eastAsiaTheme="minorEastAsia" w:hAnsiTheme="minorHAnsi" w:cstheme="minorBidi"/>
            <w:sz w:val="22"/>
            <w:szCs w:val="22"/>
            <w:lang w:eastAsia="en-AU"/>
          </w:rPr>
          <w:tab/>
        </w:r>
        <w:r w:rsidR="00F87646" w:rsidRPr="00D67C14">
          <w:rPr>
            <w:rStyle w:val="Hyperlink"/>
          </w:rPr>
          <w:t>Controlled entities</w:t>
        </w:r>
        <w:r w:rsidR="00F87646">
          <w:rPr>
            <w:webHidden/>
          </w:rPr>
          <w:tab/>
        </w:r>
        <w:r w:rsidR="00F87646">
          <w:rPr>
            <w:webHidden/>
          </w:rPr>
          <w:fldChar w:fldCharType="begin"/>
        </w:r>
        <w:r w:rsidR="00F87646">
          <w:rPr>
            <w:webHidden/>
          </w:rPr>
          <w:instrText xml:space="preserve"> PAGEREF _Toc403141630 \h </w:instrText>
        </w:r>
        <w:r w:rsidR="00F87646">
          <w:rPr>
            <w:webHidden/>
          </w:rPr>
        </w:r>
        <w:r w:rsidR="00F87646">
          <w:rPr>
            <w:webHidden/>
          </w:rPr>
          <w:fldChar w:fldCharType="separate"/>
        </w:r>
        <w:r w:rsidR="00F87646">
          <w:rPr>
            <w:webHidden/>
          </w:rPr>
          <w:t>63</w:t>
        </w:r>
        <w:r w:rsidR="00F87646">
          <w:rPr>
            <w:webHidden/>
          </w:rPr>
          <w:fldChar w:fldCharType="end"/>
        </w:r>
      </w:hyperlink>
    </w:p>
    <w:p w:rsidR="00F87646" w:rsidRDefault="00F87646" w:rsidP="005E2118">
      <w:r>
        <w:fldChar w:fldCharType="end"/>
      </w:r>
    </w:p>
    <w:p w:rsidR="00F87646" w:rsidRDefault="00F87646">
      <w:pPr>
        <w:spacing w:after="0"/>
        <w:rPr>
          <w:rFonts w:ascii="Calibri" w:hAnsi="Calibri"/>
          <w:b/>
          <w:kern w:val="28"/>
          <w:sz w:val="26"/>
          <w:szCs w:val="22"/>
        </w:rPr>
      </w:pPr>
      <w:bookmarkStart w:id="29" w:name="_Toc357784592"/>
      <w:bookmarkStart w:id="30" w:name="_Toc399156733"/>
      <w:r>
        <w:br w:type="page"/>
      </w:r>
    </w:p>
    <w:p w:rsidR="00F87646" w:rsidRDefault="00F87646" w:rsidP="006F73C1">
      <w:pPr>
        <w:pStyle w:val="Heading2Notes"/>
      </w:pPr>
      <w:bookmarkStart w:id="31" w:name="_Toc403141605"/>
      <w:r>
        <w:lastRenderedPageBreak/>
        <w:t xml:space="preserve">Note </w:t>
      </w:r>
      <w:r w:rsidRPr="00B75EB1">
        <w:t>1:</w:t>
      </w:r>
      <w:r w:rsidRPr="00B75EB1">
        <w:tab/>
      </w:r>
      <w:r w:rsidRPr="006F73C1">
        <w:t>Statement</w:t>
      </w:r>
      <w:r w:rsidRPr="00B75EB1">
        <w:t xml:space="preserve"> of significant accounting policies</w:t>
      </w:r>
      <w:bookmarkEnd w:id="29"/>
      <w:bookmarkEnd w:id="30"/>
      <w:r>
        <w:t xml:space="preserve"> and forecast assumptions</w:t>
      </w:r>
      <w:bookmarkEnd w:id="31"/>
    </w:p>
    <w:p w:rsidR="00F87646" w:rsidRDefault="00F87646" w:rsidP="005E2118">
      <w:r>
        <w:t xml:space="preserve">The following summary sets out the basis applied in the preparation and presentation of these updated estimated financial </w:t>
      </w:r>
      <w:r w:rsidRPr="001D1A09">
        <w:t>statements for the Victorian general government sector, which includes the budget year and the estimates for the three subsequent years</w:t>
      </w:r>
      <w:r>
        <w:t xml:space="preserve"> (referred to as the budget and forward estimates).</w:t>
      </w:r>
    </w:p>
    <w:p w:rsidR="00F87646" w:rsidRDefault="00F87646" w:rsidP="005E2118">
      <w:r>
        <w:t>Except as disclosed below, the accounting policies and forecast assumptions applied are consistent with those of the estimated financial statements as published in the 2014</w:t>
      </w:r>
      <w:r>
        <w:noBreakHyphen/>
        <w:t xml:space="preserve">15 Budget Paper No. 5 </w:t>
      </w:r>
      <w:r>
        <w:rPr>
          <w:i/>
        </w:rPr>
        <w:t>Statement of Finances</w:t>
      </w:r>
      <w:r>
        <w:t>, which should be read in conjunction with this statement. For further details of the accounting policies, refer to Note 1 of Chapter 4</w:t>
      </w:r>
      <w:r>
        <w:rPr>
          <w:i/>
        </w:rPr>
        <w:t xml:space="preserve"> Annual Financial Report </w:t>
      </w:r>
      <w:r>
        <w:t xml:space="preserve">of the </w:t>
      </w:r>
      <w:r>
        <w:rPr>
          <w:i/>
        </w:rPr>
        <w:t>2013</w:t>
      </w:r>
      <w:r>
        <w:rPr>
          <w:i/>
        </w:rPr>
        <w:noBreakHyphen/>
        <w:t>14 Financial Report</w:t>
      </w:r>
      <w:r>
        <w:t xml:space="preserve"> for the State of Victoria as presented to Parliament.</w:t>
      </w:r>
    </w:p>
    <w:p w:rsidR="00F87646" w:rsidRDefault="00F87646" w:rsidP="005E2118">
      <w:r>
        <w:t xml:space="preserve">To gain a better understanding of the terminology and key aggregates used in this report, a glossary of terms can be found in </w:t>
      </w:r>
      <w:r w:rsidRPr="001D5253">
        <w:t>Note 40</w:t>
      </w:r>
      <w:r>
        <w:t xml:space="preserve"> of Chapter 4</w:t>
      </w:r>
      <w:r>
        <w:rPr>
          <w:i/>
        </w:rPr>
        <w:t xml:space="preserve"> Annual Financial Report </w:t>
      </w:r>
      <w:r>
        <w:t>of the</w:t>
      </w:r>
      <w:r>
        <w:rPr>
          <w:i/>
        </w:rPr>
        <w:t xml:space="preserve"> </w:t>
      </w:r>
      <w:r w:rsidRPr="001D5253">
        <w:rPr>
          <w:i/>
        </w:rPr>
        <w:t>2013</w:t>
      </w:r>
      <w:r>
        <w:rPr>
          <w:i/>
        </w:rPr>
        <w:noBreakHyphen/>
      </w:r>
      <w:r w:rsidRPr="001D5253">
        <w:rPr>
          <w:i/>
        </w:rPr>
        <w:t>14</w:t>
      </w:r>
      <w:r>
        <w:rPr>
          <w:i/>
        </w:rPr>
        <w:t xml:space="preserve"> Financial Report </w:t>
      </w:r>
      <w:r w:rsidRPr="002B6C2A">
        <w:t>for the State of Victoria</w:t>
      </w:r>
      <w:r>
        <w:t>.</w:t>
      </w:r>
    </w:p>
    <w:p w:rsidR="00F87646" w:rsidRPr="00187DC4" w:rsidRDefault="00F87646" w:rsidP="001E3D28">
      <w:pPr>
        <w:pStyle w:val="Heading3Numbering"/>
        <w:numPr>
          <w:ilvl w:val="0"/>
          <w:numId w:val="46"/>
        </w:numPr>
        <w:tabs>
          <w:tab w:val="num" w:pos="2847"/>
        </w:tabs>
        <w:ind w:left="504" w:hanging="504"/>
      </w:pPr>
      <w:r w:rsidRPr="00187DC4">
        <w:t>Statement of compliance</w:t>
      </w:r>
    </w:p>
    <w:p w:rsidR="00F87646" w:rsidRPr="001D1A09" w:rsidRDefault="00F87646" w:rsidP="005E2118">
      <w:r>
        <w:t xml:space="preserve">These estimated financial statements have been prepared </w:t>
      </w:r>
      <w:r w:rsidRPr="001D1A09">
        <w:t>in accordance with Section 27</w:t>
      </w:r>
      <w:r>
        <w:noBreakHyphen/>
      </w:r>
      <w:r w:rsidRPr="001D1A09">
        <w:t xml:space="preserve">27C of the </w:t>
      </w:r>
      <w:r w:rsidRPr="001D1A09">
        <w:rPr>
          <w:i/>
        </w:rPr>
        <w:t>Financial Management Act 1994</w:t>
      </w:r>
      <w:r w:rsidRPr="001D1A09">
        <w:t xml:space="preserve">, having regard to Australian Accounting Standards (AAS). AAS include Interpretations issued by the Australian Accounting Standards Board (AASB). </w:t>
      </w:r>
    </w:p>
    <w:p w:rsidR="00F87646" w:rsidRPr="001D1A09" w:rsidRDefault="00F87646" w:rsidP="005E2118">
      <w:r w:rsidRPr="001D1A09">
        <w:t xml:space="preserve">The estimated financial statements are presented in a manner consistent with the principles of AASB 1049 </w:t>
      </w:r>
      <w:r w:rsidRPr="001D1A09">
        <w:rPr>
          <w:i/>
        </w:rPr>
        <w:t>Whole of Government and General Government Sector Financial Reporting</w:t>
      </w:r>
      <w:r w:rsidRPr="001D1A09">
        <w:t xml:space="preserve"> (AASB 1049). However, the prospective nature of these estimated financial statements means that some AAS disclosures are neither relevant nor practical, and have been omitted. Where appropriate, those AAS paragraphs relevant to not</w:t>
      </w:r>
      <w:r>
        <w:noBreakHyphen/>
      </w:r>
      <w:r w:rsidRPr="001D1A09">
        <w:t>for</w:t>
      </w:r>
      <w:r>
        <w:noBreakHyphen/>
      </w:r>
      <w:r w:rsidRPr="001D1A09">
        <w:t xml:space="preserve">profit entities have been applied. As AAS do not include pronouncements that prescribe the preparation and presentation of prospective financial statements, the estimated financial statements have been prepared having regard to the principles set out in New Zealand Financial Reporting Standard 42 </w:t>
      </w:r>
      <w:r w:rsidRPr="001D1A09">
        <w:rPr>
          <w:i/>
        </w:rPr>
        <w:t>Prospective Financial Statements.</w:t>
      </w:r>
    </w:p>
    <w:p w:rsidR="00F87646" w:rsidRPr="001D1A09" w:rsidRDefault="00F87646" w:rsidP="005E2118">
      <w:pPr>
        <w:rPr>
          <w:i/>
        </w:rPr>
      </w:pPr>
      <w:r w:rsidRPr="001D1A09">
        <w:t xml:space="preserve">The Government Finance Statistics (GFS) information included in this report is based on the GFS manual published by the Australian Bureau of Statistics (ABS) </w:t>
      </w:r>
      <w:r w:rsidRPr="001D1A09">
        <w:rPr>
          <w:i/>
        </w:rPr>
        <w:t>Australian System of Government Finance Statistics: Concepts, Sources and Methods 2005 Cat</w:t>
      </w:r>
      <w:r w:rsidRPr="001D1A09">
        <w:t xml:space="preserve">. </w:t>
      </w:r>
      <w:r w:rsidRPr="001D1A09">
        <w:rPr>
          <w:i/>
        </w:rPr>
        <w:t>No. 5514.0.</w:t>
      </w:r>
    </w:p>
    <w:p w:rsidR="00F87646" w:rsidRDefault="00F87646" w:rsidP="00AA6086">
      <w:r w:rsidRPr="001D1A09">
        <w:t>The information presented in the estimated financial statements takes into account all policy decisions taken by the Victorian Government, as well as known Commonwealth Government funding revisions and circumstances that may have a material effect on the estimated financial statements as at 4 November 2014.</w:t>
      </w:r>
      <w:r>
        <w:t xml:space="preserve"> </w:t>
      </w:r>
    </w:p>
    <w:p w:rsidR="00F87646" w:rsidRDefault="00F87646" w:rsidP="001E3D28">
      <w:pPr>
        <w:pStyle w:val="Heading3Numbering"/>
        <w:numPr>
          <w:ilvl w:val="0"/>
          <w:numId w:val="46"/>
        </w:numPr>
        <w:tabs>
          <w:tab w:val="num" w:pos="2847"/>
        </w:tabs>
        <w:ind w:left="504" w:hanging="504"/>
      </w:pPr>
      <w:r>
        <w:t>Basis of accounting, preparation and measurement</w:t>
      </w:r>
    </w:p>
    <w:p w:rsidR="00F87646" w:rsidRDefault="00F87646" w:rsidP="005E2118">
      <w:r>
        <w:t>The estimated financial statements have been prepared for the 2014</w:t>
      </w:r>
      <w:r>
        <w:noBreakHyphen/>
        <w:t>15 year in accordance with accounting policies expected to be used in preparing historically oriented general purpose financial statements for that year, and the same accounting policies have been used for the subsequent forecast years.</w:t>
      </w:r>
    </w:p>
    <w:p w:rsidR="00F87646" w:rsidRPr="0061183A" w:rsidRDefault="00F87646" w:rsidP="0061183A">
      <w:pPr>
        <w:pStyle w:val="Heading2NotesContd"/>
      </w:pPr>
      <w:r>
        <w:lastRenderedPageBreak/>
        <w:t xml:space="preserve">Note </w:t>
      </w:r>
      <w:r w:rsidRPr="00B75EB1">
        <w:t>1:</w:t>
      </w:r>
      <w:r w:rsidRPr="00B75EB1">
        <w:tab/>
      </w:r>
      <w:r w:rsidRPr="006F73C1">
        <w:t>Statement</w:t>
      </w:r>
      <w:r w:rsidRPr="00B75EB1">
        <w:t xml:space="preserve"> of significant accounting policies</w:t>
      </w:r>
      <w:r>
        <w:t xml:space="preserve"> and forecast assumptions </w:t>
      </w:r>
      <w:r w:rsidRPr="0061183A">
        <w:rPr>
          <w:i/>
        </w:rPr>
        <w:t>(continued)</w:t>
      </w:r>
    </w:p>
    <w:p w:rsidR="00F87646" w:rsidRDefault="00F87646" w:rsidP="005E2118">
      <w:r>
        <w:t>The accrual basis of accounting has been applied in the preparation of the estimated financial statements whereby assets, liabilities, equity, revenue and expenses are recognised in the reporting period to which they relate, regardless of when cash is received or paid.</w:t>
      </w:r>
    </w:p>
    <w:p w:rsidR="00F87646" w:rsidRDefault="00F87646" w:rsidP="005E2118">
      <w:r>
        <w:t>The estimated financial statements are presented in Australian dollars which is also the functional currency of the Victorian general government sector.</w:t>
      </w:r>
    </w:p>
    <w:p w:rsidR="00F87646" w:rsidRDefault="00F87646" w:rsidP="005E2118">
      <w:r>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 Revisions to accounting estimates are recognised in the period in which the estimate is revised and also in future periods that are affected by the revision. </w:t>
      </w:r>
    </w:p>
    <w:p w:rsidR="00F87646" w:rsidRDefault="00F87646" w:rsidP="005E2118">
      <w:r>
        <w:t>The estimated financial statements have been prepared in accordance with the historical cost convention. Historical cost is based on the fair values of the consideration given in exchange for assets. Exceptions to the historical cost convention include:</w:t>
      </w:r>
    </w:p>
    <w:p w:rsidR="00F87646" w:rsidRDefault="00F87646" w:rsidP="005E2118">
      <w:pPr>
        <w:pStyle w:val="BulletText"/>
        <w:spacing w:after="80"/>
      </w:pPr>
      <w:r>
        <w:t>general government sector investments in other sector entities that are measured at the net asset value;</w:t>
      </w:r>
    </w:p>
    <w:p w:rsidR="00F87646" w:rsidRDefault="00F87646" w:rsidP="005E2118">
      <w:pPr>
        <w:pStyle w:val="BulletText"/>
        <w:spacing w:after="80"/>
      </w:pPr>
      <w:r>
        <w:t>non</w:t>
      </w:r>
      <w:r>
        <w:noBreakHyphen/>
        <w:t xml:space="preserve">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 </w:t>
      </w:r>
    </w:p>
    <w:p w:rsidR="00F87646" w:rsidRDefault="00F87646" w:rsidP="005E2118">
      <w:pPr>
        <w:pStyle w:val="BulletText"/>
        <w:spacing w:after="80"/>
      </w:pPr>
      <w:r>
        <w:t>productive trees in commercial native forests, which are recognised at their fair value less costs to sell;</w:t>
      </w:r>
    </w:p>
    <w:p w:rsidR="00F87646" w:rsidRDefault="00F87646" w:rsidP="005E2118">
      <w:pPr>
        <w:pStyle w:val="BulletText"/>
        <w:spacing w:after="80"/>
      </w:pPr>
      <w:r>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and loss); </w:t>
      </w:r>
    </w:p>
    <w:p w:rsidR="00F87646" w:rsidRDefault="00F87646" w:rsidP="005E2118">
      <w:pPr>
        <w:pStyle w:val="BulletText"/>
        <w:spacing w:after="80"/>
      </w:pPr>
      <w:r>
        <w:t>certain liabilities, most notably unfunded superannuation and some insurance claim provisions, which are subject to an actuarial assessment; and</w:t>
      </w:r>
    </w:p>
    <w:p w:rsidR="00F87646" w:rsidRDefault="00F87646" w:rsidP="005E2118">
      <w:pPr>
        <w:pStyle w:val="BulletText"/>
      </w:pPr>
      <w:r>
        <w:t>available</w:t>
      </w:r>
      <w:r>
        <w:noBreakHyphen/>
        <w:t>for</w:t>
      </w:r>
      <w:r>
        <w:noBreakHyphen/>
        <w:t>sale investments which are measured at fair value with movements reflected in ‘Other economic flows – other comprehensive income’.</w:t>
      </w:r>
    </w:p>
    <w:p w:rsidR="00F87646" w:rsidRDefault="00F87646" w:rsidP="0006140B">
      <w:r>
        <w:t xml:space="preserve">For assets and liabilities measured at fair value in the estimated balance sheet, the principles under AASB 13 </w:t>
      </w:r>
      <w:r w:rsidRPr="00521EFB">
        <w:rPr>
          <w:i/>
        </w:rPr>
        <w:t>Fair Value Measurements</w:t>
      </w:r>
      <w:r>
        <w:t xml:space="preserve"> have been applied. </w:t>
      </w:r>
    </w:p>
    <w:p w:rsidR="00F87646" w:rsidRDefault="00F87646" w:rsidP="0006140B"/>
    <w:p w:rsidR="00F87646" w:rsidRDefault="00F87646" w:rsidP="0061183A">
      <w:pPr>
        <w:pStyle w:val="Heading2NotesContd"/>
      </w:pPr>
      <w:r>
        <w:lastRenderedPageBreak/>
        <w:t xml:space="preserve">Note </w:t>
      </w:r>
      <w:r w:rsidRPr="00B75EB1">
        <w:t>1:</w:t>
      </w:r>
      <w:r w:rsidRPr="00B75EB1">
        <w:tab/>
      </w:r>
      <w:r w:rsidRPr="006F73C1">
        <w:t>Statement</w:t>
      </w:r>
      <w:r w:rsidRPr="00B75EB1">
        <w:t xml:space="preserve"> of significant accounting policies</w:t>
      </w:r>
      <w:r>
        <w:t xml:space="preserve"> and forecast assumptions </w:t>
      </w:r>
      <w:r w:rsidRPr="0061183A">
        <w:rPr>
          <w:i/>
        </w:rPr>
        <w:t>(continued)</w:t>
      </w:r>
    </w:p>
    <w:p w:rsidR="00F87646" w:rsidRDefault="00F87646" w:rsidP="0006140B">
      <w:r>
        <w:t>As required by AASB 1049, the estimated comprehensive operating statement distinguishes between ‘transactions’ and ‘other economic flows’ based on the principles in the ABS GFS manual. Transactions are defined as economic flows that arise as a result of government policy decisions, usually an interaction between two entities by mutual agreement. Taxation is regarded under GFS as mutually agreed between the government and the taxpayer. Transactions also include flows within an organisation such as depreciation because the owner is seen as simultaneously acting as the owner of the depreciating asset and the consumer of the service provided by the asset. Transactions may be settled in kind or for cash.</w:t>
      </w:r>
    </w:p>
    <w:p w:rsidR="00F87646" w:rsidRDefault="00F87646" w:rsidP="005E2118">
      <w:r>
        <w:t>Economic flows are changes arising from market remeasurements or other changes in the volume of assets. They include gains and losses from disposals, revaluations and impairments of non</w:t>
      </w:r>
      <w:r>
        <w:noBreakHyphen/>
        <w:t>financial physical and intangible assets, actuarial gains and losses arising from defined benefit superannuation plans, fair value changes of financial instruments and agricultural assets, and depletion of natural assets (non</w:t>
      </w:r>
      <w:r>
        <w:noBreakHyphen/>
        <w:t>produced) from their use or removal.</w:t>
      </w:r>
    </w:p>
    <w:p w:rsidR="00F87646" w:rsidRDefault="00F87646" w:rsidP="001E3D28">
      <w:pPr>
        <w:pStyle w:val="Heading3Numbering"/>
        <w:numPr>
          <w:ilvl w:val="0"/>
          <w:numId w:val="46"/>
        </w:numPr>
        <w:tabs>
          <w:tab w:val="num" w:pos="2847"/>
        </w:tabs>
        <w:ind w:left="504" w:hanging="504"/>
      </w:pPr>
      <w:r>
        <w:t>Reporting entity</w:t>
      </w:r>
    </w:p>
    <w:p w:rsidR="00F87646" w:rsidRDefault="00F87646" w:rsidP="005E2118">
      <w:r>
        <w:t>The estimated financial statements are prepared for the Victorian general government sector which includes all government departments, offices and other bodies engaged in providing services free of charge or at prices significantly below their cost of production. The primary function of entities in the Victorian general government sector is to provide public services (outputs), which are mainly non</w:t>
      </w:r>
      <w:r>
        <w:noBreakHyphen/>
        <w:t xml:space="preserve">market in nature, for the collective consumption of the community, and involve the transfer or redistribution of revenue that is financed mainly through taxes and other compulsory levies. </w:t>
      </w:r>
    </w:p>
    <w:p w:rsidR="00F87646" w:rsidRDefault="00F87646" w:rsidP="005E2118">
      <w:r>
        <w:t>The Victorian general government sector is not a separate entity but represents a sector within the State of Victoria whole of government reporting entity. Unless otherwise noted, accounting policies applied by the State apply equally to the Victorian general government sector.</w:t>
      </w:r>
    </w:p>
    <w:p w:rsidR="00F87646" w:rsidRDefault="00F87646" w:rsidP="001E3D28">
      <w:pPr>
        <w:pStyle w:val="Heading3Numbering"/>
        <w:numPr>
          <w:ilvl w:val="0"/>
          <w:numId w:val="46"/>
        </w:numPr>
        <w:tabs>
          <w:tab w:val="num" w:pos="2847"/>
        </w:tabs>
        <w:ind w:left="504" w:hanging="504"/>
      </w:pPr>
      <w:r>
        <w:t>Basis of consolidation</w:t>
      </w:r>
    </w:p>
    <w:p w:rsidR="00F87646" w:rsidRDefault="00F87646" w:rsidP="005E2118">
      <w:pPr>
        <w:rPr>
          <w:i/>
        </w:rPr>
      </w:pPr>
      <w:r>
        <w:t xml:space="preserve">The estimated financial statements present the consolidated assets and liabilities of all reporting entities in the Victorian general government sector, and their revenue, gains and expenses for the respective period, consistent with the principles of AASB 1049 and AASB 10 </w:t>
      </w:r>
      <w:r>
        <w:rPr>
          <w:i/>
        </w:rPr>
        <w:t>Consolidated Financial Statements.</w:t>
      </w:r>
    </w:p>
    <w:p w:rsidR="00F87646" w:rsidRDefault="00F87646">
      <w:pPr>
        <w:spacing w:after="0"/>
      </w:pPr>
      <w:r>
        <w:br w:type="page"/>
      </w:r>
    </w:p>
    <w:p w:rsidR="00F87646" w:rsidRDefault="00F87646" w:rsidP="0061183A">
      <w:pPr>
        <w:pStyle w:val="Heading2NotesContd"/>
      </w:pPr>
      <w:r>
        <w:lastRenderedPageBreak/>
        <w:t xml:space="preserve">Note </w:t>
      </w:r>
      <w:r w:rsidRPr="00B75EB1">
        <w:t>1:</w:t>
      </w:r>
      <w:r w:rsidRPr="00B75EB1">
        <w:tab/>
      </w:r>
      <w:r w:rsidRPr="006F73C1">
        <w:t>Statement</w:t>
      </w:r>
      <w:r w:rsidRPr="00B75EB1">
        <w:t xml:space="preserve"> of significant accounting policies</w:t>
      </w:r>
      <w:r>
        <w:t xml:space="preserve"> and forecast assumptions </w:t>
      </w:r>
      <w:r w:rsidRPr="0061183A">
        <w:rPr>
          <w:i/>
        </w:rPr>
        <w:t>(continued)</w:t>
      </w:r>
    </w:p>
    <w:p w:rsidR="00F87646" w:rsidRDefault="00F87646" w:rsidP="0061183A">
      <w:r>
        <w:t xml:space="preserve">AASB 10 is operative for the annual reporting periods beginning on or after 1 January 2014. This Standard replaces the requirements in AASB 127 </w:t>
      </w:r>
      <w:r>
        <w:rPr>
          <w:i/>
        </w:rPr>
        <w:t>Consolidated and Separate Financial Statements</w:t>
      </w:r>
      <w:r>
        <w:t xml:space="preserve"> and Interpretation 112 </w:t>
      </w:r>
      <w:r>
        <w:rPr>
          <w:i/>
        </w:rPr>
        <w:t>Consolidation – Special Purpose Entities</w:t>
      </w:r>
      <w:r>
        <w:t>, which were applied in the preparation of the audited 2013</w:t>
      </w:r>
      <w:r>
        <w:noBreakHyphen/>
        <w:t>14 annual financial report. The new Standard does not introduce new concepts, but rather builds on control guidance that existed in AASB 127 and Interpretation 112. Three criteria are required to assess whether control exists, including the entity’s rights over an investee; the entity’s exposure or rights to variable returns from an investee; and the ability to affect those returns through power over an investee. It has been assessed that the revised requirements are not expected to impact on the estimated financial statements.</w:t>
      </w:r>
    </w:p>
    <w:p w:rsidR="00F87646" w:rsidRDefault="00F87646" w:rsidP="0061183A">
      <w:r>
        <w:t>Entities in the public non</w:t>
      </w:r>
      <w:r>
        <w:noBreakHyphen/>
        <w:t>financial corporations (PNFC) and public financial corporations (PFC) sectors are not consolidated into the financial statements of the Victorian general government sector, but are accounted for as equity investments measured at the Government’s proportional share of the carrying amount of net assets of PNFC and PFC sector entities before consolidation eliminations. Where the carrying amount of an entity’s net assets before consolidation eliminations is less than zero, the amount is not included at the general government sector. Any change in the carrying amount of the investment from period to period is accounted for as if the change in carrying amount is a change in fair value and accounted for in a manner consistent with AASB 139</w:t>
      </w:r>
      <w:r>
        <w:rPr>
          <w:i/>
        </w:rPr>
        <w:t xml:space="preserve"> Financial Instruments: Recognition and Measurement</w:t>
      </w:r>
      <w:r>
        <w:t xml:space="preserve"> and AASB 1049.</w:t>
      </w:r>
    </w:p>
    <w:p w:rsidR="00F87646" w:rsidRPr="001D1A09" w:rsidRDefault="00F87646" w:rsidP="0061183A">
      <w:r>
        <w:t xml:space="preserve">Where control of an entity is expected to be obtained during the financial period, its results are included in the estimated comprehensive operating statement from the date on which control will commence. Where control is expected to cease during a financial period, the entity’s results are included for that part of the period for which control would exist. Where dissimilar accounting policies are adopted by entities and their effect is considered material, adjustments are made to ensure consistent policies are adopted in the </w:t>
      </w:r>
      <w:r w:rsidRPr="001D1A09">
        <w:t>estimated financial statements.</w:t>
      </w:r>
    </w:p>
    <w:p w:rsidR="00F87646" w:rsidRPr="001D1A09" w:rsidRDefault="00F87646" w:rsidP="005E2118">
      <w:r w:rsidRPr="001D1A09">
        <w:t>In the process of reporting the Victorian general government sector, all material transactions and balances between entities within the sector are eliminated.</w:t>
      </w:r>
    </w:p>
    <w:p w:rsidR="00F87646" w:rsidRPr="001D1A09" w:rsidRDefault="00F87646" w:rsidP="007E5964">
      <w:r w:rsidRPr="001D1A09">
        <w:t xml:space="preserve">The significant entities consolidated within the sector comprise those entities listed in Note 42 of Chapter 4 </w:t>
      </w:r>
      <w:r w:rsidRPr="001D1A09">
        <w:rPr>
          <w:i/>
        </w:rPr>
        <w:t>Annual Financial Report</w:t>
      </w:r>
      <w:r w:rsidRPr="001D1A09">
        <w:t xml:space="preserve"> of the </w:t>
      </w:r>
      <w:r w:rsidRPr="001D1A09">
        <w:rPr>
          <w:i/>
        </w:rPr>
        <w:t>2013</w:t>
      </w:r>
      <w:r>
        <w:rPr>
          <w:i/>
        </w:rPr>
        <w:noBreakHyphen/>
      </w:r>
      <w:r w:rsidRPr="001D1A09">
        <w:rPr>
          <w:i/>
        </w:rPr>
        <w:t xml:space="preserve">14 Financial Report </w:t>
      </w:r>
      <w:r w:rsidRPr="001D1A09">
        <w:t xml:space="preserve">for the State of Victoria, except as stated in Note 26 of the estimated financial statements. </w:t>
      </w:r>
    </w:p>
    <w:p w:rsidR="00F87646" w:rsidRPr="001D1A09" w:rsidRDefault="00F87646" w:rsidP="001E3D28">
      <w:pPr>
        <w:pStyle w:val="Heading3Numbering"/>
        <w:numPr>
          <w:ilvl w:val="0"/>
          <w:numId w:val="46"/>
        </w:numPr>
        <w:tabs>
          <w:tab w:val="num" w:pos="2847"/>
        </w:tabs>
        <w:ind w:left="504" w:hanging="504"/>
      </w:pPr>
      <w:r w:rsidRPr="001D1A09">
        <w:t>Rounding</w:t>
      </w:r>
    </w:p>
    <w:p w:rsidR="00F87646" w:rsidRPr="001D1A09" w:rsidRDefault="00F87646" w:rsidP="005E2118">
      <w:r w:rsidRPr="001D1A09">
        <w:t>All amounts in the estimated financial statements have been rounded to the nearest $100 000 unless otherwise stated. Figures in the estimated financial statements may not add due to rounding.</w:t>
      </w:r>
    </w:p>
    <w:p w:rsidR="00F87646" w:rsidRDefault="00F87646">
      <w:pPr>
        <w:spacing w:after="0"/>
        <w:rPr>
          <w:rFonts w:ascii="Calibri" w:hAnsi="Calibri"/>
          <w:b/>
          <w:i/>
          <w:kern w:val="28"/>
          <w:sz w:val="24"/>
          <w:szCs w:val="22"/>
        </w:rPr>
      </w:pPr>
      <w:r>
        <w:br w:type="page"/>
      </w:r>
    </w:p>
    <w:p w:rsidR="00F87646" w:rsidRDefault="00F87646" w:rsidP="0061183A">
      <w:pPr>
        <w:pStyle w:val="Heading2NotesContd"/>
      </w:pPr>
      <w:r>
        <w:lastRenderedPageBreak/>
        <w:t xml:space="preserve">Note </w:t>
      </w:r>
      <w:r w:rsidRPr="00B75EB1">
        <w:t>1:</w:t>
      </w:r>
      <w:r w:rsidRPr="00B75EB1">
        <w:tab/>
      </w:r>
      <w:r w:rsidRPr="006F73C1">
        <w:t>Statement</w:t>
      </w:r>
      <w:r w:rsidRPr="00B75EB1">
        <w:t xml:space="preserve"> of significant accounting policies</w:t>
      </w:r>
      <w:r>
        <w:t xml:space="preserve"> and forecast assumptions </w:t>
      </w:r>
      <w:r w:rsidRPr="0061183A">
        <w:rPr>
          <w:i/>
        </w:rPr>
        <w:t>(continued)</w:t>
      </w:r>
    </w:p>
    <w:p w:rsidR="00F87646" w:rsidRPr="001D1A09" w:rsidRDefault="00F87646" w:rsidP="001E3D28">
      <w:pPr>
        <w:pStyle w:val="Heading3Numbering"/>
        <w:numPr>
          <w:ilvl w:val="0"/>
          <w:numId w:val="46"/>
        </w:numPr>
        <w:tabs>
          <w:tab w:val="num" w:pos="2847"/>
        </w:tabs>
        <w:ind w:left="504" w:hanging="504"/>
      </w:pPr>
      <w:r w:rsidRPr="001D1A09">
        <w:t>Key financial measure</w:t>
      </w:r>
    </w:p>
    <w:p w:rsidR="00F87646" w:rsidRPr="001D1A09" w:rsidRDefault="00F87646" w:rsidP="005E2118">
      <w:pPr>
        <w:autoSpaceDE w:val="0"/>
        <w:autoSpaceDN w:val="0"/>
        <w:adjustRightInd w:val="0"/>
        <w:rPr>
          <w:rFonts w:cs="Garamond"/>
          <w:szCs w:val="22"/>
        </w:rPr>
      </w:pPr>
      <w:r w:rsidRPr="001D1A09">
        <w:t>The Government expects to achieve a net operating surplus (net result from transactions) of at least $100</w:t>
      </w:r>
      <w:r>
        <w:t> million</w:t>
      </w:r>
      <w:r w:rsidRPr="001D1A09">
        <w:t xml:space="preserve"> each year over the budget and forward estimates</w:t>
      </w:r>
      <w:r>
        <w:t>,</w:t>
      </w:r>
      <w:r w:rsidRPr="001D1A09">
        <w:t xml:space="preserve"> consistent with the infrastructure and debt parameters, as set out in Chapter 1 </w:t>
      </w:r>
      <w:r w:rsidRPr="001D1A09">
        <w:rPr>
          <w:i/>
        </w:rPr>
        <w:t>Economic Conditions and Outlook.</w:t>
      </w:r>
    </w:p>
    <w:p w:rsidR="00F87646" w:rsidRPr="001D1A09" w:rsidRDefault="00F87646" w:rsidP="001E3D28">
      <w:pPr>
        <w:pStyle w:val="Heading3Numbering"/>
        <w:numPr>
          <w:ilvl w:val="0"/>
          <w:numId w:val="46"/>
        </w:numPr>
        <w:tabs>
          <w:tab w:val="num" w:pos="2847"/>
        </w:tabs>
        <w:ind w:left="504" w:hanging="504"/>
      </w:pPr>
      <w:r w:rsidRPr="001D1A09">
        <w:t>Revised material economic and other assumptions</w:t>
      </w:r>
    </w:p>
    <w:p w:rsidR="00F87646" w:rsidRDefault="00F87646" w:rsidP="0061183A">
      <w:pPr>
        <w:rPr>
          <w:rFonts w:ascii="Calibri" w:hAnsi="Calibri"/>
          <w:b/>
        </w:rPr>
      </w:pPr>
      <w:r w:rsidRPr="001D1A09">
        <w:t xml:space="preserve">The estimated financial statements have been prepared using material economic and other assumptions listed below, which have been updated since the publication of the </w:t>
      </w:r>
      <w:r w:rsidRPr="001D1A09">
        <w:rPr>
          <w:i/>
        </w:rPr>
        <w:t>2014</w:t>
      </w:r>
      <w:r>
        <w:rPr>
          <w:i/>
        </w:rPr>
        <w:noBreakHyphen/>
      </w:r>
      <w:r w:rsidRPr="001D1A09">
        <w:rPr>
          <w:i/>
        </w:rPr>
        <w:t>15 Budget</w:t>
      </w:r>
      <w:r w:rsidRPr="001D1A09">
        <w:t>.</w:t>
      </w:r>
    </w:p>
    <w:p w:rsidR="00F87646" w:rsidRDefault="00F87646" w:rsidP="005E2118">
      <w:pPr>
        <w:pStyle w:val="Tableheading"/>
        <w:spacing w:before="180"/>
      </w:pPr>
      <w:r>
        <w:t>Key economic assumptions</w:t>
      </w:r>
      <w:r>
        <w:rPr>
          <w:vertAlign w:val="superscript"/>
        </w:rPr>
        <w:t>(a)</w:t>
      </w:r>
    </w:p>
    <w:tbl>
      <w:tblPr>
        <w:tblW w:w="7455" w:type="dxa"/>
        <w:tblInd w:w="29" w:type="dxa"/>
        <w:tblLayout w:type="fixed"/>
        <w:tblCellMar>
          <w:left w:w="43" w:type="dxa"/>
          <w:right w:w="43" w:type="dxa"/>
        </w:tblCellMar>
        <w:tblLook w:val="04A0" w:firstRow="1" w:lastRow="0" w:firstColumn="1" w:lastColumn="0" w:noHBand="0" w:noVBand="1"/>
      </w:tblPr>
      <w:tblGrid>
        <w:gridCol w:w="4055"/>
        <w:gridCol w:w="779"/>
        <w:gridCol w:w="75"/>
        <w:gridCol w:w="847"/>
        <w:gridCol w:w="846"/>
        <w:gridCol w:w="389"/>
        <w:gridCol w:w="230"/>
        <w:gridCol w:w="234"/>
      </w:tblGrid>
      <w:tr w:rsidR="00F87646" w:rsidTr="00EA432D">
        <w:tc>
          <w:tcPr>
            <w:tcW w:w="4055" w:type="dxa"/>
            <w:tcBorders>
              <w:top w:val="single" w:sz="4" w:space="0" w:color="auto"/>
              <w:left w:val="single" w:sz="4" w:space="0" w:color="auto"/>
              <w:bottom w:val="single" w:sz="6" w:space="0" w:color="auto"/>
              <w:right w:val="nil"/>
            </w:tcBorders>
            <w:shd w:val="clear" w:color="auto" w:fill="000000"/>
          </w:tcPr>
          <w:p w:rsidR="00F87646" w:rsidRDefault="00F87646" w:rsidP="00EA432D">
            <w:pPr>
              <w:pStyle w:val="Tabletext"/>
              <w:rPr>
                <w:lang w:eastAsia="en-AU"/>
              </w:rPr>
            </w:pPr>
          </w:p>
        </w:tc>
        <w:tc>
          <w:tcPr>
            <w:tcW w:w="854" w:type="dxa"/>
            <w:gridSpan w:val="2"/>
            <w:tcBorders>
              <w:top w:val="single" w:sz="4" w:space="0" w:color="auto"/>
              <w:left w:val="nil"/>
              <w:bottom w:val="single" w:sz="6" w:space="0" w:color="auto"/>
              <w:right w:val="nil"/>
            </w:tcBorders>
            <w:shd w:val="clear" w:color="auto" w:fill="000000"/>
            <w:hideMark/>
          </w:tcPr>
          <w:p w:rsidR="00F87646" w:rsidRDefault="00F87646" w:rsidP="00EA432D">
            <w:pPr>
              <w:pStyle w:val="Tabletextheading"/>
              <w:rPr>
                <w:lang w:eastAsia="en-AU"/>
              </w:rPr>
            </w:pPr>
            <w:r>
              <w:rPr>
                <w:lang w:eastAsia="en-AU"/>
              </w:rPr>
              <w:t>2014</w:t>
            </w:r>
            <w:r>
              <w:rPr>
                <w:lang w:eastAsia="en-AU"/>
              </w:rPr>
              <w:noBreakHyphen/>
              <w:t>15</w:t>
            </w:r>
          </w:p>
        </w:tc>
        <w:tc>
          <w:tcPr>
            <w:tcW w:w="847" w:type="dxa"/>
            <w:tcBorders>
              <w:top w:val="single" w:sz="4" w:space="0" w:color="auto"/>
              <w:left w:val="nil"/>
              <w:bottom w:val="single" w:sz="6" w:space="0" w:color="auto"/>
              <w:right w:val="nil"/>
            </w:tcBorders>
            <w:shd w:val="clear" w:color="auto" w:fill="000000"/>
            <w:hideMark/>
          </w:tcPr>
          <w:p w:rsidR="00F87646" w:rsidRDefault="00F87646" w:rsidP="00EA432D">
            <w:pPr>
              <w:pStyle w:val="Tabletextheading"/>
              <w:rPr>
                <w:lang w:eastAsia="en-AU"/>
              </w:rPr>
            </w:pPr>
            <w:r>
              <w:rPr>
                <w:lang w:eastAsia="en-AU"/>
              </w:rPr>
              <w:t>2015</w:t>
            </w:r>
            <w:r>
              <w:rPr>
                <w:lang w:eastAsia="en-AU"/>
              </w:rPr>
              <w:noBreakHyphen/>
              <w:t>16</w:t>
            </w:r>
          </w:p>
        </w:tc>
        <w:tc>
          <w:tcPr>
            <w:tcW w:w="846" w:type="dxa"/>
            <w:tcBorders>
              <w:top w:val="single" w:sz="4" w:space="0" w:color="auto"/>
              <w:left w:val="nil"/>
              <w:bottom w:val="single" w:sz="6" w:space="0" w:color="auto"/>
              <w:right w:val="nil"/>
            </w:tcBorders>
            <w:shd w:val="clear" w:color="auto" w:fill="000000"/>
            <w:hideMark/>
          </w:tcPr>
          <w:p w:rsidR="00F87646" w:rsidRDefault="00F87646" w:rsidP="00EA432D">
            <w:pPr>
              <w:pStyle w:val="Tabletextheading"/>
              <w:rPr>
                <w:lang w:eastAsia="en-AU"/>
              </w:rPr>
            </w:pPr>
            <w:r>
              <w:rPr>
                <w:lang w:eastAsia="en-AU"/>
              </w:rPr>
              <w:t>2016</w:t>
            </w:r>
            <w:r>
              <w:rPr>
                <w:lang w:eastAsia="en-AU"/>
              </w:rPr>
              <w:noBreakHyphen/>
              <w:t>17</w:t>
            </w:r>
          </w:p>
        </w:tc>
        <w:tc>
          <w:tcPr>
            <w:tcW w:w="853" w:type="dxa"/>
            <w:gridSpan w:val="3"/>
            <w:tcBorders>
              <w:top w:val="single" w:sz="4" w:space="0" w:color="auto"/>
              <w:left w:val="nil"/>
              <w:bottom w:val="single" w:sz="6" w:space="0" w:color="auto"/>
              <w:right w:val="single" w:sz="4" w:space="0" w:color="auto"/>
            </w:tcBorders>
            <w:shd w:val="clear" w:color="auto" w:fill="000000"/>
            <w:hideMark/>
          </w:tcPr>
          <w:p w:rsidR="00F87646" w:rsidRDefault="00F87646" w:rsidP="00EA432D">
            <w:pPr>
              <w:pStyle w:val="Tabletextheading"/>
              <w:rPr>
                <w:lang w:eastAsia="en-AU"/>
              </w:rPr>
            </w:pPr>
            <w:r>
              <w:rPr>
                <w:lang w:eastAsia="en-AU"/>
              </w:rPr>
              <w:t>2017</w:t>
            </w:r>
            <w:r>
              <w:rPr>
                <w:lang w:eastAsia="en-AU"/>
              </w:rPr>
              <w:noBreakHyphen/>
              <w:t>18</w:t>
            </w:r>
          </w:p>
        </w:tc>
      </w:tr>
      <w:tr w:rsidR="00F87646" w:rsidTr="00EA432D">
        <w:tc>
          <w:tcPr>
            <w:tcW w:w="4055" w:type="dxa"/>
            <w:tcBorders>
              <w:top w:val="single" w:sz="6" w:space="0" w:color="auto"/>
              <w:left w:val="single" w:sz="4" w:space="0" w:color="auto"/>
              <w:bottom w:val="single" w:sz="4" w:space="0" w:color="auto"/>
              <w:right w:val="nil"/>
            </w:tcBorders>
            <w:shd w:val="clear" w:color="auto" w:fill="000000"/>
            <w:hideMark/>
          </w:tcPr>
          <w:p w:rsidR="00F87646" w:rsidRDefault="00F87646" w:rsidP="00EA432D">
            <w:pPr>
              <w:pStyle w:val="Tabletext"/>
              <w:rPr>
                <w:lang w:eastAsia="en-AU"/>
              </w:rPr>
            </w:pPr>
            <w:r>
              <w:rPr>
                <w:lang w:eastAsia="en-AU"/>
              </w:rPr>
              <w:t xml:space="preserve"> </w:t>
            </w:r>
          </w:p>
        </w:tc>
        <w:tc>
          <w:tcPr>
            <w:tcW w:w="854" w:type="dxa"/>
            <w:gridSpan w:val="2"/>
            <w:tcBorders>
              <w:top w:val="single" w:sz="6" w:space="0" w:color="auto"/>
              <w:left w:val="nil"/>
              <w:bottom w:val="single" w:sz="4" w:space="0" w:color="auto"/>
              <w:right w:val="nil"/>
            </w:tcBorders>
            <w:shd w:val="clear" w:color="auto" w:fill="000000"/>
            <w:hideMark/>
          </w:tcPr>
          <w:p w:rsidR="00F87646" w:rsidRDefault="00F87646" w:rsidP="00EA432D">
            <w:pPr>
              <w:pStyle w:val="Tabletextheading"/>
              <w:rPr>
                <w:lang w:eastAsia="en-AU"/>
              </w:rPr>
            </w:pPr>
            <w:r>
              <w:rPr>
                <w:lang w:eastAsia="en-AU"/>
              </w:rPr>
              <w:t>forecast</w:t>
            </w:r>
          </w:p>
        </w:tc>
        <w:tc>
          <w:tcPr>
            <w:tcW w:w="847" w:type="dxa"/>
            <w:tcBorders>
              <w:top w:val="single" w:sz="6" w:space="0" w:color="auto"/>
              <w:left w:val="nil"/>
              <w:bottom w:val="single" w:sz="4" w:space="0" w:color="auto"/>
              <w:right w:val="nil"/>
            </w:tcBorders>
            <w:shd w:val="clear" w:color="auto" w:fill="000000"/>
            <w:hideMark/>
          </w:tcPr>
          <w:p w:rsidR="00F87646" w:rsidRDefault="00F87646" w:rsidP="00EA432D">
            <w:pPr>
              <w:pStyle w:val="Tabletextheading"/>
              <w:rPr>
                <w:lang w:eastAsia="en-AU"/>
              </w:rPr>
            </w:pPr>
            <w:r>
              <w:rPr>
                <w:lang w:eastAsia="en-AU"/>
              </w:rPr>
              <w:t>forecast</w:t>
            </w:r>
          </w:p>
        </w:tc>
        <w:tc>
          <w:tcPr>
            <w:tcW w:w="846" w:type="dxa"/>
            <w:tcBorders>
              <w:top w:val="single" w:sz="6" w:space="0" w:color="auto"/>
              <w:left w:val="nil"/>
              <w:bottom w:val="single" w:sz="4" w:space="0" w:color="auto"/>
              <w:right w:val="nil"/>
            </w:tcBorders>
            <w:shd w:val="clear" w:color="auto" w:fill="000000"/>
            <w:hideMark/>
          </w:tcPr>
          <w:p w:rsidR="00F87646" w:rsidRDefault="00F87646" w:rsidP="00EA432D">
            <w:pPr>
              <w:pStyle w:val="Tabletextheading"/>
              <w:rPr>
                <w:lang w:eastAsia="en-AU"/>
              </w:rPr>
            </w:pPr>
            <w:r>
              <w:rPr>
                <w:lang w:eastAsia="en-AU"/>
              </w:rPr>
              <w:t>forecast</w:t>
            </w:r>
          </w:p>
        </w:tc>
        <w:tc>
          <w:tcPr>
            <w:tcW w:w="853" w:type="dxa"/>
            <w:gridSpan w:val="3"/>
            <w:tcBorders>
              <w:top w:val="single" w:sz="6" w:space="0" w:color="auto"/>
              <w:left w:val="nil"/>
              <w:bottom w:val="single" w:sz="4" w:space="0" w:color="auto"/>
              <w:right w:val="single" w:sz="4" w:space="0" w:color="auto"/>
            </w:tcBorders>
            <w:shd w:val="clear" w:color="auto" w:fill="000000"/>
            <w:hideMark/>
          </w:tcPr>
          <w:p w:rsidR="00F87646" w:rsidRDefault="00F87646" w:rsidP="00EA432D">
            <w:pPr>
              <w:pStyle w:val="Tabletextheading"/>
              <w:rPr>
                <w:lang w:eastAsia="en-AU"/>
              </w:rPr>
            </w:pPr>
            <w:r>
              <w:rPr>
                <w:lang w:eastAsia="en-AU"/>
              </w:rPr>
              <w:t>forecast</w:t>
            </w:r>
          </w:p>
        </w:tc>
      </w:tr>
      <w:tr w:rsidR="00F87646" w:rsidTr="00EA432D">
        <w:tc>
          <w:tcPr>
            <w:tcW w:w="4055" w:type="dxa"/>
            <w:tcBorders>
              <w:top w:val="single" w:sz="4" w:space="0" w:color="auto"/>
              <w:left w:val="nil"/>
              <w:bottom w:val="nil"/>
              <w:right w:val="nil"/>
            </w:tcBorders>
            <w:hideMark/>
          </w:tcPr>
          <w:p w:rsidR="00F87646" w:rsidRDefault="00F87646" w:rsidP="00EA432D">
            <w:pPr>
              <w:pStyle w:val="Tabletext"/>
              <w:rPr>
                <w:lang w:eastAsia="en-AU"/>
              </w:rPr>
            </w:pPr>
            <w:r>
              <w:rPr>
                <w:lang w:eastAsia="en-AU"/>
              </w:rPr>
              <w:t xml:space="preserve"> </w:t>
            </w:r>
          </w:p>
        </w:tc>
        <w:tc>
          <w:tcPr>
            <w:tcW w:w="779" w:type="dxa"/>
            <w:tcBorders>
              <w:top w:val="single" w:sz="4" w:space="0" w:color="auto"/>
              <w:left w:val="nil"/>
              <w:bottom w:val="nil"/>
              <w:right w:val="nil"/>
            </w:tcBorders>
            <w:hideMark/>
          </w:tcPr>
          <w:p w:rsidR="00F87646" w:rsidRDefault="00F87646" w:rsidP="00EA432D">
            <w:pPr>
              <w:pStyle w:val="million"/>
              <w:rPr>
                <w:lang w:eastAsia="en-AU"/>
              </w:rPr>
            </w:pPr>
            <w:r>
              <w:rPr>
                <w:lang w:eastAsia="en-AU"/>
              </w:rPr>
              <w:t xml:space="preserve"> </w:t>
            </w:r>
          </w:p>
        </w:tc>
        <w:tc>
          <w:tcPr>
            <w:tcW w:w="2157" w:type="dxa"/>
            <w:gridSpan w:val="4"/>
            <w:tcBorders>
              <w:top w:val="single" w:sz="4" w:space="0" w:color="auto"/>
              <w:left w:val="nil"/>
              <w:bottom w:val="nil"/>
              <w:right w:val="nil"/>
            </w:tcBorders>
            <w:hideMark/>
          </w:tcPr>
          <w:p w:rsidR="00F87646" w:rsidRDefault="00F87646" w:rsidP="00EA432D">
            <w:pPr>
              <w:pStyle w:val="million"/>
              <w:rPr>
                <w:iCs/>
                <w:lang w:eastAsia="en-AU"/>
              </w:rPr>
            </w:pPr>
            <w:r>
              <w:rPr>
                <w:lang w:eastAsia="en-AU"/>
              </w:rPr>
              <w:t xml:space="preserve">($ billion) </w:t>
            </w:r>
          </w:p>
        </w:tc>
        <w:tc>
          <w:tcPr>
            <w:tcW w:w="230" w:type="dxa"/>
            <w:tcBorders>
              <w:top w:val="single" w:sz="4" w:space="0" w:color="auto"/>
              <w:left w:val="nil"/>
              <w:bottom w:val="nil"/>
              <w:right w:val="nil"/>
            </w:tcBorders>
            <w:hideMark/>
          </w:tcPr>
          <w:p w:rsidR="00F87646" w:rsidRDefault="00F87646" w:rsidP="00EA432D">
            <w:pPr>
              <w:pStyle w:val="million"/>
              <w:rPr>
                <w:lang w:eastAsia="en-AU"/>
              </w:rPr>
            </w:pPr>
            <w:r>
              <w:rPr>
                <w:lang w:eastAsia="en-AU"/>
              </w:rPr>
              <w:t xml:space="preserve"> </w:t>
            </w:r>
          </w:p>
        </w:tc>
        <w:tc>
          <w:tcPr>
            <w:tcW w:w="234" w:type="dxa"/>
            <w:tcBorders>
              <w:top w:val="single" w:sz="4" w:space="0" w:color="auto"/>
              <w:left w:val="nil"/>
              <w:bottom w:val="nil"/>
              <w:right w:val="nil"/>
            </w:tcBorders>
            <w:hideMark/>
          </w:tcPr>
          <w:p w:rsidR="00F87646" w:rsidRDefault="00F87646" w:rsidP="00EA432D">
            <w:pPr>
              <w:pStyle w:val="million"/>
              <w:rPr>
                <w:lang w:eastAsia="en-AU"/>
              </w:rPr>
            </w:pPr>
            <w:r>
              <w:rPr>
                <w:lang w:eastAsia="en-AU"/>
              </w:rPr>
              <w:t xml:space="preserve"> </w:t>
            </w:r>
          </w:p>
        </w:tc>
      </w:tr>
      <w:tr w:rsidR="00F87646" w:rsidTr="00EA432D">
        <w:tc>
          <w:tcPr>
            <w:tcW w:w="4055" w:type="dxa"/>
            <w:hideMark/>
          </w:tcPr>
          <w:p w:rsidR="00F87646" w:rsidRDefault="00F87646" w:rsidP="00EA432D">
            <w:pPr>
              <w:pStyle w:val="Tabletext"/>
              <w:rPr>
                <w:lang w:eastAsia="en-AU"/>
              </w:rPr>
            </w:pPr>
            <w:r>
              <w:rPr>
                <w:lang w:eastAsia="en-AU"/>
              </w:rPr>
              <w:t>Nominal gross state product</w:t>
            </w:r>
          </w:p>
        </w:tc>
        <w:tc>
          <w:tcPr>
            <w:tcW w:w="854" w:type="dxa"/>
            <w:gridSpan w:val="2"/>
          </w:tcPr>
          <w:p w:rsidR="00F87646" w:rsidRPr="00030371" w:rsidRDefault="00F87646" w:rsidP="00063B2D">
            <w:pPr>
              <w:pStyle w:val="TableofFigures"/>
              <w:rPr>
                <w:rFonts w:eastAsiaTheme="minorEastAsia"/>
                <w:lang w:eastAsia="en-AU"/>
              </w:rPr>
            </w:pPr>
            <w:r w:rsidRPr="00030371">
              <w:rPr>
                <w:rFonts w:eastAsiaTheme="minorEastAsia"/>
                <w:lang w:eastAsia="en-AU"/>
              </w:rPr>
              <w:t>369</w:t>
            </w:r>
            <w:r>
              <w:rPr>
                <w:rFonts w:eastAsiaTheme="minorEastAsia"/>
                <w:lang w:eastAsia="en-AU"/>
              </w:rPr>
              <w:t>.9</w:t>
            </w:r>
          </w:p>
        </w:tc>
        <w:tc>
          <w:tcPr>
            <w:tcW w:w="847" w:type="dxa"/>
          </w:tcPr>
          <w:p w:rsidR="00F87646" w:rsidRPr="00030371" w:rsidRDefault="00F87646" w:rsidP="00063B2D">
            <w:pPr>
              <w:pStyle w:val="TableofFigures"/>
              <w:rPr>
                <w:rFonts w:eastAsiaTheme="minorEastAsia"/>
                <w:lang w:eastAsia="en-AU"/>
              </w:rPr>
            </w:pPr>
            <w:r w:rsidRPr="00030371">
              <w:rPr>
                <w:rFonts w:eastAsiaTheme="minorEastAsia"/>
                <w:lang w:eastAsia="en-AU"/>
              </w:rPr>
              <w:t>390</w:t>
            </w:r>
            <w:r>
              <w:rPr>
                <w:rFonts w:eastAsiaTheme="minorEastAsia"/>
                <w:lang w:eastAsia="en-AU"/>
              </w:rPr>
              <w:t>.3</w:t>
            </w:r>
          </w:p>
        </w:tc>
        <w:tc>
          <w:tcPr>
            <w:tcW w:w="846" w:type="dxa"/>
          </w:tcPr>
          <w:p w:rsidR="00F87646" w:rsidRPr="00030371" w:rsidRDefault="00F87646" w:rsidP="00063B2D">
            <w:pPr>
              <w:pStyle w:val="TableofFigures"/>
              <w:rPr>
                <w:rFonts w:eastAsiaTheme="minorEastAsia"/>
                <w:lang w:eastAsia="en-AU"/>
              </w:rPr>
            </w:pPr>
            <w:r w:rsidRPr="00030371">
              <w:rPr>
                <w:rFonts w:eastAsiaTheme="minorEastAsia"/>
                <w:lang w:eastAsia="en-AU"/>
              </w:rPr>
              <w:t>411</w:t>
            </w:r>
            <w:r>
              <w:rPr>
                <w:rFonts w:eastAsiaTheme="minorEastAsia"/>
                <w:lang w:eastAsia="en-AU"/>
              </w:rPr>
              <w:t>.4</w:t>
            </w:r>
          </w:p>
        </w:tc>
        <w:tc>
          <w:tcPr>
            <w:tcW w:w="853" w:type="dxa"/>
            <w:gridSpan w:val="3"/>
          </w:tcPr>
          <w:p w:rsidR="00F87646" w:rsidRPr="00030371" w:rsidRDefault="00F87646" w:rsidP="00063B2D">
            <w:pPr>
              <w:pStyle w:val="TableofFigures"/>
              <w:rPr>
                <w:rFonts w:eastAsiaTheme="minorEastAsia"/>
                <w:lang w:eastAsia="en-AU"/>
              </w:rPr>
            </w:pPr>
            <w:r w:rsidRPr="00030371">
              <w:rPr>
                <w:rFonts w:eastAsiaTheme="minorEastAsia"/>
                <w:lang w:eastAsia="en-AU"/>
              </w:rPr>
              <w:t>433</w:t>
            </w:r>
            <w:r>
              <w:rPr>
                <w:rFonts w:eastAsiaTheme="minorEastAsia"/>
                <w:lang w:eastAsia="en-AU"/>
              </w:rPr>
              <w:t>.5</w:t>
            </w:r>
          </w:p>
        </w:tc>
      </w:tr>
      <w:tr w:rsidR="00F87646" w:rsidRPr="00057DE7" w:rsidTr="00EA432D">
        <w:tc>
          <w:tcPr>
            <w:tcW w:w="4055" w:type="dxa"/>
            <w:hideMark/>
          </w:tcPr>
          <w:p w:rsidR="00F87646" w:rsidRPr="00057DE7" w:rsidRDefault="00F87646" w:rsidP="00EA432D">
            <w:pPr>
              <w:pStyle w:val="Tabletext"/>
              <w:rPr>
                <w:lang w:eastAsia="en-AU"/>
              </w:rPr>
            </w:pPr>
            <w:r w:rsidRPr="00057DE7">
              <w:rPr>
                <w:lang w:eastAsia="en-AU"/>
              </w:rPr>
              <w:t xml:space="preserve"> </w:t>
            </w:r>
          </w:p>
        </w:tc>
        <w:tc>
          <w:tcPr>
            <w:tcW w:w="779" w:type="dxa"/>
            <w:hideMark/>
          </w:tcPr>
          <w:p w:rsidR="00F87646" w:rsidRPr="00057DE7" w:rsidRDefault="00F87646" w:rsidP="00EA432D">
            <w:pPr>
              <w:pStyle w:val="million"/>
              <w:rPr>
                <w:sz w:val="20"/>
                <w:lang w:eastAsia="en-AU"/>
              </w:rPr>
            </w:pPr>
            <w:r w:rsidRPr="00057DE7">
              <w:rPr>
                <w:sz w:val="20"/>
                <w:lang w:eastAsia="en-AU"/>
              </w:rPr>
              <w:t xml:space="preserve"> </w:t>
            </w:r>
          </w:p>
        </w:tc>
        <w:tc>
          <w:tcPr>
            <w:tcW w:w="2157" w:type="dxa"/>
            <w:gridSpan w:val="4"/>
            <w:hideMark/>
          </w:tcPr>
          <w:p w:rsidR="00F87646" w:rsidRPr="00057DE7" w:rsidRDefault="00F87646" w:rsidP="00EA432D">
            <w:pPr>
              <w:pStyle w:val="million"/>
              <w:rPr>
                <w:sz w:val="20"/>
              </w:rPr>
            </w:pPr>
            <w:r w:rsidRPr="00057DE7">
              <w:rPr>
                <w:sz w:val="20"/>
              </w:rPr>
              <w:t xml:space="preserve">(percentage change) </w:t>
            </w:r>
            <w:r w:rsidRPr="00057DE7">
              <w:rPr>
                <w:sz w:val="20"/>
                <w:vertAlign w:val="superscript"/>
              </w:rPr>
              <w:t>(b)</w:t>
            </w:r>
          </w:p>
        </w:tc>
        <w:tc>
          <w:tcPr>
            <w:tcW w:w="230" w:type="dxa"/>
            <w:hideMark/>
          </w:tcPr>
          <w:p w:rsidR="00F87646" w:rsidRPr="00057DE7" w:rsidRDefault="00F87646" w:rsidP="00EA432D">
            <w:pPr>
              <w:pStyle w:val="million"/>
              <w:rPr>
                <w:sz w:val="20"/>
                <w:lang w:eastAsia="en-AU"/>
              </w:rPr>
            </w:pPr>
            <w:r w:rsidRPr="00057DE7">
              <w:rPr>
                <w:sz w:val="20"/>
                <w:lang w:eastAsia="en-AU"/>
              </w:rPr>
              <w:t xml:space="preserve"> </w:t>
            </w:r>
          </w:p>
        </w:tc>
        <w:tc>
          <w:tcPr>
            <w:tcW w:w="234" w:type="dxa"/>
            <w:hideMark/>
          </w:tcPr>
          <w:p w:rsidR="00F87646" w:rsidRPr="00057DE7" w:rsidRDefault="00F87646" w:rsidP="00EA432D">
            <w:pPr>
              <w:pStyle w:val="million"/>
              <w:rPr>
                <w:sz w:val="20"/>
                <w:lang w:eastAsia="en-AU"/>
              </w:rPr>
            </w:pPr>
            <w:r w:rsidRPr="00057DE7">
              <w:rPr>
                <w:sz w:val="20"/>
                <w:lang w:eastAsia="en-AU"/>
              </w:rPr>
              <w:t xml:space="preserve"> </w:t>
            </w:r>
          </w:p>
        </w:tc>
      </w:tr>
      <w:tr w:rsidR="00F87646" w:rsidTr="00EA432D">
        <w:trPr>
          <w:trHeight w:val="145"/>
        </w:trPr>
        <w:tc>
          <w:tcPr>
            <w:tcW w:w="4055" w:type="dxa"/>
            <w:hideMark/>
          </w:tcPr>
          <w:p w:rsidR="00F87646" w:rsidRDefault="00F87646" w:rsidP="00EA432D">
            <w:pPr>
              <w:pStyle w:val="Tabletext"/>
              <w:rPr>
                <w:lang w:eastAsia="en-AU"/>
              </w:rPr>
            </w:pPr>
            <w:r>
              <w:rPr>
                <w:lang w:eastAsia="en-AU"/>
              </w:rPr>
              <w:t>Real gross state product</w:t>
            </w:r>
          </w:p>
        </w:tc>
        <w:tc>
          <w:tcPr>
            <w:tcW w:w="854" w:type="dxa"/>
            <w:gridSpan w:val="2"/>
          </w:tcPr>
          <w:p w:rsidR="00F87646" w:rsidRPr="00030371" w:rsidRDefault="00F87646" w:rsidP="00EA432D">
            <w:pPr>
              <w:pStyle w:val="TableofFigures"/>
              <w:rPr>
                <w:rFonts w:eastAsiaTheme="minorEastAsia"/>
                <w:lang w:eastAsia="en-AU"/>
              </w:rPr>
            </w:pPr>
            <w:r w:rsidRPr="00030371">
              <w:rPr>
                <w:rFonts w:eastAsiaTheme="minorEastAsia"/>
                <w:lang w:eastAsia="en-AU"/>
              </w:rPr>
              <w:t>2.50</w:t>
            </w:r>
          </w:p>
        </w:tc>
        <w:tc>
          <w:tcPr>
            <w:tcW w:w="847" w:type="dxa"/>
          </w:tcPr>
          <w:p w:rsidR="00F87646" w:rsidRPr="00030371" w:rsidRDefault="00F87646" w:rsidP="00EA432D">
            <w:pPr>
              <w:pStyle w:val="TableofFigures"/>
              <w:rPr>
                <w:rFonts w:eastAsiaTheme="minorEastAsia"/>
                <w:lang w:eastAsia="en-AU"/>
              </w:rPr>
            </w:pPr>
            <w:r w:rsidRPr="00030371">
              <w:rPr>
                <w:rFonts w:eastAsiaTheme="minorEastAsia"/>
                <w:lang w:eastAsia="en-AU"/>
              </w:rPr>
              <w:t>2.75</w:t>
            </w:r>
          </w:p>
        </w:tc>
        <w:tc>
          <w:tcPr>
            <w:tcW w:w="846" w:type="dxa"/>
          </w:tcPr>
          <w:p w:rsidR="00F87646" w:rsidRPr="00030371" w:rsidRDefault="00F87646" w:rsidP="00EA432D">
            <w:pPr>
              <w:pStyle w:val="TableofFigures"/>
              <w:rPr>
                <w:rFonts w:eastAsiaTheme="minorEastAsia"/>
                <w:lang w:eastAsia="en-AU"/>
              </w:rPr>
            </w:pPr>
            <w:r w:rsidRPr="00030371">
              <w:rPr>
                <w:rFonts w:eastAsiaTheme="minorEastAsia"/>
                <w:lang w:eastAsia="en-AU"/>
              </w:rPr>
              <w:t>2.75</w:t>
            </w:r>
          </w:p>
        </w:tc>
        <w:tc>
          <w:tcPr>
            <w:tcW w:w="853" w:type="dxa"/>
            <w:gridSpan w:val="3"/>
          </w:tcPr>
          <w:p w:rsidR="00F87646" w:rsidRPr="00030371" w:rsidRDefault="00F87646" w:rsidP="00EA432D">
            <w:pPr>
              <w:pStyle w:val="TableofFigures"/>
              <w:rPr>
                <w:rFonts w:eastAsiaTheme="minorEastAsia"/>
                <w:lang w:eastAsia="en-AU"/>
              </w:rPr>
            </w:pPr>
            <w:r w:rsidRPr="00030371">
              <w:rPr>
                <w:rFonts w:eastAsiaTheme="minorEastAsia"/>
                <w:lang w:eastAsia="en-AU"/>
              </w:rPr>
              <w:t>2.75</w:t>
            </w:r>
          </w:p>
        </w:tc>
      </w:tr>
      <w:tr w:rsidR="00F87646" w:rsidRPr="00030371" w:rsidTr="00EA432D">
        <w:tc>
          <w:tcPr>
            <w:tcW w:w="4055" w:type="dxa"/>
            <w:hideMark/>
          </w:tcPr>
          <w:p w:rsidR="00F87646" w:rsidRDefault="00F87646" w:rsidP="00EA432D">
            <w:pPr>
              <w:pStyle w:val="Tabletext"/>
              <w:rPr>
                <w:lang w:eastAsia="en-AU"/>
              </w:rPr>
            </w:pPr>
            <w:r>
              <w:rPr>
                <w:lang w:eastAsia="en-AU"/>
              </w:rPr>
              <w:t>Employment</w:t>
            </w:r>
          </w:p>
        </w:tc>
        <w:tc>
          <w:tcPr>
            <w:tcW w:w="854" w:type="dxa"/>
            <w:gridSpan w:val="2"/>
          </w:tcPr>
          <w:p w:rsidR="00F87646" w:rsidRPr="00030371" w:rsidRDefault="00F87646" w:rsidP="00EA432D">
            <w:pPr>
              <w:pStyle w:val="TableofFigures"/>
              <w:rPr>
                <w:rFonts w:eastAsiaTheme="minorEastAsia"/>
                <w:lang w:eastAsia="en-AU"/>
              </w:rPr>
            </w:pPr>
            <w:r w:rsidRPr="00030371">
              <w:rPr>
                <w:rFonts w:eastAsiaTheme="minorEastAsia"/>
                <w:lang w:eastAsia="en-AU"/>
              </w:rPr>
              <w:t>1.25</w:t>
            </w:r>
          </w:p>
        </w:tc>
        <w:tc>
          <w:tcPr>
            <w:tcW w:w="847" w:type="dxa"/>
          </w:tcPr>
          <w:p w:rsidR="00F87646" w:rsidRPr="00030371" w:rsidRDefault="00F87646" w:rsidP="00EA432D">
            <w:pPr>
              <w:pStyle w:val="TableofFigures"/>
              <w:rPr>
                <w:rFonts w:eastAsiaTheme="minorEastAsia"/>
                <w:lang w:eastAsia="en-AU"/>
              </w:rPr>
            </w:pPr>
            <w:r w:rsidRPr="00030371">
              <w:rPr>
                <w:rFonts w:eastAsiaTheme="minorEastAsia"/>
                <w:lang w:eastAsia="en-AU"/>
              </w:rPr>
              <w:t>1.50</w:t>
            </w:r>
          </w:p>
        </w:tc>
        <w:tc>
          <w:tcPr>
            <w:tcW w:w="846" w:type="dxa"/>
          </w:tcPr>
          <w:p w:rsidR="00F87646" w:rsidRPr="00030371" w:rsidRDefault="00F87646" w:rsidP="00EA432D">
            <w:pPr>
              <w:pStyle w:val="TableofFigures"/>
              <w:rPr>
                <w:rFonts w:eastAsiaTheme="minorEastAsia"/>
                <w:lang w:eastAsia="en-AU"/>
              </w:rPr>
            </w:pPr>
            <w:r w:rsidRPr="00030371">
              <w:rPr>
                <w:rFonts w:eastAsiaTheme="minorEastAsia"/>
                <w:lang w:eastAsia="en-AU"/>
              </w:rPr>
              <w:t>1.50</w:t>
            </w:r>
          </w:p>
        </w:tc>
        <w:tc>
          <w:tcPr>
            <w:tcW w:w="853" w:type="dxa"/>
            <w:gridSpan w:val="3"/>
          </w:tcPr>
          <w:p w:rsidR="00F87646" w:rsidRPr="00030371" w:rsidRDefault="00F87646" w:rsidP="00EA432D">
            <w:pPr>
              <w:pStyle w:val="TableofFigures"/>
              <w:rPr>
                <w:rFonts w:eastAsiaTheme="minorEastAsia"/>
                <w:lang w:eastAsia="en-AU"/>
              </w:rPr>
            </w:pPr>
            <w:r w:rsidRPr="00030371">
              <w:rPr>
                <w:rFonts w:eastAsiaTheme="minorEastAsia"/>
                <w:lang w:eastAsia="en-AU"/>
              </w:rPr>
              <w:t>1.50</w:t>
            </w:r>
          </w:p>
        </w:tc>
      </w:tr>
      <w:tr w:rsidR="00F87646" w:rsidTr="00EA432D">
        <w:tc>
          <w:tcPr>
            <w:tcW w:w="4055" w:type="dxa"/>
            <w:hideMark/>
          </w:tcPr>
          <w:p w:rsidR="00F87646" w:rsidRDefault="00F87646" w:rsidP="00EA432D">
            <w:pPr>
              <w:pStyle w:val="Tabletext"/>
              <w:rPr>
                <w:vertAlign w:val="superscript"/>
                <w:lang w:eastAsia="en-AU"/>
              </w:rPr>
            </w:pPr>
            <w:r>
              <w:rPr>
                <w:lang w:eastAsia="en-AU"/>
              </w:rPr>
              <w:t xml:space="preserve">Unemployment rate </w:t>
            </w:r>
          </w:p>
        </w:tc>
        <w:tc>
          <w:tcPr>
            <w:tcW w:w="854" w:type="dxa"/>
            <w:gridSpan w:val="2"/>
          </w:tcPr>
          <w:p w:rsidR="00F87646" w:rsidRPr="00057DE7" w:rsidRDefault="00F87646" w:rsidP="00EA432D">
            <w:pPr>
              <w:pStyle w:val="TableofFigures"/>
              <w:rPr>
                <w:rFonts w:eastAsiaTheme="minorEastAsia"/>
              </w:rPr>
            </w:pPr>
            <w:r w:rsidRPr="00057DE7">
              <w:rPr>
                <w:rFonts w:eastAsiaTheme="minorEastAsia"/>
              </w:rPr>
              <w:t>6.50</w:t>
            </w:r>
          </w:p>
        </w:tc>
        <w:tc>
          <w:tcPr>
            <w:tcW w:w="847" w:type="dxa"/>
          </w:tcPr>
          <w:p w:rsidR="00F87646" w:rsidRPr="00030371" w:rsidRDefault="00F87646" w:rsidP="00EA432D">
            <w:pPr>
              <w:pStyle w:val="TableofFigures"/>
              <w:rPr>
                <w:rFonts w:eastAsiaTheme="minorEastAsia"/>
                <w:lang w:eastAsia="en-AU"/>
              </w:rPr>
            </w:pPr>
            <w:r w:rsidRPr="00030371">
              <w:rPr>
                <w:rFonts w:eastAsiaTheme="minorEastAsia"/>
                <w:lang w:eastAsia="en-AU"/>
              </w:rPr>
              <w:t>6.25</w:t>
            </w:r>
          </w:p>
        </w:tc>
        <w:tc>
          <w:tcPr>
            <w:tcW w:w="846" w:type="dxa"/>
          </w:tcPr>
          <w:p w:rsidR="00F87646" w:rsidRPr="00030371" w:rsidRDefault="00F87646" w:rsidP="00EA432D">
            <w:pPr>
              <w:pStyle w:val="TableofFigures"/>
              <w:rPr>
                <w:rFonts w:eastAsiaTheme="minorEastAsia"/>
                <w:lang w:eastAsia="en-AU"/>
              </w:rPr>
            </w:pPr>
            <w:r w:rsidRPr="00030371">
              <w:rPr>
                <w:rFonts w:eastAsiaTheme="minorEastAsia"/>
                <w:lang w:eastAsia="en-AU"/>
              </w:rPr>
              <w:t>6.00</w:t>
            </w:r>
          </w:p>
        </w:tc>
        <w:tc>
          <w:tcPr>
            <w:tcW w:w="853" w:type="dxa"/>
            <w:gridSpan w:val="3"/>
          </w:tcPr>
          <w:p w:rsidR="00F87646" w:rsidRPr="00030371" w:rsidRDefault="00F87646" w:rsidP="00EA432D">
            <w:pPr>
              <w:pStyle w:val="TableofFigures"/>
              <w:rPr>
                <w:rFonts w:eastAsiaTheme="minorEastAsia"/>
                <w:lang w:eastAsia="en-AU"/>
              </w:rPr>
            </w:pPr>
            <w:r w:rsidRPr="00030371">
              <w:rPr>
                <w:rFonts w:eastAsiaTheme="minorEastAsia"/>
                <w:lang w:eastAsia="en-AU"/>
              </w:rPr>
              <w:t>5.50</w:t>
            </w:r>
          </w:p>
        </w:tc>
      </w:tr>
      <w:tr w:rsidR="00F87646" w:rsidTr="00EA432D">
        <w:tc>
          <w:tcPr>
            <w:tcW w:w="4055" w:type="dxa"/>
            <w:hideMark/>
          </w:tcPr>
          <w:p w:rsidR="00F87646" w:rsidRDefault="00F87646" w:rsidP="00EA432D">
            <w:pPr>
              <w:pStyle w:val="Tabletext"/>
              <w:rPr>
                <w:lang w:eastAsia="en-AU"/>
              </w:rPr>
            </w:pPr>
            <w:r>
              <w:rPr>
                <w:lang w:eastAsia="en-AU"/>
              </w:rPr>
              <w:t xml:space="preserve">Consumer price index </w:t>
            </w:r>
            <w:r>
              <w:rPr>
                <w:vertAlign w:val="superscript"/>
                <w:lang w:eastAsia="en-AU"/>
              </w:rPr>
              <w:t>(c)</w:t>
            </w:r>
          </w:p>
        </w:tc>
        <w:tc>
          <w:tcPr>
            <w:tcW w:w="854" w:type="dxa"/>
            <w:gridSpan w:val="2"/>
          </w:tcPr>
          <w:p w:rsidR="00F87646" w:rsidRPr="00030371" w:rsidRDefault="00F87646" w:rsidP="00EA432D">
            <w:pPr>
              <w:pStyle w:val="TableofFigures"/>
              <w:rPr>
                <w:rFonts w:eastAsiaTheme="minorEastAsia"/>
                <w:lang w:eastAsia="en-AU"/>
              </w:rPr>
            </w:pPr>
            <w:r w:rsidRPr="00030371">
              <w:rPr>
                <w:rFonts w:eastAsiaTheme="minorEastAsia"/>
                <w:lang w:eastAsia="en-AU"/>
              </w:rPr>
              <w:t>2.25</w:t>
            </w:r>
          </w:p>
        </w:tc>
        <w:tc>
          <w:tcPr>
            <w:tcW w:w="847" w:type="dxa"/>
          </w:tcPr>
          <w:p w:rsidR="00F87646" w:rsidRPr="00030371" w:rsidRDefault="00F87646" w:rsidP="00EA432D">
            <w:pPr>
              <w:pStyle w:val="TableofFigures"/>
              <w:rPr>
                <w:rFonts w:eastAsiaTheme="minorEastAsia"/>
                <w:lang w:eastAsia="en-AU"/>
              </w:rPr>
            </w:pPr>
            <w:r w:rsidRPr="00030371">
              <w:rPr>
                <w:rFonts w:eastAsiaTheme="minorEastAsia"/>
                <w:lang w:eastAsia="en-AU"/>
              </w:rPr>
              <w:t>2.50</w:t>
            </w:r>
          </w:p>
        </w:tc>
        <w:tc>
          <w:tcPr>
            <w:tcW w:w="846" w:type="dxa"/>
          </w:tcPr>
          <w:p w:rsidR="00F87646" w:rsidRPr="00030371" w:rsidRDefault="00F87646" w:rsidP="00EA432D">
            <w:pPr>
              <w:pStyle w:val="TableofFigures"/>
              <w:rPr>
                <w:rFonts w:eastAsiaTheme="minorEastAsia"/>
                <w:lang w:eastAsia="en-AU"/>
              </w:rPr>
            </w:pPr>
            <w:r w:rsidRPr="00030371">
              <w:rPr>
                <w:rFonts w:eastAsiaTheme="minorEastAsia"/>
                <w:lang w:eastAsia="en-AU"/>
              </w:rPr>
              <w:t>2.50</w:t>
            </w:r>
          </w:p>
        </w:tc>
        <w:tc>
          <w:tcPr>
            <w:tcW w:w="853" w:type="dxa"/>
            <w:gridSpan w:val="3"/>
          </w:tcPr>
          <w:p w:rsidR="00F87646" w:rsidRPr="00030371" w:rsidRDefault="00F87646" w:rsidP="00EA432D">
            <w:pPr>
              <w:pStyle w:val="TableofFigures"/>
              <w:rPr>
                <w:rFonts w:eastAsiaTheme="minorEastAsia"/>
                <w:lang w:eastAsia="en-AU"/>
              </w:rPr>
            </w:pPr>
            <w:r w:rsidRPr="00030371">
              <w:rPr>
                <w:rFonts w:eastAsiaTheme="minorEastAsia"/>
                <w:lang w:eastAsia="en-AU"/>
              </w:rPr>
              <w:t>2.50</w:t>
            </w:r>
          </w:p>
        </w:tc>
      </w:tr>
      <w:tr w:rsidR="00F87646" w:rsidTr="00EA432D">
        <w:tc>
          <w:tcPr>
            <w:tcW w:w="4055" w:type="dxa"/>
            <w:hideMark/>
          </w:tcPr>
          <w:p w:rsidR="00F87646" w:rsidRDefault="00F87646" w:rsidP="00EA432D">
            <w:pPr>
              <w:pStyle w:val="Tabletext"/>
              <w:rPr>
                <w:vertAlign w:val="superscript"/>
                <w:lang w:eastAsia="en-AU"/>
              </w:rPr>
            </w:pPr>
            <w:r>
              <w:rPr>
                <w:lang w:eastAsia="en-AU"/>
              </w:rPr>
              <w:t xml:space="preserve">Wage price index </w:t>
            </w:r>
            <w:r>
              <w:rPr>
                <w:vertAlign w:val="superscript"/>
                <w:lang w:eastAsia="en-AU"/>
              </w:rPr>
              <w:t>(d)</w:t>
            </w:r>
          </w:p>
        </w:tc>
        <w:tc>
          <w:tcPr>
            <w:tcW w:w="854" w:type="dxa"/>
            <w:gridSpan w:val="2"/>
          </w:tcPr>
          <w:p w:rsidR="00F87646" w:rsidRPr="00030371" w:rsidRDefault="00F87646" w:rsidP="00EA432D">
            <w:pPr>
              <w:pStyle w:val="TableofFigures"/>
              <w:rPr>
                <w:rFonts w:eastAsiaTheme="minorEastAsia"/>
                <w:lang w:eastAsia="en-AU"/>
              </w:rPr>
            </w:pPr>
            <w:r w:rsidRPr="00030371">
              <w:rPr>
                <w:rFonts w:eastAsiaTheme="minorEastAsia"/>
                <w:lang w:eastAsia="en-AU"/>
              </w:rPr>
              <w:t>3.25</w:t>
            </w:r>
          </w:p>
        </w:tc>
        <w:tc>
          <w:tcPr>
            <w:tcW w:w="847" w:type="dxa"/>
          </w:tcPr>
          <w:p w:rsidR="00F87646" w:rsidRPr="00030371" w:rsidRDefault="00F87646" w:rsidP="00EA432D">
            <w:pPr>
              <w:pStyle w:val="TableofFigures"/>
              <w:rPr>
                <w:rFonts w:eastAsiaTheme="minorEastAsia"/>
                <w:lang w:eastAsia="en-AU"/>
              </w:rPr>
            </w:pPr>
            <w:r w:rsidRPr="00030371">
              <w:rPr>
                <w:rFonts w:eastAsiaTheme="minorEastAsia"/>
                <w:lang w:eastAsia="en-AU"/>
              </w:rPr>
              <w:t>3.50</w:t>
            </w:r>
          </w:p>
        </w:tc>
        <w:tc>
          <w:tcPr>
            <w:tcW w:w="846" w:type="dxa"/>
          </w:tcPr>
          <w:p w:rsidR="00F87646" w:rsidRPr="00030371" w:rsidRDefault="00F87646" w:rsidP="00EA432D">
            <w:pPr>
              <w:pStyle w:val="TableofFigures"/>
              <w:rPr>
                <w:rFonts w:eastAsiaTheme="minorEastAsia"/>
                <w:lang w:eastAsia="en-AU"/>
              </w:rPr>
            </w:pPr>
            <w:r w:rsidRPr="00030371">
              <w:rPr>
                <w:rFonts w:eastAsiaTheme="minorEastAsia"/>
                <w:lang w:eastAsia="en-AU"/>
              </w:rPr>
              <w:t>3.50</w:t>
            </w:r>
          </w:p>
        </w:tc>
        <w:tc>
          <w:tcPr>
            <w:tcW w:w="853" w:type="dxa"/>
            <w:gridSpan w:val="3"/>
          </w:tcPr>
          <w:p w:rsidR="00F87646" w:rsidRPr="00030371" w:rsidRDefault="00F87646" w:rsidP="00EA432D">
            <w:pPr>
              <w:pStyle w:val="TableofFigures"/>
              <w:rPr>
                <w:rFonts w:eastAsiaTheme="minorEastAsia"/>
                <w:lang w:eastAsia="en-AU"/>
              </w:rPr>
            </w:pPr>
            <w:r w:rsidRPr="00030371">
              <w:rPr>
                <w:rFonts w:eastAsiaTheme="minorEastAsia"/>
                <w:lang w:eastAsia="en-AU"/>
              </w:rPr>
              <w:t>3.50</w:t>
            </w:r>
          </w:p>
        </w:tc>
      </w:tr>
      <w:tr w:rsidR="00F87646" w:rsidTr="00EA432D">
        <w:tc>
          <w:tcPr>
            <w:tcW w:w="4055" w:type="dxa"/>
            <w:tcBorders>
              <w:top w:val="nil"/>
              <w:left w:val="nil"/>
              <w:bottom w:val="single" w:sz="12" w:space="0" w:color="auto"/>
              <w:right w:val="nil"/>
            </w:tcBorders>
            <w:hideMark/>
          </w:tcPr>
          <w:p w:rsidR="00F87646" w:rsidRDefault="00F87646" w:rsidP="00EA432D">
            <w:pPr>
              <w:pStyle w:val="Tabletext"/>
              <w:rPr>
                <w:vertAlign w:val="superscript"/>
                <w:lang w:eastAsia="en-AU"/>
              </w:rPr>
            </w:pPr>
            <w:r>
              <w:rPr>
                <w:lang w:eastAsia="en-AU"/>
              </w:rPr>
              <w:t xml:space="preserve">Population </w:t>
            </w:r>
          </w:p>
        </w:tc>
        <w:tc>
          <w:tcPr>
            <w:tcW w:w="854" w:type="dxa"/>
            <w:gridSpan w:val="2"/>
            <w:tcBorders>
              <w:top w:val="nil"/>
              <w:left w:val="nil"/>
              <w:bottom w:val="single" w:sz="12" w:space="0" w:color="auto"/>
              <w:right w:val="nil"/>
            </w:tcBorders>
          </w:tcPr>
          <w:p w:rsidR="00F87646" w:rsidRPr="00030371" w:rsidRDefault="00F87646" w:rsidP="00063B2D">
            <w:pPr>
              <w:pStyle w:val="TableofFigures"/>
              <w:rPr>
                <w:rFonts w:eastAsiaTheme="minorEastAsia"/>
                <w:lang w:eastAsia="en-AU"/>
              </w:rPr>
            </w:pPr>
            <w:r w:rsidRPr="00030371">
              <w:rPr>
                <w:rFonts w:eastAsiaTheme="minorEastAsia"/>
                <w:lang w:eastAsia="en-AU"/>
              </w:rPr>
              <w:t>1.8</w:t>
            </w:r>
          </w:p>
        </w:tc>
        <w:tc>
          <w:tcPr>
            <w:tcW w:w="847" w:type="dxa"/>
            <w:tcBorders>
              <w:top w:val="nil"/>
              <w:left w:val="nil"/>
              <w:bottom w:val="single" w:sz="12" w:space="0" w:color="auto"/>
              <w:right w:val="nil"/>
            </w:tcBorders>
          </w:tcPr>
          <w:p w:rsidR="00F87646" w:rsidRPr="00030371" w:rsidRDefault="00F87646" w:rsidP="00063B2D">
            <w:pPr>
              <w:pStyle w:val="TableofFigures"/>
              <w:rPr>
                <w:rFonts w:eastAsiaTheme="minorEastAsia"/>
                <w:lang w:eastAsia="en-AU"/>
              </w:rPr>
            </w:pPr>
            <w:r w:rsidRPr="00030371">
              <w:rPr>
                <w:rFonts w:eastAsiaTheme="minorEastAsia"/>
                <w:lang w:eastAsia="en-AU"/>
              </w:rPr>
              <w:t>1.8</w:t>
            </w:r>
          </w:p>
        </w:tc>
        <w:tc>
          <w:tcPr>
            <w:tcW w:w="846" w:type="dxa"/>
            <w:tcBorders>
              <w:top w:val="nil"/>
              <w:left w:val="nil"/>
              <w:bottom w:val="single" w:sz="12" w:space="0" w:color="auto"/>
              <w:right w:val="nil"/>
            </w:tcBorders>
          </w:tcPr>
          <w:p w:rsidR="00F87646" w:rsidRPr="00030371" w:rsidRDefault="00F87646" w:rsidP="00063B2D">
            <w:pPr>
              <w:pStyle w:val="TableofFigures"/>
              <w:rPr>
                <w:rFonts w:eastAsiaTheme="minorEastAsia"/>
                <w:lang w:eastAsia="en-AU"/>
              </w:rPr>
            </w:pPr>
            <w:r w:rsidRPr="00030371">
              <w:rPr>
                <w:rFonts w:eastAsiaTheme="minorEastAsia"/>
                <w:lang w:eastAsia="en-AU"/>
              </w:rPr>
              <w:t>1.8</w:t>
            </w:r>
          </w:p>
        </w:tc>
        <w:tc>
          <w:tcPr>
            <w:tcW w:w="853" w:type="dxa"/>
            <w:gridSpan w:val="3"/>
            <w:tcBorders>
              <w:top w:val="nil"/>
              <w:left w:val="nil"/>
              <w:bottom w:val="single" w:sz="12" w:space="0" w:color="auto"/>
              <w:right w:val="nil"/>
            </w:tcBorders>
          </w:tcPr>
          <w:p w:rsidR="00F87646" w:rsidRPr="00030371" w:rsidRDefault="00F87646" w:rsidP="00063B2D">
            <w:pPr>
              <w:pStyle w:val="TableofFigures"/>
              <w:rPr>
                <w:rFonts w:eastAsiaTheme="minorEastAsia"/>
                <w:lang w:eastAsia="en-AU"/>
              </w:rPr>
            </w:pPr>
            <w:r w:rsidRPr="00030371">
              <w:rPr>
                <w:rFonts w:eastAsiaTheme="minorEastAsia"/>
                <w:lang w:eastAsia="en-AU"/>
              </w:rPr>
              <w:t>1.8</w:t>
            </w:r>
          </w:p>
        </w:tc>
      </w:tr>
    </w:tbl>
    <w:p w:rsidR="00F87646" w:rsidRDefault="00F87646" w:rsidP="005E2118">
      <w:pPr>
        <w:pStyle w:val="Source"/>
      </w:pPr>
      <w:r>
        <w:t>Source: Australian Bureau of Statistics; Department of Treasury and Finance</w:t>
      </w:r>
    </w:p>
    <w:p w:rsidR="00F87646" w:rsidRPr="00030371" w:rsidRDefault="00F87646" w:rsidP="005E2118">
      <w:pPr>
        <w:pStyle w:val="Notes"/>
      </w:pPr>
      <w:r w:rsidRPr="00030371">
        <w:t>Notes:</w:t>
      </w:r>
    </w:p>
    <w:p w:rsidR="00F87646" w:rsidRPr="00063B2D" w:rsidRDefault="00F87646" w:rsidP="00063B2D">
      <w:pPr>
        <w:pStyle w:val="Notes"/>
        <w:rPr>
          <w:iCs/>
        </w:rPr>
      </w:pPr>
      <w:r w:rsidRPr="00063B2D">
        <w:rPr>
          <w:iCs/>
        </w:rPr>
        <w:t>(a)</w:t>
      </w:r>
      <w:r>
        <w:rPr>
          <w:iCs/>
        </w:rPr>
        <w:t xml:space="preserve"> </w:t>
      </w:r>
      <w:r>
        <w:rPr>
          <w:iCs/>
        </w:rPr>
        <w:tab/>
      </w:r>
      <w:r w:rsidRPr="00063B2D">
        <w:rPr>
          <w:iCs/>
        </w:rPr>
        <w:t>The key assumptions underlying the economic forecasts include: interest rates that follow movements in market expectations in the short</w:t>
      </w:r>
      <w:r>
        <w:rPr>
          <w:iCs/>
        </w:rPr>
        <w:t xml:space="preserve"> term, and stabilise thereafter; a trade</w:t>
      </w:r>
      <w:r>
        <w:rPr>
          <w:iCs/>
        </w:rPr>
        <w:noBreakHyphen/>
        <w:t>weighted index of 71.7;</w:t>
      </w:r>
      <w:r w:rsidRPr="00063B2D">
        <w:rPr>
          <w:iCs/>
        </w:rPr>
        <w:t xml:space="preserve"> and oil prices that follow the path suggested by oil futures.</w:t>
      </w:r>
    </w:p>
    <w:p w:rsidR="00F87646" w:rsidRPr="00063B2D" w:rsidRDefault="00F87646" w:rsidP="00063B2D">
      <w:pPr>
        <w:pStyle w:val="Notes"/>
        <w:rPr>
          <w:iCs/>
        </w:rPr>
      </w:pPr>
      <w:r w:rsidRPr="00063B2D">
        <w:rPr>
          <w:iCs/>
        </w:rPr>
        <w:t xml:space="preserve">(b) </w:t>
      </w:r>
      <w:r>
        <w:rPr>
          <w:iCs/>
        </w:rPr>
        <w:tab/>
        <w:t>Per cent change in year</w:t>
      </w:r>
      <w:r>
        <w:rPr>
          <w:iCs/>
        </w:rPr>
        <w:noBreakHyphen/>
      </w:r>
      <w:r w:rsidRPr="00063B2D">
        <w:rPr>
          <w:iCs/>
        </w:rPr>
        <w:t xml:space="preserve">average compared with previous year, except for unemployment rate which is </w:t>
      </w:r>
      <w:r>
        <w:rPr>
          <w:iCs/>
        </w:rPr>
        <w:t>year</w:t>
      </w:r>
      <w:r>
        <w:rPr>
          <w:iCs/>
        </w:rPr>
        <w:noBreakHyphen/>
        <w:t>average per cent</w:t>
      </w:r>
      <w:r w:rsidRPr="00063B2D">
        <w:rPr>
          <w:iCs/>
        </w:rPr>
        <w:t xml:space="preserve"> and population which is</w:t>
      </w:r>
      <w:r>
        <w:rPr>
          <w:iCs/>
        </w:rPr>
        <w:t> per cent</w:t>
      </w:r>
      <w:r w:rsidRPr="00063B2D">
        <w:rPr>
          <w:iCs/>
        </w:rPr>
        <w:t xml:space="preserve"> change over the year to 30 June. Forecasts are rounded to the </w:t>
      </w:r>
      <w:r>
        <w:rPr>
          <w:iCs/>
        </w:rPr>
        <w:t>nearest 0.25 </w:t>
      </w:r>
      <w:r w:rsidRPr="00063B2D">
        <w:rPr>
          <w:iCs/>
        </w:rPr>
        <w:t>percentage points, except for population which is rounded to nearest 0.1 percentage point.</w:t>
      </w:r>
    </w:p>
    <w:p w:rsidR="00F87646" w:rsidRPr="00063B2D" w:rsidRDefault="00F87646" w:rsidP="00055501">
      <w:pPr>
        <w:pStyle w:val="Notes"/>
      </w:pPr>
      <w:r w:rsidRPr="00063B2D">
        <w:t>(c</w:t>
      </w:r>
      <w:r>
        <w:t>)</w:t>
      </w:r>
      <w:r>
        <w:tab/>
      </w:r>
      <w:r w:rsidRPr="00063B2D">
        <w:t>Melbourne consumer price index.</w:t>
      </w:r>
    </w:p>
    <w:p w:rsidR="00F87646" w:rsidRDefault="00F87646" w:rsidP="00063B2D">
      <w:pPr>
        <w:pStyle w:val="Notes"/>
        <w:rPr>
          <w:highlight w:val="yellow"/>
        </w:rPr>
      </w:pPr>
      <w:r>
        <w:rPr>
          <w:iCs/>
        </w:rPr>
        <w:t>(d)</w:t>
      </w:r>
      <w:r>
        <w:rPr>
          <w:iCs/>
        </w:rPr>
        <w:tab/>
      </w:r>
      <w:r w:rsidRPr="00063B2D">
        <w:rPr>
          <w:iCs/>
        </w:rPr>
        <w:t>Total hourly rate excluding bonuses.</w:t>
      </w:r>
    </w:p>
    <w:p w:rsidR="00F87646" w:rsidRDefault="00F87646" w:rsidP="00A66864"/>
    <w:p w:rsidR="00F87646" w:rsidRDefault="00F87646">
      <w:pPr>
        <w:spacing w:after="0"/>
        <w:rPr>
          <w:rFonts w:ascii="Calibri" w:hAnsi="Calibri"/>
          <w:b/>
        </w:rPr>
      </w:pPr>
      <w:r>
        <w:rPr>
          <w:i/>
        </w:rPr>
        <w:br w:type="page"/>
      </w:r>
    </w:p>
    <w:p w:rsidR="00F87646" w:rsidRDefault="00F87646" w:rsidP="0061183A">
      <w:pPr>
        <w:pStyle w:val="Heading2NotesContd"/>
      </w:pPr>
      <w:r>
        <w:lastRenderedPageBreak/>
        <w:t xml:space="preserve">Note </w:t>
      </w:r>
      <w:r w:rsidRPr="00B75EB1">
        <w:t>1:</w:t>
      </w:r>
      <w:r w:rsidRPr="00B75EB1">
        <w:tab/>
      </w:r>
      <w:r w:rsidRPr="006F73C1">
        <w:t>Statement</w:t>
      </w:r>
      <w:r w:rsidRPr="00B75EB1">
        <w:t xml:space="preserve"> of significant accounting policies</w:t>
      </w:r>
      <w:r>
        <w:t xml:space="preserve"> and forecast assumptions </w:t>
      </w:r>
      <w:r w:rsidRPr="0061183A">
        <w:rPr>
          <w:i/>
        </w:rPr>
        <w:t>(continued)</w:t>
      </w:r>
    </w:p>
    <w:p w:rsidR="00F87646" w:rsidRDefault="00F87646" w:rsidP="005E2118">
      <w:pPr>
        <w:pStyle w:val="Heading3Numbering"/>
        <w:numPr>
          <w:ilvl w:val="0"/>
          <w:numId w:val="0"/>
        </w:numPr>
        <w:spacing w:before="280"/>
        <w:rPr>
          <w:sz w:val="18"/>
          <w:szCs w:val="18"/>
        </w:rPr>
      </w:pPr>
      <w:r>
        <w:rPr>
          <w:i w:val="0"/>
          <w:kern w:val="0"/>
          <w:sz w:val="22"/>
          <w:szCs w:val="20"/>
        </w:rPr>
        <w:t>Revised forecast assumptions for superannuation</w:t>
      </w:r>
      <w:r>
        <w:rPr>
          <w:sz w:val="18"/>
          <w:szCs w:val="18"/>
        </w:rPr>
        <w:t xml:space="preserve"> </w:t>
      </w:r>
    </w:p>
    <w:p w:rsidR="00F87646" w:rsidRPr="001D5253" w:rsidRDefault="00F87646" w:rsidP="005E2118">
      <w:pPr>
        <w:autoSpaceDE w:val="0"/>
        <w:autoSpaceDN w:val="0"/>
        <w:adjustRightInd w:val="0"/>
      </w:pPr>
      <w:r w:rsidRPr="001D1A09">
        <w:t xml:space="preserve">The accounting policies relating to superannuation expenses and liabilities are consistent with those applied in preparing and presenting the </w:t>
      </w:r>
      <w:r w:rsidRPr="001D1A09">
        <w:rPr>
          <w:i/>
        </w:rPr>
        <w:t>2014</w:t>
      </w:r>
      <w:r>
        <w:rPr>
          <w:i/>
        </w:rPr>
        <w:noBreakHyphen/>
      </w:r>
      <w:r w:rsidRPr="001D1A09">
        <w:rPr>
          <w:i/>
        </w:rPr>
        <w:t>15</w:t>
      </w:r>
      <w:r w:rsidRPr="001D1A09">
        <w:t xml:space="preserve"> </w:t>
      </w:r>
      <w:r w:rsidRPr="001D1A09">
        <w:rPr>
          <w:i/>
        </w:rPr>
        <w:t>Budget</w:t>
      </w:r>
      <w:r w:rsidRPr="001D1A09">
        <w:t>. However, the forecast assumptions have been revised for the budget year and forward years for each relevant</w:t>
      </w:r>
      <w:r w:rsidRPr="001D5253">
        <w:t xml:space="preserve"> defined benefit superannuation scheme as disclosed in the following table.</w:t>
      </w:r>
    </w:p>
    <w:tbl>
      <w:tblPr>
        <w:tblW w:w="7665" w:type="dxa"/>
        <w:tblInd w:w="29" w:type="dxa"/>
        <w:tblLayout w:type="fixed"/>
        <w:tblCellMar>
          <w:left w:w="43" w:type="dxa"/>
          <w:right w:w="43" w:type="dxa"/>
        </w:tblCellMar>
        <w:tblLook w:val="00A0" w:firstRow="1" w:lastRow="0" w:firstColumn="1" w:lastColumn="0" w:noHBand="0" w:noVBand="0"/>
      </w:tblPr>
      <w:tblGrid>
        <w:gridCol w:w="6532"/>
        <w:gridCol w:w="1133"/>
      </w:tblGrid>
      <w:tr w:rsidR="00F87646" w:rsidRPr="001D5253" w:rsidTr="00EA432D">
        <w:tc>
          <w:tcPr>
            <w:tcW w:w="6532" w:type="dxa"/>
            <w:tcBorders>
              <w:top w:val="single" w:sz="6" w:space="0" w:color="000000"/>
              <w:left w:val="single" w:sz="6" w:space="0" w:color="000000"/>
              <w:bottom w:val="single" w:sz="6" w:space="0" w:color="000000"/>
              <w:right w:val="nil"/>
            </w:tcBorders>
            <w:shd w:val="clear" w:color="auto" w:fill="000000"/>
            <w:hideMark/>
          </w:tcPr>
          <w:p w:rsidR="00F87646" w:rsidRPr="001D5253" w:rsidRDefault="00F87646" w:rsidP="00AA6086">
            <w:pPr>
              <w:pStyle w:val="Tabletextheadingleft"/>
              <w:rPr>
                <w:szCs w:val="22"/>
                <w:vertAlign w:val="superscript"/>
                <w:lang w:eastAsia="en-AU"/>
              </w:rPr>
            </w:pPr>
            <w:r w:rsidRPr="001D5253">
              <w:rPr>
                <w:lang w:eastAsia="en-AU"/>
              </w:rPr>
              <w:t>Underlying assumptions for all listed schemes</w:t>
            </w:r>
            <w:r w:rsidRPr="001D5253">
              <w:rPr>
                <w:szCs w:val="22"/>
                <w:vertAlign w:val="superscript"/>
                <w:lang w:eastAsia="en-AU"/>
              </w:rPr>
              <w:t xml:space="preserve"> (a)</w:t>
            </w:r>
          </w:p>
        </w:tc>
        <w:tc>
          <w:tcPr>
            <w:tcW w:w="1133" w:type="dxa"/>
            <w:tcBorders>
              <w:top w:val="single" w:sz="6" w:space="0" w:color="000000"/>
              <w:left w:val="nil"/>
              <w:bottom w:val="single" w:sz="6" w:space="0" w:color="000000"/>
              <w:right w:val="single" w:sz="6" w:space="0" w:color="000000"/>
            </w:tcBorders>
            <w:shd w:val="clear" w:color="auto" w:fill="000000"/>
            <w:hideMark/>
          </w:tcPr>
          <w:p w:rsidR="00F87646" w:rsidRPr="001D5253" w:rsidRDefault="00F87646" w:rsidP="00AA6086">
            <w:pPr>
              <w:pStyle w:val="Tabletextheading"/>
              <w:rPr>
                <w:lang w:eastAsia="en-AU"/>
              </w:rPr>
            </w:pPr>
            <w:r w:rsidRPr="001D5253">
              <w:rPr>
                <w:lang w:eastAsia="en-AU"/>
              </w:rPr>
              <w:t>Per cent</w:t>
            </w:r>
          </w:p>
        </w:tc>
      </w:tr>
      <w:tr w:rsidR="00F87646" w:rsidRPr="001D5253" w:rsidTr="00EA432D">
        <w:tc>
          <w:tcPr>
            <w:tcW w:w="6532" w:type="dxa"/>
            <w:tcBorders>
              <w:top w:val="single" w:sz="6" w:space="0" w:color="000000"/>
              <w:left w:val="nil"/>
              <w:bottom w:val="nil"/>
              <w:right w:val="nil"/>
            </w:tcBorders>
            <w:hideMark/>
          </w:tcPr>
          <w:p w:rsidR="00F87646" w:rsidRPr="001D5253" w:rsidRDefault="00F87646" w:rsidP="00AA6086">
            <w:pPr>
              <w:pStyle w:val="Tabletext"/>
              <w:rPr>
                <w:rFonts w:cs="Calibri"/>
                <w:vertAlign w:val="superscript"/>
                <w:lang w:eastAsia="en-AU"/>
              </w:rPr>
            </w:pPr>
            <w:r w:rsidRPr="001D5253">
              <w:t>Discount rate</w:t>
            </w:r>
            <w:r w:rsidRPr="001D5253">
              <w:rPr>
                <w:rFonts w:cs="Calibri"/>
                <w:vertAlign w:val="superscript"/>
                <w:lang w:eastAsia="en-AU"/>
              </w:rPr>
              <w:t xml:space="preserve"> (b)</w:t>
            </w:r>
          </w:p>
        </w:tc>
        <w:tc>
          <w:tcPr>
            <w:tcW w:w="1133" w:type="dxa"/>
            <w:tcBorders>
              <w:top w:val="single" w:sz="6" w:space="0" w:color="000000"/>
              <w:left w:val="nil"/>
              <w:bottom w:val="nil"/>
              <w:right w:val="nil"/>
            </w:tcBorders>
          </w:tcPr>
          <w:p w:rsidR="00F87646" w:rsidRPr="001D5253" w:rsidRDefault="00F87646" w:rsidP="00AA6086">
            <w:pPr>
              <w:pStyle w:val="TableofFigures"/>
              <w:rPr>
                <w:lang w:eastAsia="en-AU"/>
              </w:rPr>
            </w:pPr>
            <w:r w:rsidRPr="001D5253">
              <w:rPr>
                <w:lang w:eastAsia="en-AU"/>
              </w:rPr>
              <w:t>3.8</w:t>
            </w:r>
          </w:p>
        </w:tc>
      </w:tr>
      <w:tr w:rsidR="00F87646" w:rsidRPr="001D5253" w:rsidTr="00EA432D">
        <w:tc>
          <w:tcPr>
            <w:tcW w:w="6532" w:type="dxa"/>
            <w:hideMark/>
          </w:tcPr>
          <w:p w:rsidR="00F87646" w:rsidRPr="001D5253" w:rsidRDefault="00F87646" w:rsidP="00AA6086">
            <w:pPr>
              <w:pStyle w:val="Tabletext"/>
              <w:rPr>
                <w:rFonts w:cs="Calibri"/>
                <w:vertAlign w:val="superscript"/>
                <w:lang w:eastAsia="en-AU"/>
              </w:rPr>
            </w:pPr>
            <w:r w:rsidRPr="001D5253">
              <w:rPr>
                <w:rFonts w:cs="Calibri"/>
                <w:lang w:eastAsia="en-AU"/>
              </w:rPr>
              <w:t xml:space="preserve">Wages growth </w:t>
            </w:r>
            <w:r w:rsidRPr="001D5253">
              <w:rPr>
                <w:rFonts w:cs="Calibri"/>
                <w:vertAlign w:val="superscript"/>
                <w:lang w:eastAsia="en-AU"/>
              </w:rPr>
              <w:t>(c)</w:t>
            </w:r>
          </w:p>
        </w:tc>
        <w:tc>
          <w:tcPr>
            <w:tcW w:w="1133" w:type="dxa"/>
          </w:tcPr>
          <w:p w:rsidR="00F87646" w:rsidRPr="001D5253" w:rsidRDefault="00F87646" w:rsidP="00AA6086">
            <w:pPr>
              <w:pStyle w:val="TableofFigures"/>
              <w:rPr>
                <w:lang w:eastAsia="en-AU"/>
              </w:rPr>
            </w:pPr>
            <w:r w:rsidRPr="001D5253">
              <w:rPr>
                <w:lang w:eastAsia="en-AU"/>
              </w:rPr>
              <w:t>3.9</w:t>
            </w:r>
          </w:p>
        </w:tc>
      </w:tr>
      <w:tr w:rsidR="00F87646" w:rsidRPr="001D5253" w:rsidTr="00EA432D">
        <w:tc>
          <w:tcPr>
            <w:tcW w:w="6532" w:type="dxa"/>
            <w:tcBorders>
              <w:top w:val="nil"/>
              <w:left w:val="nil"/>
              <w:bottom w:val="single" w:sz="6" w:space="0" w:color="000000"/>
              <w:right w:val="nil"/>
            </w:tcBorders>
            <w:hideMark/>
          </w:tcPr>
          <w:p w:rsidR="00F87646" w:rsidRPr="001D5253" w:rsidRDefault="00F87646" w:rsidP="00AA6086">
            <w:pPr>
              <w:pStyle w:val="Tabletext"/>
              <w:rPr>
                <w:rFonts w:cs="Calibri"/>
                <w:vertAlign w:val="superscript"/>
                <w:lang w:eastAsia="en-AU"/>
              </w:rPr>
            </w:pPr>
            <w:r w:rsidRPr="001D5253">
              <w:rPr>
                <w:rFonts w:cs="Calibri"/>
                <w:lang w:eastAsia="en-AU"/>
              </w:rPr>
              <w:t xml:space="preserve">Inflation rate </w:t>
            </w:r>
            <w:r w:rsidRPr="001D5253">
              <w:rPr>
                <w:rFonts w:cs="Calibri"/>
                <w:vertAlign w:val="superscript"/>
                <w:lang w:eastAsia="en-AU"/>
              </w:rPr>
              <w:t>(d)</w:t>
            </w:r>
          </w:p>
        </w:tc>
        <w:tc>
          <w:tcPr>
            <w:tcW w:w="1133" w:type="dxa"/>
            <w:tcBorders>
              <w:top w:val="nil"/>
              <w:left w:val="nil"/>
              <w:bottom w:val="single" w:sz="6" w:space="0" w:color="000000"/>
              <w:right w:val="nil"/>
            </w:tcBorders>
          </w:tcPr>
          <w:p w:rsidR="00F87646" w:rsidRPr="001D5253" w:rsidRDefault="00F87646" w:rsidP="00AA6086">
            <w:pPr>
              <w:pStyle w:val="TableofFigures"/>
              <w:rPr>
                <w:lang w:eastAsia="en-AU"/>
              </w:rPr>
            </w:pPr>
            <w:r w:rsidRPr="001D5253">
              <w:rPr>
                <w:lang w:eastAsia="en-AU"/>
              </w:rPr>
              <w:t>2.4</w:t>
            </w:r>
          </w:p>
        </w:tc>
      </w:tr>
      <w:tr w:rsidR="00F87646" w:rsidRPr="001D5253" w:rsidTr="00EA432D">
        <w:tc>
          <w:tcPr>
            <w:tcW w:w="6532" w:type="dxa"/>
            <w:tcBorders>
              <w:top w:val="single" w:sz="6" w:space="0" w:color="000000"/>
              <w:left w:val="single" w:sz="6" w:space="0" w:color="000000"/>
              <w:bottom w:val="single" w:sz="6" w:space="0" w:color="000000"/>
              <w:right w:val="nil"/>
            </w:tcBorders>
            <w:shd w:val="clear" w:color="auto" w:fill="000000"/>
            <w:hideMark/>
          </w:tcPr>
          <w:p w:rsidR="00F87646" w:rsidRPr="001D5253" w:rsidRDefault="00F87646" w:rsidP="00AA6086">
            <w:pPr>
              <w:pStyle w:val="Tabletextheadingleft"/>
              <w:rPr>
                <w:vertAlign w:val="superscript"/>
                <w:lang w:eastAsia="en-AU"/>
              </w:rPr>
            </w:pPr>
            <w:r w:rsidRPr="001D5253">
              <w:rPr>
                <w:lang w:eastAsia="en-AU"/>
              </w:rPr>
              <w:t xml:space="preserve">Expected return on assets </w:t>
            </w:r>
            <w:r w:rsidRPr="001D5253">
              <w:rPr>
                <w:vertAlign w:val="superscript"/>
                <w:lang w:eastAsia="en-AU"/>
              </w:rPr>
              <w:t>(e)</w:t>
            </w:r>
          </w:p>
        </w:tc>
        <w:tc>
          <w:tcPr>
            <w:tcW w:w="1133" w:type="dxa"/>
            <w:tcBorders>
              <w:top w:val="single" w:sz="6" w:space="0" w:color="000000"/>
              <w:left w:val="nil"/>
              <w:bottom w:val="single" w:sz="6" w:space="0" w:color="000000"/>
              <w:right w:val="single" w:sz="6" w:space="0" w:color="000000"/>
            </w:tcBorders>
            <w:shd w:val="clear" w:color="auto" w:fill="000000"/>
          </w:tcPr>
          <w:p w:rsidR="00F87646" w:rsidRPr="001D5253" w:rsidRDefault="00F87646" w:rsidP="00AA6086">
            <w:pPr>
              <w:pStyle w:val="Tabletext"/>
              <w:rPr>
                <w:vertAlign w:val="superscript"/>
                <w:lang w:eastAsia="en-AU"/>
              </w:rPr>
            </w:pPr>
          </w:p>
        </w:tc>
      </w:tr>
      <w:tr w:rsidR="00F87646" w:rsidRPr="001D5253" w:rsidTr="00EA432D">
        <w:tc>
          <w:tcPr>
            <w:tcW w:w="6532" w:type="dxa"/>
            <w:tcBorders>
              <w:top w:val="single" w:sz="6" w:space="0" w:color="000000"/>
              <w:left w:val="nil"/>
              <w:bottom w:val="nil"/>
              <w:right w:val="nil"/>
            </w:tcBorders>
            <w:hideMark/>
          </w:tcPr>
          <w:p w:rsidR="00F87646" w:rsidRPr="001D5253" w:rsidRDefault="00F87646" w:rsidP="00AA6086">
            <w:pPr>
              <w:pStyle w:val="Tabletext"/>
              <w:rPr>
                <w:lang w:eastAsia="en-AU"/>
              </w:rPr>
            </w:pPr>
            <w:r w:rsidRPr="001D5253">
              <w:rPr>
                <w:lang w:eastAsia="en-AU"/>
              </w:rPr>
              <w:t xml:space="preserve">Emergency Services and State Super </w:t>
            </w:r>
          </w:p>
        </w:tc>
        <w:tc>
          <w:tcPr>
            <w:tcW w:w="1133" w:type="dxa"/>
            <w:tcBorders>
              <w:top w:val="single" w:sz="6" w:space="0" w:color="000000"/>
              <w:left w:val="nil"/>
              <w:bottom w:val="nil"/>
              <w:right w:val="nil"/>
            </w:tcBorders>
          </w:tcPr>
          <w:p w:rsidR="00F87646" w:rsidRPr="001D5253" w:rsidRDefault="00F87646" w:rsidP="00AA6086">
            <w:pPr>
              <w:pStyle w:val="TableofFigures"/>
              <w:rPr>
                <w:lang w:eastAsia="en-AU"/>
              </w:rPr>
            </w:pPr>
            <w:r w:rsidRPr="001D5253">
              <w:rPr>
                <w:lang w:eastAsia="en-AU"/>
              </w:rPr>
              <w:t>8.0</w:t>
            </w:r>
          </w:p>
        </w:tc>
      </w:tr>
      <w:tr w:rsidR="00F87646" w:rsidRPr="001D5253" w:rsidTr="00EA432D">
        <w:tc>
          <w:tcPr>
            <w:tcW w:w="6532" w:type="dxa"/>
            <w:hideMark/>
          </w:tcPr>
          <w:p w:rsidR="00F87646" w:rsidRPr="001D5253" w:rsidRDefault="00F87646" w:rsidP="00AA6086">
            <w:pPr>
              <w:pStyle w:val="Tabletext"/>
              <w:rPr>
                <w:lang w:eastAsia="en-AU"/>
              </w:rPr>
            </w:pPr>
            <w:r w:rsidRPr="001D5253">
              <w:rPr>
                <w:lang w:eastAsia="en-AU"/>
              </w:rPr>
              <w:t>Health Super Fund Defined Benefit Scheme</w:t>
            </w:r>
          </w:p>
        </w:tc>
        <w:tc>
          <w:tcPr>
            <w:tcW w:w="1133" w:type="dxa"/>
          </w:tcPr>
          <w:p w:rsidR="00F87646" w:rsidRPr="001D5253" w:rsidRDefault="00F87646" w:rsidP="00AA6086">
            <w:pPr>
              <w:pStyle w:val="TableofFigures"/>
              <w:rPr>
                <w:lang w:eastAsia="en-AU"/>
              </w:rPr>
            </w:pPr>
            <w:r w:rsidRPr="001D5253">
              <w:rPr>
                <w:lang w:eastAsia="en-AU"/>
              </w:rPr>
              <w:t>5.8</w:t>
            </w:r>
          </w:p>
        </w:tc>
      </w:tr>
      <w:tr w:rsidR="00F87646" w:rsidRPr="001D5253" w:rsidTr="00EA432D">
        <w:tc>
          <w:tcPr>
            <w:tcW w:w="6532" w:type="dxa"/>
            <w:tcBorders>
              <w:top w:val="nil"/>
              <w:left w:val="nil"/>
              <w:bottom w:val="single" w:sz="12" w:space="0" w:color="000000"/>
              <w:right w:val="nil"/>
            </w:tcBorders>
            <w:hideMark/>
          </w:tcPr>
          <w:p w:rsidR="00F87646" w:rsidRPr="001D5253" w:rsidRDefault="00F87646" w:rsidP="00AA6086">
            <w:pPr>
              <w:pStyle w:val="Tabletext"/>
              <w:rPr>
                <w:vertAlign w:val="superscript"/>
                <w:lang w:eastAsia="en-AU"/>
              </w:rPr>
            </w:pPr>
            <w:r w:rsidRPr="001D5253">
              <w:rPr>
                <w:lang w:eastAsia="en-AU"/>
              </w:rPr>
              <w:t xml:space="preserve">Constitutionally protected schemes </w:t>
            </w:r>
            <w:r w:rsidRPr="001D5253">
              <w:rPr>
                <w:vertAlign w:val="superscript"/>
                <w:lang w:eastAsia="en-AU"/>
              </w:rPr>
              <w:t>(f)</w:t>
            </w:r>
          </w:p>
        </w:tc>
        <w:tc>
          <w:tcPr>
            <w:tcW w:w="1133" w:type="dxa"/>
            <w:tcBorders>
              <w:top w:val="nil"/>
              <w:left w:val="nil"/>
              <w:bottom w:val="single" w:sz="12" w:space="0" w:color="000000"/>
              <w:right w:val="nil"/>
            </w:tcBorders>
          </w:tcPr>
          <w:p w:rsidR="00F87646" w:rsidRPr="001D5253" w:rsidRDefault="00F87646" w:rsidP="00AA6086">
            <w:pPr>
              <w:pStyle w:val="TableofFigures"/>
              <w:rPr>
                <w:lang w:eastAsia="en-AU"/>
              </w:rPr>
            </w:pPr>
            <w:r w:rsidRPr="001D5253">
              <w:rPr>
                <w:lang w:eastAsia="en-AU"/>
              </w:rPr>
              <w:t>n/a</w:t>
            </w:r>
          </w:p>
        </w:tc>
      </w:tr>
    </w:tbl>
    <w:p w:rsidR="00F87646" w:rsidRPr="001D5253" w:rsidRDefault="00F87646" w:rsidP="00AA6086">
      <w:pPr>
        <w:pStyle w:val="Source"/>
        <w:rPr>
          <w:lang w:eastAsia="en-AU"/>
        </w:rPr>
      </w:pPr>
      <w:r w:rsidRPr="001D5253">
        <w:rPr>
          <w:lang w:eastAsia="en-AU"/>
        </w:rPr>
        <w:t>Source: Department of Treasury and Finance</w:t>
      </w:r>
    </w:p>
    <w:p w:rsidR="00F87646" w:rsidRPr="001D5253" w:rsidRDefault="00F87646" w:rsidP="005C408D">
      <w:pPr>
        <w:pStyle w:val="Notes"/>
      </w:pPr>
      <w:r w:rsidRPr="001D5253">
        <w:t>Notes:</w:t>
      </w:r>
    </w:p>
    <w:p w:rsidR="00F87646" w:rsidRPr="001D5253" w:rsidRDefault="00F87646" w:rsidP="005C408D">
      <w:pPr>
        <w:pStyle w:val="Notes"/>
      </w:pPr>
      <w:r w:rsidRPr="001D5253">
        <w:t>(a)</w:t>
      </w:r>
      <w:r w:rsidRPr="001D5253">
        <w:tab/>
        <w:t>All rates are nominal annual rates and are applicable to all the listed schemes.</w:t>
      </w:r>
    </w:p>
    <w:p w:rsidR="00F87646" w:rsidRPr="001D5253" w:rsidRDefault="00F87646" w:rsidP="005C408D">
      <w:pPr>
        <w:pStyle w:val="Notes"/>
      </w:pPr>
      <w:r w:rsidRPr="001D5253">
        <w:t>(b)</w:t>
      </w:r>
      <w:r w:rsidRPr="001D5253">
        <w:tab/>
        <w:t>The discount rate is based on a long</w:t>
      </w:r>
      <w:r>
        <w:noBreakHyphen/>
      </w:r>
      <w:r w:rsidRPr="001D5253">
        <w:t>term fixed interest Commonwealth Government bond rate. The rate stated above is an annual effective rate, gross of tax.</w:t>
      </w:r>
    </w:p>
    <w:p w:rsidR="00F87646" w:rsidRPr="001D5253" w:rsidRDefault="00F87646" w:rsidP="005C408D">
      <w:pPr>
        <w:pStyle w:val="Notes"/>
      </w:pPr>
      <w:r w:rsidRPr="001D5253">
        <w:t>(c)</w:t>
      </w:r>
      <w:r w:rsidRPr="001D5253">
        <w:tab/>
        <w:t>Wages growth is based on actuarial expectations.</w:t>
      </w:r>
    </w:p>
    <w:p w:rsidR="00F87646" w:rsidRPr="001D5253" w:rsidRDefault="00F87646" w:rsidP="005C408D">
      <w:pPr>
        <w:pStyle w:val="Notes"/>
      </w:pPr>
      <w:r w:rsidRPr="001D5253">
        <w:t>(d)</w:t>
      </w:r>
      <w:r w:rsidRPr="001D5253">
        <w:tab/>
        <w:t>The inflation rate assumed by the actuary reflects market expectations of price inflation, implied from the relationship between the yields on nominal and inflation linked Commonwealth Government bonds. This ensures consistency with the prescribed (i.e. market</w:t>
      </w:r>
      <w:r>
        <w:noBreakHyphen/>
      </w:r>
      <w:r w:rsidRPr="001D5253">
        <w:t>based) discount rate.</w:t>
      </w:r>
    </w:p>
    <w:p w:rsidR="00F87646" w:rsidRPr="001D5253" w:rsidRDefault="00F87646" w:rsidP="005C408D">
      <w:pPr>
        <w:pStyle w:val="Notes"/>
      </w:pPr>
      <w:r w:rsidRPr="001D5253">
        <w:t>(e)</w:t>
      </w:r>
      <w:r w:rsidRPr="001D5253">
        <w:tab/>
        <w:t>The expected return on assets stated is gross of tax. Estimated tax payments are explicitly allowed for in the calculation process.</w:t>
      </w:r>
    </w:p>
    <w:p w:rsidR="00F87646" w:rsidRDefault="00F87646" w:rsidP="005C408D">
      <w:pPr>
        <w:pStyle w:val="Notes"/>
      </w:pPr>
      <w:r w:rsidRPr="001D5253">
        <w:t>(f)</w:t>
      </w:r>
      <w:r w:rsidRPr="001D5253">
        <w:tab/>
        <w:t>Pensions payable from constitutionally protected schemes are paid from the Consolidated Fund. These schemes hold no assets so there is no expected return on assets.</w:t>
      </w:r>
    </w:p>
    <w:p w:rsidR="00F87646" w:rsidRPr="001D5253" w:rsidRDefault="00F87646" w:rsidP="005C408D">
      <w:pPr>
        <w:pStyle w:val="Source"/>
      </w:pPr>
    </w:p>
    <w:p w:rsidR="00F87646" w:rsidRPr="001D5253" w:rsidRDefault="00F87646" w:rsidP="005C408D">
      <w:r w:rsidRPr="001D5253">
        <w:t>The expected return on assets, as shown above, is determined by weighting the expected long</w:t>
      </w:r>
      <w:r>
        <w:noBreakHyphen/>
      </w:r>
      <w:r w:rsidRPr="001D5253">
        <w:t>term return for each asset class by the target allocation of assets to that class (as detailed in the table below).</w:t>
      </w:r>
    </w:p>
    <w:p w:rsidR="00F87646" w:rsidRPr="001D5253" w:rsidRDefault="00F87646" w:rsidP="005C408D">
      <w:pPr>
        <w:pStyle w:val="Tableheading"/>
      </w:pPr>
      <w:r w:rsidRPr="001D5253">
        <w:t>Asset allocation</w:t>
      </w:r>
    </w:p>
    <w:tbl>
      <w:tblPr>
        <w:tblW w:w="7665" w:type="dxa"/>
        <w:tblInd w:w="29" w:type="dxa"/>
        <w:tblLayout w:type="fixed"/>
        <w:tblCellMar>
          <w:left w:w="43" w:type="dxa"/>
          <w:right w:w="43" w:type="dxa"/>
        </w:tblCellMar>
        <w:tblLook w:val="00A0" w:firstRow="1" w:lastRow="0" w:firstColumn="1" w:lastColumn="0" w:noHBand="0" w:noVBand="0"/>
      </w:tblPr>
      <w:tblGrid>
        <w:gridCol w:w="5951"/>
        <w:gridCol w:w="1714"/>
      </w:tblGrid>
      <w:tr w:rsidR="00F87646" w:rsidRPr="001D5253" w:rsidTr="00EA432D">
        <w:trPr>
          <w:cantSplit/>
        </w:trPr>
        <w:tc>
          <w:tcPr>
            <w:tcW w:w="5954" w:type="dxa"/>
            <w:tcBorders>
              <w:top w:val="single" w:sz="4" w:space="0" w:color="auto"/>
              <w:left w:val="single" w:sz="4" w:space="0" w:color="auto"/>
              <w:bottom w:val="single" w:sz="4" w:space="0" w:color="auto"/>
              <w:right w:val="nil"/>
            </w:tcBorders>
            <w:shd w:val="clear" w:color="auto" w:fill="000000"/>
            <w:hideMark/>
          </w:tcPr>
          <w:p w:rsidR="00F87646" w:rsidRPr="001D5253" w:rsidRDefault="00F87646" w:rsidP="00AA6086">
            <w:pPr>
              <w:pStyle w:val="Tabletextheadingleft"/>
              <w:rPr>
                <w:lang w:eastAsia="en-AU"/>
              </w:rPr>
            </w:pPr>
            <w:r w:rsidRPr="001D5253">
              <w:rPr>
                <w:lang w:eastAsia="en-AU"/>
              </w:rPr>
              <w:t>Asset class</w:t>
            </w:r>
          </w:p>
        </w:tc>
        <w:tc>
          <w:tcPr>
            <w:tcW w:w="1715" w:type="dxa"/>
            <w:tcBorders>
              <w:top w:val="single" w:sz="4" w:space="0" w:color="auto"/>
              <w:left w:val="nil"/>
              <w:bottom w:val="single" w:sz="4" w:space="0" w:color="auto"/>
              <w:right w:val="single" w:sz="4" w:space="0" w:color="auto"/>
            </w:tcBorders>
            <w:shd w:val="clear" w:color="auto" w:fill="000000"/>
            <w:hideMark/>
          </w:tcPr>
          <w:p w:rsidR="00F87646" w:rsidRPr="001D5253" w:rsidRDefault="00F87646" w:rsidP="00AA6086">
            <w:pPr>
              <w:pStyle w:val="Tabletextheading"/>
              <w:rPr>
                <w:lang w:eastAsia="en-AU"/>
              </w:rPr>
            </w:pPr>
            <w:r w:rsidRPr="001D5253">
              <w:rPr>
                <w:lang w:eastAsia="en-AU"/>
              </w:rPr>
              <w:t>Per cent</w:t>
            </w:r>
          </w:p>
        </w:tc>
      </w:tr>
      <w:tr w:rsidR="00F87646" w:rsidRPr="001D5253" w:rsidTr="00EA432D">
        <w:trPr>
          <w:cantSplit/>
        </w:trPr>
        <w:tc>
          <w:tcPr>
            <w:tcW w:w="5954" w:type="dxa"/>
            <w:tcBorders>
              <w:top w:val="single" w:sz="4" w:space="0" w:color="auto"/>
              <w:left w:val="nil"/>
              <w:bottom w:val="nil"/>
              <w:right w:val="nil"/>
            </w:tcBorders>
            <w:hideMark/>
          </w:tcPr>
          <w:p w:rsidR="00F87646" w:rsidRPr="001D5253" w:rsidRDefault="00F87646" w:rsidP="00AA6086">
            <w:pPr>
              <w:pStyle w:val="Tabletext"/>
              <w:rPr>
                <w:lang w:eastAsia="en-AU"/>
              </w:rPr>
            </w:pPr>
            <w:r w:rsidRPr="001D5253">
              <w:rPr>
                <w:lang w:eastAsia="en-AU"/>
              </w:rPr>
              <w:t>Domestic equity</w:t>
            </w:r>
          </w:p>
        </w:tc>
        <w:tc>
          <w:tcPr>
            <w:tcW w:w="1715" w:type="dxa"/>
            <w:tcBorders>
              <w:top w:val="single" w:sz="4" w:space="0" w:color="auto"/>
              <w:left w:val="nil"/>
              <w:bottom w:val="nil"/>
              <w:right w:val="nil"/>
            </w:tcBorders>
          </w:tcPr>
          <w:p w:rsidR="00F87646" w:rsidRPr="001D5253" w:rsidRDefault="00F87646" w:rsidP="00AA6086">
            <w:pPr>
              <w:pStyle w:val="TableofFigures"/>
              <w:rPr>
                <w:lang w:eastAsia="en-AU"/>
              </w:rPr>
            </w:pPr>
            <w:r w:rsidRPr="001D5253">
              <w:rPr>
                <w:lang w:eastAsia="en-AU"/>
              </w:rPr>
              <w:t>26.8</w:t>
            </w:r>
          </w:p>
        </w:tc>
      </w:tr>
      <w:tr w:rsidR="00F87646" w:rsidRPr="001D5253" w:rsidTr="00EA432D">
        <w:trPr>
          <w:cantSplit/>
        </w:trPr>
        <w:tc>
          <w:tcPr>
            <w:tcW w:w="5954" w:type="dxa"/>
            <w:hideMark/>
          </w:tcPr>
          <w:p w:rsidR="00F87646" w:rsidRPr="001D5253" w:rsidRDefault="00F87646" w:rsidP="00AA6086">
            <w:pPr>
              <w:pStyle w:val="Tabletext"/>
              <w:rPr>
                <w:lang w:eastAsia="en-AU"/>
              </w:rPr>
            </w:pPr>
            <w:r w:rsidRPr="001D5253">
              <w:rPr>
                <w:lang w:eastAsia="en-AU"/>
              </w:rPr>
              <w:t>International equity</w:t>
            </w:r>
          </w:p>
        </w:tc>
        <w:tc>
          <w:tcPr>
            <w:tcW w:w="1715" w:type="dxa"/>
          </w:tcPr>
          <w:p w:rsidR="00F87646" w:rsidRPr="001D5253" w:rsidRDefault="00F87646" w:rsidP="00AA6086">
            <w:pPr>
              <w:pStyle w:val="TableofFigures"/>
              <w:rPr>
                <w:lang w:eastAsia="en-AU"/>
              </w:rPr>
            </w:pPr>
            <w:r w:rsidRPr="001D5253">
              <w:rPr>
                <w:lang w:eastAsia="en-AU"/>
              </w:rPr>
              <w:t>26.8</w:t>
            </w:r>
          </w:p>
        </w:tc>
      </w:tr>
      <w:tr w:rsidR="00F87646" w:rsidRPr="001D5253" w:rsidTr="00EA432D">
        <w:trPr>
          <w:cantSplit/>
        </w:trPr>
        <w:tc>
          <w:tcPr>
            <w:tcW w:w="5954" w:type="dxa"/>
            <w:hideMark/>
          </w:tcPr>
          <w:p w:rsidR="00F87646" w:rsidRPr="001D5253" w:rsidRDefault="00F87646" w:rsidP="00AA6086">
            <w:pPr>
              <w:pStyle w:val="Tabletext"/>
              <w:rPr>
                <w:lang w:eastAsia="en-AU"/>
              </w:rPr>
            </w:pPr>
            <w:r w:rsidRPr="001D5253">
              <w:rPr>
                <w:lang w:eastAsia="en-AU"/>
              </w:rPr>
              <w:t>Domestic and international debt assets</w:t>
            </w:r>
          </w:p>
        </w:tc>
        <w:tc>
          <w:tcPr>
            <w:tcW w:w="1715" w:type="dxa"/>
          </w:tcPr>
          <w:p w:rsidR="00F87646" w:rsidRPr="001D5253" w:rsidRDefault="00F87646" w:rsidP="00AA6086">
            <w:pPr>
              <w:pStyle w:val="TableofFigures"/>
              <w:rPr>
                <w:lang w:eastAsia="en-AU"/>
              </w:rPr>
            </w:pPr>
            <w:r w:rsidRPr="001D5253">
              <w:rPr>
                <w:lang w:eastAsia="en-AU"/>
              </w:rPr>
              <w:t>17.4</w:t>
            </w:r>
          </w:p>
        </w:tc>
      </w:tr>
      <w:tr w:rsidR="00F87646" w:rsidRPr="001D5253" w:rsidTr="00EA432D">
        <w:trPr>
          <w:cantSplit/>
        </w:trPr>
        <w:tc>
          <w:tcPr>
            <w:tcW w:w="5954" w:type="dxa"/>
            <w:hideMark/>
          </w:tcPr>
          <w:p w:rsidR="00F87646" w:rsidRPr="001D5253" w:rsidRDefault="00F87646" w:rsidP="00AA6086">
            <w:pPr>
              <w:pStyle w:val="Tabletext"/>
              <w:rPr>
                <w:lang w:eastAsia="en-AU"/>
              </w:rPr>
            </w:pPr>
            <w:r w:rsidRPr="001D5253">
              <w:rPr>
                <w:lang w:eastAsia="en-AU"/>
              </w:rPr>
              <w:t>Property</w:t>
            </w:r>
          </w:p>
        </w:tc>
        <w:tc>
          <w:tcPr>
            <w:tcW w:w="1715" w:type="dxa"/>
          </w:tcPr>
          <w:p w:rsidR="00F87646" w:rsidRPr="001D5253" w:rsidRDefault="00F87646" w:rsidP="00AA6086">
            <w:pPr>
              <w:pStyle w:val="TableofFigures"/>
              <w:rPr>
                <w:lang w:eastAsia="en-AU"/>
              </w:rPr>
            </w:pPr>
            <w:r w:rsidRPr="001D5253">
              <w:rPr>
                <w:lang w:eastAsia="en-AU"/>
              </w:rPr>
              <w:t>7.6</w:t>
            </w:r>
          </w:p>
        </w:tc>
      </w:tr>
      <w:tr w:rsidR="00F87646" w:rsidRPr="001D5253" w:rsidTr="00EA432D">
        <w:trPr>
          <w:cantSplit/>
        </w:trPr>
        <w:tc>
          <w:tcPr>
            <w:tcW w:w="5954" w:type="dxa"/>
            <w:hideMark/>
          </w:tcPr>
          <w:p w:rsidR="00F87646" w:rsidRPr="001D5253" w:rsidRDefault="00F87646" w:rsidP="00AA6086">
            <w:pPr>
              <w:pStyle w:val="Tabletext"/>
              <w:rPr>
                <w:lang w:eastAsia="en-AU"/>
              </w:rPr>
            </w:pPr>
            <w:r w:rsidRPr="001D5253">
              <w:rPr>
                <w:lang w:eastAsia="en-AU"/>
              </w:rPr>
              <w:t>Cash</w:t>
            </w:r>
          </w:p>
        </w:tc>
        <w:tc>
          <w:tcPr>
            <w:tcW w:w="1715" w:type="dxa"/>
          </w:tcPr>
          <w:p w:rsidR="00F87646" w:rsidRPr="001D5253" w:rsidRDefault="00F87646" w:rsidP="00AA6086">
            <w:pPr>
              <w:pStyle w:val="TableofFigures"/>
              <w:rPr>
                <w:lang w:eastAsia="en-AU"/>
              </w:rPr>
            </w:pPr>
            <w:r w:rsidRPr="001D5253">
              <w:rPr>
                <w:lang w:eastAsia="en-AU"/>
              </w:rPr>
              <w:t>4.2</w:t>
            </w:r>
          </w:p>
        </w:tc>
      </w:tr>
      <w:tr w:rsidR="00F87646" w:rsidRPr="001D5253" w:rsidTr="00EA432D">
        <w:trPr>
          <w:cantSplit/>
        </w:trPr>
        <w:tc>
          <w:tcPr>
            <w:tcW w:w="5954" w:type="dxa"/>
            <w:tcBorders>
              <w:top w:val="nil"/>
              <w:left w:val="nil"/>
              <w:bottom w:val="single" w:sz="4" w:space="0" w:color="auto"/>
              <w:right w:val="nil"/>
            </w:tcBorders>
            <w:hideMark/>
          </w:tcPr>
          <w:p w:rsidR="00F87646" w:rsidRPr="001D5253" w:rsidRDefault="00F87646" w:rsidP="00AA6086">
            <w:pPr>
              <w:pStyle w:val="Tabletext"/>
              <w:rPr>
                <w:lang w:eastAsia="en-AU"/>
              </w:rPr>
            </w:pPr>
            <w:r w:rsidRPr="001D5253">
              <w:rPr>
                <w:lang w:eastAsia="en-AU"/>
              </w:rPr>
              <w:t>Other (including private equity, hedge funds and infrastructure)</w:t>
            </w:r>
          </w:p>
        </w:tc>
        <w:tc>
          <w:tcPr>
            <w:tcW w:w="1715" w:type="dxa"/>
            <w:tcBorders>
              <w:top w:val="nil"/>
              <w:left w:val="nil"/>
              <w:bottom w:val="single" w:sz="4" w:space="0" w:color="auto"/>
              <w:right w:val="nil"/>
            </w:tcBorders>
          </w:tcPr>
          <w:p w:rsidR="00F87646" w:rsidRPr="001D5253" w:rsidRDefault="00F87646" w:rsidP="00AA6086">
            <w:pPr>
              <w:pStyle w:val="TableofFigures"/>
              <w:rPr>
                <w:lang w:eastAsia="en-AU"/>
              </w:rPr>
            </w:pPr>
            <w:r w:rsidRPr="001D5253">
              <w:rPr>
                <w:lang w:eastAsia="en-AU"/>
              </w:rPr>
              <w:t>17.2</w:t>
            </w:r>
          </w:p>
        </w:tc>
      </w:tr>
      <w:tr w:rsidR="00F87646" w:rsidRPr="001D5253" w:rsidTr="00EA432D">
        <w:trPr>
          <w:cantSplit/>
        </w:trPr>
        <w:tc>
          <w:tcPr>
            <w:tcW w:w="5954" w:type="dxa"/>
            <w:tcBorders>
              <w:top w:val="single" w:sz="4" w:space="0" w:color="auto"/>
              <w:left w:val="nil"/>
              <w:bottom w:val="single" w:sz="12" w:space="0" w:color="000000"/>
              <w:right w:val="nil"/>
            </w:tcBorders>
            <w:hideMark/>
          </w:tcPr>
          <w:p w:rsidR="00F87646" w:rsidRPr="001D5253" w:rsidRDefault="00F87646" w:rsidP="00AA6086">
            <w:pPr>
              <w:pStyle w:val="Tabletext"/>
              <w:rPr>
                <w:b/>
                <w:bCs/>
                <w:lang w:eastAsia="en-AU"/>
              </w:rPr>
            </w:pPr>
            <w:r w:rsidRPr="001D5253">
              <w:rPr>
                <w:b/>
                <w:bCs/>
                <w:lang w:eastAsia="en-AU"/>
              </w:rPr>
              <w:t>Total</w:t>
            </w:r>
          </w:p>
        </w:tc>
        <w:tc>
          <w:tcPr>
            <w:tcW w:w="1715" w:type="dxa"/>
            <w:tcBorders>
              <w:top w:val="single" w:sz="4" w:space="0" w:color="auto"/>
              <w:left w:val="nil"/>
              <w:bottom w:val="single" w:sz="12" w:space="0" w:color="000000"/>
              <w:right w:val="nil"/>
            </w:tcBorders>
          </w:tcPr>
          <w:p w:rsidR="00F87646" w:rsidRPr="001D5253" w:rsidRDefault="00F87646" w:rsidP="00AA6086">
            <w:pPr>
              <w:pStyle w:val="TableofFigures"/>
              <w:rPr>
                <w:b/>
                <w:bCs/>
                <w:lang w:eastAsia="en-AU"/>
              </w:rPr>
            </w:pPr>
            <w:r w:rsidRPr="001D5253">
              <w:rPr>
                <w:b/>
                <w:bCs/>
                <w:lang w:eastAsia="en-AU"/>
              </w:rPr>
              <w:t>100.0</w:t>
            </w:r>
          </w:p>
        </w:tc>
      </w:tr>
    </w:tbl>
    <w:p w:rsidR="00F87646" w:rsidRPr="001D5253" w:rsidRDefault="00F87646" w:rsidP="00AA6086">
      <w:pPr>
        <w:pStyle w:val="Source"/>
        <w:rPr>
          <w:lang w:eastAsia="en-AU"/>
        </w:rPr>
      </w:pPr>
      <w:r w:rsidRPr="001D5253">
        <w:rPr>
          <w:lang w:eastAsia="en-AU"/>
        </w:rPr>
        <w:t>Source: Department of Treasury and Finance</w:t>
      </w:r>
    </w:p>
    <w:p w:rsidR="00F87646" w:rsidRDefault="00F87646">
      <w:pPr>
        <w:spacing w:after="0"/>
        <w:rPr>
          <w:rFonts w:ascii="Calibri" w:hAnsi="Calibri"/>
          <w:b/>
          <w:i/>
          <w:kern w:val="28"/>
          <w:sz w:val="24"/>
          <w:szCs w:val="22"/>
        </w:rPr>
      </w:pPr>
      <w:r>
        <w:br w:type="page"/>
      </w:r>
    </w:p>
    <w:p w:rsidR="00F87646" w:rsidRDefault="00F87646" w:rsidP="0061183A">
      <w:pPr>
        <w:pStyle w:val="Heading2NotesContd"/>
      </w:pPr>
      <w:r>
        <w:lastRenderedPageBreak/>
        <w:t xml:space="preserve">Note </w:t>
      </w:r>
      <w:r w:rsidRPr="00B75EB1">
        <w:t>1:</w:t>
      </w:r>
      <w:r w:rsidRPr="00B75EB1">
        <w:tab/>
      </w:r>
      <w:r w:rsidRPr="006F73C1">
        <w:t>Statement</w:t>
      </w:r>
      <w:r w:rsidRPr="00B75EB1">
        <w:t xml:space="preserve"> of significant accounting policies</w:t>
      </w:r>
      <w:r>
        <w:t xml:space="preserve"> and forecast assumptions </w:t>
      </w:r>
      <w:r w:rsidRPr="0061183A">
        <w:rPr>
          <w:i/>
        </w:rPr>
        <w:t>(continued)</w:t>
      </w:r>
    </w:p>
    <w:p w:rsidR="00F87646" w:rsidRDefault="00F87646" w:rsidP="001E3D28">
      <w:pPr>
        <w:pStyle w:val="Heading3Numbering"/>
        <w:numPr>
          <w:ilvl w:val="0"/>
          <w:numId w:val="46"/>
        </w:numPr>
        <w:tabs>
          <w:tab w:val="num" w:pos="2847"/>
        </w:tabs>
        <w:spacing w:before="280"/>
        <w:ind w:left="504" w:hanging="504"/>
      </w:pPr>
      <w:r>
        <w:t>Sensitivity analysis</w:t>
      </w:r>
    </w:p>
    <w:p w:rsidR="00F87646" w:rsidRDefault="00F87646" w:rsidP="005E2118">
      <w:r>
        <w:t>The estimates for revenue, expenses, the net result from transactions, the net result and net debt have been subject to analysis of assumed movements for a range of major economic and other risks by the Department of Treasury and Finance.</w:t>
      </w:r>
    </w:p>
    <w:p w:rsidR="00F87646" w:rsidRPr="009C1518" w:rsidRDefault="00F87646" w:rsidP="009C1518">
      <w:pPr>
        <w:rPr>
          <w:shd w:val="clear" w:color="auto" w:fill="CCFFCC"/>
        </w:rPr>
      </w:pPr>
      <w:r>
        <w:t xml:space="preserve">Refer </w:t>
      </w:r>
      <w:r w:rsidRPr="001D1A09">
        <w:t xml:space="preserve">to Appendix B </w:t>
      </w:r>
      <w:r w:rsidRPr="001D1A09">
        <w:rPr>
          <w:i/>
          <w:iCs/>
        </w:rPr>
        <w:t>Sensitivity analysis table</w:t>
      </w:r>
      <w:r w:rsidRPr="001D1A09">
        <w:t>, which sets out the sensitivity analysis performed by the Department of Treasury and Finance. This analysis sets out the impact on the above estimated aggregates of selected economic indicators being one</w:t>
      </w:r>
      <w:r>
        <w:t> per cent</w:t>
      </w:r>
      <w:r w:rsidRPr="001D1A09">
        <w:t xml:space="preserve"> higher or lower than expected.</w:t>
      </w:r>
    </w:p>
    <w:p w:rsidR="00F87646" w:rsidRDefault="00F87646" w:rsidP="001E3D28">
      <w:pPr>
        <w:pStyle w:val="Heading3Numbering"/>
        <w:numPr>
          <w:ilvl w:val="0"/>
          <w:numId w:val="46"/>
        </w:numPr>
        <w:tabs>
          <w:tab w:val="num" w:pos="2847"/>
        </w:tabs>
        <w:ind w:left="504" w:hanging="504"/>
      </w:pPr>
      <w:r>
        <w:t>Prospective accounting changes</w:t>
      </w:r>
    </w:p>
    <w:p w:rsidR="00F87646" w:rsidRDefault="00F87646" w:rsidP="005E2118">
      <w:r>
        <w:t>The following relevant AASs have been issued by the AASB but are not yet effective for the 2014</w:t>
      </w:r>
      <w:r>
        <w:noBreakHyphen/>
        <w:t>15 year. They become effective for the first consolidated financial statements for reporting periods commencing after the relevant operative date as follows:</w:t>
      </w:r>
    </w:p>
    <w:p w:rsidR="00F87646" w:rsidRDefault="00F87646" w:rsidP="00332CEB">
      <w:pPr>
        <w:pStyle w:val="BulletText"/>
      </w:pPr>
      <w:r>
        <w:t xml:space="preserve">AASB 9 </w:t>
      </w:r>
      <w:r w:rsidRPr="00332CEB">
        <w:rPr>
          <w:i/>
        </w:rPr>
        <w:t>Financial Instruments,</w:t>
      </w:r>
      <w:r>
        <w:t xml:space="preserve"> operative for reporting periods beginning from 1 January 2018 as revised by AASB 2014</w:t>
      </w:r>
      <w:r>
        <w:noBreakHyphen/>
        <w:t xml:space="preserve">1 </w:t>
      </w:r>
      <w:r w:rsidRPr="00332CEB">
        <w:rPr>
          <w:i/>
        </w:rPr>
        <w:t>Amendments to Australian Accounting Standards</w:t>
      </w:r>
      <w:r>
        <w:t xml:space="preserve"> (Part E </w:t>
      </w:r>
      <w:r w:rsidRPr="00332CEB">
        <w:rPr>
          <w:i/>
        </w:rPr>
        <w:t>Financial Instruments</w:t>
      </w:r>
      <w:r>
        <w:t>). AASB 9 simplifies requirements for the classification and measurement of financial assets, introduces a new hedging accounting model and also considers a revised impairment loss model to recognise impairment loss earlier, as opposed to the current approach that recognises impairment loss only when incurred.</w:t>
      </w:r>
    </w:p>
    <w:p w:rsidR="00F87646" w:rsidRPr="004D23DB" w:rsidRDefault="00F87646" w:rsidP="005E2118">
      <w:pPr>
        <w:pStyle w:val="BulletText"/>
        <w:spacing w:before="240"/>
      </w:pPr>
      <w:r>
        <w:t>AASB </w:t>
      </w:r>
      <w:r w:rsidRPr="00572EDB">
        <w:t>1056</w:t>
      </w:r>
      <w:r w:rsidRPr="00572EDB">
        <w:rPr>
          <w:rFonts w:ascii="Calibri" w:hAnsi="Calibri" w:cs="Calibri"/>
          <w:color w:val="000000"/>
          <w:sz w:val="20"/>
          <w:lang w:eastAsia="en-AU"/>
        </w:rPr>
        <w:t xml:space="preserve"> </w:t>
      </w:r>
      <w:r w:rsidRPr="00572EDB">
        <w:rPr>
          <w:i/>
        </w:rPr>
        <w:t>Superannuation Entities</w:t>
      </w:r>
      <w:r>
        <w:rPr>
          <w:i/>
        </w:rPr>
        <w:t xml:space="preserve">, </w:t>
      </w:r>
      <w:r>
        <w:t>operative from 1 July 2016. AASB </w:t>
      </w:r>
      <w:r w:rsidRPr="00ED0811">
        <w:t xml:space="preserve">1056 replaces AAS 25 </w:t>
      </w:r>
      <w:r w:rsidRPr="004D23DB">
        <w:rPr>
          <w:i/>
        </w:rPr>
        <w:t>Financial Reporting by Superannuation Plans</w:t>
      </w:r>
      <w:r w:rsidRPr="00ED0811">
        <w:t xml:space="preserve"> and </w:t>
      </w:r>
      <w:r>
        <w:t xml:space="preserve">specify requirements for the general purpose financial statements of superannuation entities with a view to providing users with information useful for decision making in a superannuation entity context. However, superannuation entities are still required to comply with other AASs when preparing the general purpose financial statements unless specifically addressed by AASB 1056. </w:t>
      </w:r>
    </w:p>
    <w:p w:rsidR="00F87646" w:rsidRDefault="00F87646" w:rsidP="005E2118">
      <w:pPr>
        <w:pStyle w:val="BulletText"/>
        <w:numPr>
          <w:ilvl w:val="0"/>
          <w:numId w:val="0"/>
        </w:numPr>
      </w:pPr>
      <w:r>
        <w:t>Several other amending standards have been issued that are applicable for future reporting periods which have insignificant impacts on public sector reporting.</w:t>
      </w:r>
    </w:p>
    <w:p w:rsidR="00F87646" w:rsidRDefault="00F87646" w:rsidP="001D1A09">
      <w:pPr>
        <w:pStyle w:val="BulletText"/>
        <w:numPr>
          <w:ilvl w:val="0"/>
          <w:numId w:val="0"/>
        </w:numPr>
      </w:pPr>
      <w:r w:rsidRPr="003D5C9A">
        <w:t>At this stage, there is no intention to early adopt the above accounting standards.</w:t>
      </w:r>
    </w:p>
    <w:p w:rsidR="00F87646" w:rsidRDefault="00F87646">
      <w:pPr>
        <w:spacing w:after="0"/>
        <w:rPr>
          <w:rFonts w:ascii="Calibri" w:hAnsi="Calibri"/>
          <w:b/>
          <w:kern w:val="28"/>
          <w:sz w:val="26"/>
          <w:szCs w:val="22"/>
        </w:rPr>
      </w:pPr>
      <w:r>
        <w:br w:type="page"/>
      </w:r>
    </w:p>
    <w:p w:rsidR="00F87646" w:rsidRDefault="00F87646" w:rsidP="007D34C6">
      <w:pPr>
        <w:pStyle w:val="Heading2Notes"/>
      </w:pPr>
      <w:bookmarkStart w:id="32" w:name="_Toc403141606"/>
      <w:r w:rsidRPr="00B56B1C">
        <w:lastRenderedPageBreak/>
        <w:t>Note 2:</w:t>
      </w:r>
      <w:r w:rsidRPr="00B56B1C">
        <w:tab/>
        <w:t>Taxation</w:t>
      </w:r>
      <w:bookmarkEnd w:id="32"/>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59"/>
        <w:gridCol w:w="920"/>
        <w:gridCol w:w="158"/>
        <w:gridCol w:w="705"/>
        <w:gridCol w:w="58"/>
        <w:gridCol w:w="136"/>
        <w:gridCol w:w="512"/>
        <w:gridCol w:w="14"/>
        <w:gridCol w:w="261"/>
        <w:gridCol w:w="265"/>
        <w:gridCol w:w="166"/>
        <w:gridCol w:w="360"/>
        <w:gridCol w:w="131"/>
        <w:gridCol w:w="215"/>
        <w:gridCol w:w="180"/>
        <w:gridCol w:w="528"/>
        <w:gridCol w:w="8"/>
      </w:tblGrid>
      <w:tr w:rsidR="00F87646" w:rsidRPr="00885307" w:rsidTr="00885307">
        <w:trPr>
          <w:gridAfter w:val="1"/>
          <w:wAfter w:w="8" w:type="dxa"/>
        </w:trPr>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2" w:type="dxa"/>
            <w:gridSpan w:val="3"/>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3" w:type="dxa"/>
            <w:gridSpan w:val="4"/>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22" w:type="dxa"/>
            <w:gridSpan w:val="4"/>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23" w:type="dxa"/>
            <w:gridSpan w:val="3"/>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rPr>
          <w:gridAfter w:val="1"/>
          <w:wAfter w:w="8" w:type="dxa"/>
        </w:trPr>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gridSpan w:val="3"/>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gridSpan w:val="4"/>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gridSpan w:val="4"/>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gridSpan w:val="3"/>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rPr>
          <w:gridAfter w:val="1"/>
          <w:wAfter w:w="8" w:type="dxa"/>
        </w:trPr>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Taxes on employers</w:t>
            </w:r>
            <w:r>
              <w:rPr>
                <w:rFonts w:eastAsiaTheme="minorEastAsia"/>
                <w:b/>
                <w:bCs/>
                <w:color w:val="000000"/>
                <w:lang w:eastAsia="en-AU"/>
              </w:rPr>
              <w:t>’</w:t>
            </w:r>
            <w:r w:rsidRPr="00885307">
              <w:rPr>
                <w:rFonts w:eastAsiaTheme="minorEastAsia"/>
                <w:b/>
                <w:bCs/>
                <w:color w:val="000000"/>
                <w:lang w:eastAsia="en-AU"/>
              </w:rPr>
              <w:t xml:space="preserve"> payroll and labour force</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5 135.0</w:t>
            </w:r>
          </w:p>
        </w:tc>
        <w:tc>
          <w:tcPr>
            <w:tcW w:w="922" w:type="dxa"/>
            <w:gridSpan w:val="3"/>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5 148.4</w:t>
            </w:r>
          </w:p>
        </w:tc>
        <w:tc>
          <w:tcPr>
            <w:tcW w:w="923" w:type="dxa"/>
            <w:gridSpan w:val="4"/>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5 445.3</w:t>
            </w:r>
          </w:p>
        </w:tc>
        <w:tc>
          <w:tcPr>
            <w:tcW w:w="922" w:type="dxa"/>
            <w:gridSpan w:val="4"/>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5 758.0</w:t>
            </w:r>
          </w:p>
        </w:tc>
        <w:tc>
          <w:tcPr>
            <w:tcW w:w="923" w:type="dxa"/>
            <w:gridSpan w:val="3"/>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6 085.9</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Taxes on property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  Taxes on immovable property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Land tax</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1 903.6</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1 750.9</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1 716.4</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2 006.9</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1 948.2</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Fire Services Property Levy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626.5</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606.5</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618.7</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627.1</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625.8</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Congestion levy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122.3</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121.6</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120.2</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123.4</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126.5</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Metropolitan improvement levy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145.7</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145.7</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150.8</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157.4</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158.0</w:t>
            </w:r>
          </w:p>
        </w:tc>
      </w:tr>
      <w:tr w:rsidR="00F87646" w:rsidRPr="00885307" w:rsidTr="00885307">
        <w:trPr>
          <w:gridAfter w:val="1"/>
          <w:wAfter w:w="8" w:type="dxa"/>
        </w:trPr>
        <w:tc>
          <w:tcPr>
            <w:tcW w:w="3164"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taxes on immovable property</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2 798.1</w:t>
            </w:r>
          </w:p>
        </w:tc>
        <w:tc>
          <w:tcPr>
            <w:tcW w:w="922" w:type="dxa"/>
            <w:gridSpan w:val="3"/>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2 624.6</w:t>
            </w:r>
          </w:p>
        </w:tc>
        <w:tc>
          <w:tcPr>
            <w:tcW w:w="923" w:type="dxa"/>
            <w:gridSpan w:val="4"/>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2 606.1</w:t>
            </w:r>
          </w:p>
        </w:tc>
        <w:tc>
          <w:tcPr>
            <w:tcW w:w="922" w:type="dxa"/>
            <w:gridSpan w:val="4"/>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2 914.8</w:t>
            </w:r>
          </w:p>
        </w:tc>
        <w:tc>
          <w:tcPr>
            <w:tcW w:w="923" w:type="dxa"/>
            <w:gridSpan w:val="3"/>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2 858.6</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  Financial and capital transactions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Land transfer duty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4 440.6</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4 422.0</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4 696.2</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4 982.7</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5 280.7</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Other property duties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5.7</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Financial accommodation levy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151.0</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144.7</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165.2</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168.4</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183.9</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Growth Areas Infrastructure Contribution</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71.5</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77.0</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81.3</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85.7</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90.5</w:t>
            </w:r>
          </w:p>
        </w:tc>
      </w:tr>
      <w:tr w:rsidR="00F87646" w:rsidRPr="00885307" w:rsidTr="00885307">
        <w:trPr>
          <w:gridAfter w:val="1"/>
          <w:wAfter w:w="8" w:type="dxa"/>
        </w:trPr>
        <w:tc>
          <w:tcPr>
            <w:tcW w:w="316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financial and capital transactions</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4 670.1</w:t>
            </w:r>
          </w:p>
        </w:tc>
        <w:tc>
          <w:tcPr>
            <w:tcW w:w="922"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4 649.5</w:t>
            </w:r>
          </w:p>
        </w:tc>
        <w:tc>
          <w:tcPr>
            <w:tcW w:w="923"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4 948.5</w:t>
            </w:r>
          </w:p>
        </w:tc>
        <w:tc>
          <w:tcPr>
            <w:tcW w:w="922"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5 242.9</w:t>
            </w:r>
          </w:p>
        </w:tc>
        <w:tc>
          <w:tcPr>
            <w:tcW w:w="923"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5 561.2</w:t>
            </w:r>
          </w:p>
        </w:tc>
      </w:tr>
      <w:tr w:rsidR="00F87646" w:rsidRPr="00885307" w:rsidTr="00885307">
        <w:trPr>
          <w:gridAfter w:val="1"/>
          <w:wAfter w:w="8" w:type="dxa"/>
        </w:trPr>
        <w:tc>
          <w:tcPr>
            <w:tcW w:w="316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taxes on property</w:t>
            </w:r>
          </w:p>
        </w:tc>
        <w:tc>
          <w:tcPr>
            <w:tcW w:w="922" w:type="dxa"/>
            <w:tcBorders>
              <w:top w:val="nil"/>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7 468.2</w:t>
            </w:r>
          </w:p>
        </w:tc>
        <w:tc>
          <w:tcPr>
            <w:tcW w:w="922" w:type="dxa"/>
            <w:gridSpan w:val="3"/>
            <w:tcBorders>
              <w:top w:val="nil"/>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7 274.1</w:t>
            </w:r>
          </w:p>
        </w:tc>
        <w:tc>
          <w:tcPr>
            <w:tcW w:w="923"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7 554.6</w:t>
            </w:r>
          </w:p>
        </w:tc>
        <w:tc>
          <w:tcPr>
            <w:tcW w:w="922" w:type="dxa"/>
            <w:gridSpan w:val="4"/>
            <w:tcBorders>
              <w:top w:val="nil"/>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8 157.7</w:t>
            </w:r>
          </w:p>
        </w:tc>
        <w:tc>
          <w:tcPr>
            <w:tcW w:w="923" w:type="dxa"/>
            <w:gridSpan w:val="3"/>
            <w:tcBorders>
              <w:top w:val="nil"/>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8 419.7</w:t>
            </w:r>
          </w:p>
        </w:tc>
      </w:tr>
      <w:tr w:rsidR="00F87646" w:rsidRPr="00885307" w:rsidTr="00885307">
        <w:trPr>
          <w:gridAfter w:val="1"/>
          <w:wAfter w:w="8" w:type="dxa"/>
        </w:trPr>
        <w:tc>
          <w:tcPr>
            <w:tcW w:w="4244" w:type="dxa"/>
            <w:gridSpan w:val="3"/>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Taxes on the provision of goods and services</w:t>
            </w:r>
          </w:p>
        </w:tc>
        <w:tc>
          <w:tcPr>
            <w:tcW w:w="706"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706"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706"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706"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708" w:type="dxa"/>
            <w:gridSpan w:val="2"/>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  Gambling taxes</w:t>
            </w:r>
          </w:p>
        </w:tc>
        <w:tc>
          <w:tcPr>
            <w:tcW w:w="922"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Private lotteries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412.2</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410.6</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427.4</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444.8</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458.5</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Electronic gaming machines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1 070.1</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1 068.8</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1 090.7</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1 115.3</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1 143.0</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Casino</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224.6</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222.8</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244.9</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253.8</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263.2</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Racing</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87.9</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85.0</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86.2</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86.6</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88.8</w:t>
            </w:r>
          </w:p>
        </w:tc>
      </w:tr>
      <w:tr w:rsidR="00F87646" w:rsidRPr="00885307" w:rsidTr="00885307">
        <w:trPr>
          <w:gridAfter w:val="1"/>
          <w:wAfter w:w="8" w:type="dxa"/>
        </w:trPr>
        <w:tc>
          <w:tcPr>
            <w:tcW w:w="3164" w:type="dxa"/>
            <w:tcBorders>
              <w:top w:val="nil"/>
              <w:left w:val="nil"/>
              <w:bottom w:val="single" w:sz="6"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Other</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22.4</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23.9</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30.3</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38.5</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48.7</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gambling taxes</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1 817.2</w:t>
            </w:r>
          </w:p>
        </w:tc>
        <w:tc>
          <w:tcPr>
            <w:tcW w:w="922" w:type="dxa"/>
            <w:gridSpan w:val="3"/>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1 811.1</w:t>
            </w:r>
          </w:p>
        </w:tc>
        <w:tc>
          <w:tcPr>
            <w:tcW w:w="923" w:type="dxa"/>
            <w:gridSpan w:val="4"/>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1 879.4</w:t>
            </w:r>
          </w:p>
        </w:tc>
        <w:tc>
          <w:tcPr>
            <w:tcW w:w="922" w:type="dxa"/>
            <w:gridSpan w:val="4"/>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1 939.0</w:t>
            </w:r>
          </w:p>
        </w:tc>
        <w:tc>
          <w:tcPr>
            <w:tcW w:w="923" w:type="dxa"/>
            <w:gridSpan w:val="3"/>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2 002.2</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vertAlign w:val="superscript"/>
                <w:lang w:eastAsia="en-AU"/>
              </w:rPr>
            </w:pPr>
            <w:r w:rsidRPr="00885307">
              <w:rPr>
                <w:rFonts w:eastAsiaTheme="minorEastAsia"/>
                <w:b/>
                <w:bCs/>
                <w:color w:val="000000"/>
                <w:lang w:eastAsia="en-AU"/>
              </w:rPr>
              <w:t xml:space="preserve">Levies on statutory corporations </w:t>
            </w:r>
            <w:r w:rsidRPr="00885307">
              <w:rPr>
                <w:rFonts w:eastAsiaTheme="minorEastAsia"/>
                <w:b/>
                <w:bCs/>
                <w:color w:val="000000"/>
                <w:vertAlign w:val="superscript"/>
                <w:lang w:eastAsia="en-AU"/>
              </w:rPr>
              <w:t>(a)</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112.5</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112.0</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112.0</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Taxes on insurance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1 094.4</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1 113.3</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1 180.9</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1 261.6</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1 347.8</w:t>
            </w:r>
          </w:p>
        </w:tc>
      </w:tr>
      <w:tr w:rsidR="00F87646" w:rsidRPr="00885307" w:rsidTr="00885307">
        <w:trPr>
          <w:gridAfter w:val="1"/>
          <w:wAfter w:w="8" w:type="dxa"/>
        </w:trPr>
        <w:tc>
          <w:tcPr>
            <w:tcW w:w="316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taxes on the provision of goods and services</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3 024.1</w:t>
            </w:r>
          </w:p>
        </w:tc>
        <w:tc>
          <w:tcPr>
            <w:tcW w:w="922"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3 036.4</w:t>
            </w:r>
          </w:p>
        </w:tc>
        <w:tc>
          <w:tcPr>
            <w:tcW w:w="923"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3 172.2</w:t>
            </w:r>
          </w:p>
        </w:tc>
        <w:tc>
          <w:tcPr>
            <w:tcW w:w="922"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3 200.5</w:t>
            </w:r>
          </w:p>
        </w:tc>
        <w:tc>
          <w:tcPr>
            <w:tcW w:w="923"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3 350.0</w:t>
            </w:r>
          </w:p>
        </w:tc>
      </w:tr>
      <w:tr w:rsidR="00F87646" w:rsidRPr="00885307" w:rsidTr="00885307">
        <w:tc>
          <w:tcPr>
            <w:tcW w:w="5144" w:type="dxa"/>
            <w:gridSpan w:val="6"/>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Taxes on the use of goods and performance of activities</w:t>
            </w:r>
          </w:p>
        </w:tc>
        <w:tc>
          <w:tcPr>
            <w:tcW w:w="526" w:type="dxa"/>
            <w:gridSpan w:val="2"/>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526" w:type="dxa"/>
            <w:gridSpan w:val="2"/>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526" w:type="dxa"/>
            <w:gridSpan w:val="2"/>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526"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526" w:type="dxa"/>
            <w:gridSpan w:val="2"/>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  Motor vehicle taxes</w:t>
            </w:r>
          </w:p>
        </w:tc>
        <w:tc>
          <w:tcPr>
            <w:tcW w:w="922"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Vehicle registration fees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1 421.2</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1 392.0</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1 464.1</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1 537.2</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1 614.0</w:t>
            </w:r>
          </w:p>
        </w:tc>
      </w:tr>
      <w:tr w:rsidR="00F87646" w:rsidRPr="00885307" w:rsidTr="00885307">
        <w:trPr>
          <w:gridAfter w:val="1"/>
          <w:wAfter w:w="8" w:type="dxa"/>
        </w:trPr>
        <w:tc>
          <w:tcPr>
            <w:tcW w:w="3164" w:type="dxa"/>
            <w:tcBorders>
              <w:top w:val="nil"/>
              <w:left w:val="nil"/>
              <w:bottom w:val="single" w:sz="6"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Duty on vehicle registrations and transfers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714.0</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714.9</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746.0</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768.5</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791.7</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motor vehicle taxes</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2 135.1</w:t>
            </w:r>
          </w:p>
        </w:tc>
        <w:tc>
          <w:tcPr>
            <w:tcW w:w="922" w:type="dxa"/>
            <w:gridSpan w:val="3"/>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2 106.9</w:t>
            </w:r>
          </w:p>
        </w:tc>
        <w:tc>
          <w:tcPr>
            <w:tcW w:w="923" w:type="dxa"/>
            <w:gridSpan w:val="4"/>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2 210.1</w:t>
            </w:r>
          </w:p>
        </w:tc>
        <w:tc>
          <w:tcPr>
            <w:tcW w:w="922" w:type="dxa"/>
            <w:gridSpan w:val="4"/>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2 305.8</w:t>
            </w:r>
          </w:p>
        </w:tc>
        <w:tc>
          <w:tcPr>
            <w:tcW w:w="923" w:type="dxa"/>
            <w:gridSpan w:val="3"/>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2 405.7</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Liquor license fees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22.4</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22.6</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21.9</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22.6</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23.2</w:t>
            </w:r>
          </w:p>
        </w:tc>
      </w:tr>
      <w:tr w:rsidR="00F87646" w:rsidRPr="00885307" w:rsidTr="00885307">
        <w:trPr>
          <w:gridAfter w:val="1"/>
          <w:wAfter w:w="8" w:type="dxa"/>
        </w:trPr>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Other</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282.7</w:t>
            </w:r>
          </w:p>
        </w:tc>
        <w:tc>
          <w:tcPr>
            <w:tcW w:w="922"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282.6</w:t>
            </w:r>
          </w:p>
        </w:tc>
        <w:tc>
          <w:tcPr>
            <w:tcW w:w="923"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288.0</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218.1</w:t>
            </w:r>
          </w:p>
        </w:tc>
        <w:tc>
          <w:tcPr>
            <w:tcW w:w="923" w:type="dxa"/>
            <w:gridSpan w:val="3"/>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203.1</w:t>
            </w:r>
          </w:p>
        </w:tc>
      </w:tr>
      <w:tr w:rsidR="00F87646" w:rsidRPr="00885307" w:rsidTr="00885307">
        <w:trPr>
          <w:gridAfter w:val="1"/>
          <w:wAfter w:w="8" w:type="dxa"/>
        </w:trPr>
        <w:tc>
          <w:tcPr>
            <w:tcW w:w="316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taxes on the use of goods and performance of activities</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2 440.3</w:t>
            </w:r>
          </w:p>
        </w:tc>
        <w:tc>
          <w:tcPr>
            <w:tcW w:w="922"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2 412.2</w:t>
            </w:r>
          </w:p>
        </w:tc>
        <w:tc>
          <w:tcPr>
            <w:tcW w:w="923"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2 520.0</w:t>
            </w:r>
          </w:p>
        </w:tc>
        <w:tc>
          <w:tcPr>
            <w:tcW w:w="922"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2 546.4</w:t>
            </w:r>
          </w:p>
        </w:tc>
        <w:tc>
          <w:tcPr>
            <w:tcW w:w="923"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2 632.0</w:t>
            </w:r>
          </w:p>
        </w:tc>
      </w:tr>
      <w:tr w:rsidR="00F87646" w:rsidRPr="00885307" w:rsidTr="00885307">
        <w:trPr>
          <w:gridAfter w:val="1"/>
          <w:wAfter w:w="8" w:type="dxa"/>
        </w:trPr>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taxation revenue</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18 067.5</w:t>
            </w:r>
          </w:p>
        </w:tc>
        <w:tc>
          <w:tcPr>
            <w:tcW w:w="922" w:type="dxa"/>
            <w:gridSpan w:val="3"/>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17 871.1</w:t>
            </w:r>
          </w:p>
        </w:tc>
        <w:tc>
          <w:tcPr>
            <w:tcW w:w="923" w:type="dxa"/>
            <w:gridSpan w:val="4"/>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18 692.1</w:t>
            </w:r>
          </w:p>
        </w:tc>
        <w:tc>
          <w:tcPr>
            <w:tcW w:w="922" w:type="dxa"/>
            <w:gridSpan w:val="4"/>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19 662.6</w:t>
            </w:r>
          </w:p>
        </w:tc>
        <w:tc>
          <w:tcPr>
            <w:tcW w:w="923" w:type="dxa"/>
            <w:gridSpan w:val="3"/>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20 487.6</w:t>
            </w:r>
          </w:p>
        </w:tc>
      </w:tr>
    </w:tbl>
    <w:p w:rsidR="00F87646" w:rsidRDefault="00F87646" w:rsidP="009D5D11">
      <w:pPr>
        <w:pStyle w:val="Notes"/>
      </w:pPr>
      <w:r>
        <w:t>Note:</w:t>
      </w:r>
    </w:p>
    <w:p w:rsidR="00F87646" w:rsidRDefault="00F87646" w:rsidP="009D5D11">
      <w:pPr>
        <w:pStyle w:val="Notes"/>
      </w:pPr>
      <w:r>
        <w:t>(a)</w:t>
      </w:r>
      <w:r>
        <w:tab/>
        <w:t>The existing environmental levy payable by water authorities is not expected to continue beyond 2015</w:t>
      </w:r>
      <w:r>
        <w:noBreakHyphen/>
        <w:t>16.</w:t>
      </w:r>
    </w:p>
    <w:p w:rsidR="00F87646" w:rsidRDefault="00F87646" w:rsidP="009D5D11">
      <w:pPr>
        <w:pStyle w:val="Source"/>
      </w:pPr>
    </w:p>
    <w:p w:rsidR="00F87646" w:rsidRDefault="00F87646" w:rsidP="005E2118">
      <w:pPr>
        <w:pStyle w:val="Heading2Notes"/>
      </w:pPr>
      <w:bookmarkStart w:id="33" w:name="_Toc373751809"/>
      <w:bookmarkStart w:id="34" w:name="_Toc403141607"/>
      <w:r w:rsidRPr="00B56B1C">
        <w:lastRenderedPageBreak/>
        <w:t>Note 3:</w:t>
      </w:r>
      <w:r w:rsidRPr="00B56B1C">
        <w:tab/>
        <w:t>Dividends and income tax equivalent and rate equivalent revenue</w:t>
      </w:r>
      <w:bookmarkEnd w:id="33"/>
      <w:bookmarkEnd w:id="34"/>
    </w:p>
    <w:p w:rsidR="00F87646" w:rsidRDefault="00F87646" w:rsidP="005E2118">
      <w:pPr>
        <w:pStyle w:val="Heading5"/>
      </w:pPr>
      <w:r>
        <w:t>(a)</w:t>
      </w:r>
      <w:r>
        <w:tab/>
      </w:r>
      <w:r w:rsidRPr="002D292F">
        <w:t>Dividends and income tax equivalent and rate equivalent revenue</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Dividends from PFC sector</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344.9</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674.2</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406.2</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440.0</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483.7</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Dividends from PNFC sector</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247.6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178.6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143.3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99.5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Dividends from non</w:t>
            </w:r>
            <w:r>
              <w:rPr>
                <w:rFonts w:eastAsiaTheme="minorEastAsia"/>
                <w:color w:val="000000"/>
                <w:lang w:eastAsia="en-AU"/>
              </w:rPr>
              <w:noBreakHyphen/>
            </w:r>
            <w:r w:rsidRPr="00885307">
              <w:rPr>
                <w:rFonts w:eastAsiaTheme="minorEastAsia"/>
                <w:color w:val="000000"/>
                <w:lang w:eastAsia="en-AU"/>
              </w:rPr>
              <w:t>public sector</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w:t>
            </w:r>
          </w:p>
        </w:tc>
      </w:tr>
      <w:tr w:rsidR="00F87646" w:rsidRPr="00885307" w:rsidTr="00885307">
        <w:tc>
          <w:tcPr>
            <w:tcW w:w="2808"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Dividends</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416.1</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923.8</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586.9</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585.3</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585.3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Income tax equivalent from PFC sector</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147.4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137.7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366.4</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Income tax equivalent from PNFC sector</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159.9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129.8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147.4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144.7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171.6</w:t>
            </w:r>
          </w:p>
        </w:tc>
      </w:tr>
      <w:tr w:rsidR="00F87646" w:rsidRPr="00885307" w:rsidTr="00885307">
        <w:tc>
          <w:tcPr>
            <w:tcW w:w="2808"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Income tax equivalent revenue</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162.9</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161.9</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294.8</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282.4</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538.0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Local government rate equivalent revenue</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6.6</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dividends and income tax equivalent and rate equivalent revenue</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584.7</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1 091.5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887.7</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874.0</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1 129.8</w:t>
            </w:r>
          </w:p>
        </w:tc>
      </w:tr>
    </w:tbl>
    <w:p w:rsidR="00F87646" w:rsidRPr="006B4F63" w:rsidRDefault="00F87646" w:rsidP="009D5D11">
      <w:pPr>
        <w:pStyle w:val="Source"/>
      </w:pPr>
    </w:p>
    <w:p w:rsidR="00F87646" w:rsidRPr="005E2118" w:rsidRDefault="00F87646" w:rsidP="005E2118"/>
    <w:p w:rsidR="00F87646" w:rsidRDefault="00F87646">
      <w:pPr>
        <w:spacing w:after="0"/>
        <w:rPr>
          <w:rFonts w:ascii="Calibri" w:hAnsi="Calibri"/>
          <w:b/>
        </w:rPr>
      </w:pPr>
      <w:r>
        <w:br w:type="page"/>
      </w:r>
    </w:p>
    <w:p w:rsidR="00F87646" w:rsidRDefault="00F87646" w:rsidP="001812D1">
      <w:pPr>
        <w:pStyle w:val="Heading2NotesContd"/>
      </w:pPr>
      <w:r w:rsidRPr="00B56B1C">
        <w:lastRenderedPageBreak/>
        <w:t>Note 3:</w:t>
      </w:r>
      <w:r w:rsidRPr="00B56B1C">
        <w:tab/>
        <w:t>Dividends and income tax equivalent and rate equivalent revenue</w:t>
      </w:r>
      <w:r>
        <w:t xml:space="preserve"> </w:t>
      </w:r>
      <w:r w:rsidRPr="001812D1">
        <w:rPr>
          <w:i/>
        </w:rPr>
        <w:t>(continued)</w:t>
      </w:r>
    </w:p>
    <w:p w:rsidR="00F87646" w:rsidRDefault="00F87646" w:rsidP="001812D1">
      <w:pPr>
        <w:pStyle w:val="Heading5"/>
      </w:pPr>
      <w:r w:rsidRPr="00B56B1C">
        <w:t>(b)</w:t>
      </w:r>
      <w:r w:rsidRPr="00B56B1C">
        <w:tab/>
      </w:r>
      <w:r w:rsidRPr="002D292F">
        <w:t>Dividends by entity</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444"/>
        <w:gridCol w:w="550"/>
        <w:gridCol w:w="354"/>
        <w:gridCol w:w="639"/>
        <w:gridCol w:w="265"/>
        <w:gridCol w:w="728"/>
        <w:gridCol w:w="176"/>
        <w:gridCol w:w="817"/>
        <w:gridCol w:w="87"/>
        <w:gridCol w:w="906"/>
      </w:tblGrid>
      <w:tr w:rsidR="00F87646" w:rsidRPr="00885307" w:rsidTr="00885307">
        <w:tc>
          <w:tcPr>
            <w:tcW w:w="2810"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4"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gridSpan w:val="2"/>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10"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4"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gridSpan w:val="2"/>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10" w:type="dxa"/>
            <w:tcBorders>
              <w:top w:val="single" w:sz="4"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Public financial corporations</w:t>
            </w:r>
          </w:p>
        </w:tc>
        <w:tc>
          <w:tcPr>
            <w:tcW w:w="994" w:type="dxa"/>
            <w:gridSpan w:val="2"/>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93" w:type="dxa"/>
            <w:gridSpan w:val="2"/>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Transport Accident Commission</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189.0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254.5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192.6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223.3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265.7</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Victorian WorkCover Authority</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109.8</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332.3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178.5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179.8</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176.8</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Treasury Corporation of Victoria</w:t>
            </w:r>
          </w:p>
        </w:tc>
        <w:tc>
          <w:tcPr>
            <w:tcW w:w="994" w:type="dxa"/>
            <w:gridSpan w:val="2"/>
            <w:tcBorders>
              <w:top w:val="nil"/>
              <w:left w:val="nil"/>
              <w:bottom w:val="nil"/>
              <w:right w:val="nil"/>
            </w:tcBorders>
            <w:shd w:val="solid" w:color="FFFFFF" w:fill="000000"/>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42.6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67.0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33.7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37.7</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Rural Finance Corporation</w:t>
            </w:r>
          </w:p>
        </w:tc>
        <w:tc>
          <w:tcPr>
            <w:tcW w:w="994" w:type="dxa"/>
            <w:gridSpan w:val="2"/>
            <w:tcBorders>
              <w:top w:val="nil"/>
              <w:left w:val="nil"/>
              <w:bottom w:val="nil"/>
              <w:right w:val="nil"/>
            </w:tcBorders>
            <w:shd w:val="solid" w:color="FFFFFF" w:fill="000000"/>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Victorian Funds Management Corporation</w:t>
            </w:r>
          </w:p>
        </w:tc>
        <w:tc>
          <w:tcPr>
            <w:tcW w:w="994" w:type="dxa"/>
            <w:gridSpan w:val="2"/>
            <w:tcBorders>
              <w:top w:val="nil"/>
              <w:left w:val="nil"/>
              <w:bottom w:val="nil"/>
              <w:right w:val="nil"/>
            </w:tcBorders>
            <w:shd w:val="solid" w:color="FFFFFF" w:fill="000000"/>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State Trustees Ltd</w:t>
            </w:r>
          </w:p>
        </w:tc>
        <w:tc>
          <w:tcPr>
            <w:tcW w:w="994" w:type="dxa"/>
            <w:gridSpan w:val="2"/>
            <w:tcBorders>
              <w:top w:val="nil"/>
              <w:left w:val="nil"/>
              <w:bottom w:val="nil"/>
              <w:right w:val="nil"/>
            </w:tcBorders>
            <w:shd w:val="solid" w:color="FFFFFF" w:fill="000000"/>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0.8</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w:t>
            </w:r>
          </w:p>
        </w:tc>
      </w:tr>
      <w:tr w:rsidR="00F87646" w:rsidRPr="00885307" w:rsidTr="00885307">
        <w:tc>
          <w:tcPr>
            <w:tcW w:w="2810"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Dividends from PFC sector</w:t>
            </w:r>
          </w:p>
        </w:tc>
        <w:tc>
          <w:tcPr>
            <w:tcW w:w="994"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344.9</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674.2</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406.2</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440.0</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483.7</w:t>
            </w:r>
          </w:p>
        </w:tc>
      </w:tr>
      <w:tr w:rsidR="00F87646" w:rsidRPr="00885307" w:rsidTr="00885307">
        <w:trPr>
          <w:trHeight w:hRule="exact" w:val="120"/>
        </w:trPr>
        <w:tc>
          <w:tcPr>
            <w:tcW w:w="2810" w:type="dxa"/>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 xml:space="preserve"> </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p>
        </w:tc>
        <w:tc>
          <w:tcPr>
            <w:tcW w:w="993"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5C408D">
        <w:tc>
          <w:tcPr>
            <w:tcW w:w="3254" w:type="dxa"/>
            <w:gridSpan w:val="2"/>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Public non</w:t>
            </w:r>
            <w:r>
              <w:rPr>
                <w:rFonts w:eastAsiaTheme="minorEastAsia"/>
                <w:b/>
                <w:bCs/>
                <w:lang w:eastAsia="en-AU"/>
              </w:rPr>
              <w:noBreakHyphen/>
            </w:r>
            <w:r w:rsidRPr="00885307">
              <w:rPr>
                <w:rFonts w:eastAsiaTheme="minorEastAsia"/>
                <w:b/>
                <w:bCs/>
                <w:lang w:eastAsia="en-AU"/>
              </w:rPr>
              <w:t>financial corporations</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0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0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State Electricity Commission of Victoria (Shell) </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100.0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100.0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83.4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South East Water Corporation</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49.3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38.2</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Melbourne Water Corporation</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24.3</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Port of Melbourne Corporation</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28.9</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27.6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City West Water Corporation</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16.8</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20.1</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Yarra Valley Water Corporation</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21.8</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5.1</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Urban Renewal Authority Victoria (Places Victoria)</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9.1</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Victorian Regional Channels Authority</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w:t>
            </w:r>
          </w:p>
        </w:tc>
      </w:tr>
      <w:tr w:rsidR="00F87646" w:rsidRPr="00885307" w:rsidTr="00885307">
        <w:tc>
          <w:tcPr>
            <w:tcW w:w="2810"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Others</w:t>
            </w:r>
          </w:p>
        </w:tc>
        <w:tc>
          <w:tcPr>
            <w:tcW w:w="99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0.9</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w:t>
            </w:r>
          </w:p>
        </w:tc>
      </w:tr>
      <w:tr w:rsidR="00F87646" w:rsidRPr="00885307" w:rsidTr="00885307">
        <w:tc>
          <w:tcPr>
            <w:tcW w:w="2810"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Dividends from PNFC sector</w:t>
            </w:r>
          </w:p>
        </w:tc>
        <w:tc>
          <w:tcPr>
            <w:tcW w:w="994"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69.1</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247.6</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178.6</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143.3</w:t>
            </w:r>
          </w:p>
        </w:tc>
        <w:tc>
          <w:tcPr>
            <w:tcW w:w="99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99.5</w:t>
            </w:r>
          </w:p>
        </w:tc>
      </w:tr>
    </w:tbl>
    <w:p w:rsidR="00F87646" w:rsidRPr="006B4F63" w:rsidRDefault="00F87646" w:rsidP="006B4F63">
      <w:pPr>
        <w:pStyle w:val="Source"/>
      </w:pPr>
    </w:p>
    <w:p w:rsidR="00F87646" w:rsidRDefault="00F87646" w:rsidP="008B5E93">
      <w:bookmarkStart w:id="35" w:name="_Toc373751810"/>
    </w:p>
    <w:p w:rsidR="00F87646" w:rsidRDefault="00F87646">
      <w:pPr>
        <w:spacing w:after="0"/>
        <w:rPr>
          <w:rFonts w:ascii="Calibri" w:hAnsi="Calibri"/>
          <w:b/>
          <w:kern w:val="28"/>
          <w:sz w:val="26"/>
          <w:szCs w:val="22"/>
        </w:rPr>
      </w:pPr>
      <w:r>
        <w:br w:type="page"/>
      </w:r>
    </w:p>
    <w:p w:rsidR="00F87646" w:rsidRDefault="00F87646" w:rsidP="005E2118">
      <w:pPr>
        <w:pStyle w:val="Heading2Notes"/>
      </w:pPr>
      <w:bookmarkStart w:id="36" w:name="_Toc403141608"/>
      <w:r w:rsidRPr="00B56B1C">
        <w:lastRenderedPageBreak/>
        <w:t>Note 4:</w:t>
      </w:r>
      <w:r w:rsidRPr="00B56B1C">
        <w:tab/>
        <w:t>Sale of goods and services</w:t>
      </w:r>
      <w:bookmarkEnd w:id="35"/>
      <w:bookmarkEnd w:id="36"/>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Motor vehicle regulatory fees</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213.3</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213.3</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210.5</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195.0</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174.5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regulatory fees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437.2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475.4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521.8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580.5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Sale of goods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96.1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84.3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77.4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Provision of services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3 974.3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4 070.5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4 177.8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4 159.2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4 164.8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Rental</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54.8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59.2</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Refunds and reimbursements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71.2</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Inter</w:t>
            </w:r>
            <w:r>
              <w:rPr>
                <w:rFonts w:eastAsiaTheme="minorEastAsia"/>
                <w:color w:val="000000"/>
                <w:lang w:eastAsia="en-AU"/>
              </w:rPr>
              <w:noBreakHyphen/>
            </w:r>
            <w:r w:rsidRPr="00885307">
              <w:rPr>
                <w:rFonts w:eastAsiaTheme="minorEastAsia"/>
                <w:color w:val="000000"/>
                <w:lang w:eastAsia="en-AU"/>
              </w:rPr>
              <w:t>sector capital asset charge</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1 632.8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1 587.2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1 746.5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1 762.8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1 776.0</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sales of goods and services</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6 478.4</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6 559.5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6 842.5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6 847.2</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6 905.0</w:t>
            </w:r>
          </w:p>
        </w:tc>
      </w:tr>
    </w:tbl>
    <w:p w:rsidR="00F87646" w:rsidRDefault="00F87646" w:rsidP="004A1102">
      <w:pPr>
        <w:pStyle w:val="Source"/>
      </w:pPr>
      <w:bookmarkStart w:id="37" w:name="_Toc373751811"/>
    </w:p>
    <w:p w:rsidR="00F87646" w:rsidRDefault="00F87646" w:rsidP="004A1102"/>
    <w:p w:rsidR="00F87646" w:rsidRDefault="00F87646" w:rsidP="001812D1">
      <w:pPr>
        <w:pStyle w:val="Heading2Notes"/>
      </w:pPr>
      <w:bookmarkStart w:id="38" w:name="_Toc403141609"/>
      <w:r w:rsidRPr="00B56B1C">
        <w:t>Note 5:</w:t>
      </w:r>
      <w:r w:rsidRPr="00B56B1C">
        <w:tab/>
        <w:t>Grants</w:t>
      </w:r>
      <w:bookmarkEnd w:id="37"/>
      <w:bookmarkEnd w:id="38"/>
    </w:p>
    <w:p w:rsidR="00F87646" w:rsidRPr="00885307" w:rsidRDefault="00F87646" w:rsidP="00885307">
      <w:pPr>
        <w:pStyle w:val="million"/>
      </w:pPr>
      <w:r w:rsidRPr="006B4F63">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General purpose grants – goods and services tax</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11 781.9</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11 999.0</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12 541.6</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13 465.3</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15 106.0</w:t>
            </w:r>
          </w:p>
        </w:tc>
      </w:tr>
      <w:tr w:rsidR="00F87646" w:rsidRPr="00885307" w:rsidTr="00885307">
        <w:tc>
          <w:tcPr>
            <w:tcW w:w="316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Specific purpose grants for on</w:t>
            </w:r>
            <w:r>
              <w:rPr>
                <w:rFonts w:eastAsiaTheme="minorEastAsia"/>
                <w:color w:val="000000"/>
                <w:lang w:eastAsia="en-AU"/>
              </w:rPr>
              <w:noBreakHyphen/>
            </w:r>
            <w:r w:rsidRPr="00885307">
              <w:rPr>
                <w:rFonts w:eastAsiaTheme="minorEastAsia"/>
                <w:color w:val="000000"/>
                <w:lang w:eastAsia="en-AU"/>
              </w:rPr>
              <w:t>passing</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3 140.1</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3 122.0</w:t>
            </w:r>
          </w:p>
        </w:tc>
        <w:tc>
          <w:tcPr>
            <w:tcW w:w="92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3 313.8</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3 515.6</w:t>
            </w:r>
          </w:p>
        </w:tc>
        <w:tc>
          <w:tcPr>
            <w:tcW w:w="92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3 716.8</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grants for specific purposes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9 792.8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9 256.7</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9 132.1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8 821.1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8 042.8</w:t>
            </w:r>
          </w:p>
        </w:tc>
      </w:tr>
      <w:tr w:rsidR="00F87646" w:rsidRPr="00885307" w:rsidTr="00885307">
        <w:tc>
          <w:tcPr>
            <w:tcW w:w="3164"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24 714.9</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24 377.8</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24 987.5</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25 802.0</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26 865.6</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contributions and grants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140.4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135.7</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126.6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113.0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110.4</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grants</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24 855.3</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24 513.5</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25 114.2</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25 915.0</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26 976.0</w:t>
            </w:r>
          </w:p>
        </w:tc>
      </w:tr>
    </w:tbl>
    <w:p w:rsidR="00F87646" w:rsidRDefault="00F87646" w:rsidP="006B4F63">
      <w:pPr>
        <w:pStyle w:val="Source"/>
      </w:pPr>
    </w:p>
    <w:p w:rsidR="00F87646" w:rsidRDefault="00F87646" w:rsidP="004A1102">
      <w:bookmarkStart w:id="39" w:name="_Toc373751812"/>
    </w:p>
    <w:p w:rsidR="00F87646" w:rsidRDefault="00F87646" w:rsidP="005E2118">
      <w:pPr>
        <w:pStyle w:val="Heading2Notes"/>
      </w:pPr>
      <w:bookmarkStart w:id="40" w:name="_Toc403141610"/>
      <w:r w:rsidRPr="00B56B1C">
        <w:t>Note 6:</w:t>
      </w:r>
      <w:r w:rsidRPr="00B56B1C">
        <w:tab/>
        <w:t>Other revenue</w:t>
      </w:r>
      <w:bookmarkEnd w:id="39"/>
      <w:bookmarkEnd w:id="40"/>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Fair value of assets received free of charge or for nominal consideration</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56.7</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56.6</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56.8</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56.5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Fines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784.8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722.0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756.0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791.7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827.6</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Royalties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51.4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51.4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51.3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51.3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Donations and gifts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255.0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262.4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259.1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299.4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249.3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non</w:t>
            </w:r>
            <w:r>
              <w:rPr>
                <w:rFonts w:eastAsiaTheme="minorEastAsia"/>
                <w:color w:val="000000"/>
                <w:lang w:eastAsia="en-AU"/>
              </w:rPr>
              <w:noBreakHyphen/>
            </w:r>
            <w:r w:rsidRPr="00885307">
              <w:rPr>
                <w:rFonts w:eastAsiaTheme="minorEastAsia"/>
                <w:color w:val="000000"/>
                <w:lang w:eastAsia="en-AU"/>
              </w:rPr>
              <w:t>property rental</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miscellaneous revenue</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959.8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1 031.5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955.0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966.1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944.8</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other revenue</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2 073.9</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2 141.7</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2 095.9</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2 183.2</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2 147.5</w:t>
            </w:r>
          </w:p>
        </w:tc>
      </w:tr>
    </w:tbl>
    <w:p w:rsidR="00F87646" w:rsidRDefault="00F87646" w:rsidP="006B4F63">
      <w:pPr>
        <w:pStyle w:val="Source"/>
      </w:pPr>
    </w:p>
    <w:p w:rsidR="00F87646" w:rsidRDefault="00F87646" w:rsidP="008B5E93"/>
    <w:p w:rsidR="00F87646" w:rsidRDefault="00F87646" w:rsidP="005E2118">
      <w:pPr>
        <w:pStyle w:val="Heading2Notes"/>
      </w:pPr>
      <w:bookmarkStart w:id="41" w:name="_Toc373751813"/>
      <w:bookmarkStart w:id="42" w:name="_Toc403141611"/>
      <w:r w:rsidRPr="00B56B1C">
        <w:lastRenderedPageBreak/>
        <w:t>Note 7:</w:t>
      </w:r>
      <w:r w:rsidRPr="00B56B1C">
        <w:tab/>
        <w:t>Superannuation</w:t>
      </w:r>
      <w:bookmarkEnd w:id="41"/>
      <w:bookmarkEnd w:id="42"/>
    </w:p>
    <w:p w:rsidR="00F87646" w:rsidRDefault="00F87646" w:rsidP="001870EA">
      <w:r>
        <w:rPr>
          <w:szCs w:val="22"/>
        </w:rPr>
        <w:t xml:space="preserve">Note 8 in Chapter 4 of the </w:t>
      </w:r>
      <w:r w:rsidRPr="00061F43">
        <w:rPr>
          <w:i/>
          <w:szCs w:val="22"/>
        </w:rPr>
        <w:t>2013</w:t>
      </w:r>
      <w:r>
        <w:rPr>
          <w:i/>
          <w:szCs w:val="22"/>
        </w:rPr>
        <w:noBreakHyphen/>
      </w:r>
      <w:r w:rsidRPr="00061F43">
        <w:rPr>
          <w:i/>
          <w:szCs w:val="22"/>
        </w:rPr>
        <w:t>14 Financial Report</w:t>
      </w:r>
      <w:r>
        <w:rPr>
          <w:i/>
          <w:szCs w:val="22"/>
        </w:rPr>
        <w:t xml:space="preserve"> </w:t>
      </w:r>
      <w:r>
        <w:rPr>
          <w:szCs w:val="22"/>
        </w:rPr>
        <w:t>for the State of Victoria c</w:t>
      </w:r>
      <w:r w:rsidRPr="00061F43">
        <w:rPr>
          <w:szCs w:val="22"/>
        </w:rPr>
        <w:t>ontains a comprehensive disclosure of the State</w:t>
      </w:r>
      <w:r>
        <w:rPr>
          <w:szCs w:val="22"/>
        </w:rPr>
        <w:t>’</w:t>
      </w:r>
      <w:r w:rsidRPr="00061F43">
        <w:rPr>
          <w:szCs w:val="22"/>
        </w:rPr>
        <w:t xml:space="preserve">s </w:t>
      </w:r>
      <w:r>
        <w:rPr>
          <w:szCs w:val="22"/>
        </w:rPr>
        <w:t>superannuation schemes, the associated funding arrangements and the sensitivity of the liability to movements in the key valuation assumptions. There have not been any substantive changes to these items since that note was prepared.</w:t>
      </w:r>
    </w:p>
    <w:p w:rsidR="00F87646" w:rsidRDefault="00F87646" w:rsidP="005E2118">
      <w:pPr>
        <w:pStyle w:val="Heading5"/>
        <w:keepNext w:val="0"/>
      </w:pPr>
      <w:r w:rsidRPr="00B56B1C">
        <w:t>(a)</w:t>
      </w:r>
      <w:r w:rsidRPr="00B56B1C">
        <w:tab/>
        <w:t>Superannuation expense recognised in the operating statement</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Defined benefit plans </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Net superannuation interest expense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1 023.9</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1 014.8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976.7</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958.2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936.4</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Current service cost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680.3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737.9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752.0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745.5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734.1</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Remeasurements: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Expected return on superannuation assets excluding interest income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( 499.2)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( 630.9)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( 699.6)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( 714.2)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( 728.4)</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Other actuarial (gain)/loss on superannuation assets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( 208.3)</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Actuarial and other adjustments to unfunded superannuation liability</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1 016.3</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3164"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(gain)/expenses recognised in respect of defined benefit plans</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1 205.0</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1 929.9</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1 029.0</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989.5</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942.2</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Defined contribution plans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Employer contributions to defined contribution plans </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1 122.4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1 138.9</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1 179.3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1 204.8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1 232.3</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(including pensions)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62.3</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62.9</w:t>
            </w:r>
          </w:p>
        </w:tc>
      </w:tr>
      <w:tr w:rsidR="00F87646" w:rsidRPr="00885307" w:rsidTr="00885307">
        <w:tc>
          <w:tcPr>
            <w:tcW w:w="316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expense recognised in respect of defined contribution plans</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1 183.4</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1 199.9</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1 241.0</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1 267.0</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1 295.2</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superannuation (gain)/ expense recognised in operating statement</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2 388.4</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3 129.8</w:t>
            </w:r>
          </w:p>
        </w:tc>
        <w:tc>
          <w:tcPr>
            <w:tcW w:w="923"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2 270.0</w:t>
            </w:r>
          </w:p>
        </w:tc>
        <w:tc>
          <w:tcPr>
            <w:tcW w:w="922"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2 256.5</w:t>
            </w:r>
          </w:p>
        </w:tc>
        <w:tc>
          <w:tcPr>
            <w:tcW w:w="923"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2 237.3</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Represented by:</w:t>
            </w:r>
          </w:p>
        </w:tc>
        <w:tc>
          <w:tcPr>
            <w:tcW w:w="922"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2"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923"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Superannuation interest expense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1 023.9</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1 014.8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976.7</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958.2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936.4</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superannuation</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1 863.7</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1 937.8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1 993.0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2 012.5</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2 029.3</w:t>
            </w:r>
          </w:p>
        </w:tc>
      </w:tr>
      <w:tr w:rsidR="00F87646" w:rsidRPr="00885307" w:rsidTr="00885307">
        <w:tc>
          <w:tcPr>
            <w:tcW w:w="3164"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Superannuation expense from transactions</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2 887.5</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2 952.6</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2 969.7</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2 970.7</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2 965.7</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Remeasurement recognised in other comprehensive income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( 499.2)</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177.2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( 699.6)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( 714.2)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( 728.4)</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superannuation costs recognised in operating statement</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2 388.4</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3 129.8</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2 270.0</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2 256.5</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2 237.3</w:t>
            </w:r>
          </w:p>
        </w:tc>
      </w:tr>
    </w:tbl>
    <w:p w:rsidR="00F87646" w:rsidRPr="003565CD" w:rsidRDefault="00F87646" w:rsidP="008B5E93">
      <w:pPr>
        <w:pStyle w:val="Source"/>
      </w:pPr>
    </w:p>
    <w:p w:rsidR="00F87646" w:rsidRDefault="00F87646" w:rsidP="008B5E93"/>
    <w:p w:rsidR="00F87646" w:rsidRDefault="00F87646">
      <w:pPr>
        <w:spacing w:after="0"/>
        <w:rPr>
          <w:rFonts w:ascii="Calibri" w:hAnsi="Calibri"/>
          <w:b/>
        </w:rPr>
      </w:pPr>
      <w:r>
        <w:br w:type="page"/>
      </w:r>
    </w:p>
    <w:p w:rsidR="00F87646" w:rsidRDefault="00F87646" w:rsidP="001812D1">
      <w:pPr>
        <w:pStyle w:val="Heading2NotesContd"/>
      </w:pPr>
      <w:r w:rsidRPr="00B56B1C">
        <w:lastRenderedPageBreak/>
        <w:t>Note 7:</w:t>
      </w:r>
      <w:r w:rsidRPr="00B56B1C">
        <w:tab/>
        <w:t>Superannuation</w:t>
      </w:r>
      <w:r>
        <w:t xml:space="preserve"> </w:t>
      </w:r>
      <w:r w:rsidRPr="001812D1">
        <w:rPr>
          <w:i/>
        </w:rPr>
        <w:t>(continued)</w:t>
      </w:r>
    </w:p>
    <w:p w:rsidR="00F87646" w:rsidRDefault="00F87646" w:rsidP="001812D1">
      <w:pPr>
        <w:pStyle w:val="Heading5"/>
        <w:keepNext w:val="0"/>
      </w:pPr>
      <w:r w:rsidRPr="00B56B1C">
        <w:t>(b)</w:t>
      </w:r>
      <w:r w:rsidRPr="00B56B1C">
        <w:tab/>
        <w:t>Reconciliation of the present value of the defined benefit obligation</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Opening balance of defined benefit obligation</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44 358.2</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44 358.2</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45 371.3</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45 314.3</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45 137.0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Current service cost</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680.3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737.9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752.0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745.5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734.1</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Interest cost</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1 876.5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1 755.1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1 692.3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1 689.3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1 683.2</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Contributions by plan participants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193.3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194.4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189.1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184.3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179.3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Remeasurement:</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Actuarial (gain)/loss arising from change in financial assumptions </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1 016.3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Benefits paid</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(2 577.9)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(2 690.6)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(2 690.3)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(2 796.3)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(2 865.9)</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Closing balance of defined benefit obligation</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44 530.4</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45 371.3</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45 314.3</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45 137.0</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44 867.7</w:t>
            </w:r>
          </w:p>
        </w:tc>
      </w:tr>
    </w:tbl>
    <w:p w:rsidR="00F87646" w:rsidRPr="003565CD" w:rsidRDefault="00F87646" w:rsidP="008B5E93">
      <w:pPr>
        <w:pStyle w:val="Source"/>
      </w:pPr>
    </w:p>
    <w:p w:rsidR="00F87646" w:rsidRDefault="00F87646" w:rsidP="005E2118"/>
    <w:p w:rsidR="00F87646" w:rsidRDefault="00F87646" w:rsidP="005E2118">
      <w:pPr>
        <w:pStyle w:val="Heading5"/>
        <w:keepNext w:val="0"/>
      </w:pPr>
      <w:r w:rsidRPr="00B56B1C">
        <w:t>(c)</w:t>
      </w:r>
      <w:r w:rsidRPr="00B56B1C">
        <w:tab/>
        <w:t>Reconciliation of the fair value of superannuation plan assets</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940"/>
        <w:gridCol w:w="940"/>
        <w:gridCol w:w="941"/>
        <w:gridCol w:w="940"/>
        <w:gridCol w:w="941"/>
      </w:tblGrid>
      <w:tr w:rsidR="00F87646" w:rsidRPr="00885307" w:rsidTr="00885307">
        <w:tc>
          <w:tcPr>
            <w:tcW w:w="307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40"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40"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41"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40"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07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40"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074"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Opening balance of plan assets</w:t>
            </w:r>
          </w:p>
        </w:tc>
        <w:tc>
          <w:tcPr>
            <w:tcW w:w="940"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18 677.5</w:t>
            </w:r>
          </w:p>
        </w:tc>
        <w:tc>
          <w:tcPr>
            <w:tcW w:w="940"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18 677.5</w:t>
            </w:r>
          </w:p>
        </w:tc>
        <w:tc>
          <w:tcPr>
            <w:tcW w:w="941"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19 263.9</w:t>
            </w:r>
          </w:p>
        </w:tc>
        <w:tc>
          <w:tcPr>
            <w:tcW w:w="940"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19 678.5</w:t>
            </w:r>
          </w:p>
        </w:tc>
        <w:tc>
          <w:tcPr>
            <w:tcW w:w="941"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20 139.6</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Interest income</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852.6</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740.3</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715.6</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731.1</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746.8</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Remeasurements:</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Expected return on plan assets excluding interest income</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499.2</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630.9</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699.6</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714.2</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728.4</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   Actuarial gain/(loss) relative to expected return</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208.3</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Employer contributions</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1 507.9</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1 503.2</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1 500.6</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1 627.9</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1 625.7</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Contributions by plan participants</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193.3</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194.4</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189.1</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184.3</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179.3</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Benefits paid (including tax paid)</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(2 577.9)</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(2 690.6)</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(2 690.3)</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(2 796.3)</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(2 865.9)</w:t>
            </w:r>
          </w:p>
        </w:tc>
      </w:tr>
      <w:tr w:rsidR="00F87646" w:rsidRPr="00885307" w:rsidTr="00885307">
        <w:tc>
          <w:tcPr>
            <w:tcW w:w="307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Closing balance of plan assets</w:t>
            </w:r>
          </w:p>
        </w:tc>
        <w:tc>
          <w:tcPr>
            <w:tcW w:w="94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19 152.5</w:t>
            </w:r>
          </w:p>
        </w:tc>
        <w:tc>
          <w:tcPr>
            <w:tcW w:w="94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19 263.9</w:t>
            </w:r>
          </w:p>
        </w:tc>
        <w:tc>
          <w:tcPr>
            <w:tcW w:w="941"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19 678.5</w:t>
            </w:r>
          </w:p>
        </w:tc>
        <w:tc>
          <w:tcPr>
            <w:tcW w:w="94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20 139.6</w:t>
            </w:r>
          </w:p>
        </w:tc>
        <w:tc>
          <w:tcPr>
            <w:tcW w:w="941"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20 553.9</w:t>
            </w:r>
          </w:p>
        </w:tc>
      </w:tr>
    </w:tbl>
    <w:p w:rsidR="00F87646" w:rsidRPr="003565CD" w:rsidRDefault="00F87646" w:rsidP="008B5E93">
      <w:pPr>
        <w:pStyle w:val="Source"/>
      </w:pPr>
    </w:p>
    <w:p w:rsidR="00F87646" w:rsidRPr="00CA1476" w:rsidRDefault="00F87646" w:rsidP="005E2118"/>
    <w:p w:rsidR="00F87646" w:rsidRDefault="00F87646">
      <w:pPr>
        <w:spacing w:after="0"/>
        <w:rPr>
          <w:rFonts w:ascii="Calibri" w:hAnsi="Calibri"/>
          <w:b/>
        </w:rPr>
      </w:pPr>
      <w:r>
        <w:br w:type="page"/>
      </w:r>
    </w:p>
    <w:p w:rsidR="00F87646" w:rsidRDefault="00F87646" w:rsidP="001812D1">
      <w:pPr>
        <w:pStyle w:val="Heading2NotesContd"/>
      </w:pPr>
      <w:r w:rsidRPr="00B56B1C">
        <w:lastRenderedPageBreak/>
        <w:t>Note 7:</w:t>
      </w:r>
      <w:r w:rsidRPr="00B56B1C">
        <w:tab/>
        <w:t>Superannuation</w:t>
      </w:r>
      <w:r>
        <w:t xml:space="preserve"> </w:t>
      </w:r>
      <w:r w:rsidRPr="001812D1">
        <w:rPr>
          <w:i/>
        </w:rPr>
        <w:t>(continued)</w:t>
      </w:r>
    </w:p>
    <w:p w:rsidR="00F87646" w:rsidRDefault="00F87646" w:rsidP="001812D1">
      <w:pPr>
        <w:pStyle w:val="Heading5"/>
        <w:keepNext w:val="0"/>
      </w:pPr>
      <w:r w:rsidRPr="00B56B1C">
        <w:t>(d)</w:t>
      </w:r>
      <w:r w:rsidRPr="00B56B1C">
        <w:tab/>
        <w:t>Reconciliation of the superannuation liabilities</w:t>
      </w:r>
    </w:p>
    <w:p w:rsidR="00F87646" w:rsidRPr="00885307" w:rsidRDefault="00F87646" w:rsidP="00885307">
      <w:pPr>
        <w:pStyle w:val="million"/>
      </w:pPr>
      <w:bookmarkStart w:id="43" w:name="_Toc373751814"/>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07"/>
        <w:gridCol w:w="623"/>
        <w:gridCol w:w="370"/>
        <w:gridCol w:w="498"/>
        <w:gridCol w:w="494"/>
        <w:gridCol w:w="373"/>
        <w:gridCol w:w="619"/>
        <w:gridCol w:w="248"/>
        <w:gridCol w:w="744"/>
        <w:gridCol w:w="123"/>
        <w:gridCol w:w="869"/>
        <w:gridCol w:w="8"/>
      </w:tblGrid>
      <w:tr w:rsidR="00F87646" w:rsidRPr="00885307" w:rsidTr="00885307">
        <w:trPr>
          <w:gridAfter w:val="1"/>
          <w:wAfter w:w="8" w:type="dxa"/>
        </w:trPr>
        <w:tc>
          <w:tcPr>
            <w:tcW w:w="2810"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4"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gridSpan w:val="2"/>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rPr>
          <w:gridAfter w:val="1"/>
          <w:wAfter w:w="8" w:type="dxa"/>
        </w:trPr>
        <w:tc>
          <w:tcPr>
            <w:tcW w:w="2810"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4"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gridSpan w:val="2"/>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434" w:type="dxa"/>
            <w:gridSpan w:val="2"/>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vertAlign w:val="superscript"/>
                <w:lang w:eastAsia="en-AU"/>
              </w:rPr>
            </w:pPr>
            <w:r w:rsidRPr="00885307">
              <w:rPr>
                <w:rFonts w:eastAsiaTheme="minorEastAsia"/>
                <w:b/>
                <w:bCs/>
                <w:color w:val="000000"/>
                <w:lang w:eastAsia="en-AU"/>
              </w:rPr>
              <w:t>Emergency Services and State Super</w:t>
            </w:r>
            <w:r w:rsidRPr="00885307">
              <w:rPr>
                <w:rFonts w:eastAsiaTheme="minorEastAsia"/>
                <w:b/>
                <w:bCs/>
                <w:color w:val="000000"/>
                <w:vertAlign w:val="superscript"/>
                <w:lang w:eastAsia="en-AU"/>
              </w:rPr>
              <w:t xml:space="preserve"> (a)</w:t>
            </w:r>
          </w:p>
        </w:tc>
        <w:tc>
          <w:tcPr>
            <w:tcW w:w="868"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868"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868"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868"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868"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Defined benefit obligation</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39 980.1</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41 268.4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41 247.5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41 128.3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40 916.2</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Tax liability </w:t>
            </w:r>
            <w:r w:rsidRPr="00885307">
              <w:rPr>
                <w:rFonts w:eastAsiaTheme="minorEastAsia"/>
                <w:color w:val="000000"/>
                <w:vertAlign w:val="superscript"/>
                <w:lang w:eastAsia="en-AU"/>
              </w:rPr>
              <w:t>(b)</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2 142.5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2 265.9</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2 236.1</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2 184.5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2 130.2</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Plan assets</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(17 776.5)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(18 342.2)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(18 805.3)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(19 316.6)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(19 779.6)</w:t>
            </w:r>
          </w:p>
        </w:tc>
      </w:tr>
      <w:tr w:rsidR="00F87646" w:rsidRPr="00885307" w:rsidTr="00885307">
        <w:trPr>
          <w:gridAfter w:val="1"/>
          <w:wAfter w:w="8" w:type="dxa"/>
        </w:trPr>
        <w:tc>
          <w:tcPr>
            <w:tcW w:w="2810"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Net liability/(asset)</w:t>
            </w:r>
          </w:p>
        </w:tc>
        <w:tc>
          <w:tcPr>
            <w:tcW w:w="994"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24 346.1</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25 192.1</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24 678.3</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23 996.2</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23 266.9</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b/>
                <w:bCs/>
                <w:color w:val="000000"/>
                <w:vertAlign w:val="superscript"/>
                <w:lang w:eastAsia="en-AU"/>
              </w:rPr>
            </w:pPr>
            <w:r w:rsidRPr="00885307">
              <w:rPr>
                <w:rFonts w:eastAsiaTheme="minorEastAsia"/>
                <w:b/>
                <w:bCs/>
                <w:color w:val="000000"/>
                <w:lang w:eastAsia="en-AU"/>
              </w:rPr>
              <w:t xml:space="preserve">Other funds </w:t>
            </w:r>
            <w:r w:rsidRPr="00885307">
              <w:rPr>
                <w:rFonts w:eastAsiaTheme="minorEastAsia"/>
                <w:b/>
                <w:bCs/>
                <w:color w:val="000000"/>
                <w:vertAlign w:val="superscript"/>
                <w:lang w:eastAsia="en-AU"/>
              </w:rPr>
              <w:t>(c)</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Defined benefit obligation</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2 413.4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1 844.6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1 837.2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1 829.7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1 825.9</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Tax liability </w:t>
            </w:r>
            <w:r w:rsidRPr="00885307">
              <w:rPr>
                <w:rFonts w:eastAsiaTheme="minorEastAsia"/>
                <w:color w:val="000000"/>
                <w:vertAlign w:val="superscript"/>
                <w:lang w:eastAsia="en-AU"/>
              </w:rPr>
              <w:t>(b)</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( 5.6)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( 6.5)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( 5.5)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( 4.6)</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Plan assets</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(1 376.0)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( 921.7)</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( 873.2)</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( 823.0)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( 774.3)</w:t>
            </w:r>
          </w:p>
        </w:tc>
      </w:tr>
      <w:tr w:rsidR="00F87646" w:rsidRPr="00885307" w:rsidTr="00885307">
        <w:trPr>
          <w:gridAfter w:val="1"/>
          <w:wAfter w:w="8" w:type="dxa"/>
        </w:trPr>
        <w:tc>
          <w:tcPr>
            <w:tcW w:w="2810"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Net liability/(asset)</w:t>
            </w:r>
          </w:p>
        </w:tc>
        <w:tc>
          <w:tcPr>
            <w:tcW w:w="994"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1 031.7</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915.3</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957.5</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1 001.2</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1 047.0</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superannuation</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Defined benefit obligation</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42 393.5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43 113.0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43 084.8</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42 958.1</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42 742.2</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Tax liability </w:t>
            </w:r>
            <w:r w:rsidRPr="00885307">
              <w:rPr>
                <w:rFonts w:eastAsiaTheme="minorEastAsia"/>
                <w:color w:val="000000"/>
                <w:vertAlign w:val="superscript"/>
                <w:lang w:eastAsia="en-AU"/>
              </w:rPr>
              <w:t>(b)</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2 136.9</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2 258.3</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2 229.6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2 179.0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2 125.6</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Plan assets</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(19 152.5)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(19 263.9)</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(19 678.5)</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(20 139.6)</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(20 553.9)</w:t>
            </w:r>
          </w:p>
        </w:tc>
      </w:tr>
      <w:tr w:rsidR="00F87646" w:rsidRPr="00885307" w:rsidTr="00885307">
        <w:trPr>
          <w:gridAfter w:val="1"/>
          <w:wAfter w:w="8" w:type="dxa"/>
        </w:trPr>
        <w:tc>
          <w:tcPr>
            <w:tcW w:w="2810"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Superannuation liability</w:t>
            </w:r>
          </w:p>
        </w:tc>
        <w:tc>
          <w:tcPr>
            <w:tcW w:w="994"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25 377.9</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26 107.4</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25 635.8</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24 997.4</w:t>
            </w:r>
          </w:p>
        </w:tc>
        <w:tc>
          <w:tcPr>
            <w:tcW w:w="99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24 313.9</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Represented by:</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2810"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Current liability</w:t>
            </w:r>
          </w:p>
        </w:tc>
        <w:tc>
          <w:tcPr>
            <w:tcW w:w="99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1 000.0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1 000.0</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1 133.4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1 136.4</w:t>
            </w:r>
          </w:p>
        </w:tc>
        <w:tc>
          <w:tcPr>
            <w:tcW w:w="99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1 164.8</w:t>
            </w:r>
          </w:p>
        </w:tc>
      </w:tr>
      <w:tr w:rsidR="00F87646" w:rsidRPr="00885307" w:rsidTr="00885307">
        <w:trPr>
          <w:gridAfter w:val="1"/>
          <w:wAfter w:w="8" w:type="dxa"/>
        </w:trPr>
        <w:tc>
          <w:tcPr>
            <w:tcW w:w="2810" w:type="dxa"/>
            <w:tcBorders>
              <w:top w:val="nil"/>
              <w:left w:val="nil"/>
              <w:bottom w:val="single" w:sz="12"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Non</w:t>
            </w:r>
            <w:r>
              <w:rPr>
                <w:rFonts w:eastAsiaTheme="minorEastAsia"/>
                <w:color w:val="000000"/>
                <w:lang w:eastAsia="en-AU"/>
              </w:rPr>
              <w:noBreakHyphen/>
            </w:r>
            <w:r w:rsidRPr="00885307">
              <w:rPr>
                <w:rFonts w:eastAsiaTheme="minorEastAsia"/>
                <w:color w:val="000000"/>
                <w:lang w:eastAsia="en-AU"/>
              </w:rPr>
              <w:t>current liability</w:t>
            </w:r>
          </w:p>
        </w:tc>
        <w:tc>
          <w:tcPr>
            <w:tcW w:w="994"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24 377.9</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25 107.4</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24 502.4</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23 861.0</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23 149.1</w:t>
            </w:r>
          </w:p>
        </w:tc>
      </w:tr>
      <w:tr w:rsidR="00F87646" w:rsidRPr="00885307" w:rsidTr="00885307">
        <w:trPr>
          <w:gridAfter w:val="1"/>
          <w:wAfter w:w="8" w:type="dxa"/>
        </w:trPr>
        <w:tc>
          <w:tcPr>
            <w:tcW w:w="2810" w:type="dxa"/>
            <w:tcBorders>
              <w:top w:val="single" w:sz="12"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superannuation liability</w:t>
            </w:r>
          </w:p>
        </w:tc>
        <w:tc>
          <w:tcPr>
            <w:tcW w:w="994"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25 377.9</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26 107.4</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25 635.8</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24 997.4</w:t>
            </w:r>
          </w:p>
        </w:tc>
        <w:tc>
          <w:tcPr>
            <w:tcW w:w="993" w:type="dxa"/>
            <w:gridSpan w:val="2"/>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24 313.9</w:t>
            </w:r>
          </w:p>
        </w:tc>
      </w:tr>
    </w:tbl>
    <w:p w:rsidR="00F87646" w:rsidRDefault="00F87646" w:rsidP="0082769B">
      <w:pPr>
        <w:pStyle w:val="Notes"/>
      </w:pPr>
      <w:r>
        <w:t>Notes:</w:t>
      </w:r>
    </w:p>
    <w:p w:rsidR="00F87646" w:rsidRDefault="00F87646" w:rsidP="0082769B">
      <w:pPr>
        <w:pStyle w:val="Notes"/>
      </w:pPr>
      <w:r>
        <w:t>(a)</w:t>
      </w:r>
      <w:r>
        <w:tab/>
        <w:t>From 1 April 2014, Emergency Services and State Super includes the former Parliamentary Contributory Superannuation Fund. This change is reflected in the revised budget and forward estimates.</w:t>
      </w:r>
    </w:p>
    <w:p w:rsidR="00F87646" w:rsidRDefault="00F87646" w:rsidP="0082769B">
      <w:pPr>
        <w:pStyle w:val="Notes"/>
      </w:pPr>
      <w:r>
        <w:t>(b)</w:t>
      </w:r>
      <w:r>
        <w:tab/>
        <w:t>Tax liability represents the present value of future tax payments on investment income generated by superannuation assets plus the present value of future tax payments on expected future employer contributions.</w:t>
      </w:r>
    </w:p>
    <w:p w:rsidR="00F87646" w:rsidRDefault="00F87646" w:rsidP="001812D1">
      <w:pPr>
        <w:pStyle w:val="Notes"/>
      </w:pPr>
      <w:r>
        <w:t>(c)</w:t>
      </w:r>
      <w:r>
        <w:tab/>
        <w:t xml:space="preserve">For </w:t>
      </w:r>
      <w:r w:rsidRPr="008D1D3E">
        <w:t>the 2014</w:t>
      </w:r>
      <w:r>
        <w:noBreakHyphen/>
      </w:r>
      <w:r w:rsidRPr="008D1D3E">
        <w:t>15 budget, other funds included</w:t>
      </w:r>
      <w:r>
        <w:t xml:space="preserve"> constitutionally protected schemes, the Parliamentary Contributory Superannuation Fund and the State’s share of liabilities of the Defined Benefit Scheme of the Health Super Fund. For the Revised Budget and forward estimates, other funds includes constitutionally protected schemes and the Defined Benefit Scheme of the Health Super Fund.</w:t>
      </w:r>
    </w:p>
    <w:p w:rsidR="00F87646" w:rsidRPr="00A66864" w:rsidRDefault="00F87646" w:rsidP="00A66864"/>
    <w:p w:rsidR="00F87646" w:rsidRDefault="00F87646">
      <w:pPr>
        <w:spacing w:after="0"/>
        <w:rPr>
          <w:rFonts w:ascii="Calibri" w:hAnsi="Calibri"/>
          <w:b/>
          <w:kern w:val="28"/>
          <w:sz w:val="26"/>
          <w:szCs w:val="22"/>
        </w:rPr>
      </w:pPr>
      <w:r>
        <w:br w:type="page"/>
      </w:r>
    </w:p>
    <w:p w:rsidR="00F87646" w:rsidRDefault="00F87646" w:rsidP="005E2118">
      <w:pPr>
        <w:pStyle w:val="Heading2Notes"/>
      </w:pPr>
      <w:bookmarkStart w:id="44" w:name="_Toc403141612"/>
      <w:r w:rsidRPr="00B56B1C">
        <w:lastRenderedPageBreak/>
        <w:t>Note 8:</w:t>
      </w:r>
      <w:r w:rsidRPr="00B56B1C">
        <w:tab/>
        <w:t>Depreciation</w:t>
      </w:r>
      <w:bookmarkEnd w:id="43"/>
      <w:bookmarkEnd w:id="44"/>
      <w:r w:rsidRPr="00B56B1C">
        <w:t xml:space="preserve"> </w:t>
      </w:r>
    </w:p>
    <w:p w:rsidR="00F87646" w:rsidRPr="00885307" w:rsidRDefault="00F87646" w:rsidP="00885307">
      <w:pPr>
        <w:pStyle w:val="million"/>
      </w:pPr>
      <w:bookmarkStart w:id="45" w:name="_Toc373751815"/>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Buildings </w:t>
            </w:r>
            <w:r w:rsidRPr="00885307">
              <w:rPr>
                <w:rFonts w:eastAsiaTheme="minorEastAsia"/>
                <w:color w:val="000000"/>
                <w:vertAlign w:val="superscript"/>
                <w:lang w:eastAsia="en-AU"/>
              </w:rPr>
              <w:t>(a)</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1 026.4</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979.6</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987.3</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1 080.8</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1 105.1</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Leasehold buildings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107.4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139.1</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Infrastructure systems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33.0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Plant, equipment and vehicles</w:t>
            </w:r>
            <w:r w:rsidRPr="00885307">
              <w:rPr>
                <w:rFonts w:eastAsiaTheme="minorEastAsia"/>
                <w:color w:val="000000"/>
                <w:vertAlign w:val="superscript"/>
                <w:lang w:eastAsia="en-AU"/>
              </w:rPr>
              <w:t xml:space="preserve"> (a)</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657.6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648.6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659.0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687.8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Road and road networks</w:t>
            </w:r>
            <w:r w:rsidRPr="00885307">
              <w:rPr>
                <w:rFonts w:eastAsiaTheme="minorEastAsia"/>
                <w:color w:val="000000"/>
                <w:vertAlign w:val="superscript"/>
                <w:lang w:eastAsia="en-AU"/>
              </w:rPr>
              <w:t xml:space="preserve"> (a)</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588.4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590.8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666.8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746.0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863.4</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Cultural assets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Intangible produced assets </w:t>
            </w:r>
            <w:r w:rsidRPr="00885307">
              <w:rPr>
                <w:rFonts w:eastAsiaTheme="minorEastAsia"/>
                <w:color w:val="000000"/>
                <w:vertAlign w:val="superscript"/>
                <w:lang w:eastAsia="en-AU"/>
              </w:rPr>
              <w:t>(b)</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65.6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76.1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94.5</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depreciation</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2 496.0</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2 454.9</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2 544.4</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2 726.8</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2 947.9</w:t>
            </w:r>
          </w:p>
        </w:tc>
      </w:tr>
    </w:tbl>
    <w:p w:rsidR="00F87646" w:rsidRDefault="00F87646" w:rsidP="009452C3">
      <w:pPr>
        <w:pStyle w:val="Notes"/>
      </w:pPr>
      <w:r>
        <w:t>Notes:</w:t>
      </w:r>
    </w:p>
    <w:p w:rsidR="00F87646" w:rsidRDefault="00F87646" w:rsidP="009452C3">
      <w:pPr>
        <w:pStyle w:val="Notes"/>
      </w:pPr>
      <w:r>
        <w:t>(a)</w:t>
      </w:r>
      <w:r>
        <w:tab/>
        <w:t>Includes estimated depreciation on amounts not yet allocated to projects in 2014</w:t>
      </w:r>
      <w:r>
        <w:noBreakHyphen/>
        <w:t>15 to 2017</w:t>
      </w:r>
      <w:r>
        <w:noBreakHyphen/>
        <w:t>18.</w:t>
      </w:r>
    </w:p>
    <w:p w:rsidR="00F87646" w:rsidRDefault="00F87646" w:rsidP="009452C3">
      <w:pPr>
        <w:pStyle w:val="Notes"/>
      </w:pPr>
      <w:r>
        <w:t>(b)</w:t>
      </w:r>
      <w:r>
        <w:tab/>
        <w:t>Amortisation of intangible non</w:t>
      </w:r>
      <w:r>
        <w:noBreakHyphen/>
        <w:t>produced assets is included under ‘other gains/(losses) from other economic flows included in net results’.</w:t>
      </w:r>
    </w:p>
    <w:p w:rsidR="00F87646" w:rsidRPr="003565CD" w:rsidRDefault="00F87646" w:rsidP="00A66864">
      <w:pPr>
        <w:pStyle w:val="Source"/>
      </w:pPr>
    </w:p>
    <w:p w:rsidR="00F87646" w:rsidRDefault="00F87646" w:rsidP="005E2118">
      <w:pPr>
        <w:pStyle w:val="Heading2Notes"/>
      </w:pPr>
      <w:bookmarkStart w:id="46" w:name="_Toc403141613"/>
      <w:r w:rsidRPr="00B56B1C">
        <w:t>Note 9:</w:t>
      </w:r>
      <w:r w:rsidRPr="00B56B1C">
        <w:tab/>
        <w:t>Interest expense</w:t>
      </w:r>
      <w:bookmarkEnd w:id="45"/>
      <w:bookmarkEnd w:id="46"/>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Interest on long</w:t>
            </w:r>
            <w:r>
              <w:rPr>
                <w:rFonts w:eastAsiaTheme="minorEastAsia"/>
                <w:color w:val="000000"/>
                <w:lang w:eastAsia="en-AU"/>
              </w:rPr>
              <w:noBreakHyphen/>
            </w:r>
            <w:r w:rsidRPr="00885307">
              <w:rPr>
                <w:rFonts w:eastAsiaTheme="minorEastAsia"/>
                <w:color w:val="000000"/>
                <w:lang w:eastAsia="en-AU"/>
              </w:rPr>
              <w:t>term interest</w:t>
            </w:r>
            <w:r>
              <w:rPr>
                <w:rFonts w:eastAsiaTheme="minorEastAsia"/>
                <w:color w:val="000000"/>
                <w:lang w:eastAsia="en-AU"/>
              </w:rPr>
              <w:noBreakHyphen/>
            </w:r>
            <w:r w:rsidRPr="00885307">
              <w:rPr>
                <w:rFonts w:eastAsiaTheme="minorEastAsia"/>
                <w:color w:val="000000"/>
                <w:lang w:eastAsia="en-AU"/>
              </w:rPr>
              <w:t>bearing liabilities</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1 334.2</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1 268.8</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1 177.0</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1 059.4</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1 058.3</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Interest on short</w:t>
            </w:r>
            <w:r>
              <w:rPr>
                <w:rFonts w:eastAsiaTheme="minorEastAsia"/>
                <w:color w:val="000000"/>
                <w:lang w:eastAsia="en-AU"/>
              </w:rPr>
              <w:noBreakHyphen/>
            </w:r>
            <w:r w:rsidRPr="00885307">
              <w:rPr>
                <w:rFonts w:eastAsiaTheme="minorEastAsia"/>
                <w:color w:val="000000"/>
                <w:lang w:eastAsia="en-AU"/>
              </w:rPr>
              <w:t>term interest</w:t>
            </w:r>
            <w:r>
              <w:rPr>
                <w:rFonts w:eastAsiaTheme="minorEastAsia"/>
                <w:color w:val="000000"/>
                <w:lang w:eastAsia="en-AU"/>
              </w:rPr>
              <w:noBreakHyphen/>
            </w:r>
            <w:r w:rsidRPr="00885307">
              <w:rPr>
                <w:rFonts w:eastAsiaTheme="minorEastAsia"/>
                <w:color w:val="000000"/>
                <w:lang w:eastAsia="en-AU"/>
              </w:rPr>
              <w:t>bearing liabilities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48.8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48.1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47.2</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44.1</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Finance charges on finance leases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770.6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757.8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750.3</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842.0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880.9</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Discount interest on payables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38.0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36.8</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interest expense</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2 195.8</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2 116.3</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2 013.5</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1 985.4</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2 020.1</w:t>
            </w:r>
          </w:p>
        </w:tc>
      </w:tr>
    </w:tbl>
    <w:p w:rsidR="00F87646" w:rsidRPr="003565CD" w:rsidRDefault="00F87646" w:rsidP="009452C3">
      <w:pPr>
        <w:pStyle w:val="Source"/>
      </w:pPr>
    </w:p>
    <w:p w:rsidR="00F87646" w:rsidRDefault="00F87646" w:rsidP="005E2118">
      <w:pPr>
        <w:spacing w:after="0"/>
        <w:rPr>
          <w:rFonts w:ascii="Calibri" w:hAnsi="Calibri"/>
          <w:b/>
        </w:rPr>
      </w:pPr>
      <w:bookmarkStart w:id="47" w:name="_Toc373751816"/>
    </w:p>
    <w:p w:rsidR="00F87646" w:rsidRDefault="00F87646">
      <w:pPr>
        <w:spacing w:after="0"/>
        <w:rPr>
          <w:rFonts w:ascii="Calibri" w:hAnsi="Calibri"/>
          <w:b/>
          <w:kern w:val="28"/>
          <w:sz w:val="26"/>
          <w:szCs w:val="22"/>
        </w:rPr>
      </w:pPr>
      <w:r>
        <w:br w:type="page"/>
      </w:r>
    </w:p>
    <w:p w:rsidR="00F87646" w:rsidRPr="00B56B1C" w:rsidRDefault="00F87646" w:rsidP="005E2118">
      <w:pPr>
        <w:pStyle w:val="Heading2Notes"/>
      </w:pPr>
      <w:bookmarkStart w:id="48" w:name="_Toc403141614"/>
      <w:r w:rsidRPr="00B56B1C">
        <w:lastRenderedPageBreak/>
        <w:t>Note 10:</w:t>
      </w:r>
      <w:r w:rsidRPr="00B56B1C">
        <w:tab/>
        <w:t>Grants and other transfers</w:t>
      </w:r>
      <w:bookmarkEnd w:id="47"/>
      <w:bookmarkEnd w:id="48"/>
    </w:p>
    <w:p w:rsidR="00F87646" w:rsidRPr="00885307" w:rsidRDefault="00F87646" w:rsidP="00885307">
      <w:pPr>
        <w:pStyle w:val="million"/>
      </w:pPr>
      <w:bookmarkStart w:id="49" w:name="_Toc373751817"/>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0"/>
        <w:gridCol w:w="18"/>
        <w:gridCol w:w="522"/>
        <w:gridCol w:w="292"/>
        <w:gridCol w:w="504"/>
        <w:gridCol w:w="418"/>
        <w:gridCol w:w="378"/>
        <w:gridCol w:w="545"/>
        <w:gridCol w:w="251"/>
        <w:gridCol w:w="671"/>
        <w:gridCol w:w="125"/>
        <w:gridCol w:w="798"/>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gridSpan w:val="4"/>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2"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23"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22"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23" w:type="dxa"/>
            <w:gridSpan w:val="2"/>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gridSpan w:val="4"/>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gridSpan w:val="2"/>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794" w:type="dxa"/>
            <w:gridSpan w:val="4"/>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Current grants and other transfers expense</w:t>
            </w:r>
          </w:p>
        </w:tc>
        <w:tc>
          <w:tcPr>
            <w:tcW w:w="796"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798"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Commonwealth Government</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189.9</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195.0</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210.6</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203.5</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193.1</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Local government (including grants for on</w:t>
            </w:r>
            <w:r>
              <w:rPr>
                <w:rFonts w:eastAsiaTheme="minorEastAsia"/>
                <w:color w:val="000000"/>
                <w:lang w:eastAsia="en-AU"/>
              </w:rPr>
              <w:noBreakHyphen/>
            </w:r>
            <w:r w:rsidRPr="00885307">
              <w:rPr>
                <w:rFonts w:eastAsiaTheme="minorEastAsia"/>
                <w:color w:val="000000"/>
                <w:lang w:eastAsia="en-AU"/>
              </w:rPr>
              <w:t>passing)</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892.0</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901.5</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783.4</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775.5</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780.4</w:t>
            </w:r>
          </w:p>
        </w:tc>
      </w:tr>
      <w:tr w:rsidR="00F87646" w:rsidRPr="00885307" w:rsidTr="00885307">
        <w:tc>
          <w:tcPr>
            <w:tcW w:w="316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Private sector and not</w:t>
            </w:r>
            <w:r>
              <w:rPr>
                <w:rFonts w:eastAsiaTheme="minorEastAsia"/>
                <w:color w:val="000000"/>
                <w:lang w:eastAsia="en-AU"/>
              </w:rPr>
              <w:noBreakHyphen/>
            </w:r>
            <w:r w:rsidRPr="00885307">
              <w:rPr>
                <w:rFonts w:eastAsiaTheme="minorEastAsia"/>
                <w:color w:val="000000"/>
                <w:lang w:eastAsia="en-AU"/>
              </w:rPr>
              <w:t>for</w:t>
            </w:r>
            <w:r>
              <w:rPr>
                <w:rFonts w:eastAsiaTheme="minorEastAsia"/>
                <w:color w:val="000000"/>
                <w:lang w:eastAsia="en-AU"/>
              </w:rPr>
              <w:noBreakHyphen/>
            </w:r>
            <w:r w:rsidRPr="00885307">
              <w:rPr>
                <w:rFonts w:eastAsiaTheme="minorEastAsia"/>
                <w:color w:val="000000"/>
                <w:lang w:eastAsia="en-AU"/>
              </w:rPr>
              <w:t>profit for on</w:t>
            </w:r>
            <w:r>
              <w:rPr>
                <w:rFonts w:eastAsiaTheme="minorEastAsia"/>
                <w:color w:val="000000"/>
                <w:lang w:eastAsia="en-AU"/>
              </w:rPr>
              <w:noBreakHyphen/>
            </w:r>
            <w:r w:rsidRPr="00885307">
              <w:rPr>
                <w:rFonts w:eastAsiaTheme="minorEastAsia"/>
                <w:color w:val="000000"/>
                <w:lang w:eastAsia="en-AU"/>
              </w:rPr>
              <w:t>passing</w:t>
            </w:r>
          </w:p>
        </w:tc>
        <w:tc>
          <w:tcPr>
            <w:tcW w:w="92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2 566.3</w:t>
            </w:r>
          </w:p>
        </w:tc>
        <w:tc>
          <w:tcPr>
            <w:tcW w:w="922"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2 579.4</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2 768.6</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2 970.3</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3 134.8</w:t>
            </w:r>
          </w:p>
        </w:tc>
      </w:tr>
      <w:tr w:rsidR="00F87646" w:rsidRPr="00885307" w:rsidTr="00885307">
        <w:tc>
          <w:tcPr>
            <w:tcW w:w="3272" w:type="dxa"/>
            <w:gridSpan w:val="3"/>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private sector and not</w:t>
            </w:r>
            <w:r>
              <w:rPr>
                <w:rFonts w:eastAsiaTheme="minorEastAsia"/>
                <w:color w:val="000000"/>
                <w:lang w:eastAsia="en-AU"/>
              </w:rPr>
              <w:noBreakHyphen/>
            </w:r>
            <w:r w:rsidRPr="00885307">
              <w:rPr>
                <w:rFonts w:eastAsiaTheme="minorEastAsia"/>
                <w:color w:val="000000"/>
                <w:lang w:eastAsia="en-AU"/>
              </w:rPr>
              <w:t>for</w:t>
            </w:r>
            <w:r>
              <w:rPr>
                <w:rFonts w:eastAsiaTheme="minorEastAsia"/>
                <w:color w:val="000000"/>
                <w:lang w:eastAsia="en-AU"/>
              </w:rPr>
              <w:noBreakHyphen/>
            </w:r>
            <w:r w:rsidRPr="00885307">
              <w:rPr>
                <w:rFonts w:eastAsiaTheme="minorEastAsia"/>
                <w:color w:val="000000"/>
                <w:lang w:eastAsia="en-AU"/>
              </w:rPr>
              <w:t>profit</w:t>
            </w:r>
          </w:p>
        </w:tc>
        <w:tc>
          <w:tcPr>
            <w:tcW w:w="81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1 612.7</w:t>
            </w:r>
          </w:p>
        </w:tc>
        <w:tc>
          <w:tcPr>
            <w:tcW w:w="922"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1 452.8</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1 734.6</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1 963.3</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2 088.5</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Grants within the Victorian Government</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2 920.6</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2 990.7</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2 968.6</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2 945.2</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2 818.7</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Grants to other state governments</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10.7</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13.5</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12.3</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12.3</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12.3</w:t>
            </w:r>
          </w:p>
        </w:tc>
      </w:tr>
      <w:tr w:rsidR="00F87646" w:rsidRPr="00885307" w:rsidTr="00885307">
        <w:tc>
          <w:tcPr>
            <w:tcW w:w="316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current grants and other transfers</w:t>
            </w:r>
          </w:p>
        </w:tc>
        <w:tc>
          <w:tcPr>
            <w:tcW w:w="922" w:type="dxa"/>
            <w:gridSpan w:val="4"/>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8 192.3</w:t>
            </w:r>
          </w:p>
        </w:tc>
        <w:tc>
          <w:tcPr>
            <w:tcW w:w="922"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8 133.0</w:t>
            </w:r>
          </w:p>
        </w:tc>
        <w:tc>
          <w:tcPr>
            <w:tcW w:w="92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8 478.2</w:t>
            </w:r>
          </w:p>
        </w:tc>
        <w:tc>
          <w:tcPr>
            <w:tcW w:w="922"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8 870.1</w:t>
            </w:r>
          </w:p>
        </w:tc>
        <w:tc>
          <w:tcPr>
            <w:tcW w:w="92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9 027.8</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Capital grants expense</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Commonwealth Government</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Local government (including grants for on</w:t>
            </w:r>
            <w:r>
              <w:rPr>
                <w:rFonts w:eastAsiaTheme="minorEastAsia"/>
                <w:color w:val="000000"/>
                <w:lang w:eastAsia="en-AU"/>
              </w:rPr>
              <w:noBreakHyphen/>
            </w:r>
            <w:r w:rsidRPr="00885307">
              <w:rPr>
                <w:rFonts w:eastAsiaTheme="minorEastAsia"/>
                <w:color w:val="000000"/>
                <w:lang w:eastAsia="en-AU"/>
              </w:rPr>
              <w:t>passing)</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11.1</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12.6</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Private sector and not</w:t>
            </w:r>
            <w:r>
              <w:rPr>
                <w:rFonts w:eastAsiaTheme="minorEastAsia"/>
                <w:color w:val="000000"/>
                <w:lang w:eastAsia="en-AU"/>
              </w:rPr>
              <w:noBreakHyphen/>
            </w:r>
            <w:r w:rsidRPr="00885307">
              <w:rPr>
                <w:rFonts w:eastAsiaTheme="minorEastAsia"/>
                <w:color w:val="000000"/>
                <w:lang w:eastAsia="en-AU"/>
              </w:rPr>
              <w:t>for</w:t>
            </w:r>
            <w:r>
              <w:rPr>
                <w:rFonts w:eastAsiaTheme="minorEastAsia"/>
                <w:color w:val="000000"/>
                <w:lang w:eastAsia="en-AU"/>
              </w:rPr>
              <w:noBreakHyphen/>
            </w:r>
            <w:r w:rsidRPr="00885307">
              <w:rPr>
                <w:rFonts w:eastAsiaTheme="minorEastAsia"/>
                <w:color w:val="000000"/>
                <w:lang w:eastAsia="en-AU"/>
              </w:rPr>
              <w:t>profit on</w:t>
            </w:r>
            <w:r>
              <w:rPr>
                <w:rFonts w:eastAsiaTheme="minorEastAsia"/>
                <w:color w:val="000000"/>
                <w:lang w:eastAsia="en-AU"/>
              </w:rPr>
              <w:noBreakHyphen/>
            </w:r>
            <w:r w:rsidRPr="00885307">
              <w:rPr>
                <w:rFonts w:eastAsiaTheme="minorEastAsia"/>
                <w:color w:val="000000"/>
                <w:lang w:eastAsia="en-AU"/>
              </w:rPr>
              <w:t>passing</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47.9</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52.1</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28.9</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19.9</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18.8</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private sector and not</w:t>
            </w:r>
            <w:r>
              <w:rPr>
                <w:rFonts w:eastAsiaTheme="minorEastAsia"/>
                <w:color w:val="000000"/>
                <w:lang w:eastAsia="en-AU"/>
              </w:rPr>
              <w:noBreakHyphen/>
            </w:r>
            <w:r w:rsidRPr="00885307">
              <w:rPr>
                <w:rFonts w:eastAsiaTheme="minorEastAsia"/>
                <w:color w:val="000000"/>
                <w:lang w:eastAsia="en-AU"/>
              </w:rPr>
              <w:t>for</w:t>
            </w:r>
            <w:r>
              <w:rPr>
                <w:rFonts w:eastAsiaTheme="minorEastAsia"/>
                <w:color w:val="000000"/>
                <w:lang w:eastAsia="en-AU"/>
              </w:rPr>
              <w:noBreakHyphen/>
            </w:r>
            <w:r w:rsidRPr="00885307">
              <w:rPr>
                <w:rFonts w:eastAsiaTheme="minorEastAsia"/>
                <w:color w:val="000000"/>
                <w:lang w:eastAsia="en-AU"/>
              </w:rPr>
              <w:t>profit</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Grants within the Victorian Government</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grants</w:t>
            </w:r>
          </w:p>
        </w:tc>
        <w:tc>
          <w:tcPr>
            <w:tcW w:w="922" w:type="dxa"/>
            <w:gridSpan w:val="4"/>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35.4</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35.4</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2"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923"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r>
      <w:tr w:rsidR="00F87646" w:rsidRPr="00885307" w:rsidTr="00885307">
        <w:tc>
          <w:tcPr>
            <w:tcW w:w="3254" w:type="dxa"/>
            <w:gridSpan w:val="2"/>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capital grants and other transfers</w:t>
            </w:r>
          </w:p>
        </w:tc>
        <w:tc>
          <w:tcPr>
            <w:tcW w:w="832" w:type="dxa"/>
            <w:gridSpan w:val="3"/>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102.0</w:t>
            </w:r>
          </w:p>
        </w:tc>
        <w:tc>
          <w:tcPr>
            <w:tcW w:w="922"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104.8</w:t>
            </w:r>
          </w:p>
        </w:tc>
        <w:tc>
          <w:tcPr>
            <w:tcW w:w="92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33.6</w:t>
            </w:r>
          </w:p>
        </w:tc>
        <w:tc>
          <w:tcPr>
            <w:tcW w:w="922"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30.0</w:t>
            </w:r>
          </w:p>
        </w:tc>
        <w:tc>
          <w:tcPr>
            <w:tcW w:w="923" w:type="dxa"/>
            <w:gridSpan w:val="2"/>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28.9</w:t>
            </w:r>
          </w:p>
        </w:tc>
      </w:tr>
      <w:tr w:rsidR="00F87646" w:rsidRPr="00885307" w:rsidTr="00885307">
        <w:tc>
          <w:tcPr>
            <w:tcW w:w="3164" w:type="dxa"/>
            <w:tcBorders>
              <w:top w:val="nil"/>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grants and other transfers</w:t>
            </w:r>
          </w:p>
        </w:tc>
        <w:tc>
          <w:tcPr>
            <w:tcW w:w="922" w:type="dxa"/>
            <w:gridSpan w:val="4"/>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8 294.3</w:t>
            </w:r>
          </w:p>
        </w:tc>
        <w:tc>
          <w:tcPr>
            <w:tcW w:w="922"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8 237.8</w:t>
            </w:r>
          </w:p>
        </w:tc>
        <w:tc>
          <w:tcPr>
            <w:tcW w:w="92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8 511.7</w:t>
            </w:r>
          </w:p>
        </w:tc>
        <w:tc>
          <w:tcPr>
            <w:tcW w:w="922"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8 900.1</w:t>
            </w:r>
          </w:p>
        </w:tc>
        <w:tc>
          <w:tcPr>
            <w:tcW w:w="923" w:type="dxa"/>
            <w:gridSpan w:val="2"/>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9 056.7</w:t>
            </w:r>
          </w:p>
        </w:tc>
      </w:tr>
    </w:tbl>
    <w:p w:rsidR="00F87646" w:rsidRDefault="00F87646" w:rsidP="009452C3">
      <w:pPr>
        <w:pStyle w:val="Source"/>
      </w:pPr>
    </w:p>
    <w:p w:rsidR="00F87646" w:rsidRPr="00A74BBC" w:rsidRDefault="00F87646" w:rsidP="00A74BBC"/>
    <w:p w:rsidR="00F87646" w:rsidRDefault="00F87646" w:rsidP="005E2118">
      <w:pPr>
        <w:pStyle w:val="Heading2Notes"/>
      </w:pPr>
      <w:bookmarkStart w:id="50" w:name="_Toc403141615"/>
      <w:r w:rsidRPr="00B56B1C">
        <w:t>Note 11:</w:t>
      </w:r>
      <w:r w:rsidRPr="00B56B1C">
        <w:tab/>
        <w:t>Other operating expenses</w:t>
      </w:r>
      <w:bookmarkEnd w:id="49"/>
      <w:bookmarkEnd w:id="50"/>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Purchase of supplies and consumables</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7 477.8</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7 789.5</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7 446.4</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7 727.9</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8 356.9</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Cost of goods sold</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88.6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121.1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Finance expenses and fees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21.2</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Purchase of services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7 904.9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7 956.1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7 387.7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7 438.2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7 488.3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Maintenance</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827.1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819.7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794.4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805.4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798.8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Operating lease payments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252.7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249.9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233.7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236.3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235.0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w:t>
            </w:r>
          </w:p>
        </w:tc>
        <w:tc>
          <w:tcPr>
            <w:tcW w:w="993" w:type="dxa"/>
            <w:tcBorders>
              <w:top w:val="nil"/>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687.1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707.1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695.9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731.2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771.5</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Total other operating expenses </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17 259.2</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17 664.8</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16 600.5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16 981.9</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17 694.1</w:t>
            </w:r>
          </w:p>
        </w:tc>
      </w:tr>
    </w:tbl>
    <w:p w:rsidR="00F87646" w:rsidRPr="00B56B1C" w:rsidRDefault="00F87646" w:rsidP="001812D1">
      <w:pPr>
        <w:pStyle w:val="Heading2Notes"/>
      </w:pPr>
      <w:bookmarkStart w:id="51" w:name="_Toc373751818"/>
      <w:bookmarkStart w:id="52" w:name="_Toc403141616"/>
      <w:r w:rsidRPr="00B56B1C">
        <w:lastRenderedPageBreak/>
        <w:t>Note 12:</w:t>
      </w:r>
      <w:r w:rsidRPr="00B56B1C">
        <w:tab/>
        <w:t>Total expenses by government purpose and by department</w:t>
      </w:r>
      <w:bookmarkEnd w:id="51"/>
      <w:bookmarkEnd w:id="52"/>
    </w:p>
    <w:p w:rsidR="00F87646" w:rsidRDefault="00F87646" w:rsidP="005E2118">
      <w:pPr>
        <w:pStyle w:val="Heading5"/>
        <w:keepNext w:val="0"/>
        <w:rPr>
          <w:vertAlign w:val="superscript"/>
        </w:rPr>
      </w:pPr>
      <w:r>
        <w:t>(a</w:t>
      </w:r>
      <w:r w:rsidRPr="00B56B1C">
        <w:t>)</w:t>
      </w:r>
      <w:r w:rsidRPr="00B56B1C">
        <w:tab/>
      </w:r>
      <w:r>
        <w:t>Expenses by government purpose classification</w:t>
      </w:r>
      <w:r w:rsidRPr="00FE7025">
        <w:rPr>
          <w:vertAlign w:val="superscript"/>
        </w:rPr>
        <w:t>(a)</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Expenses</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General public services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891.4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806.4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904.3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830.0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819.5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Public order and safety </w:t>
            </w:r>
            <w:r w:rsidRPr="00885307">
              <w:rPr>
                <w:rFonts w:eastAsiaTheme="minorEastAsia"/>
                <w:color w:val="000000"/>
                <w:vertAlign w:val="superscript"/>
                <w:lang w:eastAsia="en-AU"/>
              </w:rPr>
              <w:t>(b)</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5 913.2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6 037.5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5 879.9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5 963.0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6 249.5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Education</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12 943.6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13 198.4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13 302.9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13 567.2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13 939.7</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Health</w:t>
            </w:r>
            <w:r w:rsidRPr="00885307">
              <w:rPr>
                <w:rFonts w:eastAsiaTheme="minorEastAsia"/>
                <w:color w:val="000000"/>
                <w:vertAlign w:val="superscript"/>
                <w:lang w:eastAsia="en-AU"/>
              </w:rPr>
              <w:t xml:space="preserve"> (c)</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14 437.1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14 515.5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14 384.8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14 778.9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14 934.9</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Social security and welfare</w:t>
            </w:r>
            <w:r w:rsidRPr="00885307">
              <w:rPr>
                <w:rFonts w:eastAsiaTheme="minorEastAsia"/>
                <w:color w:val="000000"/>
                <w:vertAlign w:val="superscript"/>
                <w:lang w:eastAsia="en-AU"/>
              </w:rPr>
              <w:t xml:space="preserve"> (c)</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4 048.6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4 129.3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3 746.2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3 806.5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3 894.9</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Housing and community amenities </w:t>
            </w:r>
            <w:r w:rsidRPr="00885307">
              <w:rPr>
                <w:rFonts w:eastAsiaTheme="minorEastAsia"/>
                <w:color w:val="000000"/>
                <w:vertAlign w:val="superscript"/>
                <w:lang w:eastAsia="en-AU"/>
              </w:rPr>
              <w:t>(d)</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3 022.2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3 012.9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2 792.1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2 725.8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2 620.3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Recreation and culture</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653.8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675.8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625.6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612.5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598.5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Fuel and energy</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183.3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167.0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204.7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196.3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Agriculture, forestry, fishing, and hunting</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362.1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463.8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356.6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352.6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347.6</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Transport and communications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5 839.9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5 914.4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6 037.2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6 067.9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6 080.0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economic affairs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1 173.4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1 348.2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922.2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863.1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791.3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Other purposes </w:t>
            </w:r>
            <w:r w:rsidRPr="00885307">
              <w:rPr>
                <w:rFonts w:eastAsiaTheme="minorEastAsia"/>
                <w:color w:val="000000"/>
                <w:vertAlign w:val="superscript"/>
                <w:lang w:eastAsia="en-AU"/>
              </w:rPr>
              <w:t>(e)</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2 106.7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1 650.0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3 031.2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3 902.5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5 143.3</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 xml:space="preserve">Total expenses by government purpose classification </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51 575.1</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51 919.1</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52 187.8</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53 666.5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55 559.4</w:t>
            </w:r>
          </w:p>
        </w:tc>
      </w:tr>
    </w:tbl>
    <w:p w:rsidR="00F87646" w:rsidRDefault="00F87646" w:rsidP="0063082E">
      <w:pPr>
        <w:pStyle w:val="Notes"/>
      </w:pPr>
      <w:r>
        <w:t>Notes:</w:t>
      </w:r>
    </w:p>
    <w:p w:rsidR="00F87646" w:rsidRDefault="00F87646" w:rsidP="0063082E">
      <w:pPr>
        <w:pStyle w:val="Notes"/>
      </w:pPr>
      <w:r>
        <w:t>(a)</w:t>
      </w:r>
      <w:r>
        <w:tab/>
        <w:t xml:space="preserve">Note 41 of the </w:t>
      </w:r>
      <w:r w:rsidRPr="00CB4D04">
        <w:rPr>
          <w:i w:val="0"/>
        </w:rPr>
        <w:t>2013</w:t>
      </w:r>
      <w:r>
        <w:rPr>
          <w:i w:val="0"/>
        </w:rPr>
        <w:noBreakHyphen/>
      </w:r>
      <w:r w:rsidRPr="00CB4D04">
        <w:rPr>
          <w:i w:val="0"/>
        </w:rPr>
        <w:t>14 Financial Report</w:t>
      </w:r>
      <w:r>
        <w:t xml:space="preserve"> for the State of Victoria provides definitions and descriptions of government purpose classifications.</w:t>
      </w:r>
    </w:p>
    <w:p w:rsidR="00F87646" w:rsidRDefault="00F87646" w:rsidP="0063082E">
      <w:pPr>
        <w:pStyle w:val="Notes"/>
      </w:pPr>
      <w:r>
        <w:t>(b)</w:t>
      </w:r>
      <w:r>
        <w:tab/>
        <w:t>The downward movement in 2015</w:t>
      </w:r>
      <w:r>
        <w:noBreakHyphen/>
        <w:t>16 relates to funding carried over from 2013</w:t>
      </w:r>
      <w:r>
        <w:noBreakHyphen/>
        <w:t>14 into 2014</w:t>
      </w:r>
      <w:r>
        <w:noBreakHyphen/>
        <w:t>15, sunsetting initiatives and movements in funding across years for various initiatives.</w:t>
      </w:r>
    </w:p>
    <w:p w:rsidR="00F87646" w:rsidRDefault="00F87646" w:rsidP="0063082E">
      <w:pPr>
        <w:pStyle w:val="Notes"/>
      </w:pPr>
      <w:r>
        <w:t>(c)</w:t>
      </w:r>
      <w:r>
        <w:tab/>
        <w:t>From July 2015, the Commonwealth will be responsible for home support services for people aged over 65 years. Health expenditure is adjusted from 2015</w:t>
      </w:r>
      <w:r>
        <w:noBreakHyphen/>
        <w:t>16 to reflect this transfer. Movements in 2015</w:t>
      </w:r>
      <w:r>
        <w:noBreakHyphen/>
        <w:t>16 also reflects one</w:t>
      </w:r>
      <w:r>
        <w:noBreakHyphen/>
        <w:t>off funding for initiatives in 2014</w:t>
      </w:r>
      <w:r>
        <w:noBreakHyphen/>
        <w:t xml:space="preserve">15 that is not carried forward. </w:t>
      </w:r>
    </w:p>
    <w:p w:rsidR="00F87646" w:rsidRDefault="00F87646" w:rsidP="0063082E">
      <w:pPr>
        <w:pStyle w:val="Notes"/>
      </w:pPr>
      <w:r>
        <w:t>(d)</w:t>
      </w:r>
      <w:r>
        <w:tab/>
        <w:t>The downward movement into 2015</w:t>
      </w:r>
      <w:r>
        <w:noBreakHyphen/>
        <w:t>16 relates to sunsetting initiatives and movements in funding across years for various initiatives.</w:t>
      </w:r>
    </w:p>
    <w:p w:rsidR="00F87646" w:rsidRDefault="00F87646" w:rsidP="0063082E">
      <w:pPr>
        <w:pStyle w:val="Notes"/>
      </w:pPr>
      <w:r>
        <w:t>(e)</w:t>
      </w:r>
      <w:r>
        <w:tab/>
        <w:t>Other purposes include provision available to be allocated to specific departments and projects, future demand growth, departmental underspending and items not yet formalised at the time of publication.</w:t>
      </w:r>
    </w:p>
    <w:p w:rsidR="00F87646" w:rsidRPr="003565CD" w:rsidRDefault="00F87646" w:rsidP="0063082E">
      <w:pPr>
        <w:pStyle w:val="Notes"/>
      </w:pPr>
    </w:p>
    <w:p w:rsidR="00F87646" w:rsidRDefault="00F87646">
      <w:pPr>
        <w:spacing w:after="0"/>
        <w:rPr>
          <w:rFonts w:ascii="Calibri" w:hAnsi="Calibri"/>
          <w:b/>
        </w:rPr>
      </w:pPr>
      <w:r>
        <w:br w:type="page"/>
      </w:r>
    </w:p>
    <w:p w:rsidR="00F87646" w:rsidRDefault="00F87646" w:rsidP="001812D1">
      <w:pPr>
        <w:pStyle w:val="Heading2NotesContd"/>
      </w:pPr>
      <w:r w:rsidRPr="00B56B1C">
        <w:lastRenderedPageBreak/>
        <w:t>Note 12:</w:t>
      </w:r>
      <w:r w:rsidRPr="00B56B1C">
        <w:tab/>
        <w:t xml:space="preserve">Total expenses by government purpose and by department </w:t>
      </w:r>
      <w:r w:rsidRPr="001812D1">
        <w:rPr>
          <w:i/>
        </w:rPr>
        <w:t>(continued)</w:t>
      </w:r>
    </w:p>
    <w:p w:rsidR="00F87646" w:rsidRDefault="00F87646" w:rsidP="001812D1">
      <w:pPr>
        <w:pStyle w:val="Tableheading"/>
        <w:rPr>
          <w:vertAlign w:val="superscript"/>
        </w:rPr>
      </w:pPr>
      <w:r w:rsidRPr="00B56B1C">
        <w:t>(b)</w:t>
      </w:r>
      <w:r w:rsidRPr="00B56B1C">
        <w:tab/>
      </w:r>
      <w:r>
        <w:t>Total expenses by department</w:t>
      </w:r>
    </w:p>
    <w:p w:rsidR="00F87646" w:rsidRPr="00917E27" w:rsidRDefault="00F87646" w:rsidP="00917E2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63"/>
        <w:gridCol w:w="859"/>
        <w:gridCol w:w="922"/>
        <w:gridCol w:w="923"/>
        <w:gridCol w:w="922"/>
        <w:gridCol w:w="923"/>
      </w:tblGrid>
      <w:tr w:rsidR="00F87646" w:rsidRPr="00917E27" w:rsidTr="00917E27">
        <w:tc>
          <w:tcPr>
            <w:tcW w:w="3164" w:type="dxa"/>
            <w:tcBorders>
              <w:top w:val="single" w:sz="4" w:space="0" w:color="auto"/>
              <w:left w:val="single" w:sz="4" w:space="0" w:color="auto"/>
              <w:bottom w:val="nil"/>
              <w:right w:val="nil"/>
            </w:tcBorders>
            <w:shd w:val="clear" w:color="auto" w:fill="000000"/>
          </w:tcPr>
          <w:p w:rsidR="00F87646" w:rsidRPr="00917E27" w:rsidRDefault="00F87646" w:rsidP="00917E27">
            <w:pPr>
              <w:pStyle w:val="Tabletext"/>
              <w:rPr>
                <w:rFonts w:eastAsiaTheme="minorEastAsia"/>
                <w:lang w:eastAsia="en-AU"/>
              </w:rPr>
            </w:pPr>
            <w:r w:rsidRPr="00917E27">
              <w:rPr>
                <w:rFonts w:eastAsiaTheme="minorEastAsia"/>
                <w:lang w:eastAsia="en-AU"/>
              </w:rPr>
              <w:t xml:space="preserve">  </w:t>
            </w:r>
          </w:p>
        </w:tc>
        <w:tc>
          <w:tcPr>
            <w:tcW w:w="922" w:type="dxa"/>
            <w:gridSpan w:val="2"/>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2014</w:t>
            </w:r>
            <w:r>
              <w:rPr>
                <w:rFonts w:eastAsiaTheme="minorEastAsia"/>
                <w:lang w:eastAsia="en-AU"/>
              </w:rPr>
              <w:noBreakHyphen/>
            </w:r>
            <w:r w:rsidRPr="00917E27">
              <w:rPr>
                <w:rFonts w:eastAsiaTheme="minorEastAsia"/>
                <w:lang w:eastAsia="en-AU"/>
              </w:rPr>
              <w:t>15</w:t>
            </w:r>
          </w:p>
        </w:tc>
        <w:tc>
          <w:tcPr>
            <w:tcW w:w="922"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2014</w:t>
            </w:r>
            <w:r>
              <w:rPr>
                <w:rFonts w:eastAsiaTheme="minorEastAsia"/>
                <w:lang w:eastAsia="en-AU"/>
              </w:rPr>
              <w:noBreakHyphen/>
            </w:r>
            <w:r w:rsidRPr="00917E27">
              <w:rPr>
                <w:rFonts w:eastAsiaTheme="minorEastAsia"/>
                <w:lang w:eastAsia="en-AU"/>
              </w:rPr>
              <w:t>15</w:t>
            </w:r>
          </w:p>
        </w:tc>
        <w:tc>
          <w:tcPr>
            <w:tcW w:w="923"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2015</w:t>
            </w:r>
            <w:r>
              <w:rPr>
                <w:rFonts w:eastAsiaTheme="minorEastAsia"/>
                <w:lang w:eastAsia="en-AU"/>
              </w:rPr>
              <w:noBreakHyphen/>
            </w:r>
            <w:r w:rsidRPr="00917E27">
              <w:rPr>
                <w:rFonts w:eastAsiaTheme="minorEastAsia"/>
                <w:lang w:eastAsia="en-AU"/>
              </w:rPr>
              <w:t>16</w:t>
            </w:r>
          </w:p>
        </w:tc>
        <w:tc>
          <w:tcPr>
            <w:tcW w:w="922"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2016</w:t>
            </w:r>
            <w:r>
              <w:rPr>
                <w:rFonts w:eastAsiaTheme="minorEastAsia"/>
                <w:lang w:eastAsia="en-AU"/>
              </w:rPr>
              <w:noBreakHyphen/>
            </w:r>
            <w:r w:rsidRPr="00917E27">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2017</w:t>
            </w:r>
            <w:r>
              <w:rPr>
                <w:rFonts w:eastAsiaTheme="minorEastAsia"/>
                <w:lang w:eastAsia="en-AU"/>
              </w:rPr>
              <w:noBreakHyphen/>
            </w:r>
            <w:r w:rsidRPr="00917E27">
              <w:rPr>
                <w:rFonts w:eastAsiaTheme="minorEastAsia"/>
                <w:lang w:eastAsia="en-AU"/>
              </w:rPr>
              <w:t>18</w:t>
            </w:r>
          </w:p>
        </w:tc>
      </w:tr>
      <w:tr w:rsidR="00F87646" w:rsidRPr="00917E27" w:rsidTr="00917E27">
        <w:tc>
          <w:tcPr>
            <w:tcW w:w="3164" w:type="dxa"/>
            <w:tcBorders>
              <w:top w:val="nil"/>
              <w:left w:val="single" w:sz="4" w:space="0" w:color="auto"/>
              <w:bottom w:val="single" w:sz="4" w:space="0" w:color="auto"/>
              <w:right w:val="nil"/>
            </w:tcBorders>
            <w:shd w:val="clear" w:color="auto" w:fill="000000"/>
          </w:tcPr>
          <w:p w:rsidR="00F87646" w:rsidRPr="00917E27" w:rsidRDefault="00F87646" w:rsidP="00917E27">
            <w:pPr>
              <w:pStyle w:val="Tabletext"/>
              <w:rPr>
                <w:rFonts w:eastAsiaTheme="minorEastAsia"/>
                <w:lang w:eastAsia="en-AU"/>
              </w:rPr>
            </w:pPr>
            <w:r w:rsidRPr="00917E27">
              <w:rPr>
                <w:rFonts w:eastAsiaTheme="minorEastAsia"/>
                <w:lang w:eastAsia="en-AU"/>
              </w:rPr>
              <w:t xml:space="preserve"> </w:t>
            </w:r>
          </w:p>
        </w:tc>
        <w:tc>
          <w:tcPr>
            <w:tcW w:w="922" w:type="dxa"/>
            <w:gridSpan w:val="2"/>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estimate</w:t>
            </w:r>
          </w:p>
        </w:tc>
      </w:tr>
      <w:tr w:rsidR="00F87646" w:rsidRPr="00917E27" w:rsidTr="00917E27">
        <w:tc>
          <w:tcPr>
            <w:tcW w:w="3164" w:type="dxa"/>
            <w:tcBorders>
              <w:top w:val="single" w:sz="4" w:space="0" w:color="auto"/>
              <w:left w:val="nil"/>
              <w:bottom w:val="nil"/>
              <w:right w:val="nil"/>
            </w:tcBorders>
            <w:shd w:val="solid" w:color="FFFFFF" w:fill="auto"/>
          </w:tcPr>
          <w:p w:rsidR="00F87646" w:rsidRPr="00917E27" w:rsidRDefault="00F87646" w:rsidP="00917E27">
            <w:pPr>
              <w:pStyle w:val="Tabletext"/>
              <w:rPr>
                <w:rFonts w:eastAsiaTheme="minorEastAsia"/>
                <w:b/>
                <w:bCs/>
                <w:color w:val="000000"/>
                <w:lang w:eastAsia="en-AU"/>
              </w:rPr>
            </w:pPr>
            <w:r w:rsidRPr="00917E27">
              <w:rPr>
                <w:rFonts w:eastAsiaTheme="minorEastAsia"/>
                <w:b/>
                <w:bCs/>
                <w:color w:val="000000"/>
                <w:lang w:eastAsia="en-AU"/>
              </w:rPr>
              <w:t>Expenses</w:t>
            </w:r>
          </w:p>
        </w:tc>
        <w:tc>
          <w:tcPr>
            <w:tcW w:w="922" w:type="dxa"/>
            <w:gridSpan w:val="2"/>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w:t>
            </w:r>
          </w:p>
        </w:tc>
        <w:tc>
          <w:tcPr>
            <w:tcW w:w="922"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p>
        </w:tc>
        <w:tc>
          <w:tcPr>
            <w:tcW w:w="92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w:t>
            </w:r>
          </w:p>
        </w:tc>
        <w:tc>
          <w:tcPr>
            <w:tcW w:w="922"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w:t>
            </w:r>
          </w:p>
        </w:tc>
        <w:tc>
          <w:tcPr>
            <w:tcW w:w="92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 xml:space="preserve">Education and Early Childhood Development </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14 638.9</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14 857.1</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15 022.3</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15 303.0</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15 685.8</w:t>
            </w:r>
          </w:p>
        </w:tc>
      </w:tr>
      <w:tr w:rsidR="00F87646" w:rsidRPr="00917E27" w:rsidTr="00917E27">
        <w:tc>
          <w:tcPr>
            <w:tcW w:w="3227" w:type="dxa"/>
            <w:gridSpan w:val="2"/>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Environment and Primary Industries </w:t>
            </w:r>
            <w:r w:rsidRPr="00917E27">
              <w:rPr>
                <w:rFonts w:eastAsiaTheme="minorEastAsia"/>
                <w:color w:val="000000"/>
                <w:vertAlign w:val="superscript"/>
                <w:lang w:eastAsia="en-AU"/>
              </w:rPr>
              <w:t>(a)</w:t>
            </w:r>
          </w:p>
        </w:tc>
        <w:tc>
          <w:tcPr>
            <w:tcW w:w="859"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2 462.2</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2 597.8</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2 313.2</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2 195.1</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2 046.6</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Health </w:t>
            </w:r>
            <w:r w:rsidRPr="00917E27">
              <w:rPr>
                <w:rFonts w:eastAsiaTheme="minorEastAsia"/>
                <w:color w:val="000000"/>
                <w:vertAlign w:val="superscript"/>
                <w:lang w:eastAsia="en-AU"/>
              </w:rPr>
              <w:t>(b)</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16 072.3</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16 176.5</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15 780.1</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16 256.1</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16 451.8</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Human Services</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3 868.1</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3 949.1</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3 900.1</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3 983.1</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4 071.0</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Justice </w:t>
            </w:r>
            <w:r w:rsidRPr="00917E27">
              <w:rPr>
                <w:rFonts w:eastAsiaTheme="minorEastAsia"/>
                <w:color w:val="000000"/>
                <w:vertAlign w:val="superscript"/>
                <w:lang w:eastAsia="en-AU"/>
              </w:rPr>
              <w:t xml:space="preserve">(c) </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5 492.9</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5 642.8</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5 437.3</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5 553.5</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5 746.8</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Premier and Cabinet</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692.7</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700.6</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645.8</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647.0</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639.8</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 xml:space="preserve">State Development, Business and Innovation </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1 140.5</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1 260.9</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940.4</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863.0</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763.2</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Transport, Planning and Local Infrastructure</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6 965.9</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7 106.5</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7 115.6</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7 162.8</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7 227.3</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 xml:space="preserve">Treasury and Finance </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6 019.5</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6 016.4</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6 087.7</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6 171.4</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6 344.7</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lang w:eastAsia="en-AU"/>
              </w:rPr>
            </w:pPr>
            <w:r w:rsidRPr="00917E27">
              <w:rPr>
                <w:rFonts w:eastAsiaTheme="minorEastAsia"/>
                <w:color w:val="000000"/>
                <w:lang w:eastAsia="en-AU"/>
              </w:rPr>
              <w:t>Parliament</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183.3</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181.3</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176.7</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178.2</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178.7</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Courts </w:t>
            </w:r>
            <w:r w:rsidRPr="00917E27">
              <w:rPr>
                <w:rFonts w:eastAsiaTheme="minorEastAsia"/>
                <w:color w:val="000000"/>
                <w:vertAlign w:val="superscript"/>
                <w:lang w:eastAsia="en-AU"/>
              </w:rPr>
              <w:t>(d)</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512.7</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506.5</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520.4</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529.2</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537.0</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Regulatory bodies and other part funded agencies </w:t>
            </w:r>
            <w:r w:rsidRPr="00917E27">
              <w:rPr>
                <w:rFonts w:eastAsiaTheme="minorEastAsia"/>
                <w:color w:val="000000"/>
                <w:vertAlign w:val="superscript"/>
                <w:lang w:eastAsia="en-AU"/>
              </w:rPr>
              <w:t>(e)</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1 943.3</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1 915.1</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1 840.8</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1 842.7</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1 867.8</w:t>
            </w:r>
          </w:p>
        </w:tc>
      </w:tr>
      <w:tr w:rsidR="00F87646" w:rsidRPr="00917E27" w:rsidTr="00917E27">
        <w:tc>
          <w:tcPr>
            <w:tcW w:w="3164" w:type="dxa"/>
            <w:tcBorders>
              <w:top w:val="nil"/>
              <w:left w:val="nil"/>
              <w:bottom w:val="single" w:sz="6" w:space="0" w:color="auto"/>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Contingencies not allocated to departments </w:t>
            </w:r>
            <w:r w:rsidRPr="00917E27">
              <w:rPr>
                <w:rFonts w:eastAsiaTheme="minorEastAsia"/>
                <w:color w:val="000000"/>
                <w:vertAlign w:val="superscript"/>
                <w:lang w:eastAsia="en-AU"/>
              </w:rPr>
              <w:t>(f)</w:t>
            </w:r>
          </w:p>
        </w:tc>
        <w:tc>
          <w:tcPr>
            <w:tcW w:w="922" w:type="dxa"/>
            <w:gridSpan w:val="2"/>
            <w:tcBorders>
              <w:top w:val="nil"/>
              <w:left w:val="nil"/>
              <w:bottom w:val="single" w:sz="6" w:space="0" w:color="auto"/>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307.2</w:t>
            </w:r>
          </w:p>
        </w:tc>
        <w:tc>
          <w:tcPr>
            <w:tcW w:w="922" w:type="dxa"/>
            <w:tcBorders>
              <w:top w:val="nil"/>
              <w:left w:val="nil"/>
              <w:bottom w:val="single" w:sz="6" w:space="0" w:color="auto"/>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177.9</w:t>
            </w:r>
          </w:p>
        </w:tc>
        <w:tc>
          <w:tcPr>
            <w:tcW w:w="923" w:type="dxa"/>
            <w:tcBorders>
              <w:top w:val="nil"/>
              <w:left w:val="nil"/>
              <w:bottom w:val="single" w:sz="6" w:space="0" w:color="auto"/>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872.9</w:t>
            </w:r>
          </w:p>
        </w:tc>
        <w:tc>
          <w:tcPr>
            <w:tcW w:w="922" w:type="dxa"/>
            <w:tcBorders>
              <w:top w:val="nil"/>
              <w:left w:val="nil"/>
              <w:bottom w:val="single" w:sz="6" w:space="0" w:color="auto"/>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1 755.9</w:t>
            </w:r>
          </w:p>
        </w:tc>
        <w:tc>
          <w:tcPr>
            <w:tcW w:w="923" w:type="dxa"/>
            <w:tcBorders>
              <w:top w:val="nil"/>
              <w:left w:val="nil"/>
              <w:bottom w:val="single" w:sz="6" w:space="0" w:color="auto"/>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2 948.7</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b/>
                <w:bCs/>
                <w:color w:val="000000"/>
                <w:lang w:eastAsia="en-AU"/>
              </w:rPr>
            </w:pPr>
            <w:r w:rsidRPr="00917E27">
              <w:rPr>
                <w:rFonts w:eastAsiaTheme="minorEastAsia"/>
                <w:b/>
                <w:bCs/>
                <w:color w:val="000000"/>
                <w:lang w:eastAsia="en-AU"/>
              </w:rPr>
              <w:t>Total expenses by department including administered items</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60 299.6</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61 088.6</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60 653.2</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62 440.9</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64 509.2</w:t>
            </w:r>
          </w:p>
        </w:tc>
      </w:tr>
      <w:tr w:rsidR="00F87646" w:rsidRPr="00917E27" w:rsidTr="00917E27">
        <w:tc>
          <w:tcPr>
            <w:tcW w:w="3164"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Less eliminations and adjustments </w:t>
            </w:r>
            <w:r w:rsidRPr="00917E27">
              <w:rPr>
                <w:rFonts w:eastAsiaTheme="minorEastAsia"/>
                <w:color w:val="000000"/>
                <w:vertAlign w:val="superscript"/>
                <w:lang w:eastAsia="en-AU"/>
              </w:rPr>
              <w:t>(g)</w:t>
            </w:r>
          </w:p>
        </w:tc>
        <w:tc>
          <w:tcPr>
            <w:tcW w:w="922" w:type="dxa"/>
            <w:gridSpan w:val="2"/>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(8 724.4)</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(9 169.5)</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(8 465.4)</w:t>
            </w:r>
          </w:p>
        </w:tc>
        <w:tc>
          <w:tcPr>
            <w:tcW w:w="922"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(8 774.3)</w:t>
            </w:r>
          </w:p>
        </w:tc>
        <w:tc>
          <w:tcPr>
            <w:tcW w:w="923" w:type="dxa"/>
            <w:tcBorders>
              <w:top w:val="nil"/>
              <w:left w:val="nil"/>
              <w:bottom w:val="nil"/>
              <w:right w:val="nil"/>
            </w:tcBorders>
            <w:shd w:val="solid" w:color="FFFFFF" w:fill="auto"/>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(8 949.8)</w:t>
            </w:r>
          </w:p>
        </w:tc>
      </w:tr>
      <w:tr w:rsidR="00F87646" w:rsidRPr="00917E27" w:rsidTr="00917E27">
        <w:tc>
          <w:tcPr>
            <w:tcW w:w="3164"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text"/>
              <w:rPr>
                <w:rFonts w:eastAsiaTheme="minorEastAsia"/>
                <w:b/>
                <w:bCs/>
                <w:color w:val="000000"/>
                <w:lang w:eastAsia="en-AU"/>
              </w:rPr>
            </w:pPr>
            <w:r w:rsidRPr="00917E27">
              <w:rPr>
                <w:rFonts w:eastAsiaTheme="minorEastAsia"/>
                <w:b/>
                <w:bCs/>
                <w:color w:val="000000"/>
                <w:lang w:eastAsia="en-AU"/>
              </w:rPr>
              <w:t xml:space="preserve">Total expenses </w:t>
            </w:r>
          </w:p>
        </w:tc>
        <w:tc>
          <w:tcPr>
            <w:tcW w:w="922" w:type="dxa"/>
            <w:gridSpan w:val="2"/>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51 575.1</w:t>
            </w:r>
          </w:p>
        </w:tc>
        <w:tc>
          <w:tcPr>
            <w:tcW w:w="922"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51 919.1</w:t>
            </w:r>
          </w:p>
        </w:tc>
        <w:tc>
          <w:tcPr>
            <w:tcW w:w="92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52 187.9</w:t>
            </w:r>
          </w:p>
        </w:tc>
        <w:tc>
          <w:tcPr>
            <w:tcW w:w="922"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53 666.5</w:t>
            </w:r>
          </w:p>
        </w:tc>
        <w:tc>
          <w:tcPr>
            <w:tcW w:w="92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55 559.4</w:t>
            </w:r>
          </w:p>
        </w:tc>
      </w:tr>
    </w:tbl>
    <w:p w:rsidR="00F87646" w:rsidRDefault="00F87646" w:rsidP="00CB4509">
      <w:pPr>
        <w:pStyle w:val="Notes"/>
      </w:pPr>
      <w:r>
        <w:t>Notes:</w:t>
      </w:r>
    </w:p>
    <w:p w:rsidR="00F87646" w:rsidRDefault="00F87646" w:rsidP="00CB4509">
      <w:pPr>
        <w:pStyle w:val="Notes"/>
      </w:pPr>
      <w:r>
        <w:t>(a)</w:t>
      </w:r>
      <w:r>
        <w:tab/>
        <w:t>The downward movement into 2015</w:t>
      </w:r>
      <w:r>
        <w:noBreakHyphen/>
        <w:t>16 relates to sunsetting initiatives and movements in funding across years for various initiatives.</w:t>
      </w:r>
    </w:p>
    <w:p w:rsidR="00F87646" w:rsidRDefault="00F87646" w:rsidP="00CB4509">
      <w:pPr>
        <w:pStyle w:val="Notes"/>
      </w:pPr>
      <w:r>
        <w:t>(b)</w:t>
      </w:r>
      <w:r>
        <w:tab/>
        <w:t>From July 2015, the Commonwealth will be responsible for home support services for people aged over 65 years. Health expenditure is adjusted from 2015</w:t>
      </w:r>
      <w:r>
        <w:noBreakHyphen/>
        <w:t>16 to reflect this transfer. Movements in 2015</w:t>
      </w:r>
      <w:r>
        <w:noBreakHyphen/>
        <w:t>16 also reflects one</w:t>
      </w:r>
      <w:r>
        <w:noBreakHyphen/>
        <w:t>off funding for initiatives in 2014</w:t>
      </w:r>
      <w:r>
        <w:noBreakHyphen/>
        <w:t xml:space="preserve">15 that is not carried forward. </w:t>
      </w:r>
    </w:p>
    <w:p w:rsidR="00F87646" w:rsidRDefault="00F87646" w:rsidP="00CB4509">
      <w:pPr>
        <w:pStyle w:val="Notes"/>
      </w:pPr>
      <w:r>
        <w:t>(c)</w:t>
      </w:r>
      <w:r>
        <w:tab/>
        <w:t>The downward movement in 2015</w:t>
      </w:r>
      <w:r>
        <w:noBreakHyphen/>
        <w:t>16 relates to funding carried over from 2013</w:t>
      </w:r>
      <w:r>
        <w:noBreakHyphen/>
        <w:t>14 into 2014</w:t>
      </w:r>
      <w:r>
        <w:noBreakHyphen/>
        <w:t>15, sunsetting initiatives and movements in funding across years for various initiatives.</w:t>
      </w:r>
    </w:p>
    <w:p w:rsidR="00F87646" w:rsidRDefault="00F87646" w:rsidP="00CB4509">
      <w:pPr>
        <w:pStyle w:val="Notes"/>
      </w:pPr>
      <w:r>
        <w:t>(d)</w:t>
      </w:r>
      <w:r>
        <w:tab/>
        <w:t>Courts, which was formerly part of Department of Justice, came into operation from 1 July 2014.</w:t>
      </w:r>
    </w:p>
    <w:p w:rsidR="00F87646" w:rsidRDefault="00F87646" w:rsidP="00CB4509">
      <w:pPr>
        <w:pStyle w:val="Notes"/>
      </w:pPr>
      <w:r>
        <w:t>(e)</w:t>
      </w:r>
      <w:r>
        <w:tab/>
        <w:t>Other general government sector agencies not allocated to departmental portfolios.</w:t>
      </w:r>
    </w:p>
    <w:p w:rsidR="00F87646" w:rsidRDefault="00F87646" w:rsidP="00CB4509">
      <w:pPr>
        <w:pStyle w:val="Notes"/>
      </w:pPr>
      <w:r>
        <w:t>(f)</w:t>
      </w:r>
      <w:r>
        <w:tab/>
        <w:t>Note 12(c) provides a detailed breakdown of the general government output contingencies not allocated to departments.</w:t>
      </w:r>
    </w:p>
    <w:p w:rsidR="00F87646" w:rsidRDefault="00F87646" w:rsidP="00CB4509">
      <w:pPr>
        <w:pStyle w:val="Notes"/>
      </w:pPr>
      <w:r>
        <w:t>(g)</w:t>
      </w:r>
      <w:r>
        <w:tab/>
        <w:t>Mainly comprising payroll tax, capital asset charge, departmental underspend estimates and inter</w:t>
      </w:r>
      <w:r>
        <w:noBreakHyphen/>
        <w:t>departmental transfers.</w:t>
      </w:r>
    </w:p>
    <w:p w:rsidR="00F87646" w:rsidRPr="003565CD" w:rsidRDefault="00F87646" w:rsidP="00CB4509">
      <w:pPr>
        <w:pStyle w:val="Notes"/>
      </w:pPr>
    </w:p>
    <w:p w:rsidR="00F87646" w:rsidRPr="00FE7025" w:rsidRDefault="00F87646" w:rsidP="005E2118"/>
    <w:p w:rsidR="00F87646" w:rsidRDefault="00F87646">
      <w:pPr>
        <w:spacing w:after="0"/>
        <w:rPr>
          <w:rFonts w:ascii="Calibri" w:hAnsi="Calibri"/>
          <w:b/>
        </w:rPr>
      </w:pPr>
      <w:r>
        <w:br w:type="page"/>
      </w:r>
    </w:p>
    <w:p w:rsidR="00F87646" w:rsidRDefault="00F87646" w:rsidP="001812D1">
      <w:pPr>
        <w:pStyle w:val="Heading2NotesContd"/>
      </w:pPr>
      <w:r w:rsidRPr="00B56B1C">
        <w:lastRenderedPageBreak/>
        <w:t>Note 12:</w:t>
      </w:r>
      <w:r w:rsidRPr="00B56B1C">
        <w:tab/>
        <w:t xml:space="preserve">Total expenses by government purpose and by department </w:t>
      </w:r>
      <w:r w:rsidRPr="001812D1">
        <w:rPr>
          <w:i/>
        </w:rPr>
        <w:t>(continued)</w:t>
      </w:r>
      <w:r>
        <w:t xml:space="preserve"> </w:t>
      </w:r>
    </w:p>
    <w:p w:rsidR="00F87646" w:rsidRDefault="00F87646" w:rsidP="005E2118">
      <w:pPr>
        <w:pStyle w:val="Heading5"/>
        <w:keepNext w:val="0"/>
      </w:pPr>
      <w:r>
        <w:t>(c</w:t>
      </w:r>
      <w:r w:rsidRPr="00B56B1C">
        <w:t>)</w:t>
      </w:r>
      <w:r w:rsidRPr="00B56B1C">
        <w:tab/>
      </w:r>
      <w:r w:rsidRPr="0014211C">
        <w:t>General government output contingencies not allocated to departments</w:t>
      </w:r>
    </w:p>
    <w:p w:rsidR="00F87646" w:rsidRPr="00917E27" w:rsidRDefault="00F87646" w:rsidP="00917E27">
      <w:pPr>
        <w:pStyle w:val="million"/>
      </w:pPr>
      <w:bookmarkStart w:id="53" w:name="_Toc373751819"/>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917E27" w:rsidTr="00917E27">
        <w:tc>
          <w:tcPr>
            <w:tcW w:w="2808" w:type="dxa"/>
            <w:tcBorders>
              <w:top w:val="single" w:sz="4" w:space="0" w:color="auto"/>
              <w:left w:val="single" w:sz="4" w:space="0" w:color="auto"/>
              <w:bottom w:val="nil"/>
              <w:right w:val="nil"/>
            </w:tcBorders>
            <w:shd w:val="clear" w:color="auto" w:fill="000000"/>
          </w:tcPr>
          <w:p w:rsidR="00F87646" w:rsidRPr="00917E27" w:rsidRDefault="00F87646" w:rsidP="00917E27">
            <w:pPr>
              <w:pStyle w:val="Tabletext"/>
              <w:rPr>
                <w:rFonts w:eastAsiaTheme="minorEastAsia"/>
                <w:lang w:eastAsia="en-AU"/>
              </w:rPr>
            </w:pPr>
            <w:r w:rsidRPr="00917E2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2014</w:t>
            </w:r>
            <w:r>
              <w:rPr>
                <w:rFonts w:eastAsiaTheme="minorEastAsia"/>
                <w:lang w:eastAsia="en-AU"/>
              </w:rPr>
              <w:noBreakHyphen/>
            </w:r>
            <w:r w:rsidRPr="00917E2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2014</w:t>
            </w:r>
            <w:r>
              <w:rPr>
                <w:rFonts w:eastAsiaTheme="minorEastAsia"/>
                <w:lang w:eastAsia="en-AU"/>
              </w:rPr>
              <w:noBreakHyphen/>
            </w:r>
            <w:r w:rsidRPr="00917E2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2015</w:t>
            </w:r>
            <w:r>
              <w:rPr>
                <w:rFonts w:eastAsiaTheme="minorEastAsia"/>
                <w:lang w:eastAsia="en-AU"/>
              </w:rPr>
              <w:noBreakHyphen/>
            </w:r>
            <w:r w:rsidRPr="00917E2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2016</w:t>
            </w:r>
            <w:r>
              <w:rPr>
                <w:rFonts w:eastAsiaTheme="minorEastAsia"/>
                <w:lang w:eastAsia="en-AU"/>
              </w:rPr>
              <w:noBreakHyphen/>
            </w:r>
            <w:r w:rsidRPr="00917E2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2017</w:t>
            </w:r>
            <w:r>
              <w:rPr>
                <w:rFonts w:eastAsiaTheme="minorEastAsia"/>
                <w:lang w:eastAsia="en-AU"/>
              </w:rPr>
              <w:noBreakHyphen/>
            </w:r>
            <w:r w:rsidRPr="00917E27">
              <w:rPr>
                <w:rFonts w:eastAsiaTheme="minorEastAsia"/>
                <w:lang w:eastAsia="en-AU"/>
              </w:rPr>
              <w:t>18</w:t>
            </w:r>
          </w:p>
        </w:tc>
      </w:tr>
      <w:tr w:rsidR="00F87646" w:rsidRPr="00917E27" w:rsidTr="00917E27">
        <w:tc>
          <w:tcPr>
            <w:tcW w:w="2808" w:type="dxa"/>
            <w:tcBorders>
              <w:top w:val="nil"/>
              <w:left w:val="single" w:sz="4" w:space="0" w:color="auto"/>
              <w:bottom w:val="single" w:sz="4" w:space="0" w:color="auto"/>
              <w:right w:val="nil"/>
            </w:tcBorders>
            <w:shd w:val="clear" w:color="auto" w:fill="000000"/>
          </w:tcPr>
          <w:p w:rsidR="00F87646" w:rsidRPr="00917E27" w:rsidRDefault="00F87646" w:rsidP="00917E27">
            <w:pPr>
              <w:pStyle w:val="Tabletext"/>
              <w:rPr>
                <w:rFonts w:eastAsiaTheme="minorEastAsia"/>
                <w:lang w:eastAsia="en-AU"/>
              </w:rPr>
            </w:pPr>
            <w:r w:rsidRPr="00917E2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917E27" w:rsidRDefault="00F87646" w:rsidP="00917E27">
            <w:pPr>
              <w:pStyle w:val="Tabletextheading"/>
              <w:rPr>
                <w:rFonts w:eastAsiaTheme="minorEastAsia"/>
                <w:lang w:eastAsia="en-AU"/>
              </w:rPr>
            </w:pPr>
            <w:r w:rsidRPr="00917E27">
              <w:rPr>
                <w:rFonts w:eastAsiaTheme="minorEastAsia"/>
                <w:lang w:eastAsia="en-AU"/>
              </w:rPr>
              <w:t>estimate</w:t>
            </w:r>
          </w:p>
        </w:tc>
      </w:tr>
      <w:tr w:rsidR="00F87646" w:rsidRPr="00917E27" w:rsidTr="00917E27">
        <w:tc>
          <w:tcPr>
            <w:tcW w:w="2808" w:type="dxa"/>
            <w:tcBorders>
              <w:top w:val="single" w:sz="4" w:space="0" w:color="auto"/>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Decisions made but not yet allocated </w:t>
            </w:r>
            <w:r w:rsidRPr="00917E27">
              <w:rPr>
                <w:rFonts w:eastAsiaTheme="minorEastAsia"/>
                <w:color w:val="000000"/>
                <w:vertAlign w:val="superscript"/>
                <w:lang w:eastAsia="en-AU"/>
              </w:rPr>
              <w:t>(a)</w:t>
            </w:r>
          </w:p>
        </w:tc>
        <w:tc>
          <w:tcPr>
            <w:tcW w:w="99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207.2</w:t>
            </w:r>
          </w:p>
        </w:tc>
        <w:tc>
          <w:tcPr>
            <w:tcW w:w="99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136.4</w:t>
            </w:r>
          </w:p>
        </w:tc>
        <w:tc>
          <w:tcPr>
            <w:tcW w:w="99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674.0</w:t>
            </w:r>
          </w:p>
        </w:tc>
        <w:tc>
          <w:tcPr>
            <w:tcW w:w="99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1 456.3</w:t>
            </w:r>
          </w:p>
        </w:tc>
        <w:tc>
          <w:tcPr>
            <w:tcW w:w="993" w:type="dxa"/>
            <w:tcBorders>
              <w:top w:val="single" w:sz="4" w:space="0" w:color="auto"/>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2 519.9</w:t>
            </w:r>
          </w:p>
        </w:tc>
      </w:tr>
      <w:tr w:rsidR="00F87646" w:rsidRPr="00917E27" w:rsidTr="00917E27">
        <w:tc>
          <w:tcPr>
            <w:tcW w:w="2808" w:type="dxa"/>
            <w:tcBorders>
              <w:top w:val="nil"/>
              <w:left w:val="nil"/>
              <w:bottom w:val="nil"/>
              <w:right w:val="nil"/>
            </w:tcBorders>
            <w:shd w:val="solid" w:color="FFFFFF" w:fill="auto"/>
          </w:tcPr>
          <w:p w:rsidR="00F87646" w:rsidRPr="00917E27" w:rsidRDefault="00F87646" w:rsidP="00917E27">
            <w:pPr>
              <w:pStyle w:val="Tabletext"/>
              <w:rPr>
                <w:rFonts w:eastAsiaTheme="minorEastAsia"/>
                <w:color w:val="000000"/>
                <w:vertAlign w:val="superscript"/>
                <w:lang w:eastAsia="en-AU"/>
              </w:rPr>
            </w:pPr>
            <w:r w:rsidRPr="00917E27">
              <w:rPr>
                <w:rFonts w:eastAsiaTheme="minorEastAsia"/>
                <w:color w:val="000000"/>
                <w:lang w:eastAsia="en-AU"/>
              </w:rPr>
              <w:t xml:space="preserve">Funding not allocated to specific purposes </w:t>
            </w:r>
            <w:r w:rsidRPr="00917E27">
              <w:rPr>
                <w:rFonts w:eastAsiaTheme="minorEastAsia"/>
                <w:color w:val="000000"/>
                <w:vertAlign w:val="superscript"/>
                <w:lang w:eastAsia="en-AU"/>
              </w:rPr>
              <w:t>(b)</w:t>
            </w:r>
          </w:p>
        </w:tc>
        <w:tc>
          <w:tcPr>
            <w:tcW w:w="993" w:type="dxa"/>
            <w:tcBorders>
              <w:top w:val="nil"/>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100.0</w:t>
            </w:r>
          </w:p>
        </w:tc>
        <w:tc>
          <w:tcPr>
            <w:tcW w:w="993" w:type="dxa"/>
            <w:tcBorders>
              <w:top w:val="nil"/>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41.5</w:t>
            </w:r>
          </w:p>
        </w:tc>
        <w:tc>
          <w:tcPr>
            <w:tcW w:w="993" w:type="dxa"/>
            <w:tcBorders>
              <w:top w:val="nil"/>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198.9</w:t>
            </w:r>
          </w:p>
        </w:tc>
        <w:tc>
          <w:tcPr>
            <w:tcW w:w="993" w:type="dxa"/>
            <w:tcBorders>
              <w:top w:val="nil"/>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299.6</w:t>
            </w:r>
          </w:p>
        </w:tc>
        <w:tc>
          <w:tcPr>
            <w:tcW w:w="993" w:type="dxa"/>
            <w:tcBorders>
              <w:top w:val="nil"/>
              <w:left w:val="nil"/>
              <w:bottom w:val="nil"/>
              <w:right w:val="nil"/>
            </w:tcBorders>
          </w:tcPr>
          <w:p w:rsidR="00F87646" w:rsidRPr="00917E27" w:rsidRDefault="00F87646" w:rsidP="00917E27">
            <w:pPr>
              <w:pStyle w:val="TableofFigures"/>
              <w:rPr>
                <w:rFonts w:eastAsiaTheme="minorEastAsia"/>
                <w:color w:val="000000"/>
                <w:lang w:eastAsia="en-AU"/>
              </w:rPr>
            </w:pPr>
            <w:r w:rsidRPr="00917E27">
              <w:rPr>
                <w:rFonts w:eastAsiaTheme="minorEastAsia"/>
                <w:color w:val="000000"/>
                <w:lang w:eastAsia="en-AU"/>
              </w:rPr>
              <w:t xml:space="preserve"> 428.8</w:t>
            </w:r>
          </w:p>
        </w:tc>
      </w:tr>
      <w:tr w:rsidR="00F87646" w:rsidRPr="00917E27" w:rsidTr="00917E27">
        <w:tc>
          <w:tcPr>
            <w:tcW w:w="2808"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text"/>
              <w:rPr>
                <w:rFonts w:eastAsiaTheme="minorEastAsia"/>
                <w:b/>
                <w:bCs/>
                <w:color w:val="000000"/>
                <w:lang w:eastAsia="en-AU"/>
              </w:rPr>
            </w:pPr>
            <w:r w:rsidRPr="00917E27">
              <w:rPr>
                <w:rFonts w:eastAsiaTheme="minorEastAsia"/>
                <w:b/>
                <w:bCs/>
                <w:color w:val="000000"/>
                <w:lang w:eastAsia="en-AU"/>
              </w:rPr>
              <w:t>Total general government output contingencies</w:t>
            </w:r>
          </w:p>
        </w:tc>
        <w:tc>
          <w:tcPr>
            <w:tcW w:w="99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 xml:space="preserve"> 307.2</w:t>
            </w:r>
          </w:p>
        </w:tc>
        <w:tc>
          <w:tcPr>
            <w:tcW w:w="99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 xml:space="preserve"> 177.9</w:t>
            </w:r>
          </w:p>
        </w:tc>
        <w:tc>
          <w:tcPr>
            <w:tcW w:w="99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 xml:space="preserve"> 872.9</w:t>
            </w:r>
          </w:p>
        </w:tc>
        <w:tc>
          <w:tcPr>
            <w:tcW w:w="99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1 755.9</w:t>
            </w:r>
          </w:p>
        </w:tc>
        <w:tc>
          <w:tcPr>
            <w:tcW w:w="993" w:type="dxa"/>
            <w:tcBorders>
              <w:top w:val="single" w:sz="6" w:space="0" w:color="auto"/>
              <w:left w:val="nil"/>
              <w:bottom w:val="single" w:sz="12" w:space="0" w:color="auto"/>
              <w:right w:val="nil"/>
            </w:tcBorders>
            <w:shd w:val="solid" w:color="FFFFFF" w:fill="auto"/>
          </w:tcPr>
          <w:p w:rsidR="00F87646" w:rsidRPr="00917E27" w:rsidRDefault="00F87646" w:rsidP="00917E27">
            <w:pPr>
              <w:pStyle w:val="TableofFigures"/>
              <w:rPr>
                <w:rFonts w:eastAsiaTheme="minorEastAsia"/>
                <w:b/>
                <w:bCs/>
                <w:color w:val="000000"/>
                <w:lang w:eastAsia="en-AU"/>
              </w:rPr>
            </w:pPr>
            <w:r w:rsidRPr="00917E27">
              <w:rPr>
                <w:rFonts w:eastAsiaTheme="minorEastAsia"/>
                <w:b/>
                <w:bCs/>
                <w:color w:val="000000"/>
                <w:lang w:eastAsia="en-AU"/>
              </w:rPr>
              <w:t>2 948.7</w:t>
            </w:r>
          </w:p>
        </w:tc>
      </w:tr>
    </w:tbl>
    <w:p w:rsidR="00F87646" w:rsidRPr="001C4616" w:rsidRDefault="00F87646" w:rsidP="009D5D11">
      <w:pPr>
        <w:pStyle w:val="Notes"/>
      </w:pPr>
      <w:r w:rsidRPr="001C4616">
        <w:t>Notes:</w:t>
      </w:r>
    </w:p>
    <w:p w:rsidR="00F87646" w:rsidRDefault="00F87646" w:rsidP="009D5D11">
      <w:pPr>
        <w:pStyle w:val="Notes"/>
      </w:pPr>
      <w:r w:rsidRPr="001C4616">
        <w:t>(a)</w:t>
      </w:r>
      <w:r w:rsidRPr="001C4616">
        <w:tab/>
      </w:r>
      <w:r>
        <w:t>Reflects</w:t>
      </w:r>
      <w:r w:rsidRPr="001C4616">
        <w:t xml:space="preserve"> existing policy decisions made by government for which funding has yet to be allocated to departments;</w:t>
      </w:r>
      <w:r>
        <w:t xml:space="preserve"> provisions not yet allocated to departments to meet additional price and demand growth for health, disability and education; and a provision for estimated additional depreciation costs associated with the general government unallocated capital contingency.</w:t>
      </w:r>
    </w:p>
    <w:p w:rsidR="00F87646" w:rsidRDefault="00F87646" w:rsidP="00956645">
      <w:pPr>
        <w:pStyle w:val="Notes"/>
      </w:pPr>
      <w:r>
        <w:t>(b)</w:t>
      </w:r>
      <w:r>
        <w:tab/>
        <w:t>An unallocated provision available to contribute to future government policy decisions and commitments, including for decisions to extend lapsing programs across the budget and forward estimates.</w:t>
      </w:r>
    </w:p>
    <w:p w:rsidR="00F87646" w:rsidRDefault="00F87646" w:rsidP="009D5D11">
      <w:pPr>
        <w:pStyle w:val="Notes"/>
      </w:pPr>
    </w:p>
    <w:p w:rsidR="00F87646" w:rsidRDefault="00F87646" w:rsidP="009D5D11">
      <w:pPr>
        <w:pStyle w:val="Notes"/>
      </w:pPr>
    </w:p>
    <w:p w:rsidR="00F87646" w:rsidRPr="009D5D11" w:rsidRDefault="00F87646" w:rsidP="009D5D11"/>
    <w:p w:rsidR="00F87646" w:rsidRDefault="00F87646" w:rsidP="005E2118">
      <w:pPr>
        <w:pStyle w:val="Heading2Notes"/>
      </w:pPr>
      <w:bookmarkStart w:id="54" w:name="_Toc403141617"/>
      <w:r w:rsidRPr="00B56B1C">
        <w:t>Note 13:</w:t>
      </w:r>
      <w:r w:rsidRPr="00B56B1C">
        <w:tab/>
        <w:t>Other gains/(losses) from other economic flows</w:t>
      </w:r>
      <w:bookmarkEnd w:id="53"/>
      <w:bookmarkEnd w:id="54"/>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Net (increase) in provision for doubtful receivables</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( 177.8)</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( 184.1)</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( 169.6)</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( 171.6)</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( 200.5)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Amortisation of intangible non</w:t>
            </w:r>
            <w:r>
              <w:rPr>
                <w:rFonts w:eastAsiaTheme="minorEastAsia"/>
                <w:color w:val="000000"/>
                <w:lang w:eastAsia="en-AU"/>
              </w:rPr>
              <w:noBreakHyphen/>
            </w:r>
            <w:r w:rsidRPr="00885307">
              <w:rPr>
                <w:rFonts w:eastAsiaTheme="minorEastAsia"/>
                <w:color w:val="000000"/>
                <w:lang w:eastAsia="en-AU"/>
              </w:rPr>
              <w:t>produced assets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( 10.5)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Net (increase) in bad debts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( 119.2)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( 119.2)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( 152.9)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( 153.1)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( 153.3)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Other gains/(losses) </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19.3</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( 7.7)</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( 7.7)</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other gains/(losses) from other economic flows</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( 283.6)</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( 286.2)</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( 310.3)</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( 334.7)</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( 363.8)</w:t>
            </w:r>
          </w:p>
        </w:tc>
      </w:tr>
    </w:tbl>
    <w:p w:rsidR="00F87646" w:rsidRPr="003565CD" w:rsidRDefault="00F87646" w:rsidP="00992A1C">
      <w:pPr>
        <w:pStyle w:val="Source"/>
      </w:pPr>
    </w:p>
    <w:p w:rsidR="00F87646" w:rsidRDefault="00F87646" w:rsidP="005E2118"/>
    <w:p w:rsidR="00F87646" w:rsidRDefault="00F87646">
      <w:pPr>
        <w:spacing w:after="0"/>
        <w:rPr>
          <w:rFonts w:ascii="Calibri" w:hAnsi="Calibri"/>
          <w:b/>
          <w:kern w:val="28"/>
          <w:sz w:val="26"/>
          <w:szCs w:val="22"/>
        </w:rPr>
      </w:pPr>
      <w:bookmarkStart w:id="55" w:name="_Toc373751820"/>
      <w:r>
        <w:br w:type="page"/>
      </w:r>
    </w:p>
    <w:p w:rsidR="00F87646" w:rsidRDefault="00F87646" w:rsidP="005E2118">
      <w:pPr>
        <w:pStyle w:val="Heading2Notes"/>
      </w:pPr>
      <w:bookmarkStart w:id="56" w:name="_Toc403141618"/>
      <w:r w:rsidRPr="00B56B1C">
        <w:lastRenderedPageBreak/>
        <w:t>Note 14:</w:t>
      </w:r>
      <w:r w:rsidRPr="00B56B1C">
        <w:tab/>
        <w:t>Reconciliation of net gain on equity investments in other sector entities at proportional share of net assets</w:t>
      </w:r>
      <w:bookmarkEnd w:id="55"/>
      <w:bookmarkEnd w:id="56"/>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Balance of investment in PNFC and PFC sectors at beginning of period</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75 869.2</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75 869.2</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80 287.5</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81 149.5</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81 709.4</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Net contributions to other sectors by owner</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2 260.3</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1 534.0</w:t>
            </w:r>
          </w:p>
        </w:tc>
        <w:tc>
          <w:tcPr>
            <w:tcW w:w="92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423.1</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697.3</w:t>
            </w:r>
          </w:p>
        </w:tc>
        <w:tc>
          <w:tcPr>
            <w:tcW w:w="92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1 037.1</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Revaluation gain/(loss) for period</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2 884.3</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2 884.3</w:t>
            </w:r>
          </w:p>
        </w:tc>
        <w:tc>
          <w:tcPr>
            <w:tcW w:w="92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438.8</w:t>
            </w:r>
          </w:p>
        </w:tc>
        <w:tc>
          <w:tcPr>
            <w:tcW w:w="922"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( 137.4)</w:t>
            </w:r>
          </w:p>
        </w:tc>
        <w:tc>
          <w:tcPr>
            <w:tcW w:w="92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( 93.5)</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Investment in other sector entities at end of period</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81 013.8</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80 287.5</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81 149.5</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81 709.4</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82 653.0</w:t>
            </w:r>
          </w:p>
        </w:tc>
      </w:tr>
    </w:tbl>
    <w:p w:rsidR="00F87646" w:rsidRPr="003565CD" w:rsidRDefault="00F87646" w:rsidP="00992A1C">
      <w:pPr>
        <w:pStyle w:val="Source"/>
      </w:pPr>
    </w:p>
    <w:p w:rsidR="00F87646" w:rsidRPr="00B56B1C" w:rsidRDefault="00F87646" w:rsidP="005E2118"/>
    <w:p w:rsidR="00F87646" w:rsidRDefault="00F87646" w:rsidP="005E2118">
      <w:pPr>
        <w:pStyle w:val="Heading2Notes"/>
      </w:pPr>
      <w:bookmarkStart w:id="57" w:name="_Toc373751821"/>
      <w:bookmarkStart w:id="58" w:name="_Toc403141619"/>
      <w:r w:rsidRPr="00B56B1C">
        <w:t>Note 15:</w:t>
      </w:r>
      <w:r w:rsidRPr="00B56B1C">
        <w:tab/>
        <w:t>Net acquisition on non</w:t>
      </w:r>
      <w:r>
        <w:noBreakHyphen/>
      </w:r>
      <w:r w:rsidRPr="00B56B1C">
        <w:t>financial assets</w:t>
      </w:r>
      <w:bookmarkEnd w:id="57"/>
      <w:r>
        <w:t xml:space="preserve"> from transactions</w:t>
      </w:r>
      <w:bookmarkEnd w:id="58"/>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Purchases of non</w:t>
            </w:r>
            <w:r>
              <w:rPr>
                <w:rFonts w:eastAsiaTheme="minorEastAsia"/>
                <w:color w:val="000000"/>
                <w:lang w:eastAsia="en-AU"/>
              </w:rPr>
              <w:noBreakHyphen/>
            </w:r>
            <w:r w:rsidRPr="00885307">
              <w:rPr>
                <w:rFonts w:eastAsiaTheme="minorEastAsia"/>
                <w:color w:val="000000"/>
                <w:lang w:eastAsia="en-AU"/>
              </w:rPr>
              <w:t>financial assets (including change in inventories)</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5 312.4</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4 761.6</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5 063.4</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5 873.7</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5 845.8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Less: Sales of non</w:t>
            </w:r>
            <w:r>
              <w:rPr>
                <w:rFonts w:eastAsiaTheme="minorEastAsia"/>
                <w:color w:val="000000"/>
                <w:lang w:eastAsia="en-AU"/>
              </w:rPr>
              <w:noBreakHyphen/>
            </w:r>
            <w:r w:rsidRPr="00885307">
              <w:rPr>
                <w:rFonts w:eastAsiaTheme="minorEastAsia"/>
                <w:color w:val="000000"/>
                <w:lang w:eastAsia="en-AU"/>
              </w:rPr>
              <w:t>financial assets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( 384.9)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( 395.2)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( 310.6)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( 472.6)</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( 396.1)</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Less: Depreciation</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(2 496.0)</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(2 454.9)</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(2 544.4)</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(2 726.8)</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(2 947.9)</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Plus: Other movements in non</w:t>
            </w:r>
            <w:r>
              <w:rPr>
                <w:rFonts w:eastAsiaTheme="minorEastAsia"/>
                <w:color w:val="000000"/>
                <w:lang w:eastAsia="en-AU"/>
              </w:rPr>
              <w:noBreakHyphen/>
            </w:r>
            <w:r w:rsidRPr="00885307">
              <w:rPr>
                <w:rFonts w:eastAsiaTheme="minorEastAsia"/>
                <w:color w:val="000000"/>
                <w:lang w:eastAsia="en-AU"/>
              </w:rPr>
              <w:t>financial assets</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(1 465.1)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(1 327.2)</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183.1</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318.5</w:t>
            </w:r>
          </w:p>
        </w:tc>
        <w:tc>
          <w:tcPr>
            <w:tcW w:w="99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275.0</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net acquisition of non</w:t>
            </w:r>
            <w:r>
              <w:rPr>
                <w:rFonts w:eastAsiaTheme="minorEastAsia"/>
                <w:b/>
                <w:bCs/>
                <w:color w:val="000000"/>
                <w:lang w:eastAsia="en-AU"/>
              </w:rPr>
              <w:noBreakHyphen/>
            </w:r>
            <w:r w:rsidRPr="00885307">
              <w:rPr>
                <w:rFonts w:eastAsiaTheme="minorEastAsia"/>
                <w:b/>
                <w:bCs/>
                <w:color w:val="000000"/>
                <w:lang w:eastAsia="en-AU"/>
              </w:rPr>
              <w:t>financial assets from transactions</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966.4</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584.3</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2 391.5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2 992.8</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2 776.9</w:t>
            </w:r>
          </w:p>
        </w:tc>
      </w:tr>
    </w:tbl>
    <w:p w:rsidR="00F87646" w:rsidRPr="003565CD" w:rsidRDefault="00F87646" w:rsidP="00992A1C">
      <w:pPr>
        <w:pStyle w:val="Source"/>
      </w:pPr>
    </w:p>
    <w:p w:rsidR="00F87646" w:rsidRDefault="00F87646" w:rsidP="005E2118">
      <w:pPr>
        <w:spacing w:after="0"/>
      </w:pPr>
      <w:bookmarkStart w:id="59" w:name="_Toc373751822"/>
    </w:p>
    <w:p w:rsidR="00F87646" w:rsidRDefault="00F87646">
      <w:pPr>
        <w:spacing w:after="0"/>
        <w:rPr>
          <w:rFonts w:ascii="Calibri" w:hAnsi="Calibri"/>
          <w:b/>
          <w:kern w:val="28"/>
          <w:sz w:val="26"/>
          <w:szCs w:val="22"/>
        </w:rPr>
      </w:pPr>
      <w:r>
        <w:br w:type="page"/>
      </w:r>
    </w:p>
    <w:p w:rsidR="00F87646" w:rsidRDefault="00F87646" w:rsidP="005E2118">
      <w:pPr>
        <w:pStyle w:val="Heading2Notes"/>
      </w:pPr>
      <w:bookmarkStart w:id="60" w:name="_Toc403141620"/>
      <w:r w:rsidRPr="00B56B1C">
        <w:lastRenderedPageBreak/>
        <w:t>Note 16:</w:t>
      </w:r>
      <w:r w:rsidRPr="00B56B1C">
        <w:tab/>
        <w:t>Advances p</w:t>
      </w:r>
      <w:r>
        <w:t xml:space="preserve">aid and investments, loans and </w:t>
      </w:r>
      <w:r w:rsidRPr="00B56B1C">
        <w:t>placements</w:t>
      </w:r>
      <w:bookmarkEnd w:id="59"/>
      <w:bookmarkEnd w:id="60"/>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27"/>
        <w:gridCol w:w="865"/>
        <w:gridCol w:w="867"/>
        <w:gridCol w:w="247"/>
        <w:gridCol w:w="360"/>
        <w:gridCol w:w="112"/>
        <w:gridCol w:w="150"/>
        <w:gridCol w:w="138"/>
        <w:gridCol w:w="184"/>
        <w:gridCol w:w="216"/>
        <w:gridCol w:w="256"/>
        <w:gridCol w:w="74"/>
        <w:gridCol w:w="70"/>
        <w:gridCol w:w="328"/>
        <w:gridCol w:w="72"/>
        <w:gridCol w:w="402"/>
        <w:gridCol w:w="8"/>
      </w:tblGrid>
      <w:tr w:rsidR="00F87646" w:rsidRPr="00885307" w:rsidTr="00885307">
        <w:trPr>
          <w:gridAfter w:val="1"/>
          <w:wAfter w:w="8" w:type="dxa"/>
        </w:trPr>
        <w:tc>
          <w:tcPr>
            <w:tcW w:w="3432"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867"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869" w:type="dxa"/>
            <w:gridSpan w:val="4"/>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868" w:type="dxa"/>
            <w:gridSpan w:val="5"/>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872" w:type="dxa"/>
            <w:gridSpan w:val="4"/>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rPr>
          <w:gridAfter w:val="1"/>
          <w:wAfter w:w="8" w:type="dxa"/>
        </w:trPr>
        <w:tc>
          <w:tcPr>
            <w:tcW w:w="3432"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867"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869" w:type="dxa"/>
            <w:gridSpan w:val="4"/>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868" w:type="dxa"/>
            <w:gridSpan w:val="5"/>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872" w:type="dxa"/>
            <w:gridSpan w:val="4"/>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rPr>
          <w:gridAfter w:val="1"/>
          <w:wAfter w:w="8" w:type="dxa"/>
        </w:trPr>
        <w:tc>
          <w:tcPr>
            <w:tcW w:w="5414" w:type="dxa"/>
            <w:gridSpan w:val="4"/>
            <w:tcBorders>
              <w:top w:val="single" w:sz="4" w:space="0" w:color="auto"/>
              <w:left w:val="nil"/>
              <w:bottom w:val="nil"/>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Current advances paid and investments, loans and placements</w:t>
            </w:r>
          </w:p>
        </w:tc>
        <w:tc>
          <w:tcPr>
            <w:tcW w:w="472" w:type="dxa"/>
            <w:gridSpan w:val="2"/>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472" w:type="dxa"/>
            <w:gridSpan w:val="3"/>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472" w:type="dxa"/>
            <w:gridSpan w:val="2"/>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472" w:type="dxa"/>
            <w:gridSpan w:val="3"/>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c>
          <w:tcPr>
            <w:tcW w:w="474" w:type="dxa"/>
            <w:gridSpan w:val="2"/>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w:t>
            </w:r>
          </w:p>
        </w:tc>
      </w:tr>
      <w:tr w:rsidR="00F87646" w:rsidRPr="00885307" w:rsidTr="00885307">
        <w:trPr>
          <w:gridAfter w:val="1"/>
          <w:wAfter w:w="8" w:type="dxa"/>
        </w:trPr>
        <w:tc>
          <w:tcPr>
            <w:tcW w:w="3432"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Loans and advances paid</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45.1</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52.1</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41.0</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48.2</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53.5</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Equities and managed investment schemes </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757.9</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761.3</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771.2</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782.0</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792.8</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Australian dollar term deposits</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1 840.9</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1 743.1</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1 825.7</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1 933.2</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2 049.8</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Debt securities</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w:t>
            </w:r>
          </w:p>
        </w:tc>
      </w:tr>
      <w:tr w:rsidR="00F87646" w:rsidRPr="00885307" w:rsidTr="00885307">
        <w:trPr>
          <w:gridAfter w:val="1"/>
          <w:wAfter w:w="8" w:type="dxa"/>
        </w:trPr>
        <w:tc>
          <w:tcPr>
            <w:tcW w:w="3432" w:type="dxa"/>
            <w:tcBorders>
              <w:top w:val="single" w:sz="6" w:space="0" w:color="auto"/>
              <w:left w:val="nil"/>
              <w:bottom w:val="nil"/>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current advances paid and investments, loans and placements</w:t>
            </w:r>
          </w:p>
        </w:tc>
        <w:tc>
          <w:tcPr>
            <w:tcW w:w="867"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2 650.1</w:t>
            </w:r>
          </w:p>
        </w:tc>
        <w:tc>
          <w:tcPr>
            <w:tcW w:w="868"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2 562.8</w:t>
            </w:r>
          </w:p>
        </w:tc>
        <w:tc>
          <w:tcPr>
            <w:tcW w:w="869" w:type="dxa"/>
            <w:gridSpan w:val="4"/>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2 644.2</w:t>
            </w:r>
          </w:p>
        </w:tc>
        <w:tc>
          <w:tcPr>
            <w:tcW w:w="868" w:type="dxa"/>
            <w:gridSpan w:val="5"/>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2 769.6</w:t>
            </w:r>
          </w:p>
        </w:tc>
        <w:tc>
          <w:tcPr>
            <w:tcW w:w="872" w:type="dxa"/>
            <w:gridSpan w:val="4"/>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2 902.4</w:t>
            </w:r>
          </w:p>
        </w:tc>
      </w:tr>
      <w:tr w:rsidR="00F87646" w:rsidRPr="00885307" w:rsidTr="00885307">
        <w:tc>
          <w:tcPr>
            <w:tcW w:w="5774" w:type="dxa"/>
            <w:gridSpan w:val="5"/>
            <w:tcBorders>
              <w:top w:val="nil"/>
              <w:left w:val="nil"/>
              <w:bottom w:val="nil"/>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Non</w:t>
            </w:r>
            <w:r>
              <w:rPr>
                <w:rFonts w:eastAsiaTheme="minorEastAsia"/>
                <w:b/>
                <w:bCs/>
                <w:color w:val="000000"/>
                <w:lang w:eastAsia="en-AU"/>
              </w:rPr>
              <w:noBreakHyphen/>
            </w:r>
            <w:r w:rsidRPr="00885307">
              <w:rPr>
                <w:rFonts w:eastAsiaTheme="minorEastAsia"/>
                <w:b/>
                <w:bCs/>
                <w:color w:val="000000"/>
                <w:lang w:eastAsia="en-AU"/>
              </w:rPr>
              <w:t>current advances paid and investments, loans and placements</w:t>
            </w:r>
          </w:p>
        </w:tc>
        <w:tc>
          <w:tcPr>
            <w:tcW w:w="400" w:type="dxa"/>
            <w:gridSpan w:val="3"/>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400"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400" w:type="dxa"/>
            <w:gridSpan w:val="3"/>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400"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400"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rPr>
          <w:gridAfter w:val="1"/>
          <w:wAfter w:w="8" w:type="dxa"/>
        </w:trPr>
        <w:tc>
          <w:tcPr>
            <w:tcW w:w="3432"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Loans and advances paid</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4 492.6</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4 511.7</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4 478.6</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4 433.9</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4 381.8</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Equities and managed investment schemes </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236.4</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292.5</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296.0</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299.0</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302.8</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Australian dollar term deposits</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254.1</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254.1</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254.6</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253.2</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248.1</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Debt securities</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44.7</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44.7</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44.7</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44.7</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44.7</w:t>
            </w:r>
          </w:p>
        </w:tc>
      </w:tr>
      <w:tr w:rsidR="00F87646" w:rsidRPr="00885307" w:rsidTr="00885307">
        <w:trPr>
          <w:gridAfter w:val="1"/>
          <w:wAfter w:w="8" w:type="dxa"/>
        </w:trPr>
        <w:tc>
          <w:tcPr>
            <w:tcW w:w="3432" w:type="dxa"/>
            <w:tcBorders>
              <w:top w:val="single" w:sz="6" w:space="0" w:color="auto"/>
              <w:left w:val="nil"/>
              <w:bottom w:val="single" w:sz="6" w:space="0" w:color="auto"/>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non</w:t>
            </w:r>
            <w:r>
              <w:rPr>
                <w:rFonts w:eastAsiaTheme="minorEastAsia"/>
                <w:b/>
                <w:bCs/>
                <w:color w:val="000000"/>
                <w:lang w:eastAsia="en-AU"/>
              </w:rPr>
              <w:noBreakHyphen/>
            </w:r>
            <w:r w:rsidRPr="00885307">
              <w:rPr>
                <w:rFonts w:eastAsiaTheme="minorEastAsia"/>
                <w:b/>
                <w:bCs/>
                <w:color w:val="000000"/>
                <w:lang w:eastAsia="en-AU"/>
              </w:rPr>
              <w:t>current advances paid and investments, loans and placements</w:t>
            </w:r>
          </w:p>
        </w:tc>
        <w:tc>
          <w:tcPr>
            <w:tcW w:w="867" w:type="dxa"/>
            <w:tcBorders>
              <w:top w:val="single" w:sz="6" w:space="0" w:color="auto"/>
              <w:left w:val="nil"/>
              <w:bottom w:val="single" w:sz="6"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5 027.9</w:t>
            </w:r>
          </w:p>
        </w:tc>
        <w:tc>
          <w:tcPr>
            <w:tcW w:w="868" w:type="dxa"/>
            <w:tcBorders>
              <w:top w:val="single" w:sz="6" w:space="0" w:color="auto"/>
              <w:left w:val="nil"/>
              <w:bottom w:val="single" w:sz="6"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5 103.1</w:t>
            </w:r>
          </w:p>
        </w:tc>
        <w:tc>
          <w:tcPr>
            <w:tcW w:w="869" w:type="dxa"/>
            <w:gridSpan w:val="4"/>
            <w:tcBorders>
              <w:top w:val="single" w:sz="6" w:space="0" w:color="auto"/>
              <w:left w:val="nil"/>
              <w:bottom w:val="single" w:sz="6"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5 073.9</w:t>
            </w:r>
          </w:p>
        </w:tc>
        <w:tc>
          <w:tcPr>
            <w:tcW w:w="868" w:type="dxa"/>
            <w:gridSpan w:val="5"/>
            <w:tcBorders>
              <w:top w:val="single" w:sz="6" w:space="0" w:color="auto"/>
              <w:left w:val="nil"/>
              <w:bottom w:val="single" w:sz="6"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5 030.9</w:t>
            </w:r>
          </w:p>
        </w:tc>
        <w:tc>
          <w:tcPr>
            <w:tcW w:w="872" w:type="dxa"/>
            <w:gridSpan w:val="4"/>
            <w:tcBorders>
              <w:top w:val="single" w:sz="6" w:space="0" w:color="auto"/>
              <w:left w:val="nil"/>
              <w:bottom w:val="single" w:sz="6"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4 977.3</w:t>
            </w:r>
          </w:p>
        </w:tc>
      </w:tr>
      <w:tr w:rsidR="00F87646" w:rsidRPr="00885307" w:rsidTr="00885307">
        <w:trPr>
          <w:gridAfter w:val="1"/>
          <w:wAfter w:w="8" w:type="dxa"/>
        </w:trPr>
        <w:tc>
          <w:tcPr>
            <w:tcW w:w="3432" w:type="dxa"/>
            <w:tcBorders>
              <w:top w:val="nil"/>
              <w:left w:val="nil"/>
              <w:bottom w:val="single" w:sz="12" w:space="0" w:color="auto"/>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advances paid and investments, loans and placements</w:t>
            </w:r>
          </w:p>
        </w:tc>
        <w:tc>
          <w:tcPr>
            <w:tcW w:w="867"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7 678.0</w:t>
            </w:r>
          </w:p>
        </w:tc>
        <w:tc>
          <w:tcPr>
            <w:tcW w:w="868" w:type="dxa"/>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7 665.9</w:t>
            </w:r>
          </w:p>
        </w:tc>
        <w:tc>
          <w:tcPr>
            <w:tcW w:w="869" w:type="dxa"/>
            <w:gridSpan w:val="4"/>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7 718.1</w:t>
            </w:r>
          </w:p>
        </w:tc>
        <w:tc>
          <w:tcPr>
            <w:tcW w:w="868" w:type="dxa"/>
            <w:gridSpan w:val="5"/>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7 800.5</w:t>
            </w:r>
          </w:p>
        </w:tc>
        <w:tc>
          <w:tcPr>
            <w:tcW w:w="872" w:type="dxa"/>
            <w:gridSpan w:val="4"/>
            <w:tcBorders>
              <w:top w:val="nil"/>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7 879.7</w:t>
            </w: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Represented by:</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b/>
                <w:bCs/>
                <w:color w:val="000000"/>
                <w:lang w:eastAsia="en-AU"/>
              </w:rPr>
            </w:pPr>
          </w:p>
        </w:tc>
      </w:tr>
      <w:tr w:rsidR="00F87646" w:rsidRPr="00885307" w:rsidTr="00885307">
        <w:trPr>
          <w:gridAfter w:val="1"/>
          <w:wAfter w:w="8" w:type="dxa"/>
        </w:trPr>
        <w:tc>
          <w:tcPr>
            <w:tcW w:w="3432"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Advances paid</w:t>
            </w:r>
          </w:p>
        </w:tc>
        <w:tc>
          <w:tcPr>
            <w:tcW w:w="86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4 537.7</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4 563.8</w:t>
            </w:r>
          </w:p>
        </w:tc>
        <w:tc>
          <w:tcPr>
            <w:tcW w:w="869"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4 519.5</w:t>
            </w:r>
          </w:p>
        </w:tc>
        <w:tc>
          <w:tcPr>
            <w:tcW w:w="868" w:type="dxa"/>
            <w:gridSpan w:val="5"/>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4 482.1</w:t>
            </w:r>
          </w:p>
        </w:tc>
        <w:tc>
          <w:tcPr>
            <w:tcW w:w="872" w:type="dxa"/>
            <w:gridSpan w:val="4"/>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4 435.2</w:t>
            </w:r>
          </w:p>
        </w:tc>
      </w:tr>
      <w:tr w:rsidR="00F87646" w:rsidRPr="00885307" w:rsidTr="00885307">
        <w:trPr>
          <w:gridAfter w:val="1"/>
          <w:wAfter w:w="8" w:type="dxa"/>
        </w:trPr>
        <w:tc>
          <w:tcPr>
            <w:tcW w:w="3432" w:type="dxa"/>
            <w:tcBorders>
              <w:top w:val="nil"/>
              <w:left w:val="nil"/>
              <w:bottom w:val="single" w:sz="12" w:space="0" w:color="auto"/>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Investment loans and placement</w:t>
            </w:r>
          </w:p>
        </w:tc>
        <w:tc>
          <w:tcPr>
            <w:tcW w:w="867" w:type="dxa"/>
            <w:tcBorders>
              <w:top w:val="nil"/>
              <w:left w:val="nil"/>
              <w:bottom w:val="single" w:sz="12" w:space="0" w:color="auto"/>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3 140.3</w:t>
            </w:r>
          </w:p>
        </w:tc>
        <w:tc>
          <w:tcPr>
            <w:tcW w:w="868" w:type="dxa"/>
            <w:tcBorders>
              <w:top w:val="nil"/>
              <w:left w:val="nil"/>
              <w:bottom w:val="single" w:sz="12" w:space="0" w:color="auto"/>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3 102.1</w:t>
            </w:r>
          </w:p>
        </w:tc>
        <w:tc>
          <w:tcPr>
            <w:tcW w:w="869" w:type="dxa"/>
            <w:gridSpan w:val="4"/>
            <w:tcBorders>
              <w:top w:val="nil"/>
              <w:left w:val="nil"/>
              <w:bottom w:val="single" w:sz="12" w:space="0" w:color="auto"/>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3 198.5</w:t>
            </w:r>
          </w:p>
        </w:tc>
        <w:tc>
          <w:tcPr>
            <w:tcW w:w="868" w:type="dxa"/>
            <w:gridSpan w:val="5"/>
            <w:tcBorders>
              <w:top w:val="nil"/>
              <w:left w:val="nil"/>
              <w:bottom w:val="single" w:sz="12" w:space="0" w:color="auto"/>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3 318.4</w:t>
            </w:r>
          </w:p>
        </w:tc>
        <w:tc>
          <w:tcPr>
            <w:tcW w:w="872" w:type="dxa"/>
            <w:gridSpan w:val="4"/>
            <w:tcBorders>
              <w:top w:val="nil"/>
              <w:left w:val="nil"/>
              <w:bottom w:val="single" w:sz="12" w:space="0" w:color="auto"/>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3 444.5</w:t>
            </w:r>
          </w:p>
        </w:tc>
      </w:tr>
    </w:tbl>
    <w:p w:rsidR="00F87646" w:rsidRPr="003565CD" w:rsidRDefault="00F87646" w:rsidP="00992A1C">
      <w:pPr>
        <w:pStyle w:val="Source"/>
      </w:pPr>
    </w:p>
    <w:p w:rsidR="00F87646" w:rsidRDefault="00F87646" w:rsidP="00992A1C"/>
    <w:p w:rsidR="00F87646" w:rsidRDefault="00F87646">
      <w:pPr>
        <w:spacing w:after="0"/>
        <w:rPr>
          <w:rFonts w:ascii="Calibri" w:hAnsi="Calibri"/>
          <w:b/>
          <w:kern w:val="28"/>
          <w:sz w:val="26"/>
          <w:szCs w:val="22"/>
        </w:rPr>
      </w:pPr>
      <w:bookmarkStart w:id="61" w:name="_Toc373751823"/>
      <w:r>
        <w:br w:type="page"/>
      </w:r>
    </w:p>
    <w:p w:rsidR="00F87646" w:rsidRDefault="00F87646" w:rsidP="005E2118">
      <w:pPr>
        <w:pStyle w:val="Heading2Notes"/>
      </w:pPr>
      <w:bookmarkStart w:id="62" w:name="_Toc403141621"/>
      <w:r w:rsidRPr="00B56B1C">
        <w:lastRenderedPageBreak/>
        <w:t>Note 17:</w:t>
      </w:r>
      <w:r w:rsidRPr="00B56B1C">
        <w:tab/>
        <w:t>Land, buildings, infrastructure, plant and equipment</w:t>
      </w:r>
      <w:bookmarkEnd w:id="61"/>
      <w:bookmarkEnd w:id="62"/>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i/>
                <w:iCs/>
                <w:lang w:eastAsia="en-AU"/>
              </w:rPr>
            </w:pP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Buildings (written down value) </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24 735.7</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24 230.5</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24 557.9</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26 522.5</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26 805.6</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Buildings leasehold </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2 346.6</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2 353.7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3 337.1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4 143.2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5 028.8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Land and national parks</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38 328.1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38 176.3</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38 187.1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38 026.4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38 200.1</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Infrastructure systems (written down value)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1 329.7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1 327.3</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1 453.0</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1 584.1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1 683.2</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Plant, equipment and vehicles (written down value)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2 388.2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2 643.4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2 402.1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2 113.1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1 759.8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Roads and road infrastructure (written down value)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24 930.9</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24 858.8</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26 441.6</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28 776.0</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33 815.3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Earthworks</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8 759.9</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8 797.9</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8 942.0</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9 135.7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10 477.8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Cultural assets (written down value)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5 480.5</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5 479.6</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5 486.4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5 475.4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5 460.1</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land, buildings, infrastructure, plant and equipment</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108 299.7</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107 867.5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110 807.2</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115 776.5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123 230.7</w:t>
            </w:r>
          </w:p>
        </w:tc>
      </w:tr>
    </w:tbl>
    <w:p w:rsidR="00F87646" w:rsidRPr="003565CD" w:rsidRDefault="00F87646" w:rsidP="00145CDA">
      <w:pPr>
        <w:pStyle w:val="Source"/>
      </w:pPr>
    </w:p>
    <w:p w:rsidR="00F87646" w:rsidRDefault="00F87646" w:rsidP="00145CDA"/>
    <w:p w:rsidR="00F87646" w:rsidRDefault="00F87646" w:rsidP="005E2118">
      <w:pPr>
        <w:pStyle w:val="Heading2Notes"/>
      </w:pPr>
      <w:bookmarkStart w:id="63" w:name="_Toc373751824"/>
      <w:bookmarkStart w:id="64" w:name="_Toc403141622"/>
      <w:r w:rsidRPr="00B56B1C">
        <w:t>Note 18:</w:t>
      </w:r>
      <w:r w:rsidRPr="00B56B1C">
        <w:tab/>
        <w:t>Reconciliation of movements in land, buildings, infrastructure, plant and equipment</w:t>
      </w:r>
      <w:bookmarkEnd w:id="63"/>
      <w:r w:rsidRPr="00A517BC">
        <w:rPr>
          <w:vertAlign w:val="superscript"/>
        </w:rPr>
        <w:t>(a)</w:t>
      </w:r>
      <w:bookmarkEnd w:id="64"/>
    </w:p>
    <w:p w:rsidR="00F87646" w:rsidRPr="00885307" w:rsidRDefault="00F87646" w:rsidP="00885307">
      <w:pPr>
        <w:pStyle w:val="million"/>
      </w:pPr>
      <w:bookmarkStart w:id="65" w:name="_Toc373751825"/>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Carrying amount at the start of the year </w:t>
            </w: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103 644.2</w:t>
            </w: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103 644.2</w:t>
            </w: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107 867.5</w:t>
            </w: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110 807.2</w:t>
            </w: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115 776.5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vertAlign w:val="superscript"/>
                <w:lang w:eastAsia="en-AU"/>
              </w:rPr>
            </w:pPr>
            <w:r w:rsidRPr="00885307">
              <w:rPr>
                <w:rFonts w:eastAsiaTheme="minorEastAsia"/>
                <w:lang w:eastAsia="en-AU"/>
              </w:rPr>
              <w:t xml:space="preserve">Additions </w:t>
            </w:r>
            <w:r w:rsidRPr="00885307">
              <w:rPr>
                <w:rFonts w:eastAsiaTheme="minorEastAsia"/>
                <w:vertAlign w:val="superscript"/>
                <w:lang w:eastAsia="en-AU"/>
              </w:rPr>
              <w:t>(b)</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5 032.4</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4 475.6</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6 115.0</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6 694.1</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6 898.7</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Disposals at written down value</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( 314.1)</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( 365.5)</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( 248.9)</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( 408.0)</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( 322.3)</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Revaluations</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3 906.3</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3 871.4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425.8</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1 933.1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4 595.6</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Assets reclassified</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(1 538.6)</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(1 382.7)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( 895.1)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( 599.2)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( 864.4)</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Depreciation expense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(2 430.5)</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(2 375.4)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(2 457.1)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(2 650.7)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(2 853.4)</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Carrying amount at the end of the year</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108 299.7</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107 867.5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110 807.2</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115 776.5</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123 230.7</w:t>
            </w:r>
          </w:p>
        </w:tc>
      </w:tr>
    </w:tbl>
    <w:p w:rsidR="00F87646" w:rsidRDefault="00F87646" w:rsidP="00145CDA">
      <w:pPr>
        <w:pStyle w:val="Notes"/>
      </w:pPr>
      <w:r>
        <w:t>Notes:</w:t>
      </w:r>
    </w:p>
    <w:p w:rsidR="00F87646" w:rsidRDefault="00F87646" w:rsidP="00145CDA">
      <w:pPr>
        <w:pStyle w:val="Notes"/>
      </w:pPr>
      <w:r>
        <w:t>(a)</w:t>
      </w:r>
      <w:r>
        <w:tab/>
        <w:t>The reconciliation of movements comprises land and buildings, infrastructure systems, plant, equipment, vehicles, roads, road infrastructure and cultural asset and excludes intangible assets, investment properties and other non</w:t>
      </w:r>
      <w:r>
        <w:noBreakHyphen/>
        <w:t>financial assets.</w:t>
      </w:r>
    </w:p>
    <w:p w:rsidR="00F87646" w:rsidRDefault="00F87646" w:rsidP="00145CDA">
      <w:pPr>
        <w:pStyle w:val="Notes"/>
      </w:pPr>
      <w:r>
        <w:t>(b)</w:t>
      </w:r>
      <w:r>
        <w:tab/>
        <w:t>Includes assets acquired under finance lease arrangements.</w:t>
      </w:r>
    </w:p>
    <w:p w:rsidR="00F87646" w:rsidRPr="003565CD" w:rsidRDefault="00F87646" w:rsidP="00145CDA">
      <w:pPr>
        <w:pStyle w:val="Source"/>
      </w:pPr>
    </w:p>
    <w:p w:rsidR="00F87646" w:rsidRDefault="00F87646" w:rsidP="005E2118"/>
    <w:p w:rsidR="00F87646" w:rsidRDefault="00F87646">
      <w:pPr>
        <w:spacing w:after="0"/>
        <w:rPr>
          <w:rFonts w:ascii="Calibri" w:hAnsi="Calibri"/>
          <w:b/>
          <w:kern w:val="28"/>
          <w:sz w:val="26"/>
          <w:szCs w:val="22"/>
        </w:rPr>
      </w:pPr>
      <w:r>
        <w:br w:type="page"/>
      </w:r>
    </w:p>
    <w:p w:rsidR="00F87646" w:rsidRPr="00B56B1C" w:rsidRDefault="00F87646" w:rsidP="005E2118">
      <w:pPr>
        <w:pStyle w:val="Heading2Notes"/>
      </w:pPr>
      <w:bookmarkStart w:id="66" w:name="_Toc403141623"/>
      <w:r w:rsidRPr="00B56B1C">
        <w:lastRenderedPageBreak/>
        <w:t>Note 19:</w:t>
      </w:r>
      <w:r w:rsidRPr="00B56B1C">
        <w:tab/>
        <w:t>Assets classified by government purpose and by department</w:t>
      </w:r>
      <w:bookmarkEnd w:id="65"/>
      <w:bookmarkEnd w:id="66"/>
    </w:p>
    <w:p w:rsidR="00F87646" w:rsidRDefault="00F87646" w:rsidP="005E2118">
      <w:pPr>
        <w:pStyle w:val="Heading5"/>
        <w:keepNext w:val="0"/>
      </w:pPr>
      <w:r>
        <w:t>(a</w:t>
      </w:r>
      <w:r w:rsidRPr="00B56B1C">
        <w:t>)</w:t>
      </w:r>
      <w:r w:rsidRPr="00B56B1C">
        <w:tab/>
        <w:t>Purchases of non</w:t>
      </w:r>
      <w:r>
        <w:noBreakHyphen/>
      </w:r>
      <w:r w:rsidRPr="00B56B1C">
        <w:t xml:space="preserve">financial assets by </w:t>
      </w:r>
      <w:r>
        <w:t>government purpose classification</w:t>
      </w:r>
      <w:r w:rsidRPr="00A517BC">
        <w:rPr>
          <w:vertAlign w:val="superscript"/>
        </w:rPr>
        <w:t>(a)</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34"/>
        <w:gridCol w:w="868"/>
        <w:gridCol w:w="868"/>
        <w:gridCol w:w="869"/>
        <w:gridCol w:w="868"/>
        <w:gridCol w:w="869"/>
      </w:tblGrid>
      <w:tr w:rsidR="00F87646" w:rsidRPr="00885307" w:rsidTr="00885307">
        <w:tc>
          <w:tcPr>
            <w:tcW w:w="343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869"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869"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43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869"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869"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434" w:type="dxa"/>
            <w:tcBorders>
              <w:top w:val="single" w:sz="4" w:space="0" w:color="auto"/>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General public services</w:t>
            </w:r>
          </w:p>
        </w:tc>
        <w:tc>
          <w:tcPr>
            <w:tcW w:w="868"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45.2</w:t>
            </w:r>
          </w:p>
        </w:tc>
        <w:tc>
          <w:tcPr>
            <w:tcW w:w="868"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40.7</w:t>
            </w:r>
          </w:p>
        </w:tc>
        <w:tc>
          <w:tcPr>
            <w:tcW w:w="869"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26.4</w:t>
            </w:r>
          </w:p>
        </w:tc>
        <w:tc>
          <w:tcPr>
            <w:tcW w:w="868"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44.2</w:t>
            </w:r>
          </w:p>
        </w:tc>
        <w:tc>
          <w:tcPr>
            <w:tcW w:w="869"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25.0</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Public order and safety</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1 092.7</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1 218.9</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373.2</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226.8</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487.3</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Education</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531.5</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459.8</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379.7</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236.9</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208.5</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Health</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860.5</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969.8</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535.1</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899.8</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254.5</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Social security and welfare</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112.8</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123.1</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68.4</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49.8</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49.5</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Housing and community amenities</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139.0</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88.2</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36.0</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43.4</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41.2</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Recreation and culture</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49.8</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54.5</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35.2</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21.1</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12.6</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Fuel and energy</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3.0</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2.7</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2.7</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Agriculture, forestry, fishing, and hunting</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26.5</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55.2</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22.3</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12.2</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12.0</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Transport and communications</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2 166.1</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2 027.8</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1 915.7</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1 402.1</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681.7</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economic affairs</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153.4</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149.3</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45.5</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34.5</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25.2</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Other purposes </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0.5</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0.5</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w:t>
            </w:r>
          </w:p>
        </w:tc>
      </w:tr>
      <w:tr w:rsidR="00F87646" w:rsidRPr="00885307" w:rsidTr="00885307">
        <w:tc>
          <w:tcPr>
            <w:tcW w:w="3434" w:type="dxa"/>
            <w:tcBorders>
              <w:top w:val="nil"/>
              <w:left w:val="nil"/>
              <w:bottom w:val="single" w:sz="6" w:space="0" w:color="auto"/>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Not allocated by purpose </w:t>
            </w:r>
            <w:r w:rsidRPr="00885307">
              <w:rPr>
                <w:rFonts w:eastAsiaTheme="minorEastAsia"/>
                <w:color w:val="000000"/>
                <w:vertAlign w:val="superscript"/>
                <w:lang w:eastAsia="en-AU"/>
              </w:rPr>
              <w:t>(b)</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131.3</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( 429.3)</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1 621.6</w:t>
            </w:r>
          </w:p>
        </w:tc>
        <w:tc>
          <w:tcPr>
            <w:tcW w:w="868"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2 898.6</w:t>
            </w:r>
          </w:p>
        </w:tc>
        <w:tc>
          <w:tcPr>
            <w:tcW w:w="869"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4 044.3</w:t>
            </w:r>
          </w:p>
        </w:tc>
      </w:tr>
      <w:tr w:rsidR="00F87646" w:rsidRPr="00885307" w:rsidTr="00885307">
        <w:tc>
          <w:tcPr>
            <w:tcW w:w="343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purchases of non</w:t>
            </w:r>
            <w:r>
              <w:rPr>
                <w:rFonts w:eastAsiaTheme="minorEastAsia"/>
                <w:b/>
                <w:bCs/>
                <w:color w:val="000000"/>
                <w:lang w:eastAsia="en-AU"/>
              </w:rPr>
              <w:noBreakHyphen/>
            </w:r>
            <w:r w:rsidRPr="00885307">
              <w:rPr>
                <w:rFonts w:eastAsiaTheme="minorEastAsia"/>
                <w:b/>
                <w:bCs/>
                <w:color w:val="000000"/>
                <w:lang w:eastAsia="en-AU"/>
              </w:rPr>
              <w:t>financial assets</w:t>
            </w:r>
          </w:p>
        </w:tc>
        <w:tc>
          <w:tcPr>
            <w:tcW w:w="868"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5 312.4</w:t>
            </w:r>
          </w:p>
        </w:tc>
        <w:tc>
          <w:tcPr>
            <w:tcW w:w="868"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4 761.6</w:t>
            </w:r>
          </w:p>
        </w:tc>
        <w:tc>
          <w:tcPr>
            <w:tcW w:w="869"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5 063.4</w:t>
            </w:r>
          </w:p>
        </w:tc>
        <w:tc>
          <w:tcPr>
            <w:tcW w:w="868"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5 873.7</w:t>
            </w:r>
          </w:p>
        </w:tc>
        <w:tc>
          <w:tcPr>
            <w:tcW w:w="869"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5 845.8</w:t>
            </w:r>
          </w:p>
        </w:tc>
      </w:tr>
    </w:tbl>
    <w:p w:rsidR="00F87646" w:rsidRDefault="00F87646" w:rsidP="00145CDA">
      <w:pPr>
        <w:pStyle w:val="Notes"/>
      </w:pPr>
      <w:r>
        <w:t>Notes:</w:t>
      </w:r>
    </w:p>
    <w:p w:rsidR="00F87646" w:rsidRPr="00FA1531" w:rsidRDefault="00F87646" w:rsidP="00145CDA">
      <w:pPr>
        <w:pStyle w:val="Notes"/>
      </w:pPr>
      <w:r>
        <w:t>(a)</w:t>
      </w:r>
      <w:r>
        <w:tab/>
        <w:t xml:space="preserve">Note 41 of the </w:t>
      </w:r>
      <w:r w:rsidRPr="00145CDA">
        <w:rPr>
          <w:i w:val="0"/>
        </w:rPr>
        <w:t>2013</w:t>
      </w:r>
      <w:r>
        <w:rPr>
          <w:i w:val="0"/>
        </w:rPr>
        <w:noBreakHyphen/>
      </w:r>
      <w:r w:rsidRPr="00145CDA">
        <w:rPr>
          <w:i w:val="0"/>
        </w:rPr>
        <w:t xml:space="preserve">14 Financial Report </w:t>
      </w:r>
      <w:r w:rsidRPr="00CB4D04">
        <w:t>for the State of Victoria provides</w:t>
      </w:r>
      <w:r>
        <w:t xml:space="preserve"> definitions and descriptions of government </w:t>
      </w:r>
      <w:r w:rsidRPr="00FA1531">
        <w:t>purpose classifications.</w:t>
      </w:r>
    </w:p>
    <w:p w:rsidR="00F87646" w:rsidRPr="003565CD" w:rsidRDefault="00F87646" w:rsidP="00145CDA">
      <w:pPr>
        <w:pStyle w:val="Notes"/>
      </w:pPr>
      <w:r w:rsidRPr="00FA1531">
        <w:t>(b)</w:t>
      </w:r>
      <w:r w:rsidRPr="00FA1531">
        <w:tab/>
        <w:t>Estimated amount available to be allocated to departments and projects in future budgets, including for East West Link and the Melbourne Rail Link. This includes departmental underspending, which may be subject to carryover.</w:t>
      </w:r>
    </w:p>
    <w:p w:rsidR="00F87646" w:rsidRDefault="00F87646" w:rsidP="00145CDA">
      <w:pPr>
        <w:pStyle w:val="Source"/>
      </w:pPr>
    </w:p>
    <w:p w:rsidR="00F87646" w:rsidRPr="00145CDA" w:rsidRDefault="00F87646" w:rsidP="00145CDA"/>
    <w:p w:rsidR="00F87646" w:rsidRDefault="00F87646">
      <w:pPr>
        <w:spacing w:after="0"/>
        <w:rPr>
          <w:rFonts w:ascii="Calibri" w:hAnsi="Calibri"/>
          <w:b/>
        </w:rPr>
      </w:pPr>
      <w:r>
        <w:br w:type="page"/>
      </w:r>
    </w:p>
    <w:p w:rsidR="00F87646" w:rsidRPr="00B56B1C" w:rsidRDefault="00F87646" w:rsidP="001812D1">
      <w:pPr>
        <w:pStyle w:val="Heading2NotesContd"/>
      </w:pPr>
      <w:r w:rsidRPr="00B56B1C">
        <w:lastRenderedPageBreak/>
        <w:t>Note 19:</w:t>
      </w:r>
      <w:r w:rsidRPr="00B56B1C">
        <w:tab/>
        <w:t>Assets classified by government purpose and by department</w:t>
      </w:r>
      <w:r>
        <w:t xml:space="preserve"> </w:t>
      </w:r>
      <w:r w:rsidRPr="001812D1">
        <w:rPr>
          <w:i/>
        </w:rPr>
        <w:t>(continued)</w:t>
      </w:r>
    </w:p>
    <w:p w:rsidR="00F87646" w:rsidRDefault="00F87646" w:rsidP="001812D1">
      <w:pPr>
        <w:pStyle w:val="Heading5"/>
        <w:keepNext w:val="0"/>
      </w:pPr>
      <w:r w:rsidRPr="00B56B1C">
        <w:t>(b)</w:t>
      </w:r>
      <w:r w:rsidRPr="00B56B1C">
        <w:tab/>
        <w:t>Purchases of non</w:t>
      </w:r>
      <w:r>
        <w:noBreakHyphen/>
      </w:r>
      <w:r w:rsidRPr="00B56B1C">
        <w:t>financial assets by department</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254"/>
        <w:gridCol w:w="108"/>
        <w:gridCol w:w="796"/>
        <w:gridCol w:w="904"/>
        <w:gridCol w:w="905"/>
        <w:gridCol w:w="904"/>
        <w:gridCol w:w="905"/>
      </w:tblGrid>
      <w:tr w:rsidR="00F87646" w:rsidRPr="00885307" w:rsidTr="00885307">
        <w:tc>
          <w:tcPr>
            <w:tcW w:w="325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04" w:type="dxa"/>
            <w:gridSpan w:val="2"/>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04"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05"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04"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05"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25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04" w:type="dxa"/>
            <w:gridSpan w:val="2"/>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04"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05"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04"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05"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254" w:type="dxa"/>
            <w:tcBorders>
              <w:top w:val="single" w:sz="4" w:space="0" w:color="auto"/>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Education and Early Childhood Development</w:t>
            </w:r>
          </w:p>
        </w:tc>
        <w:tc>
          <w:tcPr>
            <w:tcW w:w="904" w:type="dxa"/>
            <w:gridSpan w:val="2"/>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527.7</w:t>
            </w:r>
          </w:p>
        </w:tc>
        <w:tc>
          <w:tcPr>
            <w:tcW w:w="904"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460.3</w:t>
            </w:r>
          </w:p>
        </w:tc>
        <w:tc>
          <w:tcPr>
            <w:tcW w:w="905"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373.9</w:t>
            </w:r>
          </w:p>
        </w:tc>
        <w:tc>
          <w:tcPr>
            <w:tcW w:w="904"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231.8</w:t>
            </w:r>
          </w:p>
        </w:tc>
        <w:tc>
          <w:tcPr>
            <w:tcW w:w="905"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203.4</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Environment and Primary Industries</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97.9</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129.1</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66.9</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57.6</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52.2</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Health</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896.2</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s="Calibri"/>
                <w:color w:val="000000"/>
                <w:lang w:eastAsia="en-AU"/>
              </w:rPr>
            </w:pPr>
            <w:r w:rsidRPr="00885307">
              <w:rPr>
                <w:rFonts w:eastAsiaTheme="minorEastAsia"/>
                <w:color w:val="000000"/>
                <w:lang w:eastAsia="en-AU"/>
              </w:rPr>
              <w:t>1 004.8</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555.6</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916.7</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272.5</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Human Services</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97.4</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104.8</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53.9</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34.4</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32.9</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Justice</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852.3</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956.9</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216.3</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119.1</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403.0</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Premier and Cabinet</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59.4</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60.9</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29.6</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22.6</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14.1</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State Development, Business and Innovation  </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136.4</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129.9</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29.4</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21.6</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15.8</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Transport, Planning and Local Infrastructure</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2 262.2</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2 078.1</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1 936.0</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1 418.0</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694.9</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Treasury and Finance</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32.7</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31.5</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17.2</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35.0</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15.9</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Parliament</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Courts </w:t>
            </w:r>
            <w:r w:rsidRPr="00885307">
              <w:rPr>
                <w:rFonts w:eastAsiaTheme="minorEastAsia"/>
                <w:color w:val="000000"/>
                <w:vertAlign w:val="superscript"/>
                <w:lang w:eastAsia="en-AU"/>
              </w:rPr>
              <w:t>(a)</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23.6</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24.6</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45.7</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29.9</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9.8</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Regulatory bodies and other part funded agencies </w:t>
            </w:r>
            <w:r w:rsidRPr="00885307">
              <w:rPr>
                <w:rFonts w:eastAsiaTheme="minorEastAsia"/>
                <w:color w:val="000000"/>
                <w:vertAlign w:val="superscript"/>
                <w:lang w:eastAsia="en-AU"/>
              </w:rPr>
              <w:t>(b)</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193.9</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205.0</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102.7</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81.1</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84.8</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Contingencies not allocated to departments </w:t>
            </w:r>
            <w:r w:rsidRPr="00885307">
              <w:rPr>
                <w:rFonts w:eastAsiaTheme="minorEastAsia"/>
                <w:color w:val="000000"/>
                <w:vertAlign w:val="superscript"/>
                <w:lang w:eastAsia="en-AU"/>
              </w:rPr>
              <w:t>(c)</w:t>
            </w:r>
          </w:p>
        </w:tc>
        <w:tc>
          <w:tcPr>
            <w:tcW w:w="904" w:type="dxa"/>
            <w:gridSpan w:val="2"/>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380.5</w:t>
            </w:r>
          </w:p>
        </w:tc>
        <w:tc>
          <w:tcPr>
            <w:tcW w:w="90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379.1</w:t>
            </w:r>
          </w:p>
        </w:tc>
        <w:tc>
          <w:tcPr>
            <w:tcW w:w="90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1 579.7</w:t>
            </w:r>
          </w:p>
        </w:tc>
        <w:tc>
          <w:tcPr>
            <w:tcW w:w="904"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2 852.2</w:t>
            </w:r>
          </w:p>
        </w:tc>
        <w:tc>
          <w:tcPr>
            <w:tcW w:w="905"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4 042.3</w:t>
            </w:r>
          </w:p>
        </w:tc>
      </w:tr>
      <w:tr w:rsidR="00F87646" w:rsidRPr="00885307" w:rsidTr="00885307">
        <w:tc>
          <w:tcPr>
            <w:tcW w:w="325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Adjustments </w:t>
            </w:r>
            <w:r w:rsidRPr="00885307">
              <w:rPr>
                <w:rFonts w:eastAsiaTheme="minorEastAsia"/>
                <w:color w:val="000000"/>
                <w:vertAlign w:val="superscript"/>
                <w:lang w:eastAsia="en-AU"/>
              </w:rPr>
              <w:t>(d)</w:t>
            </w:r>
          </w:p>
        </w:tc>
        <w:tc>
          <w:tcPr>
            <w:tcW w:w="904" w:type="dxa"/>
            <w:gridSpan w:val="2"/>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( 249.1)</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( 804.9)</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54.1</w:t>
            </w:r>
          </w:p>
        </w:tc>
        <w:tc>
          <w:tcPr>
            <w:tcW w:w="904"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51.4</w:t>
            </w:r>
          </w:p>
        </w:tc>
        <w:tc>
          <w:tcPr>
            <w:tcW w:w="905"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2.0</w:t>
            </w:r>
          </w:p>
        </w:tc>
      </w:tr>
      <w:tr w:rsidR="00F87646" w:rsidRPr="00885307" w:rsidTr="00885307">
        <w:tc>
          <w:tcPr>
            <w:tcW w:w="3362" w:type="dxa"/>
            <w:gridSpan w:val="2"/>
            <w:tcBorders>
              <w:top w:val="single" w:sz="6" w:space="0" w:color="auto"/>
              <w:left w:val="nil"/>
              <w:bottom w:val="single" w:sz="12" w:space="0" w:color="auto"/>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purchases of non</w:t>
            </w:r>
            <w:r>
              <w:rPr>
                <w:rFonts w:eastAsiaTheme="minorEastAsia"/>
                <w:b/>
                <w:bCs/>
                <w:color w:val="000000"/>
                <w:lang w:eastAsia="en-AU"/>
              </w:rPr>
              <w:noBreakHyphen/>
            </w:r>
            <w:r w:rsidRPr="00885307">
              <w:rPr>
                <w:rFonts w:eastAsiaTheme="minorEastAsia"/>
                <w:b/>
                <w:bCs/>
                <w:color w:val="000000"/>
                <w:lang w:eastAsia="en-AU"/>
              </w:rPr>
              <w:t>financial assets</w:t>
            </w:r>
          </w:p>
        </w:tc>
        <w:tc>
          <w:tcPr>
            <w:tcW w:w="796"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5 312.4</w:t>
            </w:r>
          </w:p>
        </w:tc>
        <w:tc>
          <w:tcPr>
            <w:tcW w:w="904"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4 761.6</w:t>
            </w:r>
          </w:p>
        </w:tc>
        <w:tc>
          <w:tcPr>
            <w:tcW w:w="905"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5 063.4</w:t>
            </w:r>
          </w:p>
        </w:tc>
        <w:tc>
          <w:tcPr>
            <w:tcW w:w="904"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5 873.7</w:t>
            </w:r>
          </w:p>
        </w:tc>
        <w:tc>
          <w:tcPr>
            <w:tcW w:w="905"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5 845.8</w:t>
            </w:r>
          </w:p>
        </w:tc>
      </w:tr>
    </w:tbl>
    <w:p w:rsidR="00F87646" w:rsidRDefault="00F87646" w:rsidP="00145CDA">
      <w:pPr>
        <w:pStyle w:val="Notes"/>
      </w:pPr>
      <w:r>
        <w:t>Notes:</w:t>
      </w:r>
    </w:p>
    <w:p w:rsidR="00F87646" w:rsidRDefault="00F87646" w:rsidP="00145CDA">
      <w:pPr>
        <w:pStyle w:val="Notes"/>
      </w:pPr>
      <w:r>
        <w:t>(a)</w:t>
      </w:r>
      <w:r>
        <w:tab/>
        <w:t>Courts, which was formerly part of Department of Justice, came into operation from 1 July 2014.</w:t>
      </w:r>
    </w:p>
    <w:p w:rsidR="00F87646" w:rsidRDefault="00F87646" w:rsidP="00145CDA">
      <w:pPr>
        <w:pStyle w:val="Notes"/>
      </w:pPr>
      <w:r>
        <w:t>(b)</w:t>
      </w:r>
      <w:r>
        <w:tab/>
        <w:t>Other general government sector agencies not allocated to departmental portfolios.</w:t>
      </w:r>
    </w:p>
    <w:p w:rsidR="00F87646" w:rsidRDefault="00F87646" w:rsidP="00145CDA">
      <w:pPr>
        <w:pStyle w:val="Notes"/>
      </w:pPr>
      <w:r>
        <w:t>(c)</w:t>
      </w:r>
      <w:r>
        <w:tab/>
        <w:t>Note 19(c) provides a detailed breakdown of the general government asset contingencies not allocated to departments.</w:t>
      </w:r>
    </w:p>
    <w:p w:rsidR="00F87646" w:rsidRDefault="00F87646" w:rsidP="00145CDA">
      <w:pPr>
        <w:pStyle w:val="Notes"/>
      </w:pPr>
      <w:r>
        <w:t>(d)</w:t>
      </w:r>
      <w:r>
        <w:tab/>
        <w:t>Mainly comprises estimated departmental underspend which may be subject to carryover and estimated outer budget agency underspend.</w:t>
      </w:r>
    </w:p>
    <w:p w:rsidR="00F87646" w:rsidRPr="003565CD" w:rsidRDefault="00F87646" w:rsidP="00145CDA">
      <w:pPr>
        <w:pStyle w:val="Source"/>
      </w:pPr>
    </w:p>
    <w:p w:rsidR="00F87646" w:rsidRPr="00C47AC8" w:rsidRDefault="00F87646" w:rsidP="005E2118"/>
    <w:p w:rsidR="00F87646" w:rsidRDefault="00F87646">
      <w:pPr>
        <w:spacing w:after="0"/>
        <w:rPr>
          <w:rFonts w:ascii="Calibri" w:hAnsi="Calibri"/>
          <w:b/>
        </w:rPr>
      </w:pPr>
      <w:r>
        <w:br w:type="page"/>
      </w:r>
    </w:p>
    <w:p w:rsidR="00F87646" w:rsidRPr="00B56B1C" w:rsidRDefault="00F87646" w:rsidP="001812D1">
      <w:pPr>
        <w:pStyle w:val="Heading2NotesContd"/>
      </w:pPr>
      <w:r w:rsidRPr="00B56B1C">
        <w:lastRenderedPageBreak/>
        <w:t>Note 19:</w:t>
      </w:r>
      <w:r w:rsidRPr="00B56B1C">
        <w:tab/>
        <w:t>Assets classified by government purpose and by department</w:t>
      </w:r>
      <w:r>
        <w:t xml:space="preserve"> </w:t>
      </w:r>
      <w:r w:rsidRPr="001812D1">
        <w:rPr>
          <w:i/>
        </w:rPr>
        <w:t>(continued)</w:t>
      </w:r>
    </w:p>
    <w:p w:rsidR="00F87646" w:rsidRDefault="00F87646" w:rsidP="001812D1">
      <w:pPr>
        <w:pStyle w:val="Heading5"/>
        <w:keepNext w:val="0"/>
      </w:pPr>
      <w:r w:rsidRPr="00B56B1C">
        <w:t>(c)</w:t>
      </w:r>
      <w:r w:rsidRPr="00B56B1C">
        <w:tab/>
      </w:r>
      <w:r>
        <w:t>General g</w:t>
      </w:r>
      <w:r w:rsidRPr="0014211C">
        <w:t>overnment asset contingencies not allocated to departments</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34"/>
        <w:gridCol w:w="868"/>
        <w:gridCol w:w="868"/>
        <w:gridCol w:w="869"/>
        <w:gridCol w:w="868"/>
        <w:gridCol w:w="869"/>
      </w:tblGrid>
      <w:tr w:rsidR="00F87646" w:rsidRPr="00885307" w:rsidTr="00885307">
        <w:tc>
          <w:tcPr>
            <w:tcW w:w="343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869"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868"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869"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43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869"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868"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869"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434" w:type="dxa"/>
            <w:tcBorders>
              <w:top w:val="single" w:sz="4" w:space="0" w:color="auto"/>
              <w:left w:val="nil"/>
              <w:bottom w:val="nil"/>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Decisions made but not yet allocated </w:t>
            </w:r>
            <w:r w:rsidRPr="00885307">
              <w:rPr>
                <w:rFonts w:eastAsiaTheme="minorEastAsia"/>
                <w:color w:val="000000"/>
                <w:vertAlign w:val="superscript"/>
                <w:lang w:eastAsia="en-AU"/>
              </w:rPr>
              <w:t>(a)</w:t>
            </w:r>
          </w:p>
        </w:tc>
        <w:tc>
          <w:tcPr>
            <w:tcW w:w="868"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380.5</w:t>
            </w:r>
          </w:p>
        </w:tc>
        <w:tc>
          <w:tcPr>
            <w:tcW w:w="868"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379.1</w:t>
            </w:r>
          </w:p>
        </w:tc>
        <w:tc>
          <w:tcPr>
            <w:tcW w:w="869"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1 279.7</w:t>
            </w:r>
          </w:p>
        </w:tc>
        <w:tc>
          <w:tcPr>
            <w:tcW w:w="868"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2 328.8</w:t>
            </w:r>
          </w:p>
        </w:tc>
        <w:tc>
          <w:tcPr>
            <w:tcW w:w="869"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3 232.4</w:t>
            </w:r>
          </w:p>
        </w:tc>
      </w:tr>
      <w:tr w:rsidR="00F87646" w:rsidRPr="00885307" w:rsidTr="00885307">
        <w:tc>
          <w:tcPr>
            <w:tcW w:w="343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Funding not allocated to specific purposes </w:t>
            </w:r>
            <w:r w:rsidRPr="00885307">
              <w:rPr>
                <w:rFonts w:eastAsiaTheme="minorEastAsia"/>
                <w:color w:val="000000"/>
                <w:vertAlign w:val="superscript"/>
                <w:lang w:eastAsia="en-AU"/>
              </w:rPr>
              <w:t>(b)</w:t>
            </w:r>
          </w:p>
        </w:tc>
        <w:tc>
          <w:tcPr>
            <w:tcW w:w="868"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868"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w:t>
            </w:r>
          </w:p>
        </w:tc>
        <w:tc>
          <w:tcPr>
            <w:tcW w:w="869"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300.0</w:t>
            </w:r>
          </w:p>
        </w:tc>
        <w:tc>
          <w:tcPr>
            <w:tcW w:w="868"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523.3</w:t>
            </w:r>
          </w:p>
        </w:tc>
        <w:tc>
          <w:tcPr>
            <w:tcW w:w="869"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809.9</w:t>
            </w:r>
          </w:p>
        </w:tc>
      </w:tr>
      <w:tr w:rsidR="00F87646" w:rsidRPr="00885307" w:rsidTr="00885307">
        <w:tc>
          <w:tcPr>
            <w:tcW w:w="3434"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general government asset contingencies</w:t>
            </w:r>
          </w:p>
        </w:tc>
        <w:tc>
          <w:tcPr>
            <w:tcW w:w="868"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380.5</w:t>
            </w:r>
          </w:p>
        </w:tc>
        <w:tc>
          <w:tcPr>
            <w:tcW w:w="868"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379.1</w:t>
            </w:r>
          </w:p>
        </w:tc>
        <w:tc>
          <w:tcPr>
            <w:tcW w:w="869"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1 579.7</w:t>
            </w:r>
          </w:p>
        </w:tc>
        <w:tc>
          <w:tcPr>
            <w:tcW w:w="868"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2 852.2</w:t>
            </w:r>
          </w:p>
        </w:tc>
        <w:tc>
          <w:tcPr>
            <w:tcW w:w="869"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4 042.3</w:t>
            </w:r>
          </w:p>
        </w:tc>
      </w:tr>
    </w:tbl>
    <w:p w:rsidR="00F87646" w:rsidRDefault="00F87646" w:rsidP="00145CDA">
      <w:pPr>
        <w:pStyle w:val="Notes"/>
      </w:pPr>
      <w:r>
        <w:t>Notes:</w:t>
      </w:r>
    </w:p>
    <w:p w:rsidR="00F87646" w:rsidRDefault="00F87646" w:rsidP="00145CDA">
      <w:pPr>
        <w:pStyle w:val="Notes"/>
      </w:pPr>
      <w:r>
        <w:t>(a)</w:t>
      </w:r>
      <w:r>
        <w:tab/>
        <w:t>A provision to account for existing asset policy decisions made by government for which the funding has yet to be allocated to departments.</w:t>
      </w:r>
    </w:p>
    <w:p w:rsidR="00F87646" w:rsidRDefault="00F87646" w:rsidP="00145CDA">
      <w:pPr>
        <w:pStyle w:val="Notes"/>
      </w:pPr>
      <w:r>
        <w:t>(b)</w:t>
      </w:r>
      <w:r>
        <w:tab/>
        <w:t>An unallocated provision available for future government asset investment decisions.</w:t>
      </w:r>
    </w:p>
    <w:p w:rsidR="00F87646" w:rsidRPr="003565CD" w:rsidRDefault="00F87646" w:rsidP="00145CDA">
      <w:pPr>
        <w:pStyle w:val="Source"/>
      </w:pPr>
    </w:p>
    <w:p w:rsidR="00F87646" w:rsidRPr="00C47AC8" w:rsidRDefault="00F87646" w:rsidP="005E2118"/>
    <w:p w:rsidR="00F87646" w:rsidRDefault="00F87646" w:rsidP="005E2118">
      <w:pPr>
        <w:pStyle w:val="Heading5"/>
        <w:keepNext w:val="0"/>
        <w:rPr>
          <w:vertAlign w:val="superscript"/>
        </w:rPr>
      </w:pPr>
      <w:r w:rsidRPr="004D0B23">
        <w:t>(d)</w:t>
      </w:r>
      <w:r>
        <w:tab/>
      </w:r>
      <w:r w:rsidRPr="004D0B23">
        <w:t>Total assets by governmen</w:t>
      </w:r>
      <w:r>
        <w:t>t purpose classification</w:t>
      </w:r>
      <w:r>
        <w:rPr>
          <w:vertAlign w:val="superscript"/>
        </w:rPr>
        <w:t>(a)</w:t>
      </w:r>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976"/>
        <w:gridCol w:w="976"/>
        <w:gridCol w:w="977"/>
        <w:gridCol w:w="976"/>
        <w:gridCol w:w="977"/>
      </w:tblGrid>
      <w:tr w:rsidR="00F87646" w:rsidRPr="00885307" w:rsidTr="00885307">
        <w:tc>
          <w:tcPr>
            <w:tcW w:w="289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76"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76"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77"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76"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77"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289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76"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76"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77"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76"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77"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94" w:type="dxa"/>
            <w:tcBorders>
              <w:top w:val="single" w:sz="4" w:space="0" w:color="auto"/>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General public services</w:t>
            </w:r>
          </w:p>
        </w:tc>
        <w:tc>
          <w:tcPr>
            <w:tcW w:w="976"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1 188.6</w:t>
            </w:r>
          </w:p>
        </w:tc>
        <w:tc>
          <w:tcPr>
            <w:tcW w:w="976"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1 182.7</w:t>
            </w:r>
          </w:p>
        </w:tc>
        <w:tc>
          <w:tcPr>
            <w:tcW w:w="977"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1 178.0</w:t>
            </w:r>
          </w:p>
        </w:tc>
        <w:tc>
          <w:tcPr>
            <w:tcW w:w="976"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1 194.5</w:t>
            </w:r>
          </w:p>
        </w:tc>
        <w:tc>
          <w:tcPr>
            <w:tcW w:w="977"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1 173.7</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Public order and safety</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8 899.4</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8 983.1</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9 061.3</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8 930.4</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9 533.1</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Education</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17 022.6</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16 942.1</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16 917.4</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16 834.3</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16 809.5</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Health</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12 795.9</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12 991.6</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13 695.1</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13 895.3</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12 863.0</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Social security and welfare</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1 084.7</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1 094.9</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1 125.5</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1 134.6</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1 147.6</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Housing and community amenities</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7 271.3</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7 224.9</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7 240.3</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7 200.5</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7 109.3</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Recreation and culture</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8 515.8</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8 519.1</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8 543.1</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8 514.9</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8 454.3</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Fuel and energy</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15.6</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15.6</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16.1</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16.6</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17.0</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Agriculture, forestry, fishing, and hunting</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559.7</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635.3</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630.6</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615.0</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599.3</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Transport and communications</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51 921.8</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51 876.2</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52 242.1</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52 433.5</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55 990.0</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economic affairs</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593.2</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597.7</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624.2</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611.3</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601.2</w:t>
            </w:r>
          </w:p>
        </w:tc>
      </w:tr>
      <w:tr w:rsidR="00F87646" w:rsidRPr="00885307" w:rsidTr="00885307">
        <w:tc>
          <w:tcPr>
            <w:tcW w:w="2894" w:type="dxa"/>
            <w:tcBorders>
              <w:top w:val="nil"/>
              <w:left w:val="nil"/>
              <w:bottom w:val="nil"/>
              <w:right w:val="nil"/>
            </w:tcBorders>
            <w:shd w:val="solid" w:color="FFFFFF" w:fill="auto"/>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 xml:space="preserve">Other purposes </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1.7</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2.8</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3.9</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5.0</w:t>
            </w:r>
          </w:p>
        </w:tc>
      </w:tr>
      <w:tr w:rsidR="00F87646" w:rsidRPr="00885307" w:rsidTr="00885307">
        <w:tc>
          <w:tcPr>
            <w:tcW w:w="2894" w:type="dxa"/>
            <w:tcBorders>
              <w:top w:val="nil"/>
              <w:left w:val="nil"/>
              <w:bottom w:val="single" w:sz="6" w:space="0" w:color="auto"/>
              <w:right w:val="nil"/>
            </w:tcBorders>
            <w:shd w:val="solid" w:color="FFFFFF" w:fill="auto"/>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 xml:space="preserve">Not allocated by purpose </w:t>
            </w:r>
            <w:r w:rsidRPr="00885307">
              <w:rPr>
                <w:rFonts w:eastAsiaTheme="minorEastAsia"/>
                <w:color w:val="000000"/>
                <w:vertAlign w:val="superscript"/>
                <w:lang w:eastAsia="en-AU"/>
              </w:rPr>
              <w:t>(b)</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98 188.9</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97 000.7</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99 676.9</w:t>
            </w:r>
          </w:p>
        </w:tc>
        <w:tc>
          <w:tcPr>
            <w:tcW w:w="976"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105 452.0</w:t>
            </w:r>
          </w:p>
        </w:tc>
        <w:tc>
          <w:tcPr>
            <w:tcW w:w="977"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111 311.3</w:t>
            </w:r>
          </w:p>
        </w:tc>
      </w:tr>
      <w:tr w:rsidR="00F87646" w:rsidRPr="00885307" w:rsidTr="00885307">
        <w:tc>
          <w:tcPr>
            <w:tcW w:w="2894"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assets</w:t>
            </w:r>
          </w:p>
        </w:tc>
        <w:tc>
          <w:tcPr>
            <w:tcW w:w="976"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208 059.1</w:t>
            </w:r>
          </w:p>
        </w:tc>
        <w:tc>
          <w:tcPr>
            <w:tcW w:w="976"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207 065.5</w:t>
            </w:r>
          </w:p>
        </w:tc>
        <w:tc>
          <w:tcPr>
            <w:tcW w:w="977"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210 953.4</w:t>
            </w:r>
          </w:p>
        </w:tc>
        <w:tc>
          <w:tcPr>
            <w:tcW w:w="976"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216 836.7</w:t>
            </w:r>
          </w:p>
        </w:tc>
        <w:tc>
          <w:tcPr>
            <w:tcW w:w="977"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225 614.2</w:t>
            </w:r>
          </w:p>
        </w:tc>
      </w:tr>
    </w:tbl>
    <w:p w:rsidR="00F87646" w:rsidRDefault="00F87646" w:rsidP="00145CDA">
      <w:pPr>
        <w:pStyle w:val="Notes"/>
      </w:pPr>
      <w:r>
        <w:t>Notes:</w:t>
      </w:r>
    </w:p>
    <w:p w:rsidR="00F87646" w:rsidRDefault="00F87646" w:rsidP="00145CDA">
      <w:pPr>
        <w:pStyle w:val="Notes"/>
      </w:pPr>
      <w:r>
        <w:t>(a)</w:t>
      </w:r>
      <w:r>
        <w:tab/>
        <w:t xml:space="preserve">Note 41 of the </w:t>
      </w:r>
      <w:r w:rsidRPr="00145CDA">
        <w:rPr>
          <w:i w:val="0"/>
        </w:rPr>
        <w:t>2013</w:t>
      </w:r>
      <w:r>
        <w:rPr>
          <w:i w:val="0"/>
        </w:rPr>
        <w:noBreakHyphen/>
      </w:r>
      <w:r w:rsidRPr="00145CDA">
        <w:rPr>
          <w:i w:val="0"/>
        </w:rPr>
        <w:t xml:space="preserve">14 Financial Report </w:t>
      </w:r>
      <w:r w:rsidRPr="00CB4D04">
        <w:t>for the State of Victoria provides</w:t>
      </w:r>
      <w:r>
        <w:t xml:space="preserve"> definitions and descriptions of government purpose classifications.</w:t>
      </w:r>
    </w:p>
    <w:p w:rsidR="00F87646" w:rsidRPr="003565CD" w:rsidRDefault="00F87646" w:rsidP="00145CDA">
      <w:pPr>
        <w:pStyle w:val="Notes"/>
      </w:pPr>
      <w:r>
        <w:t>(b)</w:t>
      </w:r>
      <w:r>
        <w:tab/>
        <w:t>Represents financial assets which are not able to be allocated by purpose. This mainly includes balances relating to the general government sector’s investment in other sector entities.</w:t>
      </w:r>
    </w:p>
    <w:p w:rsidR="00F87646" w:rsidRDefault="00F87646" w:rsidP="00145CDA">
      <w:pPr>
        <w:pStyle w:val="Source"/>
      </w:pPr>
    </w:p>
    <w:p w:rsidR="00F87646" w:rsidRPr="003565CD" w:rsidRDefault="00F87646" w:rsidP="003565CD"/>
    <w:p w:rsidR="00F87646" w:rsidRDefault="00F87646">
      <w:pPr>
        <w:spacing w:after="0"/>
        <w:rPr>
          <w:rFonts w:ascii="Calibri" w:hAnsi="Calibri"/>
          <w:b/>
          <w:kern w:val="28"/>
          <w:sz w:val="26"/>
          <w:szCs w:val="22"/>
        </w:rPr>
      </w:pPr>
      <w:bookmarkStart w:id="67" w:name="_Toc373751826"/>
      <w:r>
        <w:br w:type="page"/>
      </w:r>
    </w:p>
    <w:p w:rsidR="00F87646" w:rsidRDefault="00F87646" w:rsidP="005E2118">
      <w:pPr>
        <w:pStyle w:val="Heading2Notes"/>
      </w:pPr>
      <w:bookmarkStart w:id="68" w:name="_Toc403141624"/>
      <w:r w:rsidRPr="00B56B1C">
        <w:lastRenderedPageBreak/>
        <w:t>Note 20:</w:t>
      </w:r>
      <w:r w:rsidRPr="00B56B1C">
        <w:tab/>
      </w:r>
      <w:r>
        <w:t>Payables</w:t>
      </w:r>
      <w:bookmarkEnd w:id="68"/>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shd w:val="solid" w:color="FFFFFF" w:fill="auto"/>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Current payables</w:t>
            </w: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r>
      <w:tr w:rsidR="00F87646" w:rsidRPr="00885307" w:rsidTr="00885307">
        <w:tc>
          <w:tcPr>
            <w:tcW w:w="2808" w:type="dxa"/>
            <w:tcBorders>
              <w:top w:val="nil"/>
              <w:left w:val="nil"/>
              <w:bottom w:val="nil"/>
              <w:right w:val="nil"/>
            </w:tcBorders>
            <w:shd w:val="solid" w:color="FFFFFF" w:fill="auto"/>
          </w:tcPr>
          <w:p w:rsidR="00F87646" w:rsidRPr="00885307" w:rsidRDefault="00F87646" w:rsidP="00885307">
            <w:pPr>
              <w:pStyle w:val="Tabletext"/>
              <w:rPr>
                <w:rFonts w:eastAsiaTheme="minorEastAsia"/>
                <w:lang w:eastAsia="en-AU"/>
              </w:rPr>
            </w:pPr>
            <w:r w:rsidRPr="00885307">
              <w:rPr>
                <w:rFonts w:eastAsiaTheme="minorEastAsia"/>
                <w:lang w:eastAsia="en-AU"/>
              </w:rPr>
              <w:t>Accounts payable and accrued expenses</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3 094.2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3 095.7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3 065.8</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2 974.5</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2 884.6</w:t>
            </w:r>
          </w:p>
        </w:tc>
      </w:tr>
      <w:tr w:rsidR="00F87646" w:rsidRPr="00885307" w:rsidTr="00885307">
        <w:tc>
          <w:tcPr>
            <w:tcW w:w="2808" w:type="dxa"/>
            <w:tcBorders>
              <w:top w:val="nil"/>
              <w:left w:val="nil"/>
              <w:bottom w:val="nil"/>
              <w:right w:val="nil"/>
            </w:tcBorders>
            <w:shd w:val="solid" w:color="FFFFFF" w:fill="auto"/>
          </w:tcPr>
          <w:p w:rsidR="00F87646" w:rsidRPr="00885307" w:rsidRDefault="00F87646" w:rsidP="00885307">
            <w:pPr>
              <w:pStyle w:val="Tabletext"/>
              <w:rPr>
                <w:rFonts w:eastAsiaTheme="minorEastAsia"/>
                <w:lang w:eastAsia="en-AU"/>
              </w:rPr>
            </w:pPr>
            <w:r w:rsidRPr="00885307">
              <w:rPr>
                <w:rFonts w:eastAsiaTheme="minorEastAsia"/>
                <w:lang w:eastAsia="en-AU"/>
              </w:rPr>
              <w:t>Accrued taxes payable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33.3</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32.8</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33.6</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34.5</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35.2</w:t>
            </w:r>
          </w:p>
        </w:tc>
      </w:tr>
      <w:tr w:rsidR="00F87646" w:rsidRPr="00885307" w:rsidTr="00885307">
        <w:tc>
          <w:tcPr>
            <w:tcW w:w="2808" w:type="dxa"/>
            <w:tcBorders>
              <w:top w:val="nil"/>
              <w:left w:val="nil"/>
              <w:bottom w:val="nil"/>
              <w:right w:val="nil"/>
            </w:tcBorders>
            <w:shd w:val="solid" w:color="FFFFFF" w:fill="auto"/>
          </w:tcPr>
          <w:p w:rsidR="00F87646" w:rsidRPr="00885307" w:rsidRDefault="00F87646" w:rsidP="00885307">
            <w:pPr>
              <w:pStyle w:val="Tabletext"/>
              <w:rPr>
                <w:rFonts w:eastAsiaTheme="minorEastAsia"/>
                <w:lang w:eastAsia="en-AU"/>
              </w:rPr>
            </w:pPr>
            <w:r w:rsidRPr="00885307">
              <w:rPr>
                <w:rFonts w:eastAsiaTheme="minorEastAsia"/>
                <w:lang w:eastAsia="en-AU"/>
              </w:rPr>
              <w:t>Unearned income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624.0</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634.7</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636.2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635.2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633.7</w:t>
            </w:r>
          </w:p>
        </w:tc>
      </w:tr>
      <w:tr w:rsidR="00F87646" w:rsidRPr="00885307" w:rsidTr="00885307">
        <w:tc>
          <w:tcPr>
            <w:tcW w:w="2808" w:type="dxa"/>
            <w:tcBorders>
              <w:top w:val="single" w:sz="6" w:space="0" w:color="auto"/>
              <w:left w:val="nil"/>
              <w:bottom w:val="nil"/>
              <w:right w:val="nil"/>
            </w:tcBorders>
            <w:shd w:val="solid" w:color="FFFFFF" w:fill="auto"/>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current payables</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3 751.5</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3 763.2</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3 735.6</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3 644.2</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3 553.5</w:t>
            </w:r>
          </w:p>
        </w:tc>
      </w:tr>
      <w:tr w:rsidR="00F87646" w:rsidRPr="00885307" w:rsidTr="00885307">
        <w:tc>
          <w:tcPr>
            <w:tcW w:w="2808" w:type="dxa"/>
            <w:tcBorders>
              <w:top w:val="nil"/>
              <w:left w:val="nil"/>
              <w:bottom w:val="nil"/>
              <w:right w:val="nil"/>
            </w:tcBorders>
            <w:shd w:val="solid" w:color="FFFFFF" w:fill="auto"/>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Non</w:t>
            </w:r>
            <w:r>
              <w:rPr>
                <w:rFonts w:eastAsiaTheme="minorEastAsia"/>
                <w:b/>
                <w:bCs/>
                <w:lang w:eastAsia="en-AU"/>
              </w:rPr>
              <w:noBreakHyphen/>
            </w:r>
            <w:r w:rsidRPr="00885307">
              <w:rPr>
                <w:rFonts w:eastAsiaTheme="minorEastAsia"/>
                <w:b/>
                <w:bCs/>
                <w:lang w:eastAsia="en-AU"/>
              </w:rPr>
              <w:t>current payables</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p>
        </w:tc>
      </w:tr>
      <w:tr w:rsidR="00F87646" w:rsidRPr="00885307" w:rsidTr="00885307">
        <w:tc>
          <w:tcPr>
            <w:tcW w:w="2808" w:type="dxa"/>
            <w:tcBorders>
              <w:top w:val="nil"/>
              <w:left w:val="nil"/>
              <w:bottom w:val="nil"/>
              <w:right w:val="nil"/>
            </w:tcBorders>
            <w:shd w:val="solid" w:color="FFFFFF" w:fill="auto"/>
          </w:tcPr>
          <w:p w:rsidR="00F87646" w:rsidRPr="00885307" w:rsidRDefault="00F87646" w:rsidP="00885307">
            <w:pPr>
              <w:pStyle w:val="Tabletext"/>
              <w:rPr>
                <w:rFonts w:eastAsiaTheme="minorEastAsia"/>
                <w:lang w:eastAsia="en-AU"/>
              </w:rPr>
            </w:pPr>
            <w:r w:rsidRPr="00885307">
              <w:rPr>
                <w:rFonts w:eastAsiaTheme="minorEastAsia"/>
                <w:lang w:eastAsia="en-AU"/>
              </w:rPr>
              <w:t>Accounts payable and accrued expenses</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160.1</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159.2</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95.5</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87.6</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79.3</w:t>
            </w:r>
          </w:p>
        </w:tc>
      </w:tr>
      <w:tr w:rsidR="00F87646" w:rsidRPr="00885307" w:rsidTr="00885307">
        <w:tc>
          <w:tcPr>
            <w:tcW w:w="2808" w:type="dxa"/>
            <w:tcBorders>
              <w:top w:val="nil"/>
              <w:left w:val="nil"/>
              <w:bottom w:val="nil"/>
              <w:right w:val="nil"/>
            </w:tcBorders>
            <w:shd w:val="solid" w:color="FFFFFF" w:fill="auto"/>
          </w:tcPr>
          <w:p w:rsidR="00F87646" w:rsidRPr="00885307" w:rsidRDefault="00F87646" w:rsidP="00885307">
            <w:pPr>
              <w:pStyle w:val="Tabletext"/>
              <w:rPr>
                <w:rFonts w:eastAsiaTheme="minorEastAsia"/>
                <w:lang w:eastAsia="en-AU"/>
              </w:rPr>
            </w:pPr>
            <w:r w:rsidRPr="00885307">
              <w:rPr>
                <w:rFonts w:eastAsiaTheme="minorEastAsia"/>
                <w:lang w:eastAsia="en-AU"/>
              </w:rPr>
              <w:t>Unearned income</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1 295.4</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1 820.5</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1 779.0</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1 777.0</w:t>
            </w:r>
          </w:p>
        </w:tc>
        <w:tc>
          <w:tcPr>
            <w:tcW w:w="993" w:type="dxa"/>
            <w:tcBorders>
              <w:top w:val="nil"/>
              <w:left w:val="nil"/>
              <w:bottom w:val="nil"/>
              <w:right w:val="nil"/>
            </w:tcBorders>
            <w:shd w:val="solid" w:color="FFFFFF" w:fill="auto"/>
          </w:tcPr>
          <w:p w:rsidR="00F87646" w:rsidRPr="00885307" w:rsidRDefault="00F87646" w:rsidP="00885307">
            <w:pPr>
              <w:pStyle w:val="TableofFigures"/>
              <w:rPr>
                <w:rFonts w:eastAsiaTheme="minorEastAsia"/>
                <w:lang w:eastAsia="en-AU"/>
              </w:rPr>
            </w:pPr>
            <w:r w:rsidRPr="00885307">
              <w:rPr>
                <w:rFonts w:eastAsiaTheme="minorEastAsia"/>
                <w:lang w:eastAsia="en-AU"/>
              </w:rPr>
              <w:t>1 737.5</w:t>
            </w:r>
          </w:p>
        </w:tc>
      </w:tr>
      <w:tr w:rsidR="00F87646" w:rsidRPr="00885307" w:rsidTr="00885307">
        <w:tc>
          <w:tcPr>
            <w:tcW w:w="2808" w:type="dxa"/>
            <w:tcBorders>
              <w:top w:val="single" w:sz="6" w:space="0" w:color="auto"/>
              <w:left w:val="nil"/>
              <w:bottom w:val="single" w:sz="6" w:space="0" w:color="auto"/>
              <w:right w:val="nil"/>
            </w:tcBorders>
            <w:shd w:val="solid" w:color="FFFFFF" w:fill="auto"/>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non</w:t>
            </w:r>
            <w:r>
              <w:rPr>
                <w:rFonts w:eastAsiaTheme="minorEastAsia"/>
                <w:b/>
                <w:bCs/>
                <w:lang w:eastAsia="en-AU"/>
              </w:rPr>
              <w:noBreakHyphen/>
            </w:r>
            <w:r w:rsidRPr="00885307">
              <w:rPr>
                <w:rFonts w:eastAsiaTheme="minorEastAsia"/>
                <w:b/>
                <w:bCs/>
                <w:lang w:eastAsia="en-AU"/>
              </w:rPr>
              <w:t>current payables</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1 455.5</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1 979.7</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1 874.4</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1 864.7</w:t>
            </w:r>
          </w:p>
        </w:tc>
        <w:tc>
          <w:tcPr>
            <w:tcW w:w="993" w:type="dxa"/>
            <w:tcBorders>
              <w:top w:val="single" w:sz="6" w:space="0" w:color="auto"/>
              <w:left w:val="nil"/>
              <w:bottom w:val="nil"/>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1 816.7</w:t>
            </w:r>
          </w:p>
        </w:tc>
      </w:tr>
      <w:tr w:rsidR="00F87646" w:rsidRPr="00885307" w:rsidTr="00885307">
        <w:tc>
          <w:tcPr>
            <w:tcW w:w="2808"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payables</w:t>
            </w:r>
          </w:p>
        </w:tc>
        <w:tc>
          <w:tcPr>
            <w:tcW w:w="993"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5 207.0</w:t>
            </w:r>
          </w:p>
        </w:tc>
        <w:tc>
          <w:tcPr>
            <w:tcW w:w="993"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5 742.9</w:t>
            </w:r>
          </w:p>
        </w:tc>
        <w:tc>
          <w:tcPr>
            <w:tcW w:w="993"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5 610.0</w:t>
            </w:r>
          </w:p>
        </w:tc>
        <w:tc>
          <w:tcPr>
            <w:tcW w:w="993"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5 508.9</w:t>
            </w:r>
          </w:p>
        </w:tc>
        <w:tc>
          <w:tcPr>
            <w:tcW w:w="993" w:type="dxa"/>
            <w:tcBorders>
              <w:top w:val="single" w:sz="6" w:space="0" w:color="auto"/>
              <w:left w:val="nil"/>
              <w:bottom w:val="single" w:sz="12" w:space="0" w:color="auto"/>
              <w:right w:val="nil"/>
            </w:tcBorders>
            <w:shd w:val="solid" w:color="FFFFFF" w:fill="auto"/>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5 370.2</w:t>
            </w:r>
          </w:p>
        </w:tc>
      </w:tr>
    </w:tbl>
    <w:p w:rsidR="00F87646" w:rsidRPr="003565CD" w:rsidRDefault="00F87646" w:rsidP="00DB7D79">
      <w:pPr>
        <w:pStyle w:val="Source"/>
      </w:pPr>
    </w:p>
    <w:p w:rsidR="00F87646" w:rsidRDefault="00F87646" w:rsidP="005E2118"/>
    <w:p w:rsidR="00F87646" w:rsidRDefault="00F87646" w:rsidP="005E2118">
      <w:pPr>
        <w:pStyle w:val="Heading2Notes"/>
      </w:pPr>
      <w:bookmarkStart w:id="69" w:name="_Toc403141625"/>
      <w:r w:rsidRPr="00B56B1C">
        <w:t>Note 2</w:t>
      </w:r>
      <w:r>
        <w:t>1</w:t>
      </w:r>
      <w:r w:rsidRPr="00B56B1C">
        <w:t>:</w:t>
      </w:r>
      <w:r w:rsidRPr="00B56B1C">
        <w:tab/>
        <w:t>Borrowings</w:t>
      </w:r>
      <w:bookmarkEnd w:id="67"/>
      <w:bookmarkEnd w:id="69"/>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885307" w:rsidTr="00885307">
        <w:tc>
          <w:tcPr>
            <w:tcW w:w="2808"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9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2808"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2808" w:type="dxa"/>
            <w:tcBorders>
              <w:top w:val="single" w:sz="4"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Current borrowings</w:t>
            </w: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p>
        </w:tc>
        <w:tc>
          <w:tcPr>
            <w:tcW w:w="993" w:type="dxa"/>
            <w:tcBorders>
              <w:top w:val="single" w:sz="4" w:space="0" w:color="auto"/>
              <w:left w:val="nil"/>
              <w:bottom w:val="nil"/>
              <w:right w:val="nil"/>
            </w:tcBorders>
          </w:tcPr>
          <w:p w:rsidR="00F87646" w:rsidRPr="00885307" w:rsidRDefault="00F87646" w:rsidP="00885307">
            <w:pPr>
              <w:pStyle w:val="TableofFigures"/>
              <w:rPr>
                <w:rFonts w:eastAsiaTheme="minorEastAsia"/>
                <w:lang w:eastAsia="en-AU"/>
              </w:rPr>
            </w:pP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Domestic borrowings</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1 443.0</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1 443.0</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1 448.0</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1 453.0</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1 458.0</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Finance lease liabilities</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148.3</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120.2</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99.8</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104.5</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115.9</w:t>
            </w:r>
          </w:p>
        </w:tc>
      </w:tr>
      <w:tr w:rsidR="00F87646" w:rsidRPr="00885307" w:rsidTr="00885307">
        <w:tc>
          <w:tcPr>
            <w:tcW w:w="2808" w:type="dxa"/>
            <w:tcBorders>
              <w:top w:val="single" w:sz="6"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current borrowings</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1 591.3</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1 563.2</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1 547.8</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1 557.5</w:t>
            </w:r>
          </w:p>
        </w:tc>
        <w:tc>
          <w:tcPr>
            <w:tcW w:w="993" w:type="dxa"/>
            <w:tcBorders>
              <w:top w:val="single" w:sz="6" w:space="0" w:color="auto"/>
              <w:left w:val="nil"/>
              <w:bottom w:val="nil"/>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1 573.9</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Non</w:t>
            </w:r>
            <w:r>
              <w:rPr>
                <w:rFonts w:eastAsiaTheme="minorEastAsia"/>
                <w:b/>
                <w:bCs/>
                <w:lang w:eastAsia="en-AU"/>
              </w:rPr>
              <w:noBreakHyphen/>
            </w:r>
            <w:r w:rsidRPr="00885307">
              <w:rPr>
                <w:rFonts w:eastAsiaTheme="minorEastAsia"/>
                <w:b/>
                <w:bCs/>
                <w:lang w:eastAsia="en-AU"/>
              </w:rPr>
              <w:t>current borrowings</w:t>
            </w:r>
          </w:p>
        </w:tc>
        <w:tc>
          <w:tcPr>
            <w:tcW w:w="993" w:type="dxa"/>
            <w:tcBorders>
              <w:top w:val="nil"/>
              <w:left w:val="nil"/>
              <w:bottom w:val="nil"/>
              <w:right w:val="nil"/>
            </w:tcBorders>
          </w:tcPr>
          <w:p w:rsidR="00F87646" w:rsidRPr="00885307" w:rsidRDefault="00F87646" w:rsidP="00885307">
            <w:pPr>
              <w:pStyle w:val="TableofFigures"/>
              <w:rPr>
                <w:rFonts w:eastAsiaTheme="minorEastAsia"/>
                <w:b/>
                <w:bCs/>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b/>
                <w:bCs/>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b/>
                <w:bCs/>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b/>
                <w:bCs/>
                <w:lang w:eastAsia="en-AU"/>
              </w:rPr>
            </w:pPr>
          </w:p>
        </w:tc>
        <w:tc>
          <w:tcPr>
            <w:tcW w:w="993" w:type="dxa"/>
            <w:tcBorders>
              <w:top w:val="nil"/>
              <w:left w:val="nil"/>
              <w:bottom w:val="nil"/>
              <w:right w:val="nil"/>
            </w:tcBorders>
          </w:tcPr>
          <w:p w:rsidR="00F87646" w:rsidRPr="00885307" w:rsidRDefault="00F87646" w:rsidP="00885307">
            <w:pPr>
              <w:pStyle w:val="TableofFigures"/>
              <w:rPr>
                <w:rFonts w:eastAsiaTheme="minorEastAsia"/>
                <w:b/>
                <w:bCs/>
                <w:lang w:eastAsia="en-AU"/>
              </w:rPr>
            </w:pP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Domestic borrowings</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25 538.6</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24 240.3</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19 422.5</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20 100.4</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20 618.8</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Finance lease liabilities</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7 782.6</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7 846.6</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8 793.3</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9 535.3</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10 413.5</w:t>
            </w:r>
          </w:p>
        </w:tc>
      </w:tr>
      <w:tr w:rsidR="00F87646" w:rsidRPr="00885307" w:rsidTr="00885307">
        <w:tc>
          <w:tcPr>
            <w:tcW w:w="2808"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Derivative financial instruments</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20.8</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20.8</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20.8</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20.8</w:t>
            </w:r>
          </w:p>
        </w:tc>
        <w:tc>
          <w:tcPr>
            <w:tcW w:w="993" w:type="dxa"/>
            <w:tcBorders>
              <w:top w:val="nil"/>
              <w:left w:val="nil"/>
              <w:bottom w:val="nil"/>
              <w:right w:val="nil"/>
            </w:tcBorders>
          </w:tcPr>
          <w:p w:rsidR="00F87646" w:rsidRPr="00885307" w:rsidRDefault="00F87646" w:rsidP="00885307">
            <w:pPr>
              <w:pStyle w:val="TableofFigures"/>
              <w:rPr>
                <w:rFonts w:eastAsiaTheme="minorEastAsia"/>
                <w:lang w:eastAsia="en-AU"/>
              </w:rPr>
            </w:pPr>
            <w:r w:rsidRPr="00885307">
              <w:rPr>
                <w:rFonts w:eastAsiaTheme="minorEastAsia"/>
                <w:lang w:eastAsia="en-AU"/>
              </w:rPr>
              <w:t xml:space="preserve"> 20.8</w:t>
            </w:r>
          </w:p>
        </w:tc>
      </w:tr>
      <w:tr w:rsidR="00F87646" w:rsidRPr="00885307" w:rsidTr="00885307">
        <w:tc>
          <w:tcPr>
            <w:tcW w:w="2808"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non</w:t>
            </w:r>
            <w:r>
              <w:rPr>
                <w:rFonts w:eastAsiaTheme="minorEastAsia"/>
                <w:b/>
                <w:bCs/>
                <w:lang w:eastAsia="en-AU"/>
              </w:rPr>
              <w:noBreakHyphen/>
            </w:r>
            <w:r w:rsidRPr="00885307">
              <w:rPr>
                <w:rFonts w:eastAsiaTheme="minorEastAsia"/>
                <w:b/>
                <w:bCs/>
                <w:lang w:eastAsia="en-AU"/>
              </w:rPr>
              <w:t>current borrowings</w:t>
            </w:r>
          </w:p>
        </w:tc>
        <w:tc>
          <w:tcPr>
            <w:tcW w:w="99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33 342.0</w:t>
            </w:r>
          </w:p>
        </w:tc>
        <w:tc>
          <w:tcPr>
            <w:tcW w:w="99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32 107.6</w:t>
            </w:r>
          </w:p>
        </w:tc>
        <w:tc>
          <w:tcPr>
            <w:tcW w:w="99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28 236.6</w:t>
            </w:r>
          </w:p>
        </w:tc>
        <w:tc>
          <w:tcPr>
            <w:tcW w:w="99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29 656.4</w:t>
            </w:r>
          </w:p>
        </w:tc>
        <w:tc>
          <w:tcPr>
            <w:tcW w:w="99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31 053.0</w:t>
            </w:r>
          </w:p>
        </w:tc>
      </w:tr>
      <w:tr w:rsidR="00F87646" w:rsidRPr="00885307" w:rsidTr="00885307">
        <w:tc>
          <w:tcPr>
            <w:tcW w:w="2808"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Total borrowings</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34 933.3</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33 670.9</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29 784.4</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31 214.0</w:t>
            </w:r>
          </w:p>
        </w:tc>
        <w:tc>
          <w:tcPr>
            <w:tcW w:w="99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lang w:eastAsia="en-AU"/>
              </w:rPr>
            </w:pPr>
            <w:r w:rsidRPr="00885307">
              <w:rPr>
                <w:rFonts w:eastAsiaTheme="minorEastAsia"/>
                <w:b/>
                <w:bCs/>
                <w:lang w:eastAsia="en-AU"/>
              </w:rPr>
              <w:t>32 626.9</w:t>
            </w:r>
          </w:p>
        </w:tc>
      </w:tr>
    </w:tbl>
    <w:p w:rsidR="00F87646" w:rsidRPr="003565CD" w:rsidRDefault="00F87646" w:rsidP="00DB7D79">
      <w:pPr>
        <w:pStyle w:val="Source"/>
      </w:pPr>
    </w:p>
    <w:p w:rsidR="00F87646" w:rsidRDefault="00F87646" w:rsidP="00DB7D79"/>
    <w:p w:rsidR="00F87646" w:rsidRDefault="00F87646">
      <w:pPr>
        <w:spacing w:after="0"/>
        <w:rPr>
          <w:rFonts w:ascii="Calibri" w:hAnsi="Calibri"/>
          <w:b/>
          <w:kern w:val="28"/>
          <w:sz w:val="26"/>
          <w:szCs w:val="22"/>
        </w:rPr>
      </w:pPr>
      <w:bookmarkStart w:id="70" w:name="_Toc373751827"/>
      <w:r>
        <w:br w:type="page"/>
      </w:r>
    </w:p>
    <w:p w:rsidR="00F87646" w:rsidRDefault="00F87646" w:rsidP="005E2118">
      <w:pPr>
        <w:pStyle w:val="Heading2Notes"/>
      </w:pPr>
      <w:bookmarkStart w:id="71" w:name="_Toc403141626"/>
      <w:r>
        <w:lastRenderedPageBreak/>
        <w:t>Note 22</w:t>
      </w:r>
      <w:r w:rsidRPr="00B56B1C">
        <w:t>:</w:t>
      </w:r>
      <w:r w:rsidRPr="00B56B1C">
        <w:tab/>
        <w:t>Employee benefits</w:t>
      </w:r>
      <w:bookmarkEnd w:id="70"/>
      <w:bookmarkEnd w:id="71"/>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Current</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vertAlign w:val="superscript"/>
                <w:lang w:eastAsia="en-AU"/>
              </w:rPr>
            </w:pPr>
            <w:r w:rsidRPr="00885307">
              <w:rPr>
                <w:rFonts w:eastAsiaTheme="minorEastAsia"/>
                <w:color w:val="000000"/>
                <w:lang w:eastAsia="en-AU"/>
              </w:rPr>
              <w:t>Accrued salaries and wages</w:t>
            </w:r>
            <w:r w:rsidRPr="00885307">
              <w:rPr>
                <w:rFonts w:eastAsiaTheme="minorEastAsia"/>
                <w:color w:val="000000"/>
                <w:vertAlign w:val="superscript"/>
                <w:lang w:eastAsia="en-AU"/>
              </w:rPr>
              <w:t xml:space="preserve"> (a)</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1 627.8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1 626.0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1 685.5</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1 738.1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1 792.4</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Long service leave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3 177.4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3 176.8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3 308.8</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3 444.7</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3 578.9</w:t>
            </w:r>
          </w:p>
        </w:tc>
      </w:tr>
      <w:tr w:rsidR="00F87646" w:rsidRPr="00885307" w:rsidTr="00885307">
        <w:tc>
          <w:tcPr>
            <w:tcW w:w="3164" w:type="dxa"/>
            <w:tcBorders>
              <w:top w:val="single" w:sz="6" w:space="0" w:color="auto"/>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current employee benefits</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4 805.2</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4 802.8</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4 994.3</w:t>
            </w:r>
          </w:p>
        </w:tc>
        <w:tc>
          <w:tcPr>
            <w:tcW w:w="922"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5 182.7</w:t>
            </w:r>
          </w:p>
        </w:tc>
        <w:tc>
          <w:tcPr>
            <w:tcW w:w="923" w:type="dxa"/>
            <w:tcBorders>
              <w:top w:val="single" w:sz="6"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5 371.3</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Non</w:t>
            </w:r>
            <w:r>
              <w:rPr>
                <w:rFonts w:eastAsiaTheme="minorEastAsia"/>
                <w:b/>
                <w:bCs/>
                <w:color w:val="000000"/>
                <w:lang w:eastAsia="en-AU"/>
              </w:rPr>
              <w:noBreakHyphen/>
            </w:r>
            <w:r w:rsidRPr="00885307">
              <w:rPr>
                <w:rFonts w:eastAsiaTheme="minorEastAsia"/>
                <w:b/>
                <w:bCs/>
                <w:color w:val="000000"/>
                <w:lang w:eastAsia="en-AU"/>
              </w:rPr>
              <w:t>current</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r>
      <w:tr w:rsidR="00F87646" w:rsidRPr="00885307" w:rsidTr="00885307">
        <w:tc>
          <w:tcPr>
            <w:tcW w:w="3164" w:type="dxa"/>
            <w:tcBorders>
              <w:top w:val="nil"/>
              <w:left w:val="nil"/>
              <w:bottom w:val="single" w:sz="6" w:space="0" w:color="auto"/>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Long service leave</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730.0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725.0</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783.9</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845.1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909.0</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non</w:t>
            </w:r>
            <w:r>
              <w:rPr>
                <w:rFonts w:eastAsiaTheme="minorEastAsia"/>
                <w:b/>
                <w:bCs/>
                <w:color w:val="000000"/>
                <w:lang w:eastAsia="en-AU"/>
              </w:rPr>
              <w:noBreakHyphen/>
            </w:r>
            <w:r w:rsidRPr="00885307">
              <w:rPr>
                <w:rFonts w:eastAsiaTheme="minorEastAsia"/>
                <w:b/>
                <w:bCs/>
                <w:color w:val="000000"/>
                <w:lang w:eastAsia="en-AU"/>
              </w:rPr>
              <w:t>current employee benefits</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730.0</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725.0</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783.9</w:t>
            </w:r>
          </w:p>
        </w:tc>
        <w:tc>
          <w:tcPr>
            <w:tcW w:w="922"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845.1</w:t>
            </w:r>
          </w:p>
        </w:tc>
        <w:tc>
          <w:tcPr>
            <w:tcW w:w="923"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909.0</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employee benefits</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5 535.2</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5 527.8</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5 778.2</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6 027.8</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6 280.4</w:t>
            </w:r>
          </w:p>
        </w:tc>
      </w:tr>
    </w:tbl>
    <w:p w:rsidR="00F87646" w:rsidRDefault="00F87646" w:rsidP="00DB7D79">
      <w:pPr>
        <w:pStyle w:val="Notes"/>
      </w:pPr>
      <w:r>
        <w:t>Note:</w:t>
      </w:r>
    </w:p>
    <w:p w:rsidR="00F87646" w:rsidRDefault="00F87646" w:rsidP="00DB7D79">
      <w:pPr>
        <w:pStyle w:val="Notes"/>
      </w:pPr>
      <w:r>
        <w:t>(a)</w:t>
      </w:r>
      <w:r>
        <w:tab/>
        <w:t>Includes accrued annual leave and other similar on costs.</w:t>
      </w:r>
    </w:p>
    <w:p w:rsidR="00F87646" w:rsidRPr="003565CD" w:rsidRDefault="00F87646" w:rsidP="00DB7D79">
      <w:pPr>
        <w:pStyle w:val="Source"/>
      </w:pPr>
    </w:p>
    <w:p w:rsidR="00F87646" w:rsidRDefault="00F87646">
      <w:pPr>
        <w:spacing w:after="0"/>
        <w:rPr>
          <w:rFonts w:ascii="Calibri" w:hAnsi="Calibri"/>
          <w:b/>
          <w:kern w:val="28"/>
          <w:sz w:val="26"/>
          <w:szCs w:val="22"/>
        </w:rPr>
      </w:pPr>
      <w:bookmarkStart w:id="72" w:name="_Toc373751828"/>
    </w:p>
    <w:p w:rsidR="00F87646" w:rsidRDefault="00F87646" w:rsidP="005E2118">
      <w:pPr>
        <w:pStyle w:val="Heading2Notes"/>
      </w:pPr>
      <w:bookmarkStart w:id="73" w:name="_Toc403141627"/>
      <w:r>
        <w:t>Note 23</w:t>
      </w:r>
      <w:r w:rsidRPr="00B56B1C">
        <w:t>:</w:t>
      </w:r>
      <w:r w:rsidRPr="00B56B1C">
        <w:tab/>
        <w:t>Reserves</w:t>
      </w:r>
      <w:bookmarkEnd w:id="72"/>
      <w:bookmarkEnd w:id="73"/>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F87646" w:rsidRPr="00885307" w:rsidTr="00885307">
        <w:tc>
          <w:tcPr>
            <w:tcW w:w="316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p>
        </w:tc>
        <w:tc>
          <w:tcPr>
            <w:tcW w:w="923"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p>
        </w:tc>
        <w:tc>
          <w:tcPr>
            <w:tcW w:w="922"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p>
        </w:tc>
        <w:tc>
          <w:tcPr>
            <w:tcW w:w="923"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2018</w:t>
            </w:r>
          </w:p>
        </w:tc>
      </w:tr>
      <w:tr w:rsidR="00F87646" w:rsidRPr="00885307" w:rsidTr="00885307">
        <w:tc>
          <w:tcPr>
            <w:tcW w:w="316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164" w:type="dxa"/>
            <w:tcBorders>
              <w:top w:val="single" w:sz="4" w:space="0" w:color="auto"/>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Property plant and equipment revaluation surplus</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44 105.8</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44 070.8</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44 496.9</w:t>
            </w:r>
          </w:p>
        </w:tc>
        <w:tc>
          <w:tcPr>
            <w:tcW w:w="922"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46 430.3</w:t>
            </w:r>
          </w:p>
        </w:tc>
        <w:tc>
          <w:tcPr>
            <w:tcW w:w="923" w:type="dxa"/>
            <w:tcBorders>
              <w:top w:val="single" w:sz="4" w:space="0" w:color="auto"/>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51 026.2</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Available</w:t>
            </w:r>
            <w:r>
              <w:rPr>
                <w:rFonts w:eastAsiaTheme="minorEastAsia"/>
                <w:color w:val="000000"/>
                <w:lang w:eastAsia="en-AU"/>
              </w:rPr>
              <w:noBreakHyphen/>
            </w:r>
            <w:r w:rsidRPr="00885307">
              <w:rPr>
                <w:rFonts w:eastAsiaTheme="minorEastAsia"/>
                <w:color w:val="000000"/>
                <w:lang w:eastAsia="en-AU"/>
              </w:rPr>
              <w:t>for</w:t>
            </w:r>
            <w:r>
              <w:rPr>
                <w:rFonts w:eastAsiaTheme="minorEastAsia"/>
                <w:color w:val="000000"/>
                <w:lang w:eastAsia="en-AU"/>
              </w:rPr>
              <w:noBreakHyphen/>
            </w:r>
            <w:r w:rsidRPr="00885307">
              <w:rPr>
                <w:rFonts w:eastAsiaTheme="minorEastAsia"/>
                <w:color w:val="000000"/>
                <w:lang w:eastAsia="en-AU"/>
              </w:rPr>
              <w:t>sale investments revaluation surplus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59.4</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61.8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63.1</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Revaluation reserve for investments in PFC and PNFC entities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45 071.6</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45 071.6</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45 510.4</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45 373.1</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45 279.6</w:t>
            </w:r>
          </w:p>
        </w:tc>
      </w:tr>
      <w:tr w:rsidR="00F87646" w:rsidRPr="00885307" w:rsidTr="00885307">
        <w:tc>
          <w:tcPr>
            <w:tcW w:w="3164" w:type="dxa"/>
            <w:tcBorders>
              <w:top w:val="nil"/>
              <w:left w:val="nil"/>
              <w:bottom w:val="nil"/>
              <w:right w:val="nil"/>
            </w:tcBorders>
          </w:tcPr>
          <w:p w:rsidR="00F87646" w:rsidRPr="00885307" w:rsidRDefault="00F87646" w:rsidP="00885307">
            <w:pPr>
              <w:pStyle w:val="Tabletext"/>
              <w:rPr>
                <w:rFonts w:eastAsiaTheme="minorEastAsia"/>
                <w:color w:val="000000"/>
                <w:lang w:eastAsia="en-AU"/>
              </w:rPr>
            </w:pPr>
            <w:r w:rsidRPr="00885307">
              <w:rPr>
                <w:rFonts w:eastAsiaTheme="minorEastAsia"/>
                <w:color w:val="000000"/>
                <w:lang w:eastAsia="en-AU"/>
              </w:rPr>
              <w:t>Other reserves</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577.0</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577.8</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582.1</w:t>
            </w:r>
          </w:p>
        </w:tc>
        <w:tc>
          <w:tcPr>
            <w:tcW w:w="922"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591.3</w:t>
            </w:r>
          </w:p>
        </w:tc>
        <w:tc>
          <w:tcPr>
            <w:tcW w:w="923"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601.8</w:t>
            </w:r>
          </w:p>
        </w:tc>
      </w:tr>
      <w:tr w:rsidR="00F87646" w:rsidRPr="00885307" w:rsidTr="00885307">
        <w:tc>
          <w:tcPr>
            <w:tcW w:w="3164" w:type="dxa"/>
            <w:tcBorders>
              <w:top w:val="single" w:sz="6" w:space="0" w:color="auto"/>
              <w:left w:val="nil"/>
              <w:bottom w:val="single" w:sz="12" w:space="0" w:color="auto"/>
              <w:right w:val="nil"/>
            </w:tcBorders>
          </w:tcPr>
          <w:p w:rsidR="00F87646" w:rsidRPr="00885307" w:rsidRDefault="00F87646" w:rsidP="00885307">
            <w:pPr>
              <w:pStyle w:val="Tabletext"/>
              <w:rPr>
                <w:rFonts w:eastAsiaTheme="minorEastAsia"/>
                <w:b/>
                <w:bCs/>
                <w:color w:val="000000"/>
                <w:lang w:eastAsia="en-AU"/>
              </w:rPr>
            </w:pPr>
            <w:r w:rsidRPr="00885307">
              <w:rPr>
                <w:rFonts w:eastAsiaTheme="minorEastAsia"/>
                <w:b/>
                <w:bCs/>
                <w:color w:val="000000"/>
                <w:lang w:eastAsia="en-AU"/>
              </w:rPr>
              <w:t>Total reserves</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89 813.8</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89 779.6</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90 650.0</w:t>
            </w:r>
          </w:p>
        </w:tc>
        <w:tc>
          <w:tcPr>
            <w:tcW w:w="922"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92 456.5</w:t>
            </w:r>
          </w:p>
        </w:tc>
        <w:tc>
          <w:tcPr>
            <w:tcW w:w="923"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96 970.6</w:t>
            </w:r>
          </w:p>
        </w:tc>
      </w:tr>
    </w:tbl>
    <w:p w:rsidR="00F87646" w:rsidRPr="003565CD" w:rsidRDefault="00F87646" w:rsidP="00444450">
      <w:pPr>
        <w:pStyle w:val="Source"/>
      </w:pPr>
    </w:p>
    <w:p w:rsidR="00F87646" w:rsidRDefault="00F87646" w:rsidP="00444450"/>
    <w:p w:rsidR="00F87646" w:rsidRDefault="00F87646">
      <w:pPr>
        <w:spacing w:after="0"/>
        <w:rPr>
          <w:rFonts w:ascii="Calibri" w:hAnsi="Calibri"/>
          <w:b/>
          <w:kern w:val="28"/>
          <w:sz w:val="26"/>
          <w:szCs w:val="22"/>
        </w:rPr>
      </w:pPr>
      <w:bookmarkStart w:id="74" w:name="_Toc373751829"/>
      <w:r>
        <w:br w:type="page"/>
      </w:r>
    </w:p>
    <w:p w:rsidR="00F87646" w:rsidRDefault="00F87646" w:rsidP="005E2118">
      <w:pPr>
        <w:pStyle w:val="Heading2Notes"/>
      </w:pPr>
      <w:bookmarkStart w:id="75" w:name="_Toc403141628"/>
      <w:r>
        <w:lastRenderedPageBreak/>
        <w:t>Note 24</w:t>
      </w:r>
      <w:r w:rsidRPr="00B56B1C">
        <w:t>:</w:t>
      </w:r>
      <w:r w:rsidRPr="00B56B1C">
        <w:tab/>
        <w:t>Reconciliations to government finance statistics – derivation of GFS cash/surplus deficit</w:t>
      </w:r>
      <w:bookmarkEnd w:id="74"/>
      <w:bookmarkEnd w:id="75"/>
    </w:p>
    <w:p w:rsidR="00F87646" w:rsidRPr="00885307" w:rsidRDefault="00F87646" w:rsidP="00885307">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940"/>
        <w:gridCol w:w="940"/>
        <w:gridCol w:w="941"/>
        <w:gridCol w:w="940"/>
        <w:gridCol w:w="941"/>
      </w:tblGrid>
      <w:tr w:rsidR="00F87646" w:rsidRPr="00885307" w:rsidTr="00885307">
        <w:tc>
          <w:tcPr>
            <w:tcW w:w="3074" w:type="dxa"/>
            <w:tcBorders>
              <w:top w:val="single" w:sz="4" w:space="0" w:color="auto"/>
              <w:left w:val="single" w:sz="4" w:space="0" w:color="auto"/>
              <w:bottom w:val="nil"/>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40"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40"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2014</w:t>
            </w:r>
            <w:r>
              <w:rPr>
                <w:rFonts w:eastAsiaTheme="minorEastAsia"/>
                <w:lang w:eastAsia="en-AU"/>
              </w:rPr>
              <w:noBreakHyphen/>
            </w:r>
            <w:r w:rsidRPr="00885307">
              <w:rPr>
                <w:rFonts w:eastAsiaTheme="minorEastAsia"/>
                <w:lang w:eastAsia="en-AU"/>
              </w:rPr>
              <w:t>15</w:t>
            </w:r>
          </w:p>
        </w:tc>
        <w:tc>
          <w:tcPr>
            <w:tcW w:w="941"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2015</w:t>
            </w:r>
            <w:r>
              <w:rPr>
                <w:rFonts w:eastAsiaTheme="minorEastAsia"/>
                <w:lang w:eastAsia="en-AU"/>
              </w:rPr>
              <w:noBreakHyphen/>
            </w:r>
            <w:r w:rsidRPr="00885307">
              <w:rPr>
                <w:rFonts w:eastAsiaTheme="minorEastAsia"/>
                <w:lang w:eastAsia="en-AU"/>
              </w:rPr>
              <w:t>16</w:t>
            </w:r>
          </w:p>
        </w:tc>
        <w:tc>
          <w:tcPr>
            <w:tcW w:w="940" w:type="dxa"/>
            <w:tcBorders>
              <w:top w:val="single" w:sz="4" w:space="0" w:color="auto"/>
              <w:left w:val="nil"/>
              <w:bottom w:val="nil"/>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2016</w:t>
            </w:r>
            <w:r>
              <w:rPr>
                <w:rFonts w:eastAsiaTheme="minorEastAsia"/>
                <w:lang w:eastAsia="en-AU"/>
              </w:rPr>
              <w:noBreakHyphen/>
            </w:r>
            <w:r w:rsidRPr="00885307">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2017</w:t>
            </w:r>
            <w:r>
              <w:rPr>
                <w:rFonts w:eastAsiaTheme="minorEastAsia"/>
                <w:lang w:eastAsia="en-AU"/>
              </w:rPr>
              <w:noBreakHyphen/>
            </w:r>
            <w:r w:rsidRPr="00885307">
              <w:rPr>
                <w:rFonts w:eastAsiaTheme="minorEastAsia"/>
                <w:lang w:eastAsia="en-AU"/>
              </w:rPr>
              <w:t>18</w:t>
            </w:r>
          </w:p>
        </w:tc>
      </w:tr>
      <w:tr w:rsidR="00F87646" w:rsidRPr="00885307" w:rsidTr="00885307">
        <w:tc>
          <w:tcPr>
            <w:tcW w:w="3074" w:type="dxa"/>
            <w:tcBorders>
              <w:top w:val="nil"/>
              <w:left w:val="single" w:sz="4" w:space="0" w:color="auto"/>
              <w:bottom w:val="single" w:sz="4" w:space="0" w:color="auto"/>
              <w:right w:val="nil"/>
            </w:tcBorders>
            <w:shd w:val="clear" w:color="auto" w:fill="000000"/>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40"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F87646" w:rsidRPr="00885307" w:rsidRDefault="00F87646" w:rsidP="00885307">
            <w:pPr>
              <w:pStyle w:val="Tabletextheading"/>
              <w:rPr>
                <w:rFonts w:eastAsiaTheme="minorEastAsia"/>
                <w:lang w:eastAsia="en-AU"/>
              </w:rPr>
            </w:pPr>
            <w:r w:rsidRPr="00885307">
              <w:rPr>
                <w:rFonts w:eastAsiaTheme="minorEastAsia"/>
                <w:lang w:eastAsia="en-AU"/>
              </w:rPr>
              <w:t>estimate</w:t>
            </w:r>
          </w:p>
        </w:tc>
      </w:tr>
      <w:tr w:rsidR="00F87646" w:rsidRPr="00885307" w:rsidTr="00885307">
        <w:tc>
          <w:tcPr>
            <w:tcW w:w="3074" w:type="dxa"/>
            <w:tcBorders>
              <w:top w:val="single" w:sz="4" w:space="0" w:color="auto"/>
              <w:left w:val="nil"/>
              <w:bottom w:val="nil"/>
              <w:right w:val="nil"/>
            </w:tcBorders>
          </w:tcPr>
          <w:p w:rsidR="00F87646" w:rsidRPr="00885307" w:rsidRDefault="00F87646" w:rsidP="00885307">
            <w:pPr>
              <w:pStyle w:val="Tabletext"/>
              <w:rPr>
                <w:rFonts w:eastAsiaTheme="minorEastAsia"/>
                <w:b/>
                <w:bCs/>
                <w:lang w:eastAsia="en-AU"/>
              </w:rPr>
            </w:pPr>
            <w:r w:rsidRPr="00885307">
              <w:rPr>
                <w:rFonts w:eastAsiaTheme="minorEastAsia"/>
                <w:b/>
                <w:bCs/>
                <w:lang w:eastAsia="en-AU"/>
              </w:rPr>
              <w:t>Cash surplus/(deficit)</w:t>
            </w:r>
          </w:p>
        </w:tc>
        <w:tc>
          <w:tcPr>
            <w:tcW w:w="940"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(1 088.0)</w:t>
            </w:r>
          </w:p>
        </w:tc>
        <w:tc>
          <w:tcPr>
            <w:tcW w:w="940"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( 400.0)</w:t>
            </w:r>
          </w:p>
        </w:tc>
        <w:tc>
          <w:tcPr>
            <w:tcW w:w="941"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283.5</w:t>
            </w:r>
          </w:p>
        </w:tc>
        <w:tc>
          <w:tcPr>
            <w:tcW w:w="940" w:type="dxa"/>
            <w:tcBorders>
              <w:top w:val="single" w:sz="4" w:space="0" w:color="auto"/>
              <w:left w:val="nil"/>
              <w:bottom w:val="nil"/>
              <w:right w:val="nil"/>
            </w:tcBorders>
          </w:tcPr>
          <w:p w:rsidR="00F87646" w:rsidRPr="00885307" w:rsidRDefault="00F87646" w:rsidP="00885307">
            <w:pPr>
              <w:pStyle w:val="TableofFigures"/>
              <w:rPr>
                <w:rFonts w:eastAsiaTheme="minorEastAsia" w:cs="Calibri"/>
                <w:b/>
                <w:bCs/>
                <w:color w:val="000000"/>
                <w:lang w:eastAsia="en-AU"/>
              </w:rPr>
            </w:pPr>
            <w:r w:rsidRPr="00885307">
              <w:rPr>
                <w:rFonts w:eastAsiaTheme="minorEastAsia"/>
                <w:b/>
                <w:bCs/>
                <w:color w:val="000000"/>
                <w:lang w:eastAsia="en-AU"/>
              </w:rPr>
              <w:t>( 64.7</w:t>
            </w:r>
            <w:r w:rsidRPr="00885307">
              <w:rPr>
                <w:rFonts w:eastAsiaTheme="minorEastAsia" w:cs="Calibri"/>
                <w:b/>
                <w:bCs/>
                <w:color w:val="000000"/>
                <w:lang w:eastAsia="en-AU"/>
              </w:rPr>
              <w:t>)</w:t>
            </w:r>
          </w:p>
        </w:tc>
        <w:tc>
          <w:tcPr>
            <w:tcW w:w="941" w:type="dxa"/>
            <w:tcBorders>
              <w:top w:val="single" w:sz="4" w:space="0" w:color="auto"/>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xml:space="preserve"> 281.7</w:t>
            </w:r>
          </w:p>
        </w:tc>
      </w:tr>
      <w:tr w:rsidR="00F87646" w:rsidRPr="00885307" w:rsidTr="00885307">
        <w:trPr>
          <w:trHeight w:hRule="exact" w:val="80"/>
        </w:trPr>
        <w:tc>
          <w:tcPr>
            <w:tcW w:w="3074" w:type="dxa"/>
            <w:tcBorders>
              <w:top w:val="nil"/>
              <w:left w:val="nil"/>
              <w:bottom w:val="nil"/>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  </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i/>
                <w:iCs/>
                <w:lang w:eastAsia="en-AU"/>
              </w:rPr>
            </w:pPr>
            <w:r w:rsidRPr="00885307">
              <w:rPr>
                <w:rFonts w:eastAsiaTheme="minorEastAsia"/>
                <w:i/>
                <w:iCs/>
                <w:lang w:eastAsia="en-AU"/>
              </w:rPr>
              <w:t>Convergence differences:</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40"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c>
          <w:tcPr>
            <w:tcW w:w="941" w:type="dxa"/>
            <w:tcBorders>
              <w:top w:val="nil"/>
              <w:left w:val="nil"/>
              <w:bottom w:val="nil"/>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xml:space="preserve">  </w:t>
            </w:r>
          </w:p>
        </w:tc>
      </w:tr>
      <w:tr w:rsidR="00F87646" w:rsidRPr="00885307" w:rsidTr="00885307">
        <w:tc>
          <w:tcPr>
            <w:tcW w:w="3074" w:type="dxa"/>
            <w:tcBorders>
              <w:top w:val="nil"/>
              <w:left w:val="nil"/>
              <w:bottom w:val="nil"/>
              <w:right w:val="nil"/>
            </w:tcBorders>
          </w:tcPr>
          <w:p w:rsidR="00F87646" w:rsidRPr="00885307" w:rsidRDefault="00F87646" w:rsidP="00885307">
            <w:pPr>
              <w:pStyle w:val="Tabletext"/>
              <w:rPr>
                <w:rFonts w:eastAsiaTheme="minorEastAsia"/>
                <w:vertAlign w:val="superscript"/>
                <w:lang w:eastAsia="en-AU"/>
              </w:rPr>
            </w:pPr>
            <w:r w:rsidRPr="00885307">
              <w:rPr>
                <w:rFonts w:eastAsiaTheme="minorEastAsia"/>
                <w:lang w:eastAsia="en-AU"/>
              </w:rPr>
              <w:t>Less: Acquisitions under finance leases and similar arrangements</w:t>
            </w:r>
            <w:r w:rsidRPr="00885307">
              <w:rPr>
                <w:rFonts w:eastAsiaTheme="minorEastAsia"/>
                <w:vertAlign w:val="superscript"/>
                <w:lang w:eastAsia="en-AU"/>
              </w:rPr>
              <w:t xml:space="preserve"> (a)</w:t>
            </w:r>
          </w:p>
        </w:tc>
        <w:tc>
          <w:tcPr>
            <w:tcW w:w="940"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( 36.4)</w:t>
            </w:r>
          </w:p>
        </w:tc>
        <w:tc>
          <w:tcPr>
            <w:tcW w:w="940"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( 36.4)</w:t>
            </w:r>
          </w:p>
        </w:tc>
        <w:tc>
          <w:tcPr>
            <w:tcW w:w="941"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(1 050.4)</w:t>
            </w:r>
          </w:p>
        </w:tc>
        <w:tc>
          <w:tcPr>
            <w:tcW w:w="940"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( 873.0)</w:t>
            </w:r>
          </w:p>
        </w:tc>
        <w:tc>
          <w:tcPr>
            <w:tcW w:w="941" w:type="dxa"/>
            <w:tcBorders>
              <w:top w:val="nil"/>
              <w:left w:val="nil"/>
              <w:bottom w:val="nil"/>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(1 055.8)</w:t>
            </w:r>
          </w:p>
        </w:tc>
      </w:tr>
      <w:tr w:rsidR="00F87646" w:rsidRPr="00885307" w:rsidTr="00885307">
        <w:tc>
          <w:tcPr>
            <w:tcW w:w="3074" w:type="dxa"/>
            <w:tcBorders>
              <w:top w:val="single" w:sz="6" w:space="0" w:color="auto"/>
              <w:left w:val="nil"/>
              <w:bottom w:val="single" w:sz="6" w:space="0" w:color="auto"/>
              <w:right w:val="nil"/>
            </w:tcBorders>
          </w:tcPr>
          <w:p w:rsidR="00F87646" w:rsidRPr="00885307" w:rsidRDefault="00F87646" w:rsidP="00885307">
            <w:pPr>
              <w:pStyle w:val="Tabletext"/>
              <w:rPr>
                <w:rFonts w:eastAsiaTheme="minorEastAsia"/>
                <w:lang w:eastAsia="en-AU"/>
              </w:rPr>
            </w:pPr>
            <w:r w:rsidRPr="00885307">
              <w:rPr>
                <w:rFonts w:eastAsiaTheme="minorEastAsia"/>
                <w:lang w:eastAsia="en-AU"/>
              </w:rPr>
              <w:t xml:space="preserve">Total convergence differences </w:t>
            </w:r>
          </w:p>
        </w:tc>
        <w:tc>
          <w:tcPr>
            <w:tcW w:w="940"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( 36.4)</w:t>
            </w:r>
          </w:p>
        </w:tc>
        <w:tc>
          <w:tcPr>
            <w:tcW w:w="940"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( 36.4)</w:t>
            </w:r>
          </w:p>
        </w:tc>
        <w:tc>
          <w:tcPr>
            <w:tcW w:w="941"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(1 050.4)</w:t>
            </w:r>
          </w:p>
        </w:tc>
        <w:tc>
          <w:tcPr>
            <w:tcW w:w="940"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( 873.0)</w:t>
            </w:r>
          </w:p>
        </w:tc>
        <w:tc>
          <w:tcPr>
            <w:tcW w:w="941" w:type="dxa"/>
            <w:tcBorders>
              <w:top w:val="single" w:sz="6" w:space="0" w:color="auto"/>
              <w:left w:val="nil"/>
              <w:bottom w:val="single" w:sz="6" w:space="0" w:color="auto"/>
              <w:right w:val="nil"/>
            </w:tcBorders>
          </w:tcPr>
          <w:p w:rsidR="00F87646" w:rsidRPr="00885307" w:rsidRDefault="00F87646" w:rsidP="00885307">
            <w:pPr>
              <w:pStyle w:val="TableofFigures"/>
              <w:rPr>
                <w:rFonts w:eastAsiaTheme="minorEastAsia"/>
                <w:color w:val="000000"/>
                <w:lang w:eastAsia="en-AU"/>
              </w:rPr>
            </w:pPr>
            <w:r w:rsidRPr="00885307">
              <w:rPr>
                <w:rFonts w:eastAsiaTheme="minorEastAsia"/>
                <w:color w:val="000000"/>
                <w:lang w:eastAsia="en-AU"/>
              </w:rPr>
              <w:t>(1 055.8)</w:t>
            </w:r>
          </w:p>
        </w:tc>
      </w:tr>
      <w:tr w:rsidR="00F87646" w:rsidRPr="00885307" w:rsidTr="00885307">
        <w:tc>
          <w:tcPr>
            <w:tcW w:w="3074" w:type="dxa"/>
            <w:tcBorders>
              <w:top w:val="nil"/>
              <w:left w:val="nil"/>
              <w:bottom w:val="single" w:sz="12" w:space="0" w:color="auto"/>
              <w:right w:val="nil"/>
            </w:tcBorders>
          </w:tcPr>
          <w:p w:rsidR="00F87646" w:rsidRPr="00885307" w:rsidRDefault="00F87646" w:rsidP="00885307">
            <w:pPr>
              <w:pStyle w:val="Tabletext"/>
              <w:rPr>
                <w:rFonts w:eastAsiaTheme="minorEastAsia"/>
                <w:b/>
                <w:bCs/>
                <w:vertAlign w:val="superscript"/>
                <w:lang w:eastAsia="en-AU"/>
              </w:rPr>
            </w:pPr>
            <w:r w:rsidRPr="00885307">
              <w:rPr>
                <w:rFonts w:eastAsiaTheme="minorEastAsia"/>
                <w:b/>
                <w:bCs/>
                <w:lang w:eastAsia="en-AU"/>
              </w:rPr>
              <w:t xml:space="preserve">GFS cash surplus/(deficit) </w:t>
            </w:r>
            <w:r w:rsidRPr="00885307">
              <w:rPr>
                <w:rFonts w:eastAsiaTheme="minorEastAsia"/>
                <w:b/>
                <w:bCs/>
                <w:vertAlign w:val="superscript"/>
                <w:lang w:eastAsia="en-AU"/>
              </w:rPr>
              <w:t>(b)(c)</w:t>
            </w:r>
          </w:p>
        </w:tc>
        <w:tc>
          <w:tcPr>
            <w:tcW w:w="94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(1 124.5)</w:t>
            </w:r>
          </w:p>
        </w:tc>
        <w:tc>
          <w:tcPr>
            <w:tcW w:w="94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( 436.4)</w:t>
            </w:r>
          </w:p>
        </w:tc>
        <w:tc>
          <w:tcPr>
            <w:tcW w:w="941"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( 766.9)</w:t>
            </w:r>
          </w:p>
        </w:tc>
        <w:tc>
          <w:tcPr>
            <w:tcW w:w="940"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( 937.7)</w:t>
            </w:r>
          </w:p>
        </w:tc>
        <w:tc>
          <w:tcPr>
            <w:tcW w:w="941" w:type="dxa"/>
            <w:tcBorders>
              <w:top w:val="single" w:sz="6" w:space="0" w:color="auto"/>
              <w:left w:val="nil"/>
              <w:bottom w:val="single" w:sz="12" w:space="0" w:color="auto"/>
              <w:right w:val="nil"/>
            </w:tcBorders>
          </w:tcPr>
          <w:p w:rsidR="00F87646" w:rsidRPr="00885307" w:rsidRDefault="00F87646" w:rsidP="00885307">
            <w:pPr>
              <w:pStyle w:val="TableofFigures"/>
              <w:rPr>
                <w:rFonts w:eastAsiaTheme="minorEastAsia"/>
                <w:b/>
                <w:bCs/>
                <w:color w:val="000000"/>
                <w:lang w:eastAsia="en-AU"/>
              </w:rPr>
            </w:pPr>
            <w:r w:rsidRPr="00885307">
              <w:rPr>
                <w:rFonts w:eastAsiaTheme="minorEastAsia"/>
                <w:b/>
                <w:bCs/>
                <w:color w:val="000000"/>
                <w:lang w:eastAsia="en-AU"/>
              </w:rPr>
              <w:t>( 774.1)</w:t>
            </w:r>
          </w:p>
        </w:tc>
      </w:tr>
    </w:tbl>
    <w:p w:rsidR="00F87646" w:rsidRDefault="00F87646" w:rsidP="00444450">
      <w:pPr>
        <w:pStyle w:val="Notes"/>
      </w:pPr>
      <w:r>
        <w:t>Notes:</w:t>
      </w:r>
    </w:p>
    <w:p w:rsidR="00F87646" w:rsidRDefault="00F87646" w:rsidP="00444450">
      <w:pPr>
        <w:pStyle w:val="Notes"/>
      </w:pPr>
      <w:r>
        <w:t>(a)</w:t>
      </w:r>
      <w:r>
        <w:tab/>
        <w:t>The finance lease acquisition in 2014</w:t>
      </w:r>
      <w:r>
        <w:noBreakHyphen/>
        <w:t>15 relates to metropolitan buses contract. The 2015</w:t>
      </w:r>
      <w:r>
        <w:noBreakHyphen/>
        <w:t>16 estimate relates to the Victorian Comprehensive Cancer Centre. The 2016</w:t>
      </w:r>
      <w:r>
        <w:noBreakHyphen/>
        <w:t>17 estimate relates to the new Bendigo Hospital project (Stage 1), the Cranbourne</w:t>
      </w:r>
      <w:r>
        <w:noBreakHyphen/>
        <w:t>Pakenham Rail Corridor project and the School Capital program (tranche 1). The 2017</w:t>
      </w:r>
      <w:r>
        <w:noBreakHyphen/>
        <w:t>18 estimate relates to the Cranbourne</w:t>
      </w:r>
      <w:r>
        <w:noBreakHyphen/>
        <w:t xml:space="preserve">Pakenham Rail Corridor project, the Ravenhall Prison project, the School capital program (tranche 2) and the new Bendigo Hospital project (Stage 2). </w:t>
      </w:r>
    </w:p>
    <w:p w:rsidR="00F87646" w:rsidRDefault="00F87646" w:rsidP="00444450">
      <w:pPr>
        <w:pStyle w:val="Notes"/>
      </w:pPr>
      <w:r>
        <w:t>(b)</w:t>
      </w:r>
      <w:r>
        <w:tab/>
        <w:t>Determined in accordance with the ABS GFS manual.</w:t>
      </w:r>
    </w:p>
    <w:p w:rsidR="00F87646" w:rsidRDefault="00F87646" w:rsidP="00FC7D00">
      <w:pPr>
        <w:pStyle w:val="Notes"/>
      </w:pPr>
      <w:r>
        <w:t>(c)</w:t>
      </w:r>
      <w:r>
        <w:tab/>
        <w:t>From 2015</w:t>
      </w:r>
      <w:r>
        <w:noBreakHyphen/>
        <w:t>16 new infrastructure investment (included in cash flows from investments in non</w:t>
      </w:r>
      <w:r>
        <w:noBreakHyphen/>
        <w:t>financial assets) is fully funded from net cash flows from operations.</w:t>
      </w:r>
    </w:p>
    <w:p w:rsidR="00F87646" w:rsidRDefault="00F87646" w:rsidP="00444450"/>
    <w:p w:rsidR="00F87646" w:rsidRDefault="00F87646" w:rsidP="00444450"/>
    <w:p w:rsidR="00F87646" w:rsidRPr="00B56B1C" w:rsidRDefault="00F87646" w:rsidP="005E2118">
      <w:pPr>
        <w:pStyle w:val="Heading2Notes"/>
      </w:pPr>
      <w:bookmarkStart w:id="76" w:name="_Toc403141629"/>
      <w:r>
        <w:t>Note 25</w:t>
      </w:r>
      <w:r w:rsidRPr="00B56B1C">
        <w:t>:</w:t>
      </w:r>
      <w:r w:rsidRPr="00B56B1C">
        <w:tab/>
        <w:t>Financial instruments</w:t>
      </w:r>
      <w:bookmarkEnd w:id="76"/>
    </w:p>
    <w:p w:rsidR="00F87646" w:rsidRDefault="00F87646" w:rsidP="005E2118">
      <w:r>
        <w:rPr>
          <w:szCs w:val="22"/>
        </w:rPr>
        <w:t xml:space="preserve">Note 33 in Chapter 4 of the </w:t>
      </w:r>
      <w:r w:rsidRPr="00061F43">
        <w:rPr>
          <w:i/>
          <w:szCs w:val="22"/>
        </w:rPr>
        <w:t>2013</w:t>
      </w:r>
      <w:r>
        <w:rPr>
          <w:i/>
          <w:szCs w:val="22"/>
        </w:rPr>
        <w:noBreakHyphen/>
      </w:r>
      <w:r w:rsidRPr="00061F43">
        <w:rPr>
          <w:i/>
          <w:szCs w:val="22"/>
        </w:rPr>
        <w:t>14 Financial Report</w:t>
      </w:r>
      <w:r>
        <w:rPr>
          <w:i/>
          <w:szCs w:val="22"/>
        </w:rPr>
        <w:t xml:space="preserve"> </w:t>
      </w:r>
      <w:r>
        <w:rPr>
          <w:szCs w:val="22"/>
        </w:rPr>
        <w:t>for the State of Victoria c</w:t>
      </w:r>
      <w:r w:rsidRPr="00061F43">
        <w:rPr>
          <w:szCs w:val="22"/>
        </w:rPr>
        <w:t>ontains a comprehensive disclosure of the State</w:t>
      </w:r>
      <w:r>
        <w:rPr>
          <w:szCs w:val="22"/>
        </w:rPr>
        <w:t>’</w:t>
      </w:r>
      <w:r w:rsidRPr="00061F43">
        <w:rPr>
          <w:szCs w:val="22"/>
        </w:rPr>
        <w:t>s financial risk management objectives and policies. There has been no substantive change to the accounting classification of financial assets and liabilities reported in the</w:t>
      </w:r>
      <w:r w:rsidRPr="00061F43">
        <w:rPr>
          <w:i/>
          <w:szCs w:val="22"/>
        </w:rPr>
        <w:t xml:space="preserve"> 2013</w:t>
      </w:r>
      <w:r>
        <w:rPr>
          <w:i/>
          <w:szCs w:val="22"/>
        </w:rPr>
        <w:noBreakHyphen/>
      </w:r>
      <w:r w:rsidRPr="00061F43">
        <w:rPr>
          <w:i/>
          <w:szCs w:val="22"/>
        </w:rPr>
        <w:t>14 Financial Report</w:t>
      </w:r>
      <w:bookmarkStart w:id="77" w:name="_Toc373751831"/>
      <w:r>
        <w:rPr>
          <w:szCs w:val="22"/>
        </w:rPr>
        <w:t xml:space="preserve"> for the State of Victoria.</w:t>
      </w:r>
    </w:p>
    <w:p w:rsidR="00F87646" w:rsidRDefault="00F87646" w:rsidP="00A74BBC"/>
    <w:p w:rsidR="00F87646" w:rsidRDefault="00F87646">
      <w:pPr>
        <w:spacing w:after="0"/>
        <w:rPr>
          <w:rFonts w:ascii="Calibri" w:hAnsi="Calibri"/>
          <w:b/>
          <w:kern w:val="28"/>
          <w:sz w:val="26"/>
          <w:szCs w:val="22"/>
        </w:rPr>
      </w:pPr>
      <w:r>
        <w:br w:type="page"/>
      </w:r>
    </w:p>
    <w:p w:rsidR="00F87646" w:rsidRPr="00FA1531" w:rsidRDefault="00F87646" w:rsidP="005E2118">
      <w:pPr>
        <w:pStyle w:val="Heading2Notes"/>
      </w:pPr>
      <w:bookmarkStart w:id="78" w:name="_Toc403141630"/>
      <w:r w:rsidRPr="00FA1531">
        <w:lastRenderedPageBreak/>
        <w:t>Note 26:</w:t>
      </w:r>
      <w:r w:rsidRPr="00FA1531">
        <w:tab/>
        <w:t>Controlled entities</w:t>
      </w:r>
      <w:bookmarkEnd w:id="77"/>
      <w:bookmarkEnd w:id="78"/>
    </w:p>
    <w:p w:rsidR="00F87646" w:rsidRPr="009578A4" w:rsidRDefault="00F87646" w:rsidP="009578A4">
      <w:pPr>
        <w:rPr>
          <w:szCs w:val="22"/>
        </w:rPr>
      </w:pPr>
      <w:r w:rsidRPr="009578A4">
        <w:rPr>
          <w:szCs w:val="22"/>
        </w:rPr>
        <w:t xml:space="preserve">Note 42 </w:t>
      </w:r>
      <w:r w:rsidRPr="009578A4">
        <w:rPr>
          <w:i/>
          <w:szCs w:val="22"/>
        </w:rPr>
        <w:t xml:space="preserve">Controlled Entities </w:t>
      </w:r>
      <w:r w:rsidRPr="009578A4">
        <w:rPr>
          <w:szCs w:val="22"/>
        </w:rPr>
        <w:t>in the</w:t>
      </w:r>
      <w:r w:rsidRPr="009578A4">
        <w:rPr>
          <w:i/>
          <w:szCs w:val="22"/>
        </w:rPr>
        <w:t xml:space="preserve"> 2013</w:t>
      </w:r>
      <w:r>
        <w:rPr>
          <w:i/>
          <w:szCs w:val="22"/>
        </w:rPr>
        <w:noBreakHyphen/>
      </w:r>
      <w:r w:rsidRPr="009578A4">
        <w:rPr>
          <w:i/>
          <w:szCs w:val="22"/>
        </w:rPr>
        <w:t xml:space="preserve">14 Financial Report </w:t>
      </w:r>
      <w:r w:rsidRPr="009578A4">
        <w:rPr>
          <w:szCs w:val="22"/>
        </w:rPr>
        <w:t>for the State of Victoria contains a list of significant controlled entities which have been consolidated for the purposes of the financial report.</w:t>
      </w:r>
    </w:p>
    <w:p w:rsidR="00F87646" w:rsidRPr="009578A4" w:rsidRDefault="00F87646" w:rsidP="009578A4">
      <w:pPr>
        <w:rPr>
          <w:szCs w:val="22"/>
        </w:rPr>
      </w:pPr>
      <w:r w:rsidRPr="009578A4">
        <w:rPr>
          <w:szCs w:val="22"/>
        </w:rPr>
        <w:t>The following is a list of changes from 1 July 2014, of general government sector entities which have been consolidated for the purposes of the estimated financial statements.</w:t>
      </w:r>
    </w:p>
    <w:tbl>
      <w:tblPr>
        <w:tblW w:w="7811" w:type="dxa"/>
        <w:tblInd w:w="29" w:type="dxa"/>
        <w:tblLayout w:type="fixed"/>
        <w:tblCellMar>
          <w:left w:w="43" w:type="dxa"/>
          <w:right w:w="43" w:type="dxa"/>
        </w:tblCellMar>
        <w:tblLook w:val="0000" w:firstRow="0" w:lastRow="0" w:firstColumn="0" w:lastColumn="0" w:noHBand="0" w:noVBand="0"/>
      </w:tblPr>
      <w:tblGrid>
        <w:gridCol w:w="3884"/>
        <w:gridCol w:w="1233"/>
        <w:gridCol w:w="1276"/>
        <w:gridCol w:w="1418"/>
      </w:tblGrid>
      <w:tr w:rsidR="00F87646" w:rsidRPr="009578A4" w:rsidTr="00FA1531">
        <w:trPr>
          <w:cantSplit/>
          <w:tblHeader/>
        </w:trPr>
        <w:tc>
          <w:tcPr>
            <w:tcW w:w="3884" w:type="dxa"/>
            <w:tcBorders>
              <w:top w:val="single" w:sz="6" w:space="0" w:color="auto"/>
              <w:left w:val="single" w:sz="6" w:space="0" w:color="auto"/>
              <w:right w:val="nil"/>
            </w:tcBorders>
            <w:shd w:val="clear" w:color="auto" w:fill="000000"/>
          </w:tcPr>
          <w:p w:rsidR="00F87646" w:rsidRPr="009578A4" w:rsidRDefault="00F87646" w:rsidP="009578A4">
            <w:pPr>
              <w:spacing w:after="0"/>
              <w:ind w:left="180" w:hanging="180"/>
              <w:rPr>
                <w:rFonts w:ascii="Calibri" w:hAnsi="Calibri"/>
                <w:bCs/>
                <w:sz w:val="20"/>
                <w:szCs w:val="18"/>
              </w:rPr>
            </w:pPr>
          </w:p>
        </w:tc>
        <w:tc>
          <w:tcPr>
            <w:tcW w:w="1233" w:type="dxa"/>
            <w:tcBorders>
              <w:top w:val="single" w:sz="6" w:space="0" w:color="auto"/>
              <w:left w:val="nil"/>
              <w:right w:val="nil"/>
            </w:tcBorders>
            <w:shd w:val="clear" w:color="auto" w:fill="000000"/>
            <w:noWrap/>
          </w:tcPr>
          <w:p w:rsidR="00F87646" w:rsidRPr="009578A4" w:rsidRDefault="00F87646" w:rsidP="009578A4">
            <w:pPr>
              <w:spacing w:after="0"/>
              <w:ind w:left="180" w:hanging="180"/>
              <w:rPr>
                <w:rFonts w:ascii="Calibri" w:hAnsi="Calibri"/>
                <w:sz w:val="20"/>
                <w:szCs w:val="18"/>
              </w:rPr>
            </w:pPr>
          </w:p>
        </w:tc>
        <w:tc>
          <w:tcPr>
            <w:tcW w:w="2694" w:type="dxa"/>
            <w:gridSpan w:val="2"/>
            <w:tcBorders>
              <w:top w:val="single" w:sz="6" w:space="0" w:color="auto"/>
              <w:left w:val="nil"/>
              <w:right w:val="single" w:sz="6" w:space="0" w:color="auto"/>
            </w:tcBorders>
            <w:shd w:val="clear" w:color="auto" w:fill="000000"/>
            <w:noWrap/>
          </w:tcPr>
          <w:p w:rsidR="00F87646" w:rsidRPr="009578A4" w:rsidRDefault="00F87646" w:rsidP="009578A4">
            <w:pPr>
              <w:spacing w:after="0"/>
              <w:jc w:val="center"/>
              <w:rPr>
                <w:rFonts w:ascii="Calibri" w:hAnsi="Calibri"/>
                <w:i/>
                <w:sz w:val="20"/>
                <w:szCs w:val="18"/>
              </w:rPr>
            </w:pPr>
            <w:r w:rsidRPr="009578A4">
              <w:rPr>
                <w:rFonts w:ascii="Calibri" w:hAnsi="Calibri"/>
                <w:i/>
                <w:sz w:val="20"/>
                <w:szCs w:val="18"/>
              </w:rPr>
              <w:t>Entities included as investments in other sectors</w:t>
            </w:r>
          </w:p>
        </w:tc>
      </w:tr>
      <w:tr w:rsidR="00F87646" w:rsidRPr="009578A4" w:rsidTr="00FA1531">
        <w:trPr>
          <w:cantSplit/>
          <w:tblHeader/>
        </w:trPr>
        <w:tc>
          <w:tcPr>
            <w:tcW w:w="3884" w:type="dxa"/>
            <w:tcBorders>
              <w:left w:val="single" w:sz="6" w:space="0" w:color="auto"/>
              <w:right w:val="nil"/>
            </w:tcBorders>
            <w:shd w:val="clear" w:color="auto" w:fill="000000"/>
            <w:vAlign w:val="bottom"/>
          </w:tcPr>
          <w:p w:rsidR="00F87646" w:rsidRPr="009578A4" w:rsidRDefault="00F87646" w:rsidP="009578A4">
            <w:pPr>
              <w:spacing w:after="0"/>
              <w:rPr>
                <w:rFonts w:ascii="Calibri" w:hAnsi="Calibri"/>
                <w:i/>
                <w:sz w:val="20"/>
                <w:szCs w:val="18"/>
                <w:vertAlign w:val="superscript"/>
              </w:rPr>
            </w:pPr>
            <w:r w:rsidRPr="009578A4">
              <w:rPr>
                <w:rFonts w:ascii="Calibri" w:hAnsi="Calibri"/>
                <w:i/>
                <w:sz w:val="20"/>
                <w:szCs w:val="18"/>
              </w:rPr>
              <w:t>Controlled entities</w:t>
            </w:r>
          </w:p>
        </w:tc>
        <w:tc>
          <w:tcPr>
            <w:tcW w:w="1233" w:type="dxa"/>
            <w:tcBorders>
              <w:left w:val="nil"/>
              <w:right w:val="nil"/>
            </w:tcBorders>
            <w:shd w:val="clear" w:color="auto" w:fill="000000"/>
            <w:noWrap/>
            <w:vAlign w:val="bottom"/>
          </w:tcPr>
          <w:p w:rsidR="00F87646" w:rsidRPr="009578A4" w:rsidRDefault="00F87646" w:rsidP="009578A4">
            <w:pPr>
              <w:spacing w:after="0"/>
              <w:jc w:val="center"/>
              <w:rPr>
                <w:rFonts w:ascii="Calibri" w:hAnsi="Calibri"/>
                <w:i/>
                <w:sz w:val="20"/>
                <w:szCs w:val="18"/>
              </w:rPr>
            </w:pPr>
            <w:r w:rsidRPr="009578A4">
              <w:rPr>
                <w:rFonts w:ascii="Calibri" w:hAnsi="Calibri"/>
                <w:i/>
                <w:sz w:val="20"/>
                <w:szCs w:val="18"/>
              </w:rPr>
              <w:t>General government</w:t>
            </w:r>
          </w:p>
        </w:tc>
        <w:tc>
          <w:tcPr>
            <w:tcW w:w="1276" w:type="dxa"/>
            <w:tcBorders>
              <w:left w:val="nil"/>
              <w:right w:val="nil"/>
            </w:tcBorders>
            <w:shd w:val="clear" w:color="auto" w:fill="000000"/>
            <w:noWrap/>
          </w:tcPr>
          <w:p w:rsidR="00F87646" w:rsidRPr="009578A4" w:rsidRDefault="00F87646" w:rsidP="009578A4">
            <w:pPr>
              <w:spacing w:after="0"/>
              <w:jc w:val="center"/>
              <w:rPr>
                <w:rFonts w:ascii="Calibri" w:hAnsi="Calibri"/>
                <w:i/>
                <w:sz w:val="20"/>
                <w:szCs w:val="18"/>
              </w:rPr>
            </w:pPr>
            <w:r w:rsidRPr="009578A4">
              <w:rPr>
                <w:rFonts w:ascii="Calibri" w:hAnsi="Calibri"/>
                <w:i/>
                <w:sz w:val="20"/>
                <w:szCs w:val="18"/>
              </w:rPr>
              <w:t>Public non</w:t>
            </w:r>
            <w:r>
              <w:rPr>
                <w:rFonts w:ascii="Calibri" w:hAnsi="Calibri"/>
                <w:i/>
                <w:sz w:val="20"/>
                <w:szCs w:val="18"/>
              </w:rPr>
              <w:noBreakHyphen/>
            </w:r>
            <w:r w:rsidRPr="009578A4">
              <w:rPr>
                <w:rFonts w:ascii="Calibri" w:hAnsi="Calibri"/>
                <w:i/>
                <w:sz w:val="20"/>
                <w:szCs w:val="18"/>
              </w:rPr>
              <w:t>financial corporation</w:t>
            </w:r>
          </w:p>
        </w:tc>
        <w:tc>
          <w:tcPr>
            <w:tcW w:w="1418" w:type="dxa"/>
            <w:tcBorders>
              <w:left w:val="nil"/>
              <w:right w:val="single" w:sz="6" w:space="0" w:color="auto"/>
            </w:tcBorders>
            <w:shd w:val="clear" w:color="auto" w:fill="000000"/>
            <w:noWrap/>
            <w:vAlign w:val="bottom"/>
          </w:tcPr>
          <w:p w:rsidR="00F87646" w:rsidRPr="009578A4" w:rsidRDefault="00F87646" w:rsidP="009578A4">
            <w:pPr>
              <w:spacing w:after="0"/>
              <w:jc w:val="center"/>
              <w:rPr>
                <w:rFonts w:ascii="Calibri" w:hAnsi="Calibri"/>
                <w:i/>
                <w:sz w:val="20"/>
                <w:szCs w:val="18"/>
              </w:rPr>
            </w:pPr>
            <w:r w:rsidRPr="009578A4">
              <w:rPr>
                <w:rFonts w:ascii="Calibri" w:hAnsi="Calibri"/>
                <w:i/>
                <w:sz w:val="20"/>
                <w:szCs w:val="18"/>
              </w:rPr>
              <w:t>Public financial corporation</w:t>
            </w:r>
          </w:p>
        </w:tc>
      </w:tr>
      <w:tr w:rsidR="00F87646" w:rsidRPr="009578A4" w:rsidTr="00FA1531">
        <w:trPr>
          <w:cantSplit/>
        </w:trPr>
        <w:tc>
          <w:tcPr>
            <w:tcW w:w="3884" w:type="dxa"/>
            <w:tcBorders>
              <w:top w:val="single" w:sz="4" w:space="0" w:color="auto"/>
              <w:left w:val="nil"/>
              <w:right w:val="nil"/>
            </w:tcBorders>
            <w:shd w:val="clear" w:color="auto" w:fill="auto"/>
          </w:tcPr>
          <w:p w:rsidR="00F87646" w:rsidRPr="004A1102" w:rsidRDefault="00F87646" w:rsidP="004A1102">
            <w:pPr>
              <w:pStyle w:val="Tabletext"/>
              <w:rPr>
                <w:b/>
                <w:lang w:eastAsia="en-AU"/>
              </w:rPr>
            </w:pPr>
            <w:r w:rsidRPr="004A1102">
              <w:rPr>
                <w:b/>
                <w:lang w:eastAsia="en-AU"/>
              </w:rPr>
              <w:t>Department of Education and Early Childhood Development</w:t>
            </w:r>
          </w:p>
        </w:tc>
        <w:tc>
          <w:tcPr>
            <w:tcW w:w="1233" w:type="dxa"/>
            <w:tcBorders>
              <w:top w:val="single" w:sz="4" w:space="0" w:color="auto"/>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top w:val="single" w:sz="4" w:space="0" w:color="auto"/>
              <w:left w:val="nil"/>
              <w:right w:val="nil"/>
            </w:tcBorders>
            <w:shd w:val="clear" w:color="auto" w:fill="auto"/>
            <w:noWrap/>
          </w:tcPr>
          <w:p w:rsidR="00F87646" w:rsidRPr="009578A4" w:rsidRDefault="00F87646" w:rsidP="004A1102">
            <w:pPr>
              <w:pStyle w:val="Tabletextcentred"/>
              <w:rPr>
                <w:lang w:eastAsia="en-AU"/>
              </w:rPr>
            </w:pPr>
          </w:p>
        </w:tc>
        <w:tc>
          <w:tcPr>
            <w:tcW w:w="1418" w:type="dxa"/>
            <w:tcBorders>
              <w:top w:val="single" w:sz="4" w:space="0" w:color="auto"/>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bottom w:val="single" w:sz="6" w:space="0" w:color="auto"/>
              <w:right w:val="nil"/>
            </w:tcBorders>
            <w:shd w:val="clear" w:color="auto" w:fill="auto"/>
          </w:tcPr>
          <w:p w:rsidR="00F87646" w:rsidRPr="009578A4" w:rsidRDefault="00F87646" w:rsidP="004A1102">
            <w:pPr>
              <w:pStyle w:val="Tabletext"/>
              <w:rPr>
                <w:lang w:eastAsia="en-AU"/>
              </w:rPr>
            </w:pPr>
            <w:r w:rsidRPr="009578A4">
              <w:rPr>
                <w:lang w:eastAsia="en-AU"/>
              </w:rPr>
              <w:t xml:space="preserve">Bendigo Kangan Institute </w:t>
            </w:r>
            <w:r w:rsidRPr="009578A4">
              <w:rPr>
                <w:vertAlign w:val="superscript"/>
                <w:lang w:eastAsia="en-AU"/>
              </w:rPr>
              <w:t>(a)</w:t>
            </w:r>
          </w:p>
        </w:tc>
        <w:tc>
          <w:tcPr>
            <w:tcW w:w="1233"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p>
        </w:tc>
        <w:tc>
          <w:tcPr>
            <w:tcW w:w="1418"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top w:val="single" w:sz="6" w:space="0" w:color="auto"/>
              <w:left w:val="nil"/>
              <w:right w:val="nil"/>
            </w:tcBorders>
            <w:shd w:val="clear" w:color="auto" w:fill="auto"/>
          </w:tcPr>
          <w:p w:rsidR="00F87646" w:rsidRPr="009578A4" w:rsidRDefault="00F87646" w:rsidP="004A1102">
            <w:pPr>
              <w:pStyle w:val="Tabletext"/>
              <w:rPr>
                <w:b/>
                <w:lang w:eastAsia="en-AU"/>
              </w:rPr>
            </w:pPr>
            <w:r w:rsidRPr="009578A4">
              <w:rPr>
                <w:b/>
                <w:lang w:eastAsia="en-AU"/>
              </w:rPr>
              <w:t>Department of Environment and Primary Industries</w:t>
            </w:r>
          </w:p>
        </w:tc>
        <w:tc>
          <w:tcPr>
            <w:tcW w:w="1233"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p>
        </w:tc>
        <w:tc>
          <w:tcPr>
            <w:tcW w:w="1418"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right w:val="nil"/>
            </w:tcBorders>
            <w:shd w:val="clear" w:color="auto" w:fill="auto"/>
          </w:tcPr>
          <w:p w:rsidR="00F87646" w:rsidRPr="009578A4" w:rsidRDefault="00F87646" w:rsidP="004A1102">
            <w:pPr>
              <w:pStyle w:val="Tabletext"/>
              <w:rPr>
                <w:lang w:eastAsia="en-AU"/>
              </w:rPr>
            </w:pPr>
            <w:r w:rsidRPr="009578A4">
              <w:rPr>
                <w:lang w:eastAsia="en-AU"/>
              </w:rPr>
              <w:t xml:space="preserve">Game </w:t>
            </w:r>
            <w:r w:rsidRPr="009578A4">
              <w:t>Management</w:t>
            </w:r>
            <w:r w:rsidRPr="009578A4">
              <w:rPr>
                <w:lang w:eastAsia="en-AU"/>
              </w:rPr>
              <w:t xml:space="preserve"> Authority </w:t>
            </w:r>
            <w:r w:rsidRPr="009578A4">
              <w:rPr>
                <w:vertAlign w:val="superscript"/>
                <w:lang w:eastAsia="en-AU"/>
              </w:rPr>
              <w:t>(b)</w:t>
            </w:r>
          </w:p>
        </w:tc>
        <w:tc>
          <w:tcPr>
            <w:tcW w:w="1233" w:type="dxa"/>
            <w:tcBorders>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left w:val="nil"/>
              <w:right w:val="nil"/>
            </w:tcBorders>
            <w:shd w:val="clear" w:color="auto" w:fill="auto"/>
            <w:noWrap/>
          </w:tcPr>
          <w:p w:rsidR="00F87646" w:rsidRPr="009578A4" w:rsidRDefault="00F87646" w:rsidP="004A1102">
            <w:pPr>
              <w:pStyle w:val="Tabletextcentred"/>
              <w:rPr>
                <w:lang w:eastAsia="en-AU"/>
              </w:rPr>
            </w:pPr>
          </w:p>
        </w:tc>
        <w:tc>
          <w:tcPr>
            <w:tcW w:w="1418" w:type="dxa"/>
            <w:tcBorders>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right w:val="nil"/>
            </w:tcBorders>
            <w:shd w:val="clear" w:color="auto" w:fill="auto"/>
          </w:tcPr>
          <w:p w:rsidR="00F87646" w:rsidRPr="009578A4" w:rsidRDefault="00F87646" w:rsidP="004A1102">
            <w:pPr>
              <w:pStyle w:val="Tabletext"/>
              <w:rPr>
                <w:lang w:eastAsia="en-AU"/>
              </w:rPr>
            </w:pPr>
            <w:r w:rsidRPr="009578A4">
              <w:rPr>
                <w:lang w:eastAsia="en-AU"/>
              </w:rPr>
              <w:t xml:space="preserve">Barwon South West Waste and </w:t>
            </w:r>
            <w:r w:rsidRPr="009578A4">
              <w:t>Resource</w:t>
            </w:r>
            <w:r w:rsidRPr="009578A4">
              <w:rPr>
                <w:lang w:eastAsia="en-AU"/>
              </w:rPr>
              <w:t xml:space="preserve"> Recovery Group </w:t>
            </w:r>
            <w:r w:rsidRPr="009578A4">
              <w:rPr>
                <w:vertAlign w:val="superscript"/>
                <w:lang w:eastAsia="en-AU"/>
              </w:rPr>
              <w:t>(c)</w:t>
            </w:r>
          </w:p>
        </w:tc>
        <w:tc>
          <w:tcPr>
            <w:tcW w:w="1233" w:type="dxa"/>
            <w:tcBorders>
              <w:left w:val="nil"/>
              <w:right w:val="nil"/>
            </w:tcBorders>
            <w:shd w:val="clear" w:color="auto" w:fill="auto"/>
            <w:noWrap/>
          </w:tcPr>
          <w:p w:rsidR="00F87646" w:rsidRPr="009578A4" w:rsidRDefault="00F87646" w:rsidP="004A1102">
            <w:pPr>
              <w:pStyle w:val="Tabletextcentred"/>
              <w:rPr>
                <w:lang w:eastAsia="en-AU"/>
              </w:rPr>
            </w:pPr>
          </w:p>
        </w:tc>
        <w:tc>
          <w:tcPr>
            <w:tcW w:w="1276" w:type="dxa"/>
            <w:tcBorders>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418" w:type="dxa"/>
            <w:tcBorders>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right w:val="nil"/>
            </w:tcBorders>
            <w:shd w:val="clear" w:color="auto" w:fill="auto"/>
          </w:tcPr>
          <w:p w:rsidR="00F87646" w:rsidRPr="009578A4" w:rsidRDefault="00F87646" w:rsidP="004A1102">
            <w:pPr>
              <w:pStyle w:val="Tabletext"/>
              <w:rPr>
                <w:lang w:eastAsia="en-AU"/>
              </w:rPr>
            </w:pPr>
            <w:r w:rsidRPr="009578A4">
              <w:rPr>
                <w:lang w:eastAsia="en-AU"/>
              </w:rPr>
              <w:t xml:space="preserve">Gippsland Waste and </w:t>
            </w:r>
            <w:r w:rsidRPr="009578A4">
              <w:t>Resource</w:t>
            </w:r>
            <w:r w:rsidRPr="009578A4">
              <w:rPr>
                <w:lang w:eastAsia="en-AU"/>
              </w:rPr>
              <w:t xml:space="preserve"> Recovery Group</w:t>
            </w:r>
            <w:r w:rsidRPr="009578A4">
              <w:rPr>
                <w:vertAlign w:val="superscript"/>
                <w:lang w:eastAsia="en-AU"/>
              </w:rPr>
              <w:t>(c)</w:t>
            </w:r>
          </w:p>
        </w:tc>
        <w:tc>
          <w:tcPr>
            <w:tcW w:w="1233" w:type="dxa"/>
            <w:tcBorders>
              <w:left w:val="nil"/>
              <w:right w:val="nil"/>
            </w:tcBorders>
            <w:shd w:val="clear" w:color="auto" w:fill="auto"/>
            <w:noWrap/>
          </w:tcPr>
          <w:p w:rsidR="00F87646" w:rsidRPr="009578A4" w:rsidRDefault="00F87646" w:rsidP="004A1102">
            <w:pPr>
              <w:pStyle w:val="Tabletextcentred"/>
              <w:rPr>
                <w:lang w:eastAsia="en-AU"/>
              </w:rPr>
            </w:pPr>
          </w:p>
        </w:tc>
        <w:tc>
          <w:tcPr>
            <w:tcW w:w="1276" w:type="dxa"/>
            <w:tcBorders>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418" w:type="dxa"/>
            <w:tcBorders>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right w:val="nil"/>
            </w:tcBorders>
            <w:shd w:val="clear" w:color="auto" w:fill="auto"/>
          </w:tcPr>
          <w:p w:rsidR="00F87646" w:rsidRPr="009578A4" w:rsidRDefault="00F87646" w:rsidP="004A1102">
            <w:pPr>
              <w:pStyle w:val="Tabletext"/>
              <w:rPr>
                <w:lang w:eastAsia="en-AU"/>
              </w:rPr>
            </w:pPr>
            <w:r w:rsidRPr="009578A4">
              <w:rPr>
                <w:lang w:eastAsia="en-AU"/>
              </w:rPr>
              <w:t xml:space="preserve">Goulburn Valley Waste and Resource Recovery Group </w:t>
            </w:r>
            <w:r w:rsidRPr="009578A4">
              <w:rPr>
                <w:vertAlign w:val="superscript"/>
                <w:lang w:eastAsia="en-AU"/>
              </w:rPr>
              <w:t>(c)</w:t>
            </w:r>
          </w:p>
        </w:tc>
        <w:tc>
          <w:tcPr>
            <w:tcW w:w="1233" w:type="dxa"/>
            <w:tcBorders>
              <w:left w:val="nil"/>
              <w:right w:val="nil"/>
            </w:tcBorders>
            <w:shd w:val="clear" w:color="auto" w:fill="auto"/>
            <w:noWrap/>
          </w:tcPr>
          <w:p w:rsidR="00F87646" w:rsidRPr="009578A4" w:rsidRDefault="00F87646" w:rsidP="004A1102">
            <w:pPr>
              <w:pStyle w:val="Tabletextcentred"/>
              <w:rPr>
                <w:lang w:eastAsia="en-AU"/>
              </w:rPr>
            </w:pPr>
          </w:p>
        </w:tc>
        <w:tc>
          <w:tcPr>
            <w:tcW w:w="1276" w:type="dxa"/>
            <w:tcBorders>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418" w:type="dxa"/>
            <w:tcBorders>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right w:val="nil"/>
            </w:tcBorders>
            <w:shd w:val="clear" w:color="auto" w:fill="auto"/>
          </w:tcPr>
          <w:p w:rsidR="00F87646" w:rsidRPr="009578A4" w:rsidRDefault="00F87646" w:rsidP="004A1102">
            <w:pPr>
              <w:pStyle w:val="Tabletext"/>
              <w:rPr>
                <w:lang w:eastAsia="en-AU"/>
              </w:rPr>
            </w:pPr>
            <w:r w:rsidRPr="009578A4">
              <w:rPr>
                <w:lang w:eastAsia="en-AU"/>
              </w:rPr>
              <w:t xml:space="preserve">Grampians Central Waste and Resource Recovery Group </w:t>
            </w:r>
            <w:r w:rsidRPr="009578A4">
              <w:rPr>
                <w:vertAlign w:val="superscript"/>
                <w:lang w:eastAsia="en-AU"/>
              </w:rPr>
              <w:t>(c)</w:t>
            </w:r>
          </w:p>
        </w:tc>
        <w:tc>
          <w:tcPr>
            <w:tcW w:w="1233" w:type="dxa"/>
            <w:tcBorders>
              <w:left w:val="nil"/>
              <w:right w:val="nil"/>
            </w:tcBorders>
            <w:shd w:val="clear" w:color="auto" w:fill="auto"/>
            <w:noWrap/>
          </w:tcPr>
          <w:p w:rsidR="00F87646" w:rsidRPr="009578A4" w:rsidRDefault="00F87646" w:rsidP="004A1102">
            <w:pPr>
              <w:pStyle w:val="Tabletextcentred"/>
              <w:rPr>
                <w:lang w:eastAsia="en-AU"/>
              </w:rPr>
            </w:pPr>
          </w:p>
        </w:tc>
        <w:tc>
          <w:tcPr>
            <w:tcW w:w="1276" w:type="dxa"/>
            <w:tcBorders>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418" w:type="dxa"/>
            <w:tcBorders>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right w:val="nil"/>
            </w:tcBorders>
            <w:shd w:val="clear" w:color="auto" w:fill="auto"/>
          </w:tcPr>
          <w:p w:rsidR="00F87646" w:rsidRPr="009578A4" w:rsidRDefault="00F87646" w:rsidP="004A1102">
            <w:pPr>
              <w:pStyle w:val="Tabletext"/>
            </w:pPr>
            <w:r w:rsidRPr="009578A4">
              <w:t xml:space="preserve">Loddon Mallee Waste and Resource Recovery Group </w:t>
            </w:r>
            <w:r w:rsidRPr="009578A4">
              <w:rPr>
                <w:vertAlign w:val="superscript"/>
              </w:rPr>
              <w:t>(c)</w:t>
            </w:r>
          </w:p>
        </w:tc>
        <w:tc>
          <w:tcPr>
            <w:tcW w:w="1233" w:type="dxa"/>
            <w:tcBorders>
              <w:left w:val="nil"/>
              <w:right w:val="nil"/>
            </w:tcBorders>
            <w:shd w:val="clear" w:color="auto" w:fill="auto"/>
            <w:noWrap/>
          </w:tcPr>
          <w:p w:rsidR="00F87646" w:rsidRPr="009578A4" w:rsidRDefault="00F87646" w:rsidP="004A1102">
            <w:pPr>
              <w:pStyle w:val="Tabletextcentred"/>
              <w:rPr>
                <w:lang w:eastAsia="en-AU"/>
              </w:rPr>
            </w:pPr>
          </w:p>
        </w:tc>
        <w:tc>
          <w:tcPr>
            <w:tcW w:w="1276" w:type="dxa"/>
            <w:tcBorders>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418" w:type="dxa"/>
            <w:tcBorders>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bottom w:val="single" w:sz="6" w:space="0" w:color="auto"/>
              <w:right w:val="nil"/>
            </w:tcBorders>
            <w:shd w:val="clear" w:color="auto" w:fill="auto"/>
          </w:tcPr>
          <w:p w:rsidR="00F87646" w:rsidRPr="009578A4" w:rsidRDefault="00F87646" w:rsidP="004A1102">
            <w:pPr>
              <w:pStyle w:val="Tabletext"/>
              <w:rPr>
                <w:lang w:eastAsia="en-AU"/>
              </w:rPr>
            </w:pPr>
            <w:r w:rsidRPr="009578A4">
              <w:rPr>
                <w:lang w:eastAsia="en-AU"/>
              </w:rPr>
              <w:t xml:space="preserve">North East Waste and Resource Recovery Group </w:t>
            </w:r>
            <w:r w:rsidRPr="009578A4">
              <w:rPr>
                <w:vertAlign w:val="superscript"/>
                <w:lang w:eastAsia="en-AU"/>
              </w:rPr>
              <w:t>(c)</w:t>
            </w:r>
          </w:p>
        </w:tc>
        <w:tc>
          <w:tcPr>
            <w:tcW w:w="1233"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p>
        </w:tc>
        <w:tc>
          <w:tcPr>
            <w:tcW w:w="1276"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418"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top w:val="single" w:sz="6" w:space="0" w:color="auto"/>
              <w:left w:val="nil"/>
              <w:right w:val="nil"/>
            </w:tcBorders>
            <w:shd w:val="clear" w:color="auto" w:fill="auto"/>
          </w:tcPr>
          <w:p w:rsidR="00F87646" w:rsidRPr="009578A4" w:rsidRDefault="00F87646" w:rsidP="004A1102">
            <w:pPr>
              <w:pStyle w:val="Tabletext"/>
              <w:rPr>
                <w:b/>
                <w:lang w:eastAsia="en-AU"/>
              </w:rPr>
            </w:pPr>
            <w:r w:rsidRPr="009578A4">
              <w:rPr>
                <w:b/>
                <w:lang w:eastAsia="en-AU"/>
              </w:rPr>
              <w:t>Department of Health</w:t>
            </w:r>
          </w:p>
        </w:tc>
        <w:tc>
          <w:tcPr>
            <w:tcW w:w="1233"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top w:val="single" w:sz="6" w:space="0" w:color="auto"/>
              <w:left w:val="nil"/>
              <w:right w:val="nil"/>
            </w:tcBorders>
            <w:shd w:val="clear" w:color="auto" w:fill="auto"/>
            <w:noWrap/>
          </w:tcPr>
          <w:p w:rsidR="00F87646" w:rsidRPr="009578A4" w:rsidRDefault="00F87646" w:rsidP="004A1102">
            <w:pPr>
              <w:pStyle w:val="Tabletextcentred"/>
            </w:pPr>
          </w:p>
        </w:tc>
        <w:tc>
          <w:tcPr>
            <w:tcW w:w="1418"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bottom w:val="single" w:sz="6" w:space="0" w:color="auto"/>
              <w:right w:val="nil"/>
            </w:tcBorders>
            <w:shd w:val="clear" w:color="auto" w:fill="auto"/>
          </w:tcPr>
          <w:p w:rsidR="00F87646" w:rsidRPr="009578A4" w:rsidRDefault="00F87646" w:rsidP="004A1102">
            <w:pPr>
              <w:pStyle w:val="Tabletext"/>
              <w:rPr>
                <w:lang w:eastAsia="en-AU"/>
              </w:rPr>
            </w:pPr>
            <w:r w:rsidRPr="009578A4">
              <w:rPr>
                <w:lang w:eastAsia="en-AU"/>
              </w:rPr>
              <w:t xml:space="preserve">Bass Coast Health </w:t>
            </w:r>
            <w:r w:rsidRPr="009578A4">
              <w:rPr>
                <w:vertAlign w:val="superscript"/>
                <w:lang w:eastAsia="en-AU"/>
              </w:rPr>
              <w:t>(d)</w:t>
            </w:r>
          </w:p>
        </w:tc>
        <w:tc>
          <w:tcPr>
            <w:tcW w:w="1233"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p>
        </w:tc>
        <w:tc>
          <w:tcPr>
            <w:tcW w:w="1418"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top w:val="single" w:sz="6" w:space="0" w:color="auto"/>
              <w:left w:val="nil"/>
              <w:right w:val="nil"/>
            </w:tcBorders>
            <w:shd w:val="clear" w:color="auto" w:fill="auto"/>
          </w:tcPr>
          <w:p w:rsidR="00F87646" w:rsidRPr="009578A4" w:rsidRDefault="00F87646" w:rsidP="004A1102">
            <w:pPr>
              <w:pStyle w:val="Tabletext"/>
              <w:rPr>
                <w:vertAlign w:val="superscript"/>
                <w:lang w:eastAsia="en-AU"/>
              </w:rPr>
            </w:pPr>
            <w:r w:rsidRPr="009578A4">
              <w:rPr>
                <w:b/>
                <w:lang w:eastAsia="en-AU"/>
              </w:rPr>
              <w:t>Department of Justice</w:t>
            </w:r>
          </w:p>
        </w:tc>
        <w:tc>
          <w:tcPr>
            <w:tcW w:w="1233"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top w:val="single" w:sz="6" w:space="0" w:color="auto"/>
              <w:left w:val="nil"/>
              <w:right w:val="nil"/>
            </w:tcBorders>
            <w:shd w:val="clear" w:color="auto" w:fill="auto"/>
            <w:noWrap/>
          </w:tcPr>
          <w:p w:rsidR="00F87646" w:rsidRPr="009578A4" w:rsidRDefault="00F87646" w:rsidP="004A1102">
            <w:pPr>
              <w:pStyle w:val="Tabletextcentred"/>
            </w:pPr>
          </w:p>
        </w:tc>
        <w:tc>
          <w:tcPr>
            <w:tcW w:w="1418" w:type="dxa"/>
            <w:tcBorders>
              <w:top w:val="single" w:sz="6" w:space="0" w:color="auto"/>
              <w:left w:val="nil"/>
              <w:right w:val="nil"/>
            </w:tcBorders>
            <w:shd w:val="clear" w:color="auto" w:fill="auto"/>
            <w:noWrap/>
          </w:tcPr>
          <w:p w:rsidR="00F87646" w:rsidRPr="009578A4" w:rsidRDefault="00F87646" w:rsidP="004A1102">
            <w:pPr>
              <w:pStyle w:val="Tabletextcentred"/>
            </w:pPr>
          </w:p>
        </w:tc>
      </w:tr>
      <w:tr w:rsidR="00F87646" w:rsidRPr="009578A4" w:rsidTr="00FA1531">
        <w:trPr>
          <w:cantSplit/>
        </w:trPr>
        <w:tc>
          <w:tcPr>
            <w:tcW w:w="3884" w:type="dxa"/>
            <w:tcBorders>
              <w:left w:val="nil"/>
              <w:bottom w:val="single" w:sz="6" w:space="0" w:color="auto"/>
              <w:right w:val="nil"/>
            </w:tcBorders>
            <w:shd w:val="clear" w:color="auto" w:fill="auto"/>
          </w:tcPr>
          <w:p w:rsidR="00F87646" w:rsidRPr="009578A4" w:rsidRDefault="00F87646" w:rsidP="00A80B00">
            <w:pPr>
              <w:pStyle w:val="Tabletext"/>
              <w:rPr>
                <w:lang w:eastAsia="en-AU"/>
              </w:rPr>
            </w:pPr>
            <w:r>
              <w:rPr>
                <w:lang w:eastAsia="en-AU"/>
              </w:rPr>
              <w:t xml:space="preserve">Office of the </w:t>
            </w:r>
            <w:r w:rsidRPr="009578A4">
              <w:rPr>
                <w:lang w:eastAsia="en-AU"/>
              </w:rPr>
              <w:t xml:space="preserve">Commissioner for Privacy and Data Protection </w:t>
            </w:r>
            <w:r w:rsidRPr="009578A4">
              <w:rPr>
                <w:vertAlign w:val="superscript"/>
                <w:lang w:eastAsia="en-AU"/>
              </w:rPr>
              <w:t>(e)</w:t>
            </w:r>
          </w:p>
        </w:tc>
        <w:tc>
          <w:tcPr>
            <w:tcW w:w="1233" w:type="dxa"/>
            <w:tcBorders>
              <w:left w:val="nil"/>
              <w:bottom w:val="single" w:sz="6" w:space="0" w:color="auto"/>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left w:val="nil"/>
              <w:bottom w:val="single" w:sz="6" w:space="0" w:color="auto"/>
              <w:right w:val="nil"/>
            </w:tcBorders>
            <w:shd w:val="clear" w:color="auto" w:fill="auto"/>
            <w:noWrap/>
          </w:tcPr>
          <w:p w:rsidR="00F87646" w:rsidRPr="009578A4" w:rsidRDefault="00F87646" w:rsidP="004A1102">
            <w:pPr>
              <w:pStyle w:val="Tabletextcentred"/>
            </w:pPr>
          </w:p>
        </w:tc>
        <w:tc>
          <w:tcPr>
            <w:tcW w:w="1418" w:type="dxa"/>
            <w:tcBorders>
              <w:left w:val="nil"/>
              <w:bottom w:val="single" w:sz="6" w:space="0" w:color="auto"/>
              <w:right w:val="nil"/>
            </w:tcBorders>
            <w:shd w:val="clear" w:color="auto" w:fill="auto"/>
            <w:noWrap/>
          </w:tcPr>
          <w:p w:rsidR="00F87646" w:rsidRPr="009578A4" w:rsidRDefault="00F87646" w:rsidP="004A1102">
            <w:pPr>
              <w:pStyle w:val="Tabletextcentred"/>
            </w:pPr>
          </w:p>
        </w:tc>
      </w:tr>
      <w:tr w:rsidR="00F87646" w:rsidRPr="009578A4" w:rsidTr="00FA1531">
        <w:trPr>
          <w:cantSplit/>
        </w:trPr>
        <w:tc>
          <w:tcPr>
            <w:tcW w:w="3884" w:type="dxa"/>
            <w:tcBorders>
              <w:top w:val="single" w:sz="6" w:space="0" w:color="auto"/>
              <w:left w:val="nil"/>
              <w:right w:val="nil"/>
            </w:tcBorders>
            <w:shd w:val="clear" w:color="auto" w:fill="auto"/>
          </w:tcPr>
          <w:p w:rsidR="00F87646" w:rsidRPr="009578A4" w:rsidRDefault="00F87646" w:rsidP="004A1102">
            <w:pPr>
              <w:pStyle w:val="Tabletext"/>
              <w:rPr>
                <w:b/>
                <w:lang w:eastAsia="en-AU"/>
              </w:rPr>
            </w:pPr>
            <w:r w:rsidRPr="009578A4">
              <w:rPr>
                <w:b/>
                <w:lang w:eastAsia="en-AU"/>
              </w:rPr>
              <w:t xml:space="preserve">Courts </w:t>
            </w:r>
            <w:r w:rsidRPr="009578A4">
              <w:rPr>
                <w:vertAlign w:val="superscript"/>
                <w:lang w:eastAsia="en-AU"/>
              </w:rPr>
              <w:t>(f)</w:t>
            </w:r>
          </w:p>
        </w:tc>
        <w:tc>
          <w:tcPr>
            <w:tcW w:w="1233"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p>
        </w:tc>
        <w:tc>
          <w:tcPr>
            <w:tcW w:w="1418" w:type="dxa"/>
            <w:tcBorders>
              <w:top w:val="single" w:sz="6" w:space="0" w:color="auto"/>
              <w:left w:val="nil"/>
              <w:right w:val="nil"/>
            </w:tcBorders>
            <w:shd w:val="clear" w:color="auto" w:fill="auto"/>
            <w:noWrap/>
          </w:tcPr>
          <w:p w:rsidR="00F87646" w:rsidRPr="009578A4" w:rsidRDefault="00F87646" w:rsidP="004A1102">
            <w:pPr>
              <w:pStyle w:val="Tabletextcentred"/>
              <w:rPr>
                <w:lang w:eastAsia="en-AU"/>
              </w:rPr>
            </w:pPr>
          </w:p>
        </w:tc>
      </w:tr>
      <w:tr w:rsidR="00F87646" w:rsidRPr="009578A4" w:rsidTr="00FA1531">
        <w:trPr>
          <w:cantSplit/>
        </w:trPr>
        <w:tc>
          <w:tcPr>
            <w:tcW w:w="3884" w:type="dxa"/>
            <w:tcBorders>
              <w:left w:val="nil"/>
              <w:bottom w:val="single" w:sz="12" w:space="0" w:color="auto"/>
              <w:right w:val="nil"/>
            </w:tcBorders>
            <w:shd w:val="clear" w:color="auto" w:fill="auto"/>
          </w:tcPr>
          <w:p w:rsidR="00F87646" w:rsidRPr="009578A4" w:rsidRDefault="00F87646" w:rsidP="004A1102">
            <w:pPr>
              <w:pStyle w:val="Tabletext"/>
              <w:rPr>
                <w:lang w:eastAsia="en-AU"/>
              </w:rPr>
            </w:pPr>
            <w:r w:rsidRPr="009578A4">
              <w:rPr>
                <w:lang w:eastAsia="en-AU"/>
              </w:rPr>
              <w:t xml:space="preserve">Judicial College of Victoria </w:t>
            </w:r>
            <w:r w:rsidRPr="009578A4">
              <w:rPr>
                <w:vertAlign w:val="superscript"/>
                <w:lang w:eastAsia="en-AU"/>
              </w:rPr>
              <w:t>(f)</w:t>
            </w:r>
          </w:p>
        </w:tc>
        <w:tc>
          <w:tcPr>
            <w:tcW w:w="1233" w:type="dxa"/>
            <w:tcBorders>
              <w:left w:val="nil"/>
              <w:bottom w:val="single" w:sz="12" w:space="0" w:color="auto"/>
              <w:right w:val="nil"/>
            </w:tcBorders>
            <w:shd w:val="clear" w:color="auto" w:fill="auto"/>
            <w:noWrap/>
          </w:tcPr>
          <w:p w:rsidR="00F87646" w:rsidRPr="009578A4" w:rsidRDefault="00F87646" w:rsidP="004A1102">
            <w:pPr>
              <w:pStyle w:val="Tabletextcentred"/>
              <w:rPr>
                <w:lang w:eastAsia="en-AU"/>
              </w:rPr>
            </w:pPr>
            <w:r w:rsidRPr="009578A4">
              <w:rPr>
                <w:lang w:eastAsia="en-AU"/>
              </w:rPr>
              <w:t>*</w:t>
            </w:r>
          </w:p>
        </w:tc>
        <w:tc>
          <w:tcPr>
            <w:tcW w:w="1276" w:type="dxa"/>
            <w:tcBorders>
              <w:left w:val="nil"/>
              <w:bottom w:val="single" w:sz="12" w:space="0" w:color="auto"/>
              <w:right w:val="nil"/>
            </w:tcBorders>
            <w:shd w:val="clear" w:color="auto" w:fill="auto"/>
            <w:noWrap/>
          </w:tcPr>
          <w:p w:rsidR="00F87646" w:rsidRPr="009578A4" w:rsidRDefault="00F87646" w:rsidP="004A1102">
            <w:pPr>
              <w:pStyle w:val="Tabletextcentred"/>
              <w:rPr>
                <w:lang w:eastAsia="en-AU"/>
              </w:rPr>
            </w:pPr>
          </w:p>
        </w:tc>
        <w:tc>
          <w:tcPr>
            <w:tcW w:w="1418" w:type="dxa"/>
            <w:tcBorders>
              <w:left w:val="nil"/>
              <w:bottom w:val="single" w:sz="12" w:space="0" w:color="auto"/>
              <w:right w:val="nil"/>
            </w:tcBorders>
            <w:shd w:val="clear" w:color="auto" w:fill="auto"/>
            <w:noWrap/>
          </w:tcPr>
          <w:p w:rsidR="00F87646" w:rsidRPr="009578A4" w:rsidRDefault="00F87646" w:rsidP="004A1102">
            <w:pPr>
              <w:pStyle w:val="Tabletextcentred"/>
              <w:rPr>
                <w:lang w:eastAsia="en-AU"/>
              </w:rPr>
            </w:pPr>
          </w:p>
        </w:tc>
      </w:tr>
    </w:tbl>
    <w:p w:rsidR="00F87646" w:rsidRPr="009578A4" w:rsidRDefault="00F87646" w:rsidP="009578A4">
      <w:pPr>
        <w:tabs>
          <w:tab w:val="left" w:pos="454"/>
        </w:tabs>
        <w:spacing w:after="0"/>
        <w:ind w:left="461" w:hanging="461"/>
        <w:rPr>
          <w:rFonts w:ascii="Calibri" w:hAnsi="Calibri"/>
          <w:i/>
          <w:sz w:val="15"/>
        </w:rPr>
      </w:pPr>
      <w:r w:rsidRPr="009578A4">
        <w:rPr>
          <w:rFonts w:ascii="Calibri" w:hAnsi="Calibri"/>
          <w:i/>
          <w:sz w:val="15"/>
        </w:rPr>
        <w:t>Notes:</w:t>
      </w:r>
    </w:p>
    <w:p w:rsidR="00F87646" w:rsidRPr="009578A4" w:rsidRDefault="00F87646" w:rsidP="00CB4D04">
      <w:pPr>
        <w:pStyle w:val="Notes"/>
        <w:rPr>
          <w:lang w:eastAsia="en-AU"/>
        </w:rPr>
      </w:pPr>
      <w:r>
        <w:rPr>
          <w:lang w:eastAsia="en-AU"/>
        </w:rPr>
        <w:t>(a)</w:t>
      </w:r>
      <w:r>
        <w:rPr>
          <w:lang w:eastAsia="en-AU"/>
        </w:rPr>
        <w:tab/>
      </w:r>
      <w:r w:rsidRPr="009578A4">
        <w:rPr>
          <w:lang w:eastAsia="en-AU"/>
        </w:rPr>
        <w:t>The Bendigo Kangan Institute was established on 1 July 2014 as a result of a merger between Bendigo Regional Institute of TAFE and Kangan Institute of TAFE.</w:t>
      </w:r>
    </w:p>
    <w:p w:rsidR="00F87646" w:rsidRPr="009578A4" w:rsidRDefault="00F87646" w:rsidP="006D5E6D">
      <w:pPr>
        <w:pStyle w:val="Notes"/>
        <w:rPr>
          <w:lang w:eastAsia="en-AU"/>
        </w:rPr>
      </w:pPr>
      <w:r>
        <w:rPr>
          <w:lang w:eastAsia="en-AU"/>
        </w:rPr>
        <w:t>(b)</w:t>
      </w:r>
      <w:r>
        <w:rPr>
          <w:lang w:eastAsia="en-AU"/>
        </w:rPr>
        <w:tab/>
      </w:r>
      <w:r w:rsidRPr="009578A4">
        <w:rPr>
          <w:lang w:eastAsia="en-AU"/>
        </w:rPr>
        <w:t xml:space="preserve">The </w:t>
      </w:r>
      <w:r w:rsidRPr="00CB4D04">
        <w:rPr>
          <w:lang w:eastAsia="en-AU"/>
        </w:rPr>
        <w:t>Game Management Authority Act</w:t>
      </w:r>
      <w:r>
        <w:rPr>
          <w:lang w:eastAsia="en-AU"/>
        </w:rPr>
        <w:t xml:space="preserve"> 2014</w:t>
      </w:r>
      <w:r w:rsidRPr="009578A4">
        <w:rPr>
          <w:lang w:eastAsia="en-AU"/>
        </w:rPr>
        <w:t xml:space="preserve"> established the Game Management Authority as a statutory authority to improve the effectiveness of game management and promote responsibility in</w:t>
      </w:r>
      <w:r>
        <w:rPr>
          <w:lang w:eastAsia="en-AU"/>
        </w:rPr>
        <w:t xml:space="preserve"> game hunting, effective from 1 July </w:t>
      </w:r>
      <w:r w:rsidRPr="009578A4">
        <w:rPr>
          <w:lang w:eastAsia="en-AU"/>
        </w:rPr>
        <w:t>2014.</w:t>
      </w:r>
    </w:p>
    <w:p w:rsidR="00F87646" w:rsidRPr="009578A4" w:rsidRDefault="00F87646" w:rsidP="00CB4D04">
      <w:pPr>
        <w:pStyle w:val="Notes"/>
        <w:rPr>
          <w:lang w:eastAsia="en-AU"/>
        </w:rPr>
      </w:pPr>
      <w:r>
        <w:rPr>
          <w:lang w:eastAsia="en-AU"/>
        </w:rPr>
        <w:t>(c)</w:t>
      </w:r>
      <w:r>
        <w:rPr>
          <w:lang w:eastAsia="en-AU"/>
        </w:rPr>
        <w:tab/>
      </w:r>
      <w:r w:rsidRPr="009578A4">
        <w:rPr>
          <w:lang w:eastAsia="en-AU"/>
        </w:rPr>
        <w:t xml:space="preserve">Under changes to the </w:t>
      </w:r>
      <w:r w:rsidRPr="00CB4D04">
        <w:rPr>
          <w:lang w:eastAsia="en-AU"/>
        </w:rPr>
        <w:t>Environment Protection Act 1970</w:t>
      </w:r>
      <w:r w:rsidRPr="009578A4">
        <w:rPr>
          <w:lang w:eastAsia="en-AU"/>
        </w:rPr>
        <w:t>, the twelve regional Waste M</w:t>
      </w:r>
      <w:r>
        <w:rPr>
          <w:lang w:eastAsia="en-AU"/>
        </w:rPr>
        <w:t>anagement Groups wound up on 31 </w:t>
      </w:r>
      <w:r w:rsidRPr="009578A4">
        <w:rPr>
          <w:lang w:eastAsia="en-AU"/>
        </w:rPr>
        <w:t xml:space="preserve">July 2014 and six new regional Waste and Resource Recovery Groups were established, </w:t>
      </w:r>
      <w:r>
        <w:rPr>
          <w:lang w:eastAsia="en-AU"/>
        </w:rPr>
        <w:t>effective from 1 August 2014 as </w:t>
      </w:r>
      <w:r w:rsidRPr="009578A4">
        <w:rPr>
          <w:lang w:eastAsia="en-AU"/>
        </w:rPr>
        <w:t>follows:</w:t>
      </w:r>
    </w:p>
    <w:p w:rsidR="00F87646" w:rsidRPr="009578A4" w:rsidRDefault="00F87646" w:rsidP="009578A4">
      <w:pPr>
        <w:numPr>
          <w:ilvl w:val="0"/>
          <w:numId w:val="29"/>
        </w:numPr>
        <w:tabs>
          <w:tab w:val="clear" w:pos="922"/>
          <w:tab w:val="num" w:pos="720"/>
        </w:tabs>
        <w:spacing w:after="0"/>
        <w:ind w:left="720" w:hanging="266"/>
        <w:rPr>
          <w:rFonts w:ascii="Calibri" w:hAnsi="Calibri"/>
          <w:i/>
          <w:sz w:val="15"/>
          <w:lang w:eastAsia="en-AU"/>
        </w:rPr>
      </w:pPr>
      <w:r w:rsidRPr="009578A4">
        <w:rPr>
          <w:rFonts w:ascii="Calibri" w:hAnsi="Calibri"/>
          <w:i/>
          <w:sz w:val="15"/>
          <w:lang w:eastAsia="en-AU"/>
        </w:rPr>
        <w:t>Southern Western Regional Waste Management Group and Barwon Regional Waste Management Group have been transferred into the Barwon South West Waste And Resource Recovery Group;</w:t>
      </w:r>
    </w:p>
    <w:p w:rsidR="00F87646" w:rsidRPr="009578A4" w:rsidRDefault="00F87646" w:rsidP="009578A4">
      <w:pPr>
        <w:numPr>
          <w:ilvl w:val="0"/>
          <w:numId w:val="29"/>
        </w:numPr>
        <w:tabs>
          <w:tab w:val="clear" w:pos="922"/>
          <w:tab w:val="num" w:pos="720"/>
        </w:tabs>
        <w:spacing w:after="0"/>
        <w:ind w:left="720" w:hanging="266"/>
        <w:rPr>
          <w:rFonts w:ascii="Calibri" w:hAnsi="Calibri"/>
          <w:i/>
          <w:sz w:val="15"/>
          <w:lang w:eastAsia="en-AU"/>
        </w:rPr>
      </w:pPr>
      <w:r w:rsidRPr="009578A4">
        <w:rPr>
          <w:rFonts w:ascii="Calibri" w:hAnsi="Calibri"/>
          <w:i/>
          <w:sz w:val="15"/>
          <w:lang w:eastAsia="en-AU"/>
        </w:rPr>
        <w:t>Gippsland Regional Waste Management Group has been transferred to the Gippsland Waste and Resource Recovery Group;</w:t>
      </w:r>
    </w:p>
    <w:p w:rsidR="00F87646" w:rsidRDefault="00F87646" w:rsidP="006D5E6D">
      <w:pPr>
        <w:pStyle w:val="Heading2NotesContd"/>
        <w:rPr>
          <w:i/>
          <w:lang w:eastAsia="en-AU"/>
        </w:rPr>
      </w:pPr>
      <w:r>
        <w:rPr>
          <w:lang w:eastAsia="en-AU"/>
        </w:rPr>
        <w:lastRenderedPageBreak/>
        <w:t>Note 26:</w:t>
      </w:r>
      <w:r>
        <w:rPr>
          <w:lang w:eastAsia="en-AU"/>
        </w:rPr>
        <w:tab/>
      </w:r>
      <w:r w:rsidRPr="00FA1531">
        <w:t>Controlled entities</w:t>
      </w:r>
      <w:r w:rsidRPr="006D5E6D">
        <w:rPr>
          <w:i/>
          <w:lang w:eastAsia="en-AU"/>
        </w:rPr>
        <w:t xml:space="preserve"> (continued)</w:t>
      </w:r>
    </w:p>
    <w:p w:rsidR="00F87646" w:rsidRDefault="00F87646" w:rsidP="006D5E6D">
      <w:pPr>
        <w:pStyle w:val="Notes"/>
        <w:rPr>
          <w:lang w:eastAsia="en-AU"/>
        </w:rPr>
      </w:pPr>
      <w:r>
        <w:rPr>
          <w:lang w:eastAsia="en-AU"/>
        </w:rPr>
        <w:t>Notes (continued):</w:t>
      </w:r>
    </w:p>
    <w:p w:rsidR="00F87646" w:rsidRPr="009578A4" w:rsidRDefault="00F87646" w:rsidP="009578A4">
      <w:pPr>
        <w:numPr>
          <w:ilvl w:val="0"/>
          <w:numId w:val="29"/>
        </w:numPr>
        <w:tabs>
          <w:tab w:val="clear" w:pos="922"/>
          <w:tab w:val="num" w:pos="720"/>
        </w:tabs>
        <w:spacing w:after="0"/>
        <w:ind w:left="720" w:hanging="266"/>
        <w:rPr>
          <w:rFonts w:ascii="Calibri" w:hAnsi="Calibri"/>
          <w:i/>
          <w:sz w:val="15"/>
          <w:lang w:eastAsia="en-AU"/>
        </w:rPr>
      </w:pPr>
      <w:r w:rsidRPr="009578A4">
        <w:rPr>
          <w:rFonts w:ascii="Calibri" w:hAnsi="Calibri"/>
          <w:i/>
          <w:sz w:val="15"/>
          <w:lang w:eastAsia="en-AU"/>
        </w:rPr>
        <w:t>Goulburn Valley Regional Waste Management Group has been transferred to the Goulburn Valley Waste and Resource Recovery Group;</w:t>
      </w:r>
    </w:p>
    <w:p w:rsidR="00F87646" w:rsidRPr="009578A4" w:rsidRDefault="00F87646" w:rsidP="009578A4">
      <w:pPr>
        <w:numPr>
          <w:ilvl w:val="0"/>
          <w:numId w:val="29"/>
        </w:numPr>
        <w:tabs>
          <w:tab w:val="clear" w:pos="922"/>
          <w:tab w:val="num" w:pos="720"/>
        </w:tabs>
        <w:spacing w:after="0"/>
        <w:ind w:left="720" w:hanging="266"/>
        <w:rPr>
          <w:rFonts w:ascii="Calibri" w:hAnsi="Calibri"/>
          <w:i/>
          <w:sz w:val="15"/>
          <w:lang w:eastAsia="en-AU"/>
        </w:rPr>
      </w:pPr>
      <w:r w:rsidRPr="009578A4">
        <w:rPr>
          <w:rFonts w:ascii="Calibri" w:hAnsi="Calibri"/>
          <w:i/>
          <w:sz w:val="15"/>
          <w:lang w:eastAsia="en-AU"/>
        </w:rPr>
        <w:t>Desert Fringe Regional Waste Management Group, Grampians Regional Waste Management Group and Highl</w:t>
      </w:r>
      <w:r>
        <w:rPr>
          <w:rFonts w:ascii="Calibri" w:hAnsi="Calibri"/>
          <w:i/>
          <w:sz w:val="15"/>
          <w:lang w:eastAsia="en-AU"/>
        </w:rPr>
        <w:t xml:space="preserve">ands Regional Waste Management </w:t>
      </w:r>
      <w:r w:rsidRPr="009578A4">
        <w:rPr>
          <w:rFonts w:ascii="Calibri" w:hAnsi="Calibri"/>
          <w:i/>
          <w:sz w:val="15"/>
          <w:lang w:eastAsia="en-AU"/>
        </w:rPr>
        <w:t>Group have been transferred to the Grampians Central Waste and Resource Recovery Group;</w:t>
      </w:r>
    </w:p>
    <w:p w:rsidR="00F87646" w:rsidRPr="009578A4" w:rsidRDefault="00F87646" w:rsidP="009578A4">
      <w:pPr>
        <w:numPr>
          <w:ilvl w:val="0"/>
          <w:numId w:val="29"/>
        </w:numPr>
        <w:tabs>
          <w:tab w:val="clear" w:pos="922"/>
          <w:tab w:val="num" w:pos="720"/>
        </w:tabs>
        <w:spacing w:after="0"/>
        <w:ind w:left="720" w:hanging="266"/>
        <w:rPr>
          <w:rFonts w:ascii="Calibri" w:hAnsi="Calibri"/>
          <w:i/>
          <w:sz w:val="15"/>
          <w:lang w:eastAsia="en-AU"/>
        </w:rPr>
      </w:pPr>
      <w:r w:rsidRPr="009578A4">
        <w:rPr>
          <w:rFonts w:ascii="Calibri" w:hAnsi="Calibri"/>
          <w:i/>
          <w:sz w:val="15"/>
          <w:lang w:eastAsia="en-AU"/>
        </w:rPr>
        <w:t>Calder Regional Waste Management Group, Central Murray Regional Waste Management Group and Mildura Regional Waste Management Group have been transferred to the Loddon Mallee Waste and Resource Recovery Group;</w:t>
      </w:r>
    </w:p>
    <w:p w:rsidR="00F87646" w:rsidRPr="009578A4" w:rsidRDefault="00F87646" w:rsidP="009578A4">
      <w:pPr>
        <w:numPr>
          <w:ilvl w:val="0"/>
          <w:numId w:val="29"/>
        </w:numPr>
        <w:tabs>
          <w:tab w:val="clear" w:pos="922"/>
          <w:tab w:val="num" w:pos="720"/>
        </w:tabs>
        <w:spacing w:after="0"/>
        <w:ind w:left="720" w:hanging="266"/>
        <w:rPr>
          <w:rFonts w:ascii="Calibri" w:hAnsi="Calibri"/>
          <w:i/>
          <w:sz w:val="15"/>
          <w:lang w:eastAsia="en-AU"/>
        </w:rPr>
      </w:pPr>
      <w:r w:rsidRPr="009578A4">
        <w:rPr>
          <w:rFonts w:ascii="Calibri" w:hAnsi="Calibri"/>
          <w:i/>
          <w:sz w:val="15"/>
          <w:lang w:eastAsia="en-AU"/>
        </w:rPr>
        <w:t>North East Victorian Regional Waste Management Group has been transferred to the North East Waste and Resource Recovery Group; and</w:t>
      </w:r>
    </w:p>
    <w:p w:rsidR="00F87646" w:rsidRPr="009578A4" w:rsidRDefault="00F87646" w:rsidP="00CB4D04">
      <w:pPr>
        <w:pStyle w:val="Notes"/>
        <w:ind w:left="720" w:hanging="720"/>
        <w:rPr>
          <w:lang w:eastAsia="en-AU"/>
        </w:rPr>
      </w:pPr>
      <w:r>
        <w:rPr>
          <w:lang w:eastAsia="en-AU"/>
        </w:rPr>
        <w:tab/>
        <w:t>–</w:t>
      </w:r>
      <w:r>
        <w:rPr>
          <w:lang w:eastAsia="en-AU"/>
        </w:rPr>
        <w:tab/>
      </w:r>
      <w:r w:rsidRPr="009578A4">
        <w:rPr>
          <w:lang w:eastAsia="en-AU"/>
        </w:rPr>
        <w:t>Mornington Peninsula has been transferred into the Metropolitan Waste and Resource Recovery Group (an existing entity not abolished under the reform).</w:t>
      </w:r>
    </w:p>
    <w:p w:rsidR="00F87646" w:rsidRPr="009578A4" w:rsidRDefault="00F87646" w:rsidP="00CB4D04">
      <w:pPr>
        <w:pStyle w:val="Notes"/>
        <w:rPr>
          <w:lang w:eastAsia="en-AU"/>
        </w:rPr>
      </w:pPr>
      <w:r>
        <w:rPr>
          <w:lang w:eastAsia="en-AU"/>
        </w:rPr>
        <w:t>(d)</w:t>
      </w:r>
      <w:r>
        <w:rPr>
          <w:lang w:eastAsia="en-AU"/>
        </w:rPr>
        <w:tab/>
      </w:r>
      <w:r w:rsidRPr="009578A4">
        <w:rPr>
          <w:lang w:eastAsia="en-AU"/>
        </w:rPr>
        <w:t>Bass Coast Regional Health was renamed to Bass Coast Health from 4 September 2014.</w:t>
      </w:r>
    </w:p>
    <w:p w:rsidR="00F87646" w:rsidRPr="009578A4" w:rsidRDefault="00F87646" w:rsidP="00CB4D04">
      <w:pPr>
        <w:pStyle w:val="Notes"/>
        <w:rPr>
          <w:lang w:eastAsia="en-AU"/>
        </w:rPr>
      </w:pPr>
      <w:r>
        <w:rPr>
          <w:lang w:eastAsia="en-AU"/>
        </w:rPr>
        <w:t>(e)</w:t>
      </w:r>
      <w:r>
        <w:rPr>
          <w:lang w:eastAsia="en-AU"/>
        </w:rPr>
        <w:tab/>
      </w:r>
      <w:r w:rsidRPr="009578A4">
        <w:rPr>
          <w:lang w:eastAsia="en-AU"/>
        </w:rPr>
        <w:t xml:space="preserve">Effective 17 September 2014, the </w:t>
      </w:r>
      <w:r>
        <w:rPr>
          <w:lang w:eastAsia="en-AU"/>
        </w:rPr>
        <w:t xml:space="preserve">Office of the </w:t>
      </w:r>
      <w:r w:rsidRPr="009578A4">
        <w:rPr>
          <w:lang w:eastAsia="en-AU"/>
        </w:rPr>
        <w:t xml:space="preserve">Commissioner for Privacy and Data Protection commenced operations replacing the Office of the Victorian Privacy </w:t>
      </w:r>
      <w:r>
        <w:rPr>
          <w:lang w:eastAsia="en-AU"/>
        </w:rPr>
        <w:t>Commissioner</w:t>
      </w:r>
      <w:r w:rsidRPr="009578A4">
        <w:rPr>
          <w:lang w:eastAsia="en-AU"/>
        </w:rPr>
        <w:t xml:space="preserve">, which ceased operations on 16 September 2014. </w:t>
      </w:r>
    </w:p>
    <w:p w:rsidR="00F87646" w:rsidRDefault="00F87646" w:rsidP="00CB4D04">
      <w:pPr>
        <w:pStyle w:val="Notes"/>
        <w:rPr>
          <w:lang w:eastAsia="en-AU"/>
        </w:rPr>
      </w:pPr>
      <w:r>
        <w:rPr>
          <w:lang w:eastAsia="en-AU"/>
        </w:rPr>
        <w:t>(f)</w:t>
      </w:r>
      <w:r>
        <w:rPr>
          <w:lang w:eastAsia="en-AU"/>
        </w:rPr>
        <w:tab/>
      </w:r>
      <w:r w:rsidRPr="009578A4">
        <w:rPr>
          <w:lang w:eastAsia="en-AU"/>
        </w:rPr>
        <w:t xml:space="preserve">The </w:t>
      </w:r>
      <w:r w:rsidRPr="006D5E6D">
        <w:rPr>
          <w:i w:val="0"/>
          <w:lang w:eastAsia="en-AU"/>
        </w:rPr>
        <w:t>Court Services Victoria Act 2014</w:t>
      </w:r>
      <w:r w:rsidRPr="009578A4">
        <w:rPr>
          <w:lang w:eastAsia="en-AU"/>
        </w:rPr>
        <w:t xml:space="preserve"> established Court Services Victoria as a statutory public sector body to provide the administrative services and facilities for Victoria</w:t>
      </w:r>
      <w:r>
        <w:t>’</w:t>
      </w:r>
      <w:r w:rsidRPr="009578A4">
        <w:rPr>
          <w:lang w:eastAsia="en-AU"/>
        </w:rPr>
        <w:t>s courts, the Victorian Civil and Administrative Tribunal and the Judicial College of Victoria taking effect from 1 July 2014.</w:t>
      </w:r>
    </w:p>
    <w:p w:rsidR="00F87646" w:rsidRDefault="00F87646" w:rsidP="005E2118">
      <w:pPr>
        <w:pStyle w:val="Notes"/>
      </w:pPr>
    </w:p>
    <w:p w:rsidR="00F87646" w:rsidRPr="00613259" w:rsidRDefault="00F87646" w:rsidP="005E2118">
      <w:pPr>
        <w:pStyle w:val="Notes"/>
      </w:pPr>
    </w:p>
    <w:p w:rsidR="00F87646" w:rsidRDefault="00F87646" w:rsidP="00DE4DAE">
      <w:pPr>
        <w:spacing w:after="0"/>
      </w:pPr>
    </w:p>
    <w:p w:rsidR="00F87646" w:rsidRDefault="00F87646" w:rsidP="00DE4DAE">
      <w:pPr>
        <w:spacing w:after="0"/>
      </w:pPr>
    </w:p>
    <w:p w:rsidR="00F87646" w:rsidRDefault="00F87646" w:rsidP="00986765">
      <w:pPr>
        <w:sectPr w:rsidR="00F87646" w:rsidSect="002869F8">
          <w:footerReference w:type="even" r:id="rId24"/>
          <w:footerReference w:type="default" r:id="rId25"/>
          <w:pgSz w:w="9979" w:h="14181" w:code="138"/>
          <w:pgMar w:top="1138" w:right="1138" w:bottom="1138" w:left="1138" w:header="720" w:footer="432" w:gutter="0"/>
          <w:cols w:space="708"/>
          <w:docGrid w:linePitch="360"/>
        </w:sectPr>
      </w:pPr>
    </w:p>
    <w:p w:rsidR="00F87646" w:rsidRPr="001339A5" w:rsidRDefault="00F87646" w:rsidP="00330088">
      <w:pPr>
        <w:pStyle w:val="ChapterHeading"/>
      </w:pPr>
      <w:bookmarkStart w:id="79" w:name="_Toc403386693"/>
      <w:r w:rsidRPr="001339A5">
        <w:lastRenderedPageBreak/>
        <w:t>Chapter 4 – Contingent assets and contingent liabilities</w:t>
      </w:r>
      <w:bookmarkEnd w:id="79"/>
    </w:p>
    <w:p w:rsidR="00F87646" w:rsidRPr="001339A5" w:rsidRDefault="00F87646" w:rsidP="00144B13">
      <w:r w:rsidRPr="001339A5">
        <w:t>This chapter contains information on contingent assets and liabilities for the general government sector and should be read in conjunction with Chapter 3.</w:t>
      </w:r>
    </w:p>
    <w:p w:rsidR="00F87646" w:rsidRPr="001339A5" w:rsidRDefault="00F87646" w:rsidP="007D03EF">
      <w:pPr>
        <w:pStyle w:val="Heading1"/>
      </w:pPr>
      <w:bookmarkStart w:id="80" w:name="_Toc403386694"/>
      <w:r w:rsidRPr="001339A5">
        <w:t>Contingent assets</w:t>
      </w:r>
      <w:bookmarkEnd w:id="80"/>
    </w:p>
    <w:p w:rsidR="00F87646" w:rsidRPr="001339A5" w:rsidRDefault="00F87646" w:rsidP="00144B13">
      <w:r w:rsidRPr="001339A5">
        <w:t>Contingent assets are possible assets that arise from past events, whose existence will be confirmed only by the occurrence or non</w:t>
      </w:r>
      <w:r>
        <w:noBreakHyphen/>
      </w:r>
      <w:r w:rsidRPr="001339A5">
        <w:t>occurrence of one or more uncertain future events not wholly within the control of the entity.</w:t>
      </w:r>
    </w:p>
    <w:p w:rsidR="00F87646" w:rsidRPr="001339A5" w:rsidRDefault="00F87646" w:rsidP="00144B13">
      <w:r w:rsidRPr="001339A5">
        <w:t>These are classified as either quantifiable, where the potential economic benefit is known, or non</w:t>
      </w:r>
      <w:r>
        <w:noBreakHyphen/>
      </w:r>
      <w:r w:rsidRPr="001339A5">
        <w:t>quantifiable. The table below contains quantifiable contingent assets as at 4 November 2014.</w:t>
      </w:r>
    </w:p>
    <w:p w:rsidR="00F87646" w:rsidRPr="001339A5" w:rsidRDefault="00F87646" w:rsidP="007D03EF">
      <w:pPr>
        <w:pStyle w:val="Tableheading"/>
        <w:rPr>
          <w:i/>
        </w:rPr>
      </w:pPr>
      <w:r w:rsidRPr="001339A5">
        <w:t>Table 4.1:</w:t>
      </w:r>
      <w:r w:rsidRPr="001339A5">
        <w:tab/>
        <w:t>Quantifiable contingent assets</w:t>
      </w:r>
    </w:p>
    <w:p w:rsidR="00F87646" w:rsidRPr="001339A5" w:rsidRDefault="00F87646" w:rsidP="008A3DCD">
      <w:pPr>
        <w:pStyle w:val="million"/>
      </w:pPr>
      <w:r w:rsidRPr="001339A5">
        <w:t>($</w:t>
      </w:r>
      <w:r>
        <w:t> million</w:t>
      </w:r>
      <w:r w:rsidRPr="001339A5">
        <w:t>)</w:t>
      </w:r>
    </w:p>
    <w:tbl>
      <w:tblPr>
        <w:tblW w:w="7776" w:type="dxa"/>
        <w:tblInd w:w="29" w:type="dxa"/>
        <w:tblLayout w:type="fixed"/>
        <w:tblCellMar>
          <w:left w:w="43" w:type="dxa"/>
          <w:right w:w="43" w:type="dxa"/>
        </w:tblCellMar>
        <w:tblLook w:val="0000" w:firstRow="0" w:lastRow="0" w:firstColumn="0" w:lastColumn="0" w:noHBand="0" w:noVBand="0"/>
      </w:tblPr>
      <w:tblGrid>
        <w:gridCol w:w="4694"/>
        <w:gridCol w:w="1440"/>
        <w:gridCol w:w="1642"/>
      </w:tblGrid>
      <w:tr w:rsidR="00F87646" w:rsidRPr="001339A5" w:rsidTr="008A3DCD">
        <w:tc>
          <w:tcPr>
            <w:tcW w:w="4694" w:type="dxa"/>
            <w:tcBorders>
              <w:top w:val="single" w:sz="4" w:space="0" w:color="auto"/>
              <w:left w:val="single" w:sz="4" w:space="0" w:color="auto"/>
              <w:bottom w:val="nil"/>
              <w:right w:val="nil"/>
            </w:tcBorders>
            <w:shd w:val="clear" w:color="auto" w:fill="000000"/>
          </w:tcPr>
          <w:p w:rsidR="00F87646" w:rsidRPr="001339A5" w:rsidRDefault="00F87646" w:rsidP="008A3DCD">
            <w:pPr>
              <w:pStyle w:val="Tabletext"/>
              <w:rPr>
                <w:rFonts w:eastAsiaTheme="minorEastAsia"/>
                <w:lang w:eastAsia="en-AU"/>
              </w:rPr>
            </w:pPr>
            <w:r w:rsidRPr="001339A5">
              <w:rPr>
                <w:rFonts w:eastAsiaTheme="minorEastAsia"/>
                <w:lang w:eastAsia="en-AU"/>
              </w:rPr>
              <w:t xml:space="preserve"> </w:t>
            </w:r>
          </w:p>
        </w:tc>
        <w:tc>
          <w:tcPr>
            <w:tcW w:w="1440" w:type="dxa"/>
            <w:tcBorders>
              <w:top w:val="single" w:sz="4" w:space="0" w:color="auto"/>
              <w:left w:val="nil"/>
              <w:bottom w:val="nil"/>
              <w:right w:val="nil"/>
            </w:tcBorders>
            <w:shd w:val="clear" w:color="auto" w:fill="000000"/>
          </w:tcPr>
          <w:p w:rsidR="00F87646" w:rsidRPr="001339A5" w:rsidRDefault="00F87646" w:rsidP="008A3DCD">
            <w:pPr>
              <w:pStyle w:val="Tabletextheading"/>
              <w:rPr>
                <w:rFonts w:eastAsiaTheme="minorEastAsia" w:cs="Calibri"/>
                <w:iCs/>
                <w:color w:val="FFFFFF"/>
                <w:lang w:eastAsia="en-AU"/>
              </w:rPr>
            </w:pPr>
            <w:r w:rsidRPr="001339A5">
              <w:rPr>
                <w:rFonts w:eastAsiaTheme="minorEastAsia"/>
                <w:lang w:eastAsia="en-AU"/>
              </w:rPr>
              <w:t>As at</w:t>
            </w:r>
          </w:p>
        </w:tc>
        <w:tc>
          <w:tcPr>
            <w:tcW w:w="1642" w:type="dxa"/>
            <w:tcBorders>
              <w:top w:val="single" w:sz="4" w:space="0" w:color="auto"/>
              <w:left w:val="nil"/>
              <w:bottom w:val="nil"/>
              <w:right w:val="single" w:sz="4" w:space="0" w:color="auto"/>
            </w:tcBorders>
            <w:shd w:val="clear" w:color="auto" w:fill="000000"/>
          </w:tcPr>
          <w:p w:rsidR="00F87646" w:rsidRPr="001339A5" w:rsidRDefault="00F87646" w:rsidP="008A3DCD">
            <w:pPr>
              <w:pStyle w:val="Tabletextheading"/>
              <w:rPr>
                <w:rFonts w:eastAsiaTheme="minorEastAsia"/>
                <w:lang w:eastAsia="en-AU"/>
              </w:rPr>
            </w:pPr>
            <w:r w:rsidRPr="001339A5">
              <w:rPr>
                <w:rFonts w:eastAsiaTheme="minorEastAsia"/>
                <w:lang w:eastAsia="en-AU"/>
              </w:rPr>
              <w:t xml:space="preserve">Published budget </w:t>
            </w:r>
          </w:p>
        </w:tc>
      </w:tr>
      <w:tr w:rsidR="00F87646" w:rsidRPr="001339A5" w:rsidTr="008A3DCD">
        <w:tc>
          <w:tcPr>
            <w:tcW w:w="4694" w:type="dxa"/>
            <w:tcBorders>
              <w:top w:val="nil"/>
              <w:left w:val="single" w:sz="4" w:space="0" w:color="auto"/>
              <w:bottom w:val="single" w:sz="4" w:space="0" w:color="auto"/>
              <w:right w:val="nil"/>
            </w:tcBorders>
            <w:shd w:val="clear" w:color="auto" w:fill="000000"/>
          </w:tcPr>
          <w:p w:rsidR="00F87646" w:rsidRPr="001339A5" w:rsidRDefault="00F87646" w:rsidP="008A3DCD">
            <w:pPr>
              <w:pStyle w:val="Tabletext"/>
              <w:rPr>
                <w:rFonts w:eastAsiaTheme="minorEastAsia"/>
                <w:lang w:eastAsia="en-AU"/>
              </w:rPr>
            </w:pPr>
          </w:p>
        </w:tc>
        <w:tc>
          <w:tcPr>
            <w:tcW w:w="1440" w:type="dxa"/>
            <w:tcBorders>
              <w:top w:val="nil"/>
              <w:left w:val="nil"/>
              <w:bottom w:val="single" w:sz="4" w:space="0" w:color="auto"/>
              <w:right w:val="nil"/>
            </w:tcBorders>
            <w:shd w:val="clear" w:color="auto" w:fill="000000"/>
          </w:tcPr>
          <w:p w:rsidR="00F87646" w:rsidRPr="001339A5" w:rsidRDefault="00F87646" w:rsidP="008A3DCD">
            <w:pPr>
              <w:pStyle w:val="Tabletextheading"/>
              <w:ind w:left="-108" w:firstLine="108"/>
              <w:rPr>
                <w:rFonts w:eastAsiaTheme="minorEastAsia"/>
                <w:lang w:eastAsia="en-AU"/>
              </w:rPr>
            </w:pPr>
            <w:r w:rsidRPr="001339A5">
              <w:rPr>
                <w:rFonts w:eastAsiaTheme="minorEastAsia"/>
                <w:lang w:eastAsia="en-AU"/>
              </w:rPr>
              <w:t>November 2014</w:t>
            </w:r>
          </w:p>
        </w:tc>
        <w:tc>
          <w:tcPr>
            <w:tcW w:w="1642" w:type="dxa"/>
            <w:tcBorders>
              <w:top w:val="nil"/>
              <w:left w:val="nil"/>
              <w:bottom w:val="single" w:sz="4" w:space="0" w:color="auto"/>
              <w:right w:val="single" w:sz="4" w:space="0" w:color="auto"/>
            </w:tcBorders>
            <w:shd w:val="clear" w:color="auto" w:fill="000000"/>
          </w:tcPr>
          <w:p w:rsidR="00F87646" w:rsidRPr="001339A5" w:rsidRDefault="00F87646" w:rsidP="008A3DCD">
            <w:pPr>
              <w:pStyle w:val="Tabletextheading"/>
              <w:rPr>
                <w:rFonts w:eastAsiaTheme="minorEastAsia"/>
                <w:vertAlign w:val="superscript"/>
                <w:lang w:eastAsia="en-AU"/>
              </w:rPr>
            </w:pPr>
            <w:r w:rsidRPr="001339A5">
              <w:rPr>
                <w:rFonts w:eastAsiaTheme="minorEastAsia"/>
                <w:lang w:eastAsia="en-AU"/>
              </w:rPr>
              <w:t xml:space="preserve">estimate </w:t>
            </w:r>
            <w:r w:rsidRPr="001339A5">
              <w:rPr>
                <w:rFonts w:eastAsiaTheme="minorEastAsia"/>
                <w:vertAlign w:val="superscript"/>
                <w:lang w:eastAsia="en-AU"/>
              </w:rPr>
              <w:t>(a)</w:t>
            </w:r>
          </w:p>
        </w:tc>
      </w:tr>
      <w:tr w:rsidR="00F87646" w:rsidRPr="001339A5" w:rsidTr="008A3DCD">
        <w:tc>
          <w:tcPr>
            <w:tcW w:w="4694" w:type="dxa"/>
            <w:tcBorders>
              <w:top w:val="single" w:sz="4" w:space="0" w:color="auto"/>
              <w:left w:val="nil"/>
              <w:bottom w:val="nil"/>
              <w:right w:val="nil"/>
            </w:tcBorders>
          </w:tcPr>
          <w:p w:rsidR="00F87646" w:rsidRPr="001339A5" w:rsidRDefault="00F87646" w:rsidP="008A3DCD">
            <w:pPr>
              <w:pStyle w:val="Tabletext"/>
              <w:rPr>
                <w:rFonts w:eastAsiaTheme="minorEastAsia"/>
                <w:color w:val="000000"/>
                <w:lang w:eastAsia="en-AU"/>
              </w:rPr>
            </w:pPr>
            <w:r w:rsidRPr="001339A5">
              <w:rPr>
                <w:rFonts w:eastAsiaTheme="minorEastAsia"/>
                <w:color w:val="000000"/>
                <w:lang w:eastAsia="en-AU"/>
              </w:rPr>
              <w:t>Guarantees, indemnities and warranties</w:t>
            </w:r>
          </w:p>
        </w:tc>
        <w:tc>
          <w:tcPr>
            <w:tcW w:w="1440" w:type="dxa"/>
            <w:tcBorders>
              <w:top w:val="single" w:sz="4" w:space="0" w:color="auto"/>
              <w:left w:val="nil"/>
              <w:bottom w:val="nil"/>
              <w:right w:val="nil"/>
            </w:tcBorders>
          </w:tcPr>
          <w:p w:rsidR="00F87646" w:rsidRPr="001339A5" w:rsidRDefault="00F87646" w:rsidP="008A3DCD">
            <w:pPr>
              <w:pStyle w:val="TableofFigures"/>
              <w:rPr>
                <w:rFonts w:eastAsiaTheme="minorEastAsia"/>
                <w:color w:val="000000"/>
                <w:lang w:eastAsia="en-AU"/>
              </w:rPr>
            </w:pPr>
            <w:r w:rsidRPr="001339A5">
              <w:rPr>
                <w:rFonts w:eastAsiaTheme="minorEastAsia"/>
                <w:color w:val="000000"/>
                <w:lang w:eastAsia="en-AU"/>
              </w:rPr>
              <w:t xml:space="preserve"> 6.4</w:t>
            </w:r>
          </w:p>
        </w:tc>
        <w:tc>
          <w:tcPr>
            <w:tcW w:w="1642" w:type="dxa"/>
            <w:tcBorders>
              <w:top w:val="single" w:sz="4" w:space="0" w:color="auto"/>
              <w:left w:val="nil"/>
              <w:bottom w:val="nil"/>
              <w:right w:val="nil"/>
            </w:tcBorders>
          </w:tcPr>
          <w:p w:rsidR="00F87646" w:rsidRPr="001339A5" w:rsidRDefault="00F87646" w:rsidP="008A3DCD">
            <w:pPr>
              <w:pStyle w:val="TableofFigures"/>
              <w:rPr>
                <w:rFonts w:eastAsiaTheme="minorEastAsia"/>
                <w:color w:val="000000"/>
                <w:lang w:eastAsia="en-AU"/>
              </w:rPr>
            </w:pPr>
            <w:r w:rsidRPr="001339A5">
              <w:rPr>
                <w:rFonts w:eastAsiaTheme="minorEastAsia"/>
                <w:color w:val="000000"/>
                <w:lang w:eastAsia="en-AU"/>
              </w:rPr>
              <w:t xml:space="preserve"> 2.0</w:t>
            </w:r>
          </w:p>
        </w:tc>
      </w:tr>
      <w:tr w:rsidR="00F87646" w:rsidRPr="001339A5" w:rsidTr="008A3DCD">
        <w:tc>
          <w:tcPr>
            <w:tcW w:w="4694" w:type="dxa"/>
            <w:tcBorders>
              <w:top w:val="nil"/>
              <w:left w:val="nil"/>
              <w:bottom w:val="nil"/>
              <w:right w:val="nil"/>
            </w:tcBorders>
          </w:tcPr>
          <w:p w:rsidR="00F87646" w:rsidRPr="001339A5" w:rsidRDefault="00F87646" w:rsidP="008A3DCD">
            <w:pPr>
              <w:pStyle w:val="Tabletext"/>
              <w:rPr>
                <w:rFonts w:eastAsiaTheme="minorEastAsia"/>
                <w:color w:val="000000"/>
                <w:lang w:eastAsia="en-AU"/>
              </w:rPr>
            </w:pPr>
            <w:r w:rsidRPr="001339A5">
              <w:rPr>
                <w:rFonts w:eastAsiaTheme="minorEastAsia"/>
                <w:color w:val="000000"/>
                <w:lang w:eastAsia="en-AU"/>
              </w:rPr>
              <w:t>Legal proceedings and disputes</w:t>
            </w:r>
          </w:p>
        </w:tc>
        <w:tc>
          <w:tcPr>
            <w:tcW w:w="1440" w:type="dxa"/>
            <w:tcBorders>
              <w:top w:val="nil"/>
              <w:left w:val="nil"/>
              <w:bottom w:val="nil"/>
              <w:right w:val="nil"/>
            </w:tcBorders>
          </w:tcPr>
          <w:p w:rsidR="00F87646" w:rsidRPr="001339A5" w:rsidRDefault="00F87646" w:rsidP="008A3DCD">
            <w:pPr>
              <w:pStyle w:val="TableofFigures"/>
              <w:rPr>
                <w:rFonts w:eastAsiaTheme="minorEastAsia"/>
                <w:color w:val="000000"/>
                <w:lang w:eastAsia="en-AU"/>
              </w:rPr>
            </w:pPr>
            <w:r w:rsidRPr="001339A5">
              <w:rPr>
                <w:rFonts w:eastAsiaTheme="minorEastAsia"/>
                <w:color w:val="000000"/>
                <w:lang w:eastAsia="en-AU"/>
              </w:rPr>
              <w:t xml:space="preserve"> 6.8</w:t>
            </w:r>
          </w:p>
        </w:tc>
        <w:tc>
          <w:tcPr>
            <w:tcW w:w="1642" w:type="dxa"/>
            <w:tcBorders>
              <w:top w:val="nil"/>
              <w:left w:val="nil"/>
              <w:bottom w:val="nil"/>
              <w:right w:val="nil"/>
            </w:tcBorders>
          </w:tcPr>
          <w:p w:rsidR="00F87646" w:rsidRPr="001339A5" w:rsidRDefault="00F87646" w:rsidP="008A3DCD">
            <w:pPr>
              <w:pStyle w:val="TableofFigures"/>
              <w:rPr>
                <w:rFonts w:eastAsiaTheme="minorEastAsia"/>
                <w:color w:val="000000"/>
                <w:lang w:eastAsia="en-AU"/>
              </w:rPr>
            </w:pPr>
            <w:r w:rsidRPr="001339A5">
              <w:rPr>
                <w:rFonts w:eastAsiaTheme="minorEastAsia"/>
                <w:color w:val="000000"/>
                <w:lang w:eastAsia="en-AU"/>
              </w:rPr>
              <w:t xml:space="preserve"> 8.7</w:t>
            </w:r>
          </w:p>
        </w:tc>
      </w:tr>
      <w:tr w:rsidR="00F87646" w:rsidRPr="001339A5" w:rsidTr="008A3DCD">
        <w:tc>
          <w:tcPr>
            <w:tcW w:w="4694" w:type="dxa"/>
            <w:tcBorders>
              <w:top w:val="nil"/>
              <w:left w:val="nil"/>
              <w:bottom w:val="nil"/>
              <w:right w:val="nil"/>
            </w:tcBorders>
          </w:tcPr>
          <w:p w:rsidR="00F87646" w:rsidRPr="001339A5" w:rsidRDefault="00F87646" w:rsidP="008A3DCD">
            <w:pPr>
              <w:pStyle w:val="Tabletext"/>
              <w:rPr>
                <w:rFonts w:eastAsiaTheme="minorEastAsia" w:cs="Calibri"/>
                <w:color w:val="000000"/>
                <w:vertAlign w:val="superscript"/>
                <w:lang w:eastAsia="en-AU"/>
              </w:rPr>
            </w:pPr>
            <w:r w:rsidRPr="001339A5">
              <w:rPr>
                <w:rFonts w:eastAsiaTheme="minorEastAsia"/>
                <w:color w:val="000000"/>
                <w:lang w:eastAsia="en-AU"/>
              </w:rPr>
              <w:t xml:space="preserve">Other </w:t>
            </w:r>
            <w:r w:rsidRPr="001339A5">
              <w:rPr>
                <w:rFonts w:eastAsiaTheme="minorEastAsia" w:cs="Calibri"/>
                <w:color w:val="000000"/>
                <w:vertAlign w:val="superscript"/>
                <w:lang w:eastAsia="en-AU"/>
              </w:rPr>
              <w:t>(b)</w:t>
            </w:r>
          </w:p>
        </w:tc>
        <w:tc>
          <w:tcPr>
            <w:tcW w:w="1440" w:type="dxa"/>
            <w:tcBorders>
              <w:top w:val="nil"/>
              <w:left w:val="nil"/>
              <w:bottom w:val="nil"/>
              <w:right w:val="nil"/>
            </w:tcBorders>
          </w:tcPr>
          <w:p w:rsidR="00F87646" w:rsidRPr="001339A5" w:rsidRDefault="00F87646" w:rsidP="008A3DCD">
            <w:pPr>
              <w:pStyle w:val="TableofFigures"/>
              <w:rPr>
                <w:rFonts w:eastAsiaTheme="minorEastAsia"/>
                <w:color w:val="000000"/>
                <w:lang w:eastAsia="en-AU"/>
              </w:rPr>
            </w:pPr>
            <w:r w:rsidRPr="001339A5">
              <w:rPr>
                <w:rFonts w:eastAsiaTheme="minorEastAsia"/>
                <w:color w:val="000000"/>
                <w:lang w:eastAsia="en-AU"/>
              </w:rPr>
              <w:t xml:space="preserve"> 100.8</w:t>
            </w:r>
          </w:p>
        </w:tc>
        <w:tc>
          <w:tcPr>
            <w:tcW w:w="1642" w:type="dxa"/>
            <w:tcBorders>
              <w:top w:val="nil"/>
              <w:left w:val="nil"/>
              <w:bottom w:val="nil"/>
              <w:right w:val="nil"/>
            </w:tcBorders>
          </w:tcPr>
          <w:p w:rsidR="00F87646" w:rsidRPr="001339A5" w:rsidRDefault="00F87646" w:rsidP="008A3DCD">
            <w:pPr>
              <w:pStyle w:val="TableofFigures"/>
              <w:rPr>
                <w:rFonts w:eastAsiaTheme="minorEastAsia"/>
                <w:color w:val="000000"/>
                <w:lang w:eastAsia="en-AU"/>
              </w:rPr>
            </w:pPr>
            <w:r w:rsidRPr="001339A5">
              <w:rPr>
                <w:rFonts w:eastAsiaTheme="minorEastAsia"/>
                <w:color w:val="000000"/>
                <w:lang w:eastAsia="en-AU"/>
              </w:rPr>
              <w:t xml:space="preserve"> 8.0</w:t>
            </w:r>
          </w:p>
        </w:tc>
      </w:tr>
      <w:tr w:rsidR="00F87646" w:rsidRPr="001339A5" w:rsidTr="008A3DCD">
        <w:tc>
          <w:tcPr>
            <w:tcW w:w="4694" w:type="dxa"/>
            <w:tcBorders>
              <w:top w:val="single" w:sz="6" w:space="0" w:color="auto"/>
              <w:left w:val="nil"/>
              <w:bottom w:val="single" w:sz="12" w:space="0" w:color="auto"/>
              <w:right w:val="nil"/>
            </w:tcBorders>
          </w:tcPr>
          <w:p w:rsidR="00F87646" w:rsidRPr="001339A5" w:rsidRDefault="00F87646" w:rsidP="008A3DCD">
            <w:pPr>
              <w:pStyle w:val="Tabletext"/>
              <w:rPr>
                <w:rFonts w:eastAsiaTheme="minorEastAsia"/>
                <w:b/>
                <w:bCs/>
                <w:color w:val="000000"/>
                <w:lang w:eastAsia="en-AU"/>
              </w:rPr>
            </w:pPr>
            <w:r w:rsidRPr="001339A5">
              <w:rPr>
                <w:rFonts w:eastAsiaTheme="minorEastAsia"/>
                <w:b/>
                <w:bCs/>
                <w:color w:val="000000"/>
                <w:lang w:eastAsia="en-AU"/>
              </w:rPr>
              <w:t>Total contingent assets</w:t>
            </w:r>
          </w:p>
        </w:tc>
        <w:tc>
          <w:tcPr>
            <w:tcW w:w="1440" w:type="dxa"/>
            <w:tcBorders>
              <w:top w:val="single" w:sz="6" w:space="0" w:color="auto"/>
              <w:left w:val="nil"/>
              <w:bottom w:val="single" w:sz="12" w:space="0" w:color="auto"/>
              <w:right w:val="nil"/>
            </w:tcBorders>
          </w:tcPr>
          <w:p w:rsidR="00F87646" w:rsidRPr="001339A5" w:rsidRDefault="00F87646" w:rsidP="008A3DCD">
            <w:pPr>
              <w:pStyle w:val="TableofFigures"/>
              <w:rPr>
                <w:rFonts w:eastAsiaTheme="minorEastAsia"/>
                <w:b/>
                <w:bCs/>
                <w:color w:val="000000"/>
                <w:lang w:eastAsia="en-AU"/>
              </w:rPr>
            </w:pPr>
            <w:r w:rsidRPr="001339A5">
              <w:rPr>
                <w:rFonts w:eastAsiaTheme="minorEastAsia"/>
                <w:b/>
                <w:bCs/>
                <w:color w:val="000000"/>
                <w:lang w:eastAsia="en-AU"/>
              </w:rPr>
              <w:t xml:space="preserve"> 114.0</w:t>
            </w:r>
          </w:p>
        </w:tc>
        <w:tc>
          <w:tcPr>
            <w:tcW w:w="1642" w:type="dxa"/>
            <w:tcBorders>
              <w:top w:val="single" w:sz="6" w:space="0" w:color="auto"/>
              <w:left w:val="nil"/>
              <w:bottom w:val="single" w:sz="12" w:space="0" w:color="auto"/>
              <w:right w:val="nil"/>
            </w:tcBorders>
          </w:tcPr>
          <w:p w:rsidR="00F87646" w:rsidRPr="001339A5" w:rsidRDefault="00F87646" w:rsidP="008A3DCD">
            <w:pPr>
              <w:pStyle w:val="TableofFigures"/>
              <w:rPr>
                <w:rFonts w:eastAsiaTheme="minorEastAsia"/>
                <w:b/>
                <w:bCs/>
                <w:color w:val="000000"/>
                <w:lang w:eastAsia="en-AU"/>
              </w:rPr>
            </w:pPr>
            <w:r w:rsidRPr="001339A5">
              <w:rPr>
                <w:rFonts w:eastAsiaTheme="minorEastAsia"/>
                <w:b/>
                <w:bCs/>
                <w:color w:val="000000"/>
                <w:lang w:eastAsia="en-AU"/>
              </w:rPr>
              <w:t xml:space="preserve"> 18.7</w:t>
            </w:r>
          </w:p>
        </w:tc>
      </w:tr>
    </w:tbl>
    <w:p w:rsidR="00F87646" w:rsidRPr="001339A5" w:rsidRDefault="00F87646" w:rsidP="007D03EF">
      <w:pPr>
        <w:pStyle w:val="Notes"/>
      </w:pPr>
      <w:r w:rsidRPr="001339A5">
        <w:t>Notes:</w:t>
      </w:r>
    </w:p>
    <w:p w:rsidR="00F87646" w:rsidRPr="001339A5" w:rsidRDefault="00F87646" w:rsidP="007D03EF">
      <w:pPr>
        <w:pStyle w:val="Notes"/>
      </w:pPr>
      <w:r w:rsidRPr="001339A5">
        <w:t>(a)</w:t>
      </w:r>
      <w:r w:rsidRPr="001339A5">
        <w:tab/>
        <w:t xml:space="preserve">As published in the </w:t>
      </w:r>
      <w:r w:rsidRPr="001339A5">
        <w:rPr>
          <w:i w:val="0"/>
        </w:rPr>
        <w:t>2014</w:t>
      </w:r>
      <w:r>
        <w:rPr>
          <w:i w:val="0"/>
        </w:rPr>
        <w:noBreakHyphen/>
      </w:r>
      <w:r w:rsidRPr="001339A5">
        <w:rPr>
          <w:i w:val="0"/>
        </w:rPr>
        <w:t>15 Budget</w:t>
      </w:r>
      <w:r w:rsidRPr="001339A5">
        <w:t>.</w:t>
      </w:r>
    </w:p>
    <w:p w:rsidR="00F87646" w:rsidRPr="001339A5" w:rsidRDefault="00F87646" w:rsidP="007D03EF">
      <w:pPr>
        <w:pStyle w:val="Notes"/>
      </w:pPr>
      <w:r w:rsidRPr="001339A5">
        <w:t>(b)</w:t>
      </w:r>
      <w:r w:rsidRPr="001339A5">
        <w:tab/>
        <w:t>The increase in other contingent assets since May 2014 is mainly due to $100</w:t>
      </w:r>
      <w:r>
        <w:t> million</w:t>
      </w:r>
      <w:r w:rsidRPr="001339A5">
        <w:t xml:space="preserve"> relating to the second contingent payment for Crown Melbourne licence amendments that may be payable in calendar year 2022. In accordance with accounting standards, the first contingent payment of $100</w:t>
      </w:r>
      <w:r>
        <w:t> million</w:t>
      </w:r>
      <w:r w:rsidRPr="001339A5">
        <w:t xml:space="preserve"> has been </w:t>
      </w:r>
      <w:r>
        <w:t xml:space="preserve">factored into the State’s </w:t>
      </w:r>
      <w:r w:rsidRPr="001339A5">
        <w:t>estimates</w:t>
      </w:r>
      <w:r>
        <w:t xml:space="preserve"> over the Casino license period</w:t>
      </w:r>
      <w:r w:rsidRPr="001339A5">
        <w:t xml:space="preserve">. </w:t>
      </w:r>
    </w:p>
    <w:p w:rsidR="00F87646" w:rsidRPr="001339A5" w:rsidRDefault="00F87646" w:rsidP="00C4328F">
      <w:pPr>
        <w:pStyle w:val="Source"/>
      </w:pPr>
    </w:p>
    <w:p w:rsidR="00F87646" w:rsidRPr="001339A5" w:rsidRDefault="00F87646" w:rsidP="007D03EF">
      <w:pPr>
        <w:pStyle w:val="Heading2"/>
        <w:rPr>
          <w:i/>
        </w:rPr>
      </w:pPr>
      <w:r w:rsidRPr="001339A5">
        <w:t>Non</w:t>
      </w:r>
      <w:r>
        <w:noBreakHyphen/>
      </w:r>
      <w:r w:rsidRPr="001339A5">
        <w:t>quantifiable contingent assets</w:t>
      </w:r>
    </w:p>
    <w:p w:rsidR="00F87646" w:rsidRPr="001339A5" w:rsidRDefault="00F87646" w:rsidP="007D03EF">
      <w:pPr>
        <w:pStyle w:val="Heading3"/>
      </w:pPr>
      <w:r w:rsidRPr="001339A5">
        <w:t>CityLink compensable enhancement claims</w:t>
      </w:r>
    </w:p>
    <w:p w:rsidR="00F87646" w:rsidRPr="001339A5" w:rsidRDefault="00F87646" w:rsidP="00144B13">
      <w:r w:rsidRPr="001339A5">
        <w:t>The Melbourne CityLink Concession Deed contains compensable enhancement provisions that enable the State to claim 50</w:t>
      </w:r>
      <w:r>
        <w:t> per cent</w:t>
      </w:r>
      <w:r w:rsidRPr="001339A5">
        <w:t xml:space="preserve"> of additional revenue derived by CityLink Melbourne Limited (CML) as a result of certain events that particularly benefit CityLink, including changes to the adjoining road network. </w:t>
      </w:r>
    </w:p>
    <w:p w:rsidR="00F87646" w:rsidRPr="001339A5" w:rsidRDefault="00F87646" w:rsidP="00144B13">
      <w:r w:rsidRPr="001339A5">
        <w:lastRenderedPageBreak/>
        <w:t>Compensable enhancement claims have previously been lodged in respect of works for improving traffic flows on the West Gate Freeway (between Lorimer and Montague streets), and in the vicinity of the intersection of the Bulla Road and the Tullamarine Freeway. The claims were lodged on 20 May 2005 and 29 September 2006 respectively, and are still outstanding.</w:t>
      </w:r>
    </w:p>
    <w:p w:rsidR="00F87646" w:rsidRPr="001339A5" w:rsidRDefault="00F87646" w:rsidP="007D03EF">
      <w:pPr>
        <w:pStyle w:val="Heading3"/>
      </w:pPr>
      <w:r w:rsidRPr="001339A5">
        <w:t>Peninsula Link compensable enhancement claim</w:t>
      </w:r>
    </w:p>
    <w:p w:rsidR="00F87646" w:rsidRPr="001339A5" w:rsidRDefault="00F87646" w:rsidP="008A2312">
      <w:r w:rsidRPr="001339A5">
        <w:t>The EastLink Concession Deed contains compensable enhancement provisions that enable the State to claim 50</w:t>
      </w:r>
      <w:r>
        <w:t> per cent</w:t>
      </w:r>
      <w:r w:rsidRPr="001339A5">
        <w:t xml:space="preserve"> of any additional revenue derived by ConnectEast Pty Ltd (ConnectEast) as a result of certain events that particularly benefit EastLink, including changes to the adjoining road network.</w:t>
      </w:r>
    </w:p>
    <w:p w:rsidR="00F87646" w:rsidRPr="001339A5" w:rsidRDefault="00F87646" w:rsidP="008A2312">
      <w:r w:rsidRPr="001339A5">
        <w:t>On 2 January 2014, the State lodged a compensable enhancement claim as a result of the opening of the Peninsula Link. The claim remains outstanding.</w:t>
      </w:r>
    </w:p>
    <w:p w:rsidR="00F87646" w:rsidRPr="001339A5" w:rsidRDefault="00F87646" w:rsidP="007D03EF">
      <w:pPr>
        <w:pStyle w:val="Heading3"/>
      </w:pPr>
      <w:r w:rsidRPr="001339A5">
        <w:t>Revenue sharing from Monash/CityLink/West Gate Upgrade</w:t>
      </w:r>
    </w:p>
    <w:p w:rsidR="00F87646" w:rsidRPr="001339A5" w:rsidRDefault="00F87646" w:rsidP="008A2312">
      <w:r w:rsidRPr="001339A5">
        <w:t>On 25 July 2006, CityLink Melbourne Limited (CML), Transurban Infrastructure Management Limited and the State of Victoria entered into the M1 Corridor Redevelopment Deed. Under the terms of this Deed:</w:t>
      </w:r>
    </w:p>
    <w:p w:rsidR="00F87646" w:rsidRPr="001339A5" w:rsidRDefault="00F87646" w:rsidP="008A2312">
      <w:pPr>
        <w:pStyle w:val="BulletText"/>
      </w:pPr>
      <w:r w:rsidRPr="001339A5">
        <w:t>the State upgraded the Monash and West Gate Freeways, while CML upgraded the Southern Link section of CityLink; and</w:t>
      </w:r>
    </w:p>
    <w:p w:rsidR="00F87646" w:rsidRPr="001339A5" w:rsidRDefault="00F87646" w:rsidP="008A2312">
      <w:pPr>
        <w:pStyle w:val="BulletText"/>
      </w:pPr>
      <w:r w:rsidRPr="001339A5">
        <w:t>CML agreed that the State would be entitled to 50</w:t>
      </w:r>
      <w:r>
        <w:t> per cent</w:t>
      </w:r>
      <w:r w:rsidRPr="001339A5">
        <w:t xml:space="preserve"> of the additional CityLink revenue generated by the Monash/CityLink/West Gate Upgrade, above the investment case for the project relating to works on the Southern Link section of CityLink.</w:t>
      </w:r>
    </w:p>
    <w:p w:rsidR="00F87646" w:rsidRPr="001339A5" w:rsidRDefault="00F87646" w:rsidP="008A2312">
      <w:r w:rsidRPr="001339A5">
        <w:t>The method used to calculate additional CityLink revenue generated from the upgrade involved a comparison of actual CityLink toll revenue (up to and including the financial year ending 30 June 2014) with agreed trends that were set out in the M1 Corridor Redevelopment Deed.</w:t>
      </w:r>
    </w:p>
    <w:p w:rsidR="00F87646" w:rsidRPr="001339A5" w:rsidRDefault="00F87646" w:rsidP="008A2312">
      <w:r w:rsidRPr="001339A5">
        <w:t>Based on the actual CityLink toll revenue reported by CML up to and including the financial year ending 30 June 2014:</w:t>
      </w:r>
    </w:p>
    <w:p w:rsidR="00F87646" w:rsidRPr="001339A5" w:rsidRDefault="00F87646" w:rsidP="007D03EF">
      <w:pPr>
        <w:pStyle w:val="BulletText"/>
      </w:pPr>
      <w:r w:rsidRPr="001339A5">
        <w:t>the additional CityLink revenue generated from the upgrade has not exceeded the investment case for the project relating to works on the Southern Link section of CityLink; and</w:t>
      </w:r>
    </w:p>
    <w:p w:rsidR="00F87646" w:rsidRPr="001339A5" w:rsidRDefault="00F87646" w:rsidP="008A2312">
      <w:pPr>
        <w:pStyle w:val="BulletText"/>
      </w:pPr>
      <w:r w:rsidRPr="001339A5">
        <w:t>as a result, the State is not entitled to any revenue sharing payment.</w:t>
      </w:r>
    </w:p>
    <w:p w:rsidR="00F87646" w:rsidRPr="001339A5" w:rsidRDefault="00F87646" w:rsidP="008A2312">
      <w:r w:rsidRPr="001339A5">
        <w:t>The State is undertaking further due diligence to confirm the accuracy of the CityLink toll revenue data provided, on which the initial calculation of the additional CityLink revenue has been based.</w:t>
      </w:r>
    </w:p>
    <w:p w:rsidR="00F87646" w:rsidRDefault="00F87646">
      <w:pPr>
        <w:spacing w:after="0"/>
        <w:rPr>
          <w:rFonts w:ascii="Calibri" w:hAnsi="Calibri"/>
          <w:b/>
          <w:i/>
          <w:kern w:val="28"/>
          <w:sz w:val="24"/>
          <w:szCs w:val="22"/>
        </w:rPr>
      </w:pPr>
      <w:r>
        <w:br w:type="page"/>
      </w:r>
    </w:p>
    <w:p w:rsidR="00F87646" w:rsidRPr="001339A5" w:rsidRDefault="00F87646" w:rsidP="007D03EF">
      <w:pPr>
        <w:pStyle w:val="Heading3"/>
      </w:pPr>
      <w:r w:rsidRPr="001339A5">
        <w:lastRenderedPageBreak/>
        <w:t>Gambling licences</w:t>
      </w:r>
    </w:p>
    <w:p w:rsidR="00F87646" w:rsidRPr="001339A5" w:rsidRDefault="00F87646" w:rsidP="008A2312">
      <w:r w:rsidRPr="001339A5">
        <w:t xml:space="preserve">In 1992, a gaming operator’s licence was issued to the Trustees of the Will and Estate of the late George Adams, later succeeded by Tatts Group Limited (Tatts). In 1994, the State issued a coupled wagering licence and gaming licence to Tabcorp Holdings Limited (Tabcorp). These licences expired in August 2012. The </w:t>
      </w:r>
      <w:r w:rsidRPr="001339A5">
        <w:rPr>
          <w:i/>
          <w:iCs/>
        </w:rPr>
        <w:t>Gambling Regulation Act 2003</w:t>
      </w:r>
      <w:r w:rsidRPr="001339A5">
        <w:t xml:space="preserve"> specified end of licence arrangements, which included compensation provisions for the licensees predicated on the previous licensing arrangements being rolled over beyond their scheduled expiry date.</w:t>
      </w:r>
    </w:p>
    <w:p w:rsidR="00F87646" w:rsidRPr="001339A5" w:rsidRDefault="00F87646" w:rsidP="008A2312">
      <w:r w:rsidRPr="001339A5">
        <w:t>On 10 April 2008, the State announced that a new regulatory and licencing regime would be implemented post August 2012. The main changes included:</w:t>
      </w:r>
    </w:p>
    <w:p w:rsidR="00F87646" w:rsidRPr="001339A5" w:rsidRDefault="00F87646" w:rsidP="008A2312">
      <w:pPr>
        <w:pStyle w:val="BulletText"/>
      </w:pPr>
      <w:r w:rsidRPr="001339A5">
        <w:t>separating the wagering and gaming licence to instead license wagering on a standalone basis; and</w:t>
      </w:r>
    </w:p>
    <w:p w:rsidR="00F87646" w:rsidRPr="001339A5" w:rsidRDefault="00F87646" w:rsidP="008A2312">
      <w:pPr>
        <w:pStyle w:val="BulletText"/>
      </w:pPr>
      <w:r w:rsidRPr="001339A5">
        <w:t>transitioning from the gaming operator duopoly to a system where venue operators are licensed to own and operate gaming machines in their own right.</w:t>
      </w:r>
    </w:p>
    <w:p w:rsidR="00F87646" w:rsidRPr="001339A5" w:rsidRDefault="00F87646" w:rsidP="008A2312">
      <w:r w:rsidRPr="001339A5">
        <w:t xml:space="preserve">After considering the end of licence arrangements in the </w:t>
      </w:r>
      <w:r w:rsidRPr="001339A5">
        <w:rPr>
          <w:i/>
          <w:iCs/>
        </w:rPr>
        <w:t>Gambling Regulation Act 2003</w:t>
      </w:r>
      <w:r w:rsidRPr="001339A5">
        <w:t>, the State formed the view that neither Tatts nor Tabcorp were entitled to compensation after the expiration of their licences.</w:t>
      </w:r>
    </w:p>
    <w:p w:rsidR="00F87646" w:rsidRPr="001339A5" w:rsidRDefault="00F87646" w:rsidP="008A2312">
      <w:r w:rsidRPr="001339A5">
        <w:t>On 16 August 2012, Tatts commenced legal proceedings against the State. Tabcorp commenced legal proceedings against the State on 24 August 2012. Each sought, in essence, to hold the State to an obligation to provide compensation. Tatts claimed $490.5</w:t>
      </w:r>
      <w:r>
        <w:t> million</w:t>
      </w:r>
      <w:r w:rsidRPr="001339A5">
        <w:t>, later revised down to $451.2</w:t>
      </w:r>
      <w:r>
        <w:t> million</w:t>
      </w:r>
      <w:r w:rsidRPr="001339A5">
        <w:t>, amounting to $540.5</w:t>
      </w:r>
      <w:r>
        <w:t> million</w:t>
      </w:r>
      <w:r w:rsidRPr="001339A5">
        <w:t xml:space="preserve"> including interest, and Tabcorp claimed $686.8</w:t>
      </w:r>
      <w:r>
        <w:t> million</w:t>
      </w:r>
      <w:r w:rsidRPr="001339A5">
        <w:t>, amounting to $821.2</w:t>
      </w:r>
      <w:r>
        <w:t> million</w:t>
      </w:r>
      <w:r w:rsidRPr="001339A5">
        <w:t xml:space="preserve"> including interest.</w:t>
      </w:r>
    </w:p>
    <w:p w:rsidR="00F87646" w:rsidRPr="001339A5" w:rsidRDefault="00F87646" w:rsidP="008A2312">
      <w:r w:rsidRPr="001339A5">
        <w:t xml:space="preserve">The State defended both claims and was successful in relation to the Tabcorp claim but unsuccessful in relation to the Tatts claim. </w:t>
      </w:r>
    </w:p>
    <w:p w:rsidR="00F87646" w:rsidRPr="001339A5" w:rsidRDefault="00F87646" w:rsidP="008A2312">
      <w:r w:rsidRPr="001339A5">
        <w:t>The State paid Tatts its claimed amount including interest, amounting to $540.5</w:t>
      </w:r>
      <w:r>
        <w:t> million</w:t>
      </w:r>
      <w:r w:rsidRPr="001339A5">
        <w:t>. The matter went on appeal to the Court of Appeal. The appeal hearing was held in October 2014 and is pending judgement.</w:t>
      </w:r>
    </w:p>
    <w:p w:rsidR="00F87646" w:rsidRPr="001339A5" w:rsidRDefault="00F87646" w:rsidP="007D03EF">
      <w:pPr>
        <w:pStyle w:val="Heading1"/>
      </w:pPr>
      <w:bookmarkStart w:id="81" w:name="_Toc403386695"/>
      <w:r w:rsidRPr="001339A5">
        <w:t>Contingent liabilities</w:t>
      </w:r>
      <w:bookmarkEnd w:id="81"/>
    </w:p>
    <w:p w:rsidR="00F87646" w:rsidRPr="001339A5" w:rsidRDefault="00F87646" w:rsidP="008A2312">
      <w:r w:rsidRPr="001339A5">
        <w:t>Contingent liabilities are:</w:t>
      </w:r>
    </w:p>
    <w:p w:rsidR="00F87646" w:rsidRPr="001339A5" w:rsidRDefault="00F87646" w:rsidP="008A2312">
      <w:pPr>
        <w:pStyle w:val="BulletText"/>
      </w:pPr>
      <w:r w:rsidRPr="001339A5">
        <w:t>possible obligations that arise from past events, whose existence will be confirmed only by the occurrence or non</w:t>
      </w:r>
      <w:r>
        <w:noBreakHyphen/>
      </w:r>
      <w:r w:rsidRPr="001339A5">
        <w:t>occurrence of one or more uncertain future events not wholly within the control of the entity; or</w:t>
      </w:r>
    </w:p>
    <w:p w:rsidR="00F87646" w:rsidRPr="001339A5" w:rsidRDefault="00F87646" w:rsidP="008A2312">
      <w:pPr>
        <w:pStyle w:val="BulletText"/>
      </w:pPr>
      <w:r w:rsidRPr="001339A5">
        <w:t>present obligations that arise from past events but are not recognised because:</w:t>
      </w:r>
    </w:p>
    <w:p w:rsidR="00F87646" w:rsidRPr="001339A5" w:rsidRDefault="00F87646" w:rsidP="008A2312">
      <w:pPr>
        <w:pStyle w:val="DashText"/>
      </w:pPr>
      <w:r w:rsidRPr="001339A5">
        <w:t>it is not probable that an outflow of resources embodying economic benefits will be required to settle the obligations; or</w:t>
      </w:r>
    </w:p>
    <w:p w:rsidR="00F87646" w:rsidRPr="001339A5" w:rsidRDefault="00F87646" w:rsidP="008A2312">
      <w:pPr>
        <w:pStyle w:val="DashText"/>
      </w:pPr>
      <w:r w:rsidRPr="001339A5">
        <w:t>the amount of the obligations cannot be measured with sufficient reliability.</w:t>
      </w:r>
    </w:p>
    <w:p w:rsidR="00F87646" w:rsidRPr="001339A5" w:rsidRDefault="00F87646" w:rsidP="0070546D">
      <w:r w:rsidRPr="001339A5">
        <w:lastRenderedPageBreak/>
        <w:t>As with contingent assets, contingent liabilities are also classified as either quantifiable or non</w:t>
      </w:r>
      <w:r>
        <w:noBreakHyphen/>
      </w:r>
      <w:r w:rsidRPr="001339A5">
        <w:t>quantifiable. The table below contains quantifiable contingent liabilities as at 4 November 2014.</w:t>
      </w:r>
    </w:p>
    <w:p w:rsidR="00F87646" w:rsidRPr="001339A5" w:rsidRDefault="00F87646" w:rsidP="007D03EF">
      <w:pPr>
        <w:pStyle w:val="Tableheading"/>
        <w:rPr>
          <w:i/>
        </w:rPr>
      </w:pPr>
      <w:r w:rsidRPr="001339A5">
        <w:t>Table 4.2:</w:t>
      </w:r>
      <w:r w:rsidRPr="001339A5">
        <w:tab/>
        <w:t>Quantifiable contingent liabilities</w:t>
      </w:r>
    </w:p>
    <w:p w:rsidR="00F87646" w:rsidRPr="001339A5" w:rsidRDefault="00F87646" w:rsidP="00C62494">
      <w:pPr>
        <w:pStyle w:val="million"/>
      </w:pPr>
      <w:r w:rsidRPr="001339A5">
        <w:t>($</w:t>
      </w:r>
      <w:r>
        <w:t> million</w:t>
      </w:r>
      <w:r w:rsidRPr="001339A5">
        <w:t>)</w:t>
      </w:r>
    </w:p>
    <w:tbl>
      <w:tblPr>
        <w:tblW w:w="7800" w:type="dxa"/>
        <w:tblInd w:w="29" w:type="dxa"/>
        <w:tblLayout w:type="fixed"/>
        <w:tblCellMar>
          <w:left w:w="43" w:type="dxa"/>
          <w:right w:w="43" w:type="dxa"/>
        </w:tblCellMar>
        <w:tblLook w:val="0000" w:firstRow="0" w:lastRow="0" w:firstColumn="0" w:lastColumn="0" w:noHBand="0" w:noVBand="0"/>
      </w:tblPr>
      <w:tblGrid>
        <w:gridCol w:w="4604"/>
        <w:gridCol w:w="1530"/>
        <w:gridCol w:w="1642"/>
        <w:gridCol w:w="24"/>
      </w:tblGrid>
      <w:tr w:rsidR="00F87646" w:rsidRPr="001339A5" w:rsidTr="00443B6F">
        <w:tc>
          <w:tcPr>
            <w:tcW w:w="4604" w:type="dxa"/>
            <w:tcBorders>
              <w:top w:val="single" w:sz="4" w:space="0" w:color="auto"/>
              <w:left w:val="single" w:sz="4" w:space="0" w:color="auto"/>
              <w:bottom w:val="nil"/>
              <w:right w:val="nil"/>
            </w:tcBorders>
            <w:shd w:val="clear" w:color="auto" w:fill="000000"/>
          </w:tcPr>
          <w:p w:rsidR="00F87646" w:rsidRPr="001339A5" w:rsidRDefault="00F87646" w:rsidP="00C62494">
            <w:pPr>
              <w:pStyle w:val="Tabletext"/>
              <w:rPr>
                <w:rFonts w:eastAsiaTheme="minorEastAsia"/>
                <w:lang w:eastAsia="en-AU"/>
              </w:rPr>
            </w:pPr>
            <w:r w:rsidRPr="001339A5">
              <w:rPr>
                <w:rFonts w:eastAsiaTheme="minorEastAsia"/>
                <w:lang w:eastAsia="en-AU"/>
              </w:rPr>
              <w:t xml:space="preserve"> </w:t>
            </w:r>
          </w:p>
        </w:tc>
        <w:tc>
          <w:tcPr>
            <w:tcW w:w="1530" w:type="dxa"/>
            <w:tcBorders>
              <w:top w:val="single" w:sz="4" w:space="0" w:color="auto"/>
              <w:left w:val="nil"/>
              <w:bottom w:val="nil"/>
              <w:right w:val="nil"/>
            </w:tcBorders>
            <w:shd w:val="clear" w:color="auto" w:fill="000000"/>
          </w:tcPr>
          <w:p w:rsidR="00F87646" w:rsidRPr="001339A5" w:rsidRDefault="00F87646" w:rsidP="00C62494">
            <w:pPr>
              <w:pStyle w:val="Tabletextheading"/>
              <w:rPr>
                <w:rFonts w:eastAsiaTheme="minorEastAsia" w:cs="Calibri"/>
                <w:iCs/>
                <w:color w:val="FFFFFF"/>
                <w:lang w:eastAsia="en-AU"/>
              </w:rPr>
            </w:pPr>
            <w:r w:rsidRPr="001339A5">
              <w:rPr>
                <w:rFonts w:eastAsiaTheme="minorEastAsia"/>
                <w:lang w:eastAsia="en-AU"/>
              </w:rPr>
              <w:t xml:space="preserve">As at </w:t>
            </w:r>
          </w:p>
        </w:tc>
        <w:tc>
          <w:tcPr>
            <w:tcW w:w="1666" w:type="dxa"/>
            <w:gridSpan w:val="2"/>
            <w:tcBorders>
              <w:top w:val="single" w:sz="4" w:space="0" w:color="auto"/>
              <w:left w:val="nil"/>
              <w:bottom w:val="nil"/>
              <w:right w:val="single" w:sz="4" w:space="0" w:color="auto"/>
            </w:tcBorders>
            <w:shd w:val="clear" w:color="auto" w:fill="000000"/>
          </w:tcPr>
          <w:p w:rsidR="00F87646" w:rsidRPr="001339A5" w:rsidRDefault="00F87646" w:rsidP="00C62494">
            <w:pPr>
              <w:pStyle w:val="Tabletextheading"/>
              <w:rPr>
                <w:rFonts w:eastAsiaTheme="minorEastAsia"/>
                <w:lang w:eastAsia="en-AU"/>
              </w:rPr>
            </w:pPr>
            <w:r w:rsidRPr="001339A5">
              <w:rPr>
                <w:rFonts w:eastAsiaTheme="minorEastAsia"/>
                <w:lang w:eastAsia="en-AU"/>
              </w:rPr>
              <w:t xml:space="preserve">Published budget </w:t>
            </w:r>
          </w:p>
        </w:tc>
      </w:tr>
      <w:tr w:rsidR="00F87646" w:rsidRPr="001339A5" w:rsidTr="00443B6F">
        <w:tc>
          <w:tcPr>
            <w:tcW w:w="4604" w:type="dxa"/>
            <w:tcBorders>
              <w:top w:val="nil"/>
              <w:left w:val="single" w:sz="4" w:space="0" w:color="auto"/>
              <w:bottom w:val="single" w:sz="4" w:space="0" w:color="auto"/>
              <w:right w:val="nil"/>
            </w:tcBorders>
            <w:shd w:val="clear" w:color="auto" w:fill="000000"/>
          </w:tcPr>
          <w:p w:rsidR="00F87646" w:rsidRPr="001339A5" w:rsidRDefault="00F87646" w:rsidP="00C62494">
            <w:pPr>
              <w:pStyle w:val="Tabletext"/>
              <w:rPr>
                <w:rFonts w:eastAsiaTheme="minorEastAsia"/>
                <w:lang w:eastAsia="en-AU"/>
              </w:rPr>
            </w:pPr>
          </w:p>
        </w:tc>
        <w:tc>
          <w:tcPr>
            <w:tcW w:w="1530" w:type="dxa"/>
            <w:tcBorders>
              <w:top w:val="nil"/>
              <w:left w:val="nil"/>
              <w:bottom w:val="single" w:sz="4" w:space="0" w:color="auto"/>
              <w:right w:val="nil"/>
            </w:tcBorders>
            <w:shd w:val="clear" w:color="auto" w:fill="000000"/>
          </w:tcPr>
          <w:p w:rsidR="00F87646" w:rsidRPr="001339A5" w:rsidRDefault="00F87646" w:rsidP="00C62494">
            <w:pPr>
              <w:pStyle w:val="Tabletextheading"/>
              <w:rPr>
                <w:rFonts w:eastAsiaTheme="minorEastAsia"/>
                <w:lang w:eastAsia="en-AU"/>
              </w:rPr>
            </w:pPr>
            <w:r w:rsidRPr="001339A5">
              <w:rPr>
                <w:rFonts w:eastAsiaTheme="minorEastAsia"/>
                <w:lang w:eastAsia="en-AU"/>
              </w:rPr>
              <w:t>November 2014</w:t>
            </w:r>
          </w:p>
        </w:tc>
        <w:tc>
          <w:tcPr>
            <w:tcW w:w="1666" w:type="dxa"/>
            <w:gridSpan w:val="2"/>
            <w:tcBorders>
              <w:top w:val="nil"/>
              <w:left w:val="nil"/>
              <w:bottom w:val="single" w:sz="4" w:space="0" w:color="auto"/>
              <w:right w:val="single" w:sz="4" w:space="0" w:color="auto"/>
            </w:tcBorders>
            <w:shd w:val="clear" w:color="auto" w:fill="000000"/>
          </w:tcPr>
          <w:p w:rsidR="00F87646" w:rsidRPr="001339A5" w:rsidRDefault="00F87646" w:rsidP="00C62494">
            <w:pPr>
              <w:pStyle w:val="Tabletextheading"/>
              <w:rPr>
                <w:rFonts w:eastAsiaTheme="minorEastAsia"/>
                <w:vertAlign w:val="superscript"/>
                <w:lang w:eastAsia="en-AU"/>
              </w:rPr>
            </w:pPr>
            <w:r w:rsidRPr="001339A5">
              <w:rPr>
                <w:rFonts w:eastAsiaTheme="minorEastAsia"/>
                <w:lang w:eastAsia="en-AU"/>
              </w:rPr>
              <w:t xml:space="preserve">estimate </w:t>
            </w:r>
            <w:r w:rsidRPr="001339A5">
              <w:rPr>
                <w:rFonts w:eastAsiaTheme="minorEastAsia"/>
                <w:vertAlign w:val="superscript"/>
                <w:lang w:eastAsia="en-AU"/>
              </w:rPr>
              <w:t>(a)</w:t>
            </w:r>
          </w:p>
        </w:tc>
      </w:tr>
      <w:tr w:rsidR="00F87646" w:rsidRPr="001339A5" w:rsidTr="00443B6F">
        <w:trPr>
          <w:gridAfter w:val="1"/>
          <w:wAfter w:w="24" w:type="dxa"/>
        </w:trPr>
        <w:tc>
          <w:tcPr>
            <w:tcW w:w="4604" w:type="dxa"/>
            <w:tcBorders>
              <w:top w:val="single" w:sz="4" w:space="0" w:color="auto"/>
              <w:left w:val="nil"/>
              <w:bottom w:val="nil"/>
              <w:right w:val="nil"/>
            </w:tcBorders>
          </w:tcPr>
          <w:p w:rsidR="00F87646" w:rsidRPr="001339A5" w:rsidRDefault="00F87646" w:rsidP="00C62494">
            <w:pPr>
              <w:pStyle w:val="Tabletext"/>
              <w:rPr>
                <w:rFonts w:eastAsiaTheme="minorEastAsia"/>
                <w:color w:val="000000"/>
                <w:lang w:eastAsia="en-AU"/>
              </w:rPr>
            </w:pPr>
            <w:r w:rsidRPr="001339A5">
              <w:rPr>
                <w:rFonts w:eastAsiaTheme="minorEastAsia"/>
                <w:color w:val="000000"/>
                <w:lang w:eastAsia="en-AU"/>
              </w:rPr>
              <w:t>Guarantees, indemnities and warranties</w:t>
            </w:r>
          </w:p>
        </w:tc>
        <w:tc>
          <w:tcPr>
            <w:tcW w:w="1530" w:type="dxa"/>
            <w:tcBorders>
              <w:top w:val="single" w:sz="4" w:space="0" w:color="auto"/>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 xml:space="preserve"> 313.3</w:t>
            </w:r>
          </w:p>
        </w:tc>
        <w:tc>
          <w:tcPr>
            <w:tcW w:w="1642" w:type="dxa"/>
            <w:tcBorders>
              <w:top w:val="single" w:sz="4" w:space="0" w:color="auto"/>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 xml:space="preserve"> 320.9</w:t>
            </w:r>
          </w:p>
        </w:tc>
      </w:tr>
      <w:tr w:rsidR="00F87646" w:rsidRPr="001339A5" w:rsidTr="00443B6F">
        <w:trPr>
          <w:gridAfter w:val="1"/>
          <w:wAfter w:w="24" w:type="dxa"/>
        </w:trPr>
        <w:tc>
          <w:tcPr>
            <w:tcW w:w="4604" w:type="dxa"/>
            <w:tcBorders>
              <w:top w:val="nil"/>
              <w:left w:val="nil"/>
              <w:bottom w:val="nil"/>
              <w:right w:val="nil"/>
            </w:tcBorders>
          </w:tcPr>
          <w:p w:rsidR="00F87646" w:rsidRPr="001339A5" w:rsidRDefault="00F87646" w:rsidP="00C62494">
            <w:pPr>
              <w:pStyle w:val="Tabletext"/>
              <w:rPr>
                <w:rFonts w:eastAsiaTheme="minorEastAsia"/>
                <w:color w:val="000000"/>
                <w:lang w:eastAsia="en-AU"/>
              </w:rPr>
            </w:pPr>
            <w:r w:rsidRPr="001339A5">
              <w:rPr>
                <w:rFonts w:eastAsiaTheme="minorEastAsia"/>
                <w:color w:val="000000"/>
                <w:lang w:eastAsia="en-AU"/>
              </w:rPr>
              <w:t>Legal proceedings and disputes</w:t>
            </w:r>
          </w:p>
        </w:tc>
        <w:tc>
          <w:tcPr>
            <w:tcW w:w="1530" w:type="dxa"/>
            <w:tcBorders>
              <w:top w:val="nil"/>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 xml:space="preserve"> 382.1</w:t>
            </w:r>
          </w:p>
        </w:tc>
        <w:tc>
          <w:tcPr>
            <w:tcW w:w="1642" w:type="dxa"/>
            <w:tcBorders>
              <w:top w:val="nil"/>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 xml:space="preserve"> 443.9</w:t>
            </w:r>
          </w:p>
        </w:tc>
      </w:tr>
      <w:tr w:rsidR="00F87646" w:rsidRPr="001339A5" w:rsidTr="00443B6F">
        <w:trPr>
          <w:gridAfter w:val="1"/>
          <w:wAfter w:w="24" w:type="dxa"/>
        </w:trPr>
        <w:tc>
          <w:tcPr>
            <w:tcW w:w="4604" w:type="dxa"/>
            <w:tcBorders>
              <w:top w:val="nil"/>
              <w:left w:val="nil"/>
              <w:bottom w:val="nil"/>
              <w:right w:val="nil"/>
            </w:tcBorders>
          </w:tcPr>
          <w:p w:rsidR="00F87646" w:rsidRPr="001339A5" w:rsidRDefault="00F87646" w:rsidP="00C62494">
            <w:pPr>
              <w:pStyle w:val="Tabletext"/>
              <w:rPr>
                <w:rFonts w:eastAsiaTheme="minorEastAsia"/>
                <w:color w:val="000000"/>
                <w:lang w:eastAsia="en-AU"/>
              </w:rPr>
            </w:pPr>
            <w:r w:rsidRPr="001339A5">
              <w:rPr>
                <w:rFonts w:eastAsiaTheme="minorEastAsia"/>
                <w:color w:val="000000"/>
                <w:lang w:eastAsia="en-AU"/>
              </w:rPr>
              <w:t>Other</w:t>
            </w:r>
          </w:p>
        </w:tc>
        <w:tc>
          <w:tcPr>
            <w:tcW w:w="1530" w:type="dxa"/>
            <w:tcBorders>
              <w:top w:val="nil"/>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 xml:space="preserve"> 216.4</w:t>
            </w:r>
          </w:p>
        </w:tc>
        <w:tc>
          <w:tcPr>
            <w:tcW w:w="1642" w:type="dxa"/>
            <w:tcBorders>
              <w:top w:val="nil"/>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 xml:space="preserve"> 286.3</w:t>
            </w:r>
          </w:p>
        </w:tc>
      </w:tr>
      <w:tr w:rsidR="00F87646" w:rsidRPr="001339A5" w:rsidTr="00443B6F">
        <w:trPr>
          <w:gridAfter w:val="1"/>
          <w:wAfter w:w="24" w:type="dxa"/>
        </w:trPr>
        <w:tc>
          <w:tcPr>
            <w:tcW w:w="4604" w:type="dxa"/>
            <w:tcBorders>
              <w:top w:val="nil"/>
              <w:left w:val="nil"/>
              <w:bottom w:val="nil"/>
              <w:right w:val="nil"/>
            </w:tcBorders>
          </w:tcPr>
          <w:p w:rsidR="00F87646" w:rsidRPr="001339A5" w:rsidRDefault="00F87646" w:rsidP="00C62494">
            <w:pPr>
              <w:pStyle w:val="Tabletext"/>
              <w:rPr>
                <w:rFonts w:eastAsiaTheme="minorEastAsia"/>
                <w:color w:val="000000"/>
                <w:vertAlign w:val="superscript"/>
                <w:lang w:eastAsia="en-AU"/>
              </w:rPr>
            </w:pPr>
            <w:r w:rsidRPr="001339A5">
              <w:rPr>
                <w:rFonts w:eastAsiaTheme="minorEastAsia"/>
                <w:color w:val="000000"/>
                <w:lang w:eastAsia="en-AU"/>
              </w:rPr>
              <w:t>Non</w:t>
            </w:r>
            <w:r>
              <w:rPr>
                <w:rFonts w:eastAsiaTheme="minorEastAsia"/>
                <w:color w:val="000000"/>
                <w:lang w:eastAsia="en-AU"/>
              </w:rPr>
              <w:noBreakHyphen/>
            </w:r>
            <w:r w:rsidRPr="001339A5">
              <w:rPr>
                <w:rFonts w:eastAsiaTheme="minorEastAsia"/>
                <w:color w:val="000000"/>
                <w:lang w:eastAsia="en-AU"/>
              </w:rPr>
              <w:t xml:space="preserve">general government debt </w:t>
            </w:r>
            <w:r w:rsidRPr="001339A5">
              <w:rPr>
                <w:rFonts w:eastAsiaTheme="minorEastAsia"/>
                <w:color w:val="000000"/>
                <w:vertAlign w:val="superscript"/>
                <w:lang w:eastAsia="en-AU"/>
              </w:rPr>
              <w:t>(b)</w:t>
            </w:r>
          </w:p>
        </w:tc>
        <w:tc>
          <w:tcPr>
            <w:tcW w:w="1530" w:type="dxa"/>
            <w:tcBorders>
              <w:top w:val="nil"/>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11 195.1</w:t>
            </w:r>
          </w:p>
        </w:tc>
        <w:tc>
          <w:tcPr>
            <w:tcW w:w="1642" w:type="dxa"/>
            <w:tcBorders>
              <w:top w:val="nil"/>
              <w:left w:val="nil"/>
              <w:bottom w:val="nil"/>
              <w:right w:val="nil"/>
            </w:tcBorders>
          </w:tcPr>
          <w:p w:rsidR="00F87646" w:rsidRPr="001339A5" w:rsidRDefault="00F87646" w:rsidP="00C62494">
            <w:pPr>
              <w:pStyle w:val="TableofFigures"/>
              <w:rPr>
                <w:rFonts w:eastAsiaTheme="minorEastAsia"/>
                <w:color w:val="000000"/>
                <w:lang w:eastAsia="en-AU"/>
              </w:rPr>
            </w:pPr>
            <w:r w:rsidRPr="001339A5">
              <w:rPr>
                <w:rFonts w:eastAsiaTheme="minorEastAsia"/>
                <w:color w:val="000000"/>
                <w:lang w:eastAsia="en-AU"/>
              </w:rPr>
              <w:t>12 287.6</w:t>
            </w:r>
          </w:p>
        </w:tc>
      </w:tr>
      <w:tr w:rsidR="00F87646" w:rsidRPr="001339A5" w:rsidTr="00443B6F">
        <w:trPr>
          <w:gridAfter w:val="1"/>
          <w:wAfter w:w="24" w:type="dxa"/>
        </w:trPr>
        <w:tc>
          <w:tcPr>
            <w:tcW w:w="4604" w:type="dxa"/>
            <w:tcBorders>
              <w:top w:val="single" w:sz="6" w:space="0" w:color="auto"/>
              <w:left w:val="nil"/>
              <w:bottom w:val="single" w:sz="12" w:space="0" w:color="auto"/>
              <w:right w:val="nil"/>
            </w:tcBorders>
          </w:tcPr>
          <w:p w:rsidR="00F87646" w:rsidRPr="001339A5" w:rsidRDefault="00F87646" w:rsidP="00C62494">
            <w:pPr>
              <w:pStyle w:val="Tabletext"/>
              <w:rPr>
                <w:rFonts w:eastAsiaTheme="minorEastAsia"/>
                <w:b/>
                <w:bCs/>
                <w:color w:val="000000"/>
                <w:lang w:eastAsia="en-AU"/>
              </w:rPr>
            </w:pPr>
            <w:r w:rsidRPr="001339A5">
              <w:rPr>
                <w:rFonts w:eastAsiaTheme="minorEastAsia"/>
                <w:b/>
                <w:bCs/>
                <w:color w:val="000000"/>
                <w:lang w:eastAsia="en-AU"/>
              </w:rPr>
              <w:t>Total contingent liabilities</w:t>
            </w:r>
          </w:p>
        </w:tc>
        <w:tc>
          <w:tcPr>
            <w:tcW w:w="1530" w:type="dxa"/>
            <w:tcBorders>
              <w:top w:val="single" w:sz="6" w:space="0" w:color="auto"/>
              <w:left w:val="nil"/>
              <w:bottom w:val="single" w:sz="12" w:space="0" w:color="auto"/>
              <w:right w:val="nil"/>
            </w:tcBorders>
          </w:tcPr>
          <w:p w:rsidR="00F87646" w:rsidRPr="001339A5" w:rsidRDefault="00F87646" w:rsidP="00C62494">
            <w:pPr>
              <w:pStyle w:val="TableofFigures"/>
              <w:rPr>
                <w:rFonts w:eastAsiaTheme="minorEastAsia"/>
                <w:b/>
                <w:bCs/>
                <w:color w:val="000000"/>
                <w:lang w:eastAsia="en-AU"/>
              </w:rPr>
            </w:pPr>
            <w:r w:rsidRPr="001339A5">
              <w:rPr>
                <w:rFonts w:eastAsiaTheme="minorEastAsia"/>
                <w:b/>
                <w:bCs/>
                <w:color w:val="000000"/>
                <w:lang w:eastAsia="en-AU"/>
              </w:rPr>
              <w:t>12 106.9</w:t>
            </w:r>
          </w:p>
        </w:tc>
        <w:tc>
          <w:tcPr>
            <w:tcW w:w="1642" w:type="dxa"/>
            <w:tcBorders>
              <w:top w:val="single" w:sz="6" w:space="0" w:color="auto"/>
              <w:left w:val="nil"/>
              <w:bottom w:val="single" w:sz="12" w:space="0" w:color="auto"/>
              <w:right w:val="nil"/>
            </w:tcBorders>
          </w:tcPr>
          <w:p w:rsidR="00F87646" w:rsidRPr="001339A5" w:rsidRDefault="00F87646" w:rsidP="00C62494">
            <w:pPr>
              <w:pStyle w:val="TableofFigures"/>
              <w:rPr>
                <w:rFonts w:eastAsiaTheme="minorEastAsia"/>
                <w:b/>
                <w:bCs/>
                <w:color w:val="000000"/>
                <w:lang w:eastAsia="en-AU"/>
              </w:rPr>
            </w:pPr>
            <w:r w:rsidRPr="001339A5">
              <w:rPr>
                <w:rFonts w:eastAsiaTheme="minorEastAsia"/>
                <w:b/>
                <w:bCs/>
                <w:color w:val="000000"/>
                <w:lang w:eastAsia="en-AU"/>
              </w:rPr>
              <w:t>13 338.7</w:t>
            </w:r>
          </w:p>
        </w:tc>
      </w:tr>
    </w:tbl>
    <w:p w:rsidR="00F87646" w:rsidRPr="001339A5" w:rsidRDefault="00F87646" w:rsidP="006836B8">
      <w:pPr>
        <w:pStyle w:val="Notes"/>
      </w:pPr>
      <w:r w:rsidRPr="001339A5">
        <w:t>Notes:</w:t>
      </w:r>
    </w:p>
    <w:p w:rsidR="00F87646" w:rsidRPr="001339A5" w:rsidRDefault="00F87646" w:rsidP="006836B8">
      <w:pPr>
        <w:pStyle w:val="Notes"/>
      </w:pPr>
      <w:r w:rsidRPr="001339A5">
        <w:t>(a)</w:t>
      </w:r>
      <w:r w:rsidRPr="001339A5">
        <w:tab/>
        <w:t xml:space="preserve"> As published in the </w:t>
      </w:r>
      <w:r w:rsidRPr="001339A5">
        <w:rPr>
          <w:i w:val="0"/>
        </w:rPr>
        <w:t>2014</w:t>
      </w:r>
      <w:r>
        <w:rPr>
          <w:i w:val="0"/>
        </w:rPr>
        <w:noBreakHyphen/>
      </w:r>
      <w:r w:rsidRPr="001339A5">
        <w:rPr>
          <w:i w:val="0"/>
        </w:rPr>
        <w:t>15 Budget</w:t>
      </w:r>
      <w:r w:rsidRPr="001339A5">
        <w:t>, except for non</w:t>
      </w:r>
      <w:r>
        <w:noBreakHyphen/>
      </w:r>
      <w:r w:rsidRPr="001339A5">
        <w:t>general government debt which has been restated to more accurately reflect the contingent liability as at May 2014.</w:t>
      </w:r>
    </w:p>
    <w:p w:rsidR="00F87646" w:rsidRPr="001339A5" w:rsidRDefault="00F87646" w:rsidP="00972630">
      <w:pPr>
        <w:pStyle w:val="Notes"/>
      </w:pPr>
      <w:r w:rsidRPr="001339A5">
        <w:t>(b)</w:t>
      </w:r>
      <w:r w:rsidRPr="001339A5">
        <w:tab/>
        <w:t>The reduction in non</w:t>
      </w:r>
      <w:r>
        <w:noBreakHyphen/>
      </w:r>
      <w:r w:rsidRPr="001339A5">
        <w:t>general government debt since May 2014 is mainly due to Rural Finance Corporation extinguishing its loans with Treasury Corporation of Victoria upon settlement of the sale to Bendigo and Adelaide Bank Limited, which occurred in July 2014.</w:t>
      </w:r>
    </w:p>
    <w:p w:rsidR="00F87646" w:rsidRPr="001339A5" w:rsidRDefault="00F87646" w:rsidP="007D03EF">
      <w:pPr>
        <w:pStyle w:val="Source"/>
      </w:pPr>
    </w:p>
    <w:p w:rsidR="00F87646" w:rsidRPr="001339A5" w:rsidRDefault="00F87646" w:rsidP="007D03EF">
      <w:pPr>
        <w:pStyle w:val="Heading2"/>
        <w:rPr>
          <w:i/>
        </w:rPr>
      </w:pPr>
      <w:r w:rsidRPr="001339A5">
        <w:t>Non</w:t>
      </w:r>
      <w:r>
        <w:noBreakHyphen/>
      </w:r>
      <w:r w:rsidRPr="001339A5">
        <w:t>quantifiable contingent liabilities</w:t>
      </w:r>
    </w:p>
    <w:p w:rsidR="00F87646" w:rsidRPr="001339A5" w:rsidRDefault="00F87646" w:rsidP="008A2312">
      <w:r w:rsidRPr="001339A5">
        <w:t>A number of potential obligations are non</w:t>
      </w:r>
      <w:r>
        <w:noBreakHyphen/>
      </w:r>
      <w:r w:rsidRPr="001339A5">
        <w:t>quantifiable at this time arising from:</w:t>
      </w:r>
    </w:p>
    <w:p w:rsidR="00F87646" w:rsidRPr="001339A5" w:rsidRDefault="00F87646" w:rsidP="008A2312">
      <w:pPr>
        <w:pStyle w:val="BulletText"/>
      </w:pPr>
      <w:r w:rsidRPr="001339A5">
        <w:t>indemnities provided in relation to transactions, including financial arrangements and consultancy services, as well as for directors and administrators;</w:t>
      </w:r>
    </w:p>
    <w:p w:rsidR="00F87646" w:rsidRPr="001339A5" w:rsidRDefault="00F87646" w:rsidP="008A2312">
      <w:pPr>
        <w:pStyle w:val="BulletText"/>
      </w:pPr>
      <w:r w:rsidRPr="001339A5">
        <w:t>performance guarantees, warranties, letters of comfort and the like;</w:t>
      </w:r>
    </w:p>
    <w:p w:rsidR="00F87646" w:rsidRPr="001339A5" w:rsidRDefault="00F87646" w:rsidP="008A2312">
      <w:pPr>
        <w:pStyle w:val="BulletText"/>
      </w:pPr>
      <w:r w:rsidRPr="001339A5">
        <w:t>deeds in respect of certain obligations; and</w:t>
      </w:r>
    </w:p>
    <w:p w:rsidR="00F87646" w:rsidRPr="001339A5" w:rsidRDefault="00F87646" w:rsidP="008A2312">
      <w:pPr>
        <w:pStyle w:val="BulletText"/>
      </w:pPr>
      <w:r w:rsidRPr="001339A5">
        <w:t>unclaimed monies, which may be subject to future claims by the general public against the State.</w:t>
      </w:r>
    </w:p>
    <w:p w:rsidR="00F87646" w:rsidRPr="001339A5" w:rsidRDefault="00F87646" w:rsidP="008A2312">
      <w:r w:rsidRPr="001339A5">
        <w:t>An overview of the more significant non</w:t>
      </w:r>
      <w:r>
        <w:noBreakHyphen/>
      </w:r>
      <w:r w:rsidRPr="001339A5">
        <w:t>quantifiable liabilities follows.</w:t>
      </w:r>
    </w:p>
    <w:p w:rsidR="00F87646" w:rsidRPr="001339A5" w:rsidRDefault="00F87646" w:rsidP="007D03EF">
      <w:pPr>
        <w:pStyle w:val="Heading3"/>
      </w:pPr>
      <w:r w:rsidRPr="001339A5">
        <w:t xml:space="preserve">AgriBio </w:t>
      </w:r>
      <w:r w:rsidRPr="001339A5">
        <w:rPr>
          <w:lang w:val="en"/>
        </w:rPr>
        <w:t>Centre for AgriBioscience</w:t>
      </w:r>
      <w:r w:rsidRPr="001339A5">
        <w:t xml:space="preserve"> (formerly known as The Biosciences Research Centre)</w:t>
      </w:r>
    </w:p>
    <w:p w:rsidR="00F87646" w:rsidRPr="001339A5" w:rsidRDefault="00F87646" w:rsidP="008A2312">
      <w:r w:rsidRPr="001339A5">
        <w:t>The quarterly service fee payment obligations of the AgriBio Centre for AgriBioscience on behalf of the joint venture participants are supported by the State of Victoria via a State Support Deed. Under this Deed, the State ensures that the joint venture participants (Department of Environment and Primary Industries and La Trobe University) have severally the financial capacity to meet their payment obligations to Biosciences Research Centre Pty Ltd (BRC), thereby enabling BRC to meet its obligations to pay the service fee to the concessionaire pursuant to the project agreement. The State underwrites the risk of any default by BRC.</w:t>
      </w:r>
    </w:p>
    <w:p w:rsidR="00F87646" w:rsidRPr="001339A5" w:rsidRDefault="00F87646" w:rsidP="007D03EF">
      <w:pPr>
        <w:pStyle w:val="Heading3"/>
      </w:pPr>
      <w:r w:rsidRPr="001339A5">
        <w:lastRenderedPageBreak/>
        <w:t>Department of Education and Early Childhood Development</w:t>
      </w:r>
    </w:p>
    <w:p w:rsidR="00F87646" w:rsidRPr="001339A5" w:rsidRDefault="00F87646" w:rsidP="008A2312">
      <w:r w:rsidRPr="001339A5">
        <w:t>The Department has a number of unquantifiable contingent liabilities, arising from indemnities provided by it, as follows:</w:t>
      </w:r>
    </w:p>
    <w:p w:rsidR="00F87646" w:rsidRPr="001339A5" w:rsidRDefault="00F87646" w:rsidP="008A2312">
      <w:pPr>
        <w:pStyle w:val="BulletText"/>
      </w:pPr>
      <w:r w:rsidRPr="001339A5">
        <w:t xml:space="preserve">volunteer school workers and volunteer student workers: the </w:t>
      </w:r>
      <w:r w:rsidRPr="001339A5">
        <w:rPr>
          <w:i/>
        </w:rPr>
        <w:t>Education and Training Reform Act 2006</w:t>
      </w:r>
      <w:r w:rsidRPr="001339A5">
        <w:t xml:space="preserve"> provides a specific indemnity for personal injuries suffered by volunteer school workers and volunteer student workers arising out of or in the course of engaging in school work or community work respectively;</w:t>
      </w:r>
    </w:p>
    <w:p w:rsidR="00F87646" w:rsidRPr="001339A5" w:rsidRDefault="00F87646" w:rsidP="008A2312">
      <w:pPr>
        <w:pStyle w:val="BulletText"/>
      </w:pPr>
      <w:r w:rsidRPr="001339A5">
        <w:t xml:space="preserve">members of school councils: the </w:t>
      </w:r>
      <w:r w:rsidRPr="001339A5">
        <w:rPr>
          <w:i/>
        </w:rPr>
        <w:t>Education and Training Reform Act 2006</w:t>
      </w:r>
      <w:r w:rsidRPr="001339A5">
        <w:t xml:space="preserve"> provides an indemnity to members of school councils for any legal liability, whether in contract, negligence, defamation or other; and</w:t>
      </w:r>
    </w:p>
    <w:p w:rsidR="00F87646" w:rsidRPr="001339A5" w:rsidRDefault="00F87646" w:rsidP="008A2312">
      <w:pPr>
        <w:pStyle w:val="BulletText"/>
      </w:pPr>
      <w:r w:rsidRPr="001339A5">
        <w:t>teachers: in the event that a teacher is named as a defendant in a student personal injury claim, any costs and damages will generally be paid by the Department provided the teacher was not drunk, under the influence of illicit drugs or engaging in a criminal offence and the behaviour was not outrageous and was related to their employment, or undertaken in, the course of their employment.</w:t>
      </w:r>
    </w:p>
    <w:p w:rsidR="00F87646" w:rsidRPr="001339A5" w:rsidRDefault="00F87646" w:rsidP="007D03EF">
      <w:pPr>
        <w:pStyle w:val="Heading3"/>
      </w:pPr>
      <w:r w:rsidRPr="001339A5">
        <w:t>East West Link – Eastern Section</w:t>
      </w:r>
    </w:p>
    <w:p w:rsidR="00F87646" w:rsidRPr="001339A5" w:rsidRDefault="00F87646" w:rsidP="008A2312">
      <w:r w:rsidRPr="001339A5">
        <w:t>On 29 September 2014, the Government signed the contract for the East West Link – Eastern Section with the East West Connect (EWC) consortium. The Treasurer also provided EWC with a Side Letter, independent of the contract</w:t>
      </w:r>
      <w:r>
        <w:t>, confirming and assuring EWC that, on the basis of strong legal advice, the Executive Government has the requisite executive power to enter into the contract.</w:t>
      </w:r>
    </w:p>
    <w:p w:rsidR="00F87646" w:rsidRPr="001339A5" w:rsidRDefault="00F87646" w:rsidP="008A2312">
      <w:r w:rsidRPr="001339A5">
        <w:t xml:space="preserve">In the event that a court of competent jurisdiction makes a declaration or a decision, within a specified time, that the State did not have the requisite executive power to execute the Project Agreement (PA), such that the PA is void, the Side Letter commits the State of Victoria to pay EWC compensation as if the PA was not found to be void and were terminated. The Side Letter provides no additional protection or relief nor does it confer additional right or entitlement for EWC beyond what is in the contract. </w:t>
      </w:r>
      <w:r>
        <w:t>The letter merely commits the State to stand by the termination compensation in the contract.</w:t>
      </w:r>
    </w:p>
    <w:p w:rsidR="00F87646" w:rsidRPr="001F7D3B" w:rsidRDefault="00F87646" w:rsidP="008A2312">
      <w:r w:rsidRPr="001339A5">
        <w:t xml:space="preserve">Any compensation payable by the State under the letter and in the contract is </w:t>
      </w:r>
      <w:r>
        <w:t xml:space="preserve">linked to a formula in the contract, the quantum of which would change depending </w:t>
      </w:r>
      <w:r w:rsidRPr="001339A5">
        <w:t xml:space="preserve">on timing. </w:t>
      </w:r>
      <w:r>
        <w:t xml:space="preserve">The structure of the PA, including termination payments, is consistent with National Public Private Partnership Policy and Guidelines, the </w:t>
      </w:r>
      <w:r w:rsidRPr="001F7D3B">
        <w:rPr>
          <w:i/>
        </w:rPr>
        <w:t>Partnerships Victoria</w:t>
      </w:r>
      <w:r>
        <w:t xml:space="preserve"> framework and Victorian public private partnership precedent.</w:t>
      </w:r>
    </w:p>
    <w:p w:rsidR="00F87646" w:rsidRPr="001339A5" w:rsidRDefault="00F87646" w:rsidP="007D03EF">
      <w:pPr>
        <w:pStyle w:val="Heading3"/>
      </w:pPr>
      <w:r w:rsidRPr="001339A5">
        <w:t>East West Link Judicial Review</w:t>
      </w:r>
    </w:p>
    <w:p w:rsidR="00F87646" w:rsidRPr="001339A5" w:rsidRDefault="00F87646" w:rsidP="005B69C6">
      <w:r w:rsidRPr="001339A5">
        <w:t xml:space="preserve">On 30 June 2014, the Minister for Planning made an Approval Decision for the East West Link – Eastern Section project under Section 77 of the </w:t>
      </w:r>
      <w:r w:rsidRPr="001339A5">
        <w:rPr>
          <w:i/>
        </w:rPr>
        <w:t>Major Transport Projects Facilitation Act 2009</w:t>
      </w:r>
      <w:r w:rsidRPr="001339A5">
        <w:t>.</w:t>
      </w:r>
    </w:p>
    <w:p w:rsidR="00F87646" w:rsidRDefault="00F87646">
      <w:pPr>
        <w:spacing w:after="0"/>
      </w:pPr>
      <w:r>
        <w:br w:type="page"/>
      </w:r>
    </w:p>
    <w:p w:rsidR="00F87646" w:rsidRPr="001339A5" w:rsidRDefault="00F87646" w:rsidP="008A2312">
      <w:r w:rsidRPr="001339A5">
        <w:lastRenderedPageBreak/>
        <w:t xml:space="preserve">On 21 July 2014, Moreland and Yarra City Councils filed proceedings in the Supreme Court of Victoria challenging the Minister for Planning’s decision to issue applicable approvals for the East West Link – Eastern Section project under the </w:t>
      </w:r>
      <w:r w:rsidRPr="001339A5">
        <w:rPr>
          <w:i/>
        </w:rPr>
        <w:t>Major Transport Projects Facilitation Act 2009</w:t>
      </w:r>
      <w:r w:rsidRPr="001339A5">
        <w:t>. The matter is listed for hearing on 15 December 2014. The outcome of these proceedings is unknown at the date of this publication and as such any potential impact or liability arising from this court action is not able to be quantified.</w:t>
      </w:r>
    </w:p>
    <w:p w:rsidR="00F87646" w:rsidRPr="001339A5" w:rsidRDefault="00F87646" w:rsidP="007D03EF">
      <w:pPr>
        <w:pStyle w:val="Heading3"/>
      </w:pPr>
      <w:r w:rsidRPr="001339A5">
        <w:t xml:space="preserve">Public acquisition overlays for the future development of rail and road infrastructure </w:t>
      </w:r>
    </w:p>
    <w:p w:rsidR="00F87646" w:rsidRPr="001339A5" w:rsidRDefault="00F87646" w:rsidP="008A2312">
      <w:r w:rsidRPr="001339A5">
        <w:t xml:space="preserve">Public acquisition overlays are in place in order to reserve certain areas of land for future development of rail and road infrastructure. Under Section 98 of the </w:t>
      </w:r>
      <w:r w:rsidRPr="001339A5">
        <w:rPr>
          <w:i/>
        </w:rPr>
        <w:t>Planning and Environment Act</w:t>
      </w:r>
      <w:r w:rsidRPr="001339A5">
        <w:t xml:space="preserve"> </w:t>
      </w:r>
      <w:r w:rsidRPr="001339A5">
        <w:rPr>
          <w:i/>
        </w:rPr>
        <w:t>1987</w:t>
      </w:r>
      <w:r w:rsidRPr="001339A5">
        <w:t>, the State has a legislative responsibility to pay compensation to eligible land and property owners who face either:</w:t>
      </w:r>
    </w:p>
    <w:p w:rsidR="00F87646" w:rsidRPr="001339A5" w:rsidRDefault="00F87646" w:rsidP="008A2312">
      <w:pPr>
        <w:pStyle w:val="BulletText"/>
      </w:pPr>
      <w:r w:rsidRPr="001339A5">
        <w:t>loss on sale – an eligible landowner is entitled to compensation for the incremental loss on sale when a property affected by a public acquisition overlay is sold for less than its market value; or</w:t>
      </w:r>
    </w:p>
    <w:p w:rsidR="00F87646" w:rsidRPr="001339A5" w:rsidRDefault="00F87646" w:rsidP="008A2312">
      <w:pPr>
        <w:pStyle w:val="BulletText"/>
      </w:pPr>
      <w:r w:rsidRPr="001339A5">
        <w:t>financial loss – the entitlement to financial loss compensation is triggered when a development permit is refused because the property is required for a public purpose.</w:t>
      </w:r>
    </w:p>
    <w:p w:rsidR="00F87646" w:rsidRPr="001339A5" w:rsidRDefault="00F87646" w:rsidP="008A2312">
      <w:r w:rsidRPr="001339A5">
        <w:t>Compensation and purchase claims occur as a result of claims by land owners. The quantum of the future liability depends on factors including the number of claims received and the prevailing value of land at the time the claim is made, which cannot be reliably quantified.</w:t>
      </w:r>
    </w:p>
    <w:p w:rsidR="00F87646" w:rsidRPr="001339A5" w:rsidRDefault="00F87646" w:rsidP="007D03EF">
      <w:pPr>
        <w:pStyle w:val="Heading3"/>
      </w:pPr>
      <w:r w:rsidRPr="001339A5">
        <w:t>Public transport rail partnership agreements</w:t>
      </w:r>
    </w:p>
    <w:p w:rsidR="00F87646" w:rsidRPr="001339A5" w:rsidRDefault="00F87646" w:rsidP="008A2312">
      <w:r w:rsidRPr="001339A5">
        <w:t>Public Transport Victoria (PTV) is party to partnership contractual arrangements with franchisees to operate metropolitan rail transport services in the State, operative from 30 November 2009 until 30 November 2017. The major contingent liabilities arising from the contractual arrangements in the event of early termination or expiry of the partnership contractual agreement are:</w:t>
      </w:r>
    </w:p>
    <w:p w:rsidR="00F87646" w:rsidRPr="001339A5" w:rsidRDefault="00F87646" w:rsidP="008A2312">
      <w:pPr>
        <w:pStyle w:val="BulletText"/>
      </w:pPr>
      <w:r w:rsidRPr="001339A5">
        <w:t>partnership assets: to maintain continuity of services, at early termination or expiry of the franchise contract, assets will revert to PTV or a successor. In the case of some assets, a reversion back to PTV would entail those assets being purchased; and</w:t>
      </w:r>
    </w:p>
    <w:p w:rsidR="00F87646" w:rsidRPr="001339A5" w:rsidRDefault="00F87646" w:rsidP="008A2312">
      <w:pPr>
        <w:pStyle w:val="BulletText"/>
      </w:pPr>
      <w:r w:rsidRPr="001339A5">
        <w:t>unfunded superannuation: at the early termination or expiry of the contract, PTV will assume any unfunded superannuation amounts (apart from contributions the operator is required to pay over the contract term) to the extent that the State becomes the successor operator.</w:t>
      </w:r>
    </w:p>
    <w:p w:rsidR="00F87646" w:rsidRDefault="00F87646">
      <w:pPr>
        <w:spacing w:after="0"/>
        <w:rPr>
          <w:rFonts w:ascii="Calibri" w:hAnsi="Calibri"/>
          <w:b/>
          <w:i/>
          <w:kern w:val="28"/>
          <w:sz w:val="24"/>
          <w:szCs w:val="22"/>
        </w:rPr>
      </w:pPr>
      <w:r>
        <w:br w:type="page"/>
      </w:r>
    </w:p>
    <w:p w:rsidR="00F87646" w:rsidRPr="001339A5" w:rsidRDefault="00F87646" w:rsidP="007D03EF">
      <w:pPr>
        <w:pStyle w:val="Heading3"/>
      </w:pPr>
      <w:r w:rsidRPr="001339A5">
        <w:lastRenderedPageBreak/>
        <w:t>Fiskville firefighting independent investigation</w:t>
      </w:r>
    </w:p>
    <w:p w:rsidR="00F87646" w:rsidRPr="001339A5" w:rsidRDefault="00F87646" w:rsidP="008A2312">
      <w:r w:rsidRPr="001339A5">
        <w:t xml:space="preserve">An independent investigation was undertaken into the historical use of chemicals for live firefighting training at Fiskville between 1971 and 1999. The report of the independent investigation has been released and the Country Fire Authority (CFA) has accepted all of the facts, recommendations and conclusions and is committed to implementing all recommendations. </w:t>
      </w:r>
    </w:p>
    <w:p w:rsidR="00F87646" w:rsidRPr="001339A5" w:rsidRDefault="00F87646" w:rsidP="008A2312">
      <w:r w:rsidRPr="001339A5">
        <w:t>In August 2012, the CFA established a program office to manage the implementation of the report’s recommendations and an additional 11 management initiatives to which the CFA Board committed in its response to the report. At this stage it is impractical to quantify the financial effects as a result of the investigation’s recommendations.</w:t>
      </w:r>
    </w:p>
    <w:p w:rsidR="00F87646" w:rsidRPr="001339A5" w:rsidRDefault="00F87646" w:rsidP="007D03EF">
      <w:pPr>
        <w:pStyle w:val="Heading3"/>
      </w:pPr>
      <w:r w:rsidRPr="001339A5">
        <w:t>Gambling licences</w:t>
      </w:r>
    </w:p>
    <w:p w:rsidR="00F87646" w:rsidRPr="001339A5" w:rsidRDefault="00F87646" w:rsidP="008A2312">
      <w:r w:rsidRPr="001339A5">
        <w:t>In relation to the ‘Gambling licenses’</w:t>
      </w:r>
      <w:r w:rsidRPr="001339A5">
        <w:rPr>
          <w:i/>
        </w:rPr>
        <w:t xml:space="preserve"> </w:t>
      </w:r>
      <w:r w:rsidRPr="001339A5">
        <w:t>item within non</w:t>
      </w:r>
      <w:r>
        <w:noBreakHyphen/>
      </w:r>
      <w:r w:rsidRPr="001339A5">
        <w:t>quantifiable contingent assets, given that the State was successful in the Tabcorp proceeding, it did not need to pay Tabcorp its claimed amount together with interest, which would have amounted to $821.2</w:t>
      </w:r>
      <w:r>
        <w:t> million.</w:t>
      </w:r>
      <w:r w:rsidRPr="001339A5">
        <w:t xml:space="preserve"> The matter went on appeal to the Court of Appeal. The appeal hearing was held in October 2014 and is pending judgement.</w:t>
      </w:r>
    </w:p>
    <w:p w:rsidR="00F87646" w:rsidRPr="001339A5" w:rsidRDefault="00F87646" w:rsidP="007D03EF">
      <w:pPr>
        <w:pStyle w:val="Heading3"/>
      </w:pPr>
      <w:r w:rsidRPr="001339A5">
        <w:t>Public Lottery Licence Litigation</w:t>
      </w:r>
    </w:p>
    <w:p w:rsidR="00F87646" w:rsidRPr="001339A5" w:rsidRDefault="00F87646" w:rsidP="008A2312">
      <w:r w:rsidRPr="001339A5">
        <w:t>On 27 August 2014, Intralot Australia Pty Ltd served a writ and Statement of Claim on the State. Intralot’s claim relates to allegations that Tattersall’s Sweeps Pty Ltd was granted favourable treatment relating to the awarding of public lottery licences on 24 October 2007. Intralot claims its total costs to 30 June 2014 are $63.4</w:t>
      </w:r>
      <w:r>
        <w:t> million</w:t>
      </w:r>
      <w:r w:rsidRPr="001339A5">
        <w:t>. The State has lodged its defence and the matter will be heard in the Supreme Court.</w:t>
      </w:r>
    </w:p>
    <w:p w:rsidR="00F87646" w:rsidRPr="001339A5" w:rsidRDefault="00F87646" w:rsidP="007D03EF">
      <w:pPr>
        <w:pStyle w:val="Heading3"/>
      </w:pPr>
      <w:r w:rsidRPr="001339A5">
        <w:t>Health Benefit Levy</w:t>
      </w:r>
    </w:p>
    <w:p w:rsidR="00F87646" w:rsidRPr="001339A5" w:rsidRDefault="00F87646" w:rsidP="008A2312">
      <w:pPr>
        <w:autoSpaceDE w:val="0"/>
        <w:autoSpaceDN w:val="0"/>
        <w:adjustRightInd w:val="0"/>
        <w:rPr>
          <w:rFonts w:cs="Garamond"/>
          <w:szCs w:val="24"/>
        </w:rPr>
      </w:pPr>
      <w:r w:rsidRPr="001339A5">
        <w:rPr>
          <w:rFonts w:cs="Garamond"/>
          <w:szCs w:val="24"/>
        </w:rPr>
        <w:t xml:space="preserve">Under the </w:t>
      </w:r>
      <w:r w:rsidRPr="001339A5">
        <w:rPr>
          <w:rFonts w:cs="Garamond"/>
          <w:i/>
          <w:iCs/>
          <w:szCs w:val="24"/>
        </w:rPr>
        <w:t>Gambling Regulation Act 2003</w:t>
      </w:r>
      <w:r w:rsidRPr="001339A5">
        <w:rPr>
          <w:rFonts w:cs="Garamond"/>
          <w:szCs w:val="24"/>
        </w:rPr>
        <w:t xml:space="preserve">, the two former gaming operator licensees, Tabcorp and Tatts were required to pay a Health Benefit Levy. </w:t>
      </w:r>
    </w:p>
    <w:p w:rsidR="00F87646" w:rsidRPr="001339A5" w:rsidRDefault="00F87646" w:rsidP="008A2312">
      <w:pPr>
        <w:autoSpaceDE w:val="0"/>
        <w:autoSpaceDN w:val="0"/>
        <w:adjustRightInd w:val="0"/>
        <w:rPr>
          <w:rFonts w:cs="Garamond"/>
          <w:szCs w:val="24"/>
        </w:rPr>
      </w:pPr>
      <w:r w:rsidRPr="001339A5">
        <w:rPr>
          <w:rFonts w:cs="Garamond"/>
          <w:szCs w:val="24"/>
        </w:rPr>
        <w:t>On 1 May 2013, the Treasurer determined that Tabcorp’s and Tatts’ 2012</w:t>
      </w:r>
      <w:r>
        <w:rPr>
          <w:rFonts w:cs="Garamond"/>
          <w:szCs w:val="24"/>
        </w:rPr>
        <w:noBreakHyphen/>
      </w:r>
      <w:r w:rsidRPr="001339A5">
        <w:rPr>
          <w:rFonts w:cs="Garamond"/>
          <w:szCs w:val="24"/>
        </w:rPr>
        <w:t>13 levies were $42.1</w:t>
      </w:r>
      <w:r>
        <w:rPr>
          <w:rFonts w:cs="Garamond"/>
          <w:szCs w:val="24"/>
        </w:rPr>
        <w:t> million</w:t>
      </w:r>
      <w:r w:rsidRPr="001339A5">
        <w:rPr>
          <w:rFonts w:cs="Garamond"/>
          <w:szCs w:val="24"/>
        </w:rPr>
        <w:t xml:space="preserve"> and $42.6</w:t>
      </w:r>
      <w:r>
        <w:rPr>
          <w:rFonts w:cs="Garamond"/>
          <w:szCs w:val="24"/>
        </w:rPr>
        <w:t> million</w:t>
      </w:r>
      <w:r w:rsidRPr="001339A5">
        <w:rPr>
          <w:rFonts w:cs="Garamond"/>
          <w:szCs w:val="24"/>
        </w:rPr>
        <w:t xml:space="preserve"> respectively, on the basis that the Treasurer did not have discretion under the Act to determine a pro</w:t>
      </w:r>
      <w:r>
        <w:rPr>
          <w:rFonts w:cs="Garamond"/>
          <w:szCs w:val="24"/>
        </w:rPr>
        <w:noBreakHyphen/>
      </w:r>
      <w:r w:rsidRPr="001339A5">
        <w:rPr>
          <w:rFonts w:cs="Garamond"/>
          <w:szCs w:val="24"/>
        </w:rPr>
        <w:t xml:space="preserve">rata based levy amount. </w:t>
      </w:r>
    </w:p>
    <w:p w:rsidR="00F87646" w:rsidRPr="001339A5" w:rsidRDefault="00F87646" w:rsidP="008A2312">
      <w:r w:rsidRPr="001339A5">
        <w:t>Tabcorp and Tatts subsequently commenced legal proceedings against the Treasurer in the Supreme Court of Victoria. Tabcorp and Tatts claim that the Treasurer had discretion under the Act to determine a pro</w:t>
      </w:r>
      <w:r>
        <w:noBreakHyphen/>
      </w:r>
      <w:r w:rsidRPr="001339A5">
        <w:t>rata based levy amount to reflect the 45 days they operated gaming machines in 2012</w:t>
      </w:r>
      <w:r>
        <w:noBreakHyphen/>
      </w:r>
      <w:r w:rsidRPr="001339A5">
        <w:t xml:space="preserve">13. </w:t>
      </w:r>
    </w:p>
    <w:p w:rsidR="00F87646" w:rsidRPr="001339A5" w:rsidRDefault="00F87646" w:rsidP="008A2312">
      <w:r w:rsidRPr="001339A5">
        <w:t xml:space="preserve">On 24 June 2013, a Supreme Court judgement was handed down in favour of Tabcorp and Tatts quashing the Treasurer’s determinations. The State appealed to the Court of Appeal, maintaining that the determinations were valid and that the Treasurer did not have discretion to adjust the application of the levy formula under the Act. The State was successful in both appeals and Tatts and Tabcorp have now paid the State the full amounts of the Health Benefit Levies together with interest. </w:t>
      </w:r>
    </w:p>
    <w:p w:rsidR="00F87646" w:rsidRPr="001339A5" w:rsidRDefault="00F87646" w:rsidP="008A2312">
      <w:r w:rsidRPr="001339A5">
        <w:t>Tatts and Tabcorp have sought Special Leave to Appeal to the High Court of Australia.</w:t>
      </w:r>
    </w:p>
    <w:p w:rsidR="00F87646" w:rsidRPr="001339A5" w:rsidRDefault="00F87646" w:rsidP="007D03EF">
      <w:pPr>
        <w:pStyle w:val="Heading3"/>
        <w:rPr>
          <w:rFonts w:eastAsia="Calibri"/>
        </w:rPr>
      </w:pPr>
      <w:r w:rsidRPr="001339A5">
        <w:rPr>
          <w:rFonts w:eastAsia="Calibri"/>
        </w:rPr>
        <w:lastRenderedPageBreak/>
        <w:t>Compulsory property acquisitions</w:t>
      </w:r>
    </w:p>
    <w:p w:rsidR="00F87646" w:rsidRPr="001339A5" w:rsidRDefault="00F87646" w:rsidP="008A2312">
      <w:r w:rsidRPr="001339A5">
        <w:rPr>
          <w:rFonts w:eastAsia="Calibri"/>
        </w:rPr>
        <w:t xml:space="preserve">The State has compulsorily acquired a number of properties (residential and commercial) through the </w:t>
      </w:r>
      <w:r w:rsidRPr="001339A5">
        <w:rPr>
          <w:rFonts w:eastAsia="Calibri"/>
          <w:i/>
        </w:rPr>
        <w:t>Land Acquisition and Compensation Act 1986</w:t>
      </w:r>
      <w:r w:rsidRPr="001339A5">
        <w:rPr>
          <w:rFonts w:eastAsia="Calibri"/>
        </w:rPr>
        <w:t xml:space="preserve"> to facilitate delivery of various projects. Possible future claims for compensation arising from the compulsory acquisition of these properties cannot be quantified at this stage.</w:t>
      </w:r>
    </w:p>
    <w:p w:rsidR="00F87646" w:rsidRPr="001339A5" w:rsidRDefault="00F87646" w:rsidP="007D03EF">
      <w:pPr>
        <w:pStyle w:val="Heading3"/>
      </w:pPr>
      <w:r w:rsidRPr="001339A5">
        <w:t>Land remediation – environmental concerns</w:t>
      </w:r>
    </w:p>
    <w:p w:rsidR="00F87646" w:rsidRPr="001339A5" w:rsidRDefault="00F87646" w:rsidP="000A4586">
      <w:r w:rsidRPr="001339A5">
        <w:t>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a contamination risk is identified.</w:t>
      </w:r>
    </w:p>
    <w:p w:rsidR="00F87646" w:rsidRPr="001339A5" w:rsidRDefault="00F87646" w:rsidP="007D03EF">
      <w:pPr>
        <w:pStyle w:val="Heading3"/>
      </w:pPr>
      <w:r w:rsidRPr="001339A5">
        <w:t>Native Title</w:t>
      </w:r>
    </w:p>
    <w:p w:rsidR="00F87646" w:rsidRPr="001339A5" w:rsidRDefault="00F87646" w:rsidP="008A2312">
      <w:r w:rsidRPr="001339A5">
        <w:t xml:space="preserve">A number of claims have been filed with the Federal Court under the Commonwealth </w:t>
      </w:r>
      <w:r w:rsidRPr="001339A5">
        <w:rPr>
          <w:i/>
        </w:rPr>
        <w:t>Native Title Act 1993</w:t>
      </w:r>
      <w:r w:rsidRPr="001339A5">
        <w:t xml:space="preserve"> that affect Victoria. It is not feasible at this time to quantify any future liability. </w:t>
      </w:r>
    </w:p>
    <w:p w:rsidR="00F87646" w:rsidRPr="001339A5" w:rsidRDefault="00F87646" w:rsidP="007D03EF">
      <w:pPr>
        <w:pStyle w:val="Heading3"/>
      </w:pPr>
      <w:r w:rsidRPr="001339A5">
        <w:t>Melbourne Park redevelopment</w:t>
      </w:r>
    </w:p>
    <w:p w:rsidR="00F87646" w:rsidRPr="001339A5" w:rsidRDefault="00F87646" w:rsidP="006245EE">
      <w:r w:rsidRPr="001339A5">
        <w:rPr>
          <w:lang w:eastAsia="en-AU"/>
        </w:rPr>
        <w:t xml:space="preserve">In 2010, the State entered into a capital works agreement with Tennis Australia and the Melbourne and Olympic Park Trust for the Australian Open to remain at Melbourne Park until 2036. The agreement contains a number of conditions including that the State will invest in further improvements to Melbourne Park in three stages or (if an agreed investment threshold is reached), pay a rights fee to retain the Australian Open at Melbourne Park until 2036. In the </w:t>
      </w:r>
      <w:r w:rsidRPr="001339A5">
        <w:rPr>
          <w:i/>
          <w:iCs/>
          <w:lang w:eastAsia="en-AU"/>
        </w:rPr>
        <w:t>2010</w:t>
      </w:r>
      <w:r>
        <w:rPr>
          <w:i/>
          <w:iCs/>
          <w:lang w:eastAsia="en-AU"/>
        </w:rPr>
        <w:noBreakHyphen/>
      </w:r>
      <w:r w:rsidRPr="001339A5">
        <w:rPr>
          <w:i/>
          <w:iCs/>
          <w:lang w:eastAsia="en-AU"/>
        </w:rPr>
        <w:t>11 Budget</w:t>
      </w:r>
      <w:r w:rsidRPr="001339A5">
        <w:rPr>
          <w:lang w:eastAsia="en-AU"/>
        </w:rPr>
        <w:t>, Stage 1 of the Melbourne Park redevelopment with a total estimated investment of $363</w:t>
      </w:r>
      <w:r>
        <w:rPr>
          <w:lang w:eastAsia="en-AU"/>
        </w:rPr>
        <w:t> million</w:t>
      </w:r>
      <w:r w:rsidRPr="001339A5">
        <w:rPr>
          <w:lang w:eastAsia="en-AU"/>
        </w:rPr>
        <w:t xml:space="preserve"> was announced. In January 2014, a further $338</w:t>
      </w:r>
      <w:r>
        <w:rPr>
          <w:lang w:eastAsia="en-AU"/>
        </w:rPr>
        <w:t> million</w:t>
      </w:r>
      <w:r w:rsidRPr="001339A5">
        <w:rPr>
          <w:lang w:eastAsia="en-AU"/>
        </w:rPr>
        <w:t xml:space="preserve"> total estimated investment was announced by the State for Stage 2 of the redevelopment. </w:t>
      </w:r>
    </w:p>
    <w:p w:rsidR="00F87646" w:rsidRPr="001339A5" w:rsidRDefault="00F87646" w:rsidP="007D03EF">
      <w:pPr>
        <w:pStyle w:val="Heading3"/>
      </w:pPr>
      <w:r w:rsidRPr="001339A5">
        <w:t>National Electricity Code Administrator</w:t>
      </w:r>
    </w:p>
    <w:p w:rsidR="00F87646" w:rsidRPr="001339A5" w:rsidRDefault="00F87646" w:rsidP="008A2312">
      <w:r w:rsidRPr="001339A5">
        <w:t>As part of the wind</w:t>
      </w:r>
      <w:r>
        <w:noBreakHyphen/>
      </w:r>
      <w:r w:rsidRPr="001339A5">
        <w:t>up of the National Electricity Code Administrator (NECA) the State has undertaken to indemnify the actions of the NECA Directors for a period of seven years, from completion of their tenure in 2008 until 2015.</w:t>
      </w:r>
    </w:p>
    <w:p w:rsidR="00F87646" w:rsidRPr="001339A5" w:rsidRDefault="00F87646" w:rsidP="007D03EF">
      <w:pPr>
        <w:pStyle w:val="Heading3"/>
      </w:pPr>
      <w:r w:rsidRPr="001339A5">
        <w:t>Royal Melbourne Showgrounds redevelopment</w:t>
      </w:r>
    </w:p>
    <w:p w:rsidR="00F87646" w:rsidRPr="001339A5" w:rsidRDefault="00F87646" w:rsidP="008A2312">
      <w:r w:rsidRPr="001339A5">
        <w:t>Under the State’s commitment to the Royal Agriculture Society of Victoria (RASV), the State has agreed to support certain obligations of RASV which may arise out of the joint venture agreement. In accordance with the terms set out in the State commitment to RASV, the State will pay (in the form of a loan) the amount requested by RASV. If any outstanding loan amount remains unpaid at the date, which is 25 years after the commencement of the operation term under the development and operation agreement, RASV will be obliged to satisfy and discharge each such outstanding loan amount. This may take the form of a transfer to the State, of the whole of the RASV participating interest in the joint venture.</w:t>
      </w:r>
    </w:p>
    <w:p w:rsidR="00F87646" w:rsidRPr="001339A5" w:rsidRDefault="00F87646" w:rsidP="008A2312">
      <w:pPr>
        <w:spacing w:after="0"/>
      </w:pPr>
      <w:r w:rsidRPr="001339A5">
        <w:lastRenderedPageBreak/>
        <w:t>The State has also entered into an agreement through the State Support Deed – Non</w:t>
      </w:r>
      <w:r>
        <w:noBreakHyphen/>
      </w:r>
      <w:r w:rsidRPr="001339A5">
        <w:t>Core Land with Showgrounds Retail Developments Pty Ltd and the RASV, whereby the State agrees to support certain payment obligations of the RASV that may arise under the non</w:t>
      </w:r>
      <w:r>
        <w:noBreakHyphen/>
      </w:r>
      <w:r w:rsidRPr="001339A5">
        <w:t>core development agreement.</w:t>
      </w:r>
    </w:p>
    <w:p w:rsidR="00F87646" w:rsidRPr="001339A5" w:rsidRDefault="00F87646" w:rsidP="007D03EF">
      <w:pPr>
        <w:pStyle w:val="Heading3"/>
      </w:pPr>
      <w:r w:rsidRPr="001339A5">
        <w:t>Victorian Managed Insurance Authority – insurance cover</w:t>
      </w:r>
    </w:p>
    <w:p w:rsidR="00F87646" w:rsidRPr="001339A5" w:rsidRDefault="00F87646" w:rsidP="008A2312">
      <w:r w:rsidRPr="001339A5">
        <w:t xml:space="preserve">The Victorian Managed Insurance Authority (VMIA) was established in 1996 as an insurer for State government departments, participating bodies and other entities as defined under the </w:t>
      </w:r>
      <w:r w:rsidRPr="001339A5">
        <w:rPr>
          <w:i/>
        </w:rPr>
        <w:t>Victorian Managed Insurance Authority Act 1996</w:t>
      </w:r>
      <w:r w:rsidRPr="001339A5">
        <w:t>. VMIA provides its clients with a range of insurance cover, including for property, public and products liability, professional indemnity and contract works. VMIA reinsures in the private market for losses above $50</w:t>
      </w:r>
      <w:r>
        <w:t> million</w:t>
      </w:r>
      <w:r w:rsidRPr="001339A5">
        <w:t xml:space="preserve"> arising out of any one occurrence, up to a maximum of $850</w:t>
      </w:r>
      <w:r>
        <w:t> million</w:t>
      </w:r>
      <w:r w:rsidRPr="001339A5">
        <w:t xml:space="preserve"> for public and products liability, and for losses above $50</w:t>
      </w:r>
      <w:r>
        <w:t> million</w:t>
      </w:r>
      <w:r w:rsidRPr="001339A5">
        <w:t xml:space="preserve"> arising out of any one event, up to a maximum of $3.05</w:t>
      </w:r>
      <w:r>
        <w:t> billion</w:t>
      </w:r>
      <w:r w:rsidRPr="001339A5">
        <w:t xml:space="preserve"> for property. The risk of losses above these reinsured levels is borne by the State.</w:t>
      </w:r>
    </w:p>
    <w:p w:rsidR="00F87646" w:rsidRDefault="00F87646" w:rsidP="008A2312">
      <w:r w:rsidRPr="001339A5">
        <w:t>VMIA also insures the Department of Health for all public sector medical indemnity claims incurred in each policy year from 1 July 2003, regardless of when claims are finally settled. Under the indemnity deed to provide stop loss protection for VMIA, the Department of Treasury and Finance has agreed to reimburse VMIA if the ultimate claims payouts exceed by more than 20</w:t>
      </w:r>
      <w:r>
        <w:t> per cent</w:t>
      </w:r>
      <w:r w:rsidRPr="001339A5">
        <w:t xml:space="preserve"> of the initial estimate on which the risk premium was based.</w:t>
      </w:r>
    </w:p>
    <w:p w:rsidR="00F87646" w:rsidRDefault="00F87646" w:rsidP="008A2312">
      <w:pPr>
        <w:spacing w:after="0"/>
      </w:pPr>
    </w:p>
    <w:p w:rsidR="00F87646" w:rsidRDefault="00F87646">
      <w:pPr>
        <w:spacing w:after="0"/>
      </w:pPr>
      <w:r>
        <w:br w:type="page"/>
      </w:r>
    </w:p>
    <w:p w:rsidR="00F87646" w:rsidRDefault="00F87646" w:rsidP="008A2312">
      <w:pPr>
        <w:spacing w:after="0"/>
      </w:pPr>
    </w:p>
    <w:p w:rsidR="00F87646" w:rsidRDefault="00F87646" w:rsidP="00986765">
      <w:pPr>
        <w:sectPr w:rsidR="00F87646" w:rsidSect="002869F8">
          <w:footerReference w:type="even" r:id="rId26"/>
          <w:footerReference w:type="default" r:id="rId27"/>
          <w:pgSz w:w="9979" w:h="14181" w:code="138"/>
          <w:pgMar w:top="1138" w:right="1138" w:bottom="1138" w:left="1138" w:header="720" w:footer="432" w:gutter="0"/>
          <w:cols w:space="708"/>
          <w:docGrid w:linePitch="360"/>
        </w:sectPr>
      </w:pPr>
    </w:p>
    <w:p w:rsidR="00F87646" w:rsidRPr="00BC0C9E" w:rsidRDefault="00F87646" w:rsidP="00E77302">
      <w:pPr>
        <w:pStyle w:val="ChapterHeading"/>
      </w:pPr>
      <w:bookmarkStart w:id="82" w:name="_Toc403386696"/>
      <w:r w:rsidRPr="00BC0C9E">
        <w:lastRenderedPageBreak/>
        <w:t xml:space="preserve">Appendix A – Specific policy initiatives affecting </w:t>
      </w:r>
      <w:r>
        <w:t xml:space="preserve">the </w:t>
      </w:r>
      <w:r w:rsidRPr="00BC0C9E">
        <w:t>budget position</w:t>
      </w:r>
      <w:bookmarkEnd w:id="82"/>
    </w:p>
    <w:p w:rsidR="00F87646" w:rsidRPr="00BC0C9E" w:rsidRDefault="00F87646" w:rsidP="00882D47">
      <w:r w:rsidRPr="00BC0C9E">
        <w:t>Appendix A outlines specific Government policy initiatives that affect output, asset investment and revenue positions, including Treasurer</w:t>
      </w:r>
      <w:r>
        <w:t>’</w:t>
      </w:r>
      <w:r w:rsidRPr="00BC0C9E">
        <w:t xml:space="preserve">s Advances, made since the </w:t>
      </w:r>
      <w:r w:rsidRPr="00BC0C9E">
        <w:rPr>
          <w:i/>
        </w:rPr>
        <w:t>2014</w:t>
      </w:r>
      <w:r>
        <w:rPr>
          <w:i/>
        </w:rPr>
        <w:noBreakHyphen/>
      </w:r>
      <w:r w:rsidRPr="00BC0C9E">
        <w:rPr>
          <w:i/>
        </w:rPr>
        <w:t>15 Budget</w:t>
      </w:r>
      <w:r w:rsidRPr="00BC0C9E">
        <w:t xml:space="preserve"> and before the issue of the election writs on 4 November 2014. The following tables provide details of:</w:t>
      </w:r>
    </w:p>
    <w:p w:rsidR="00F87646" w:rsidRPr="00BC0C9E" w:rsidRDefault="00F87646" w:rsidP="00882D47">
      <w:pPr>
        <w:pStyle w:val="BulletText"/>
      </w:pPr>
      <w:r w:rsidRPr="00BC0C9E">
        <w:t>government</w:t>
      </w:r>
      <w:r>
        <w:noBreakHyphen/>
      </w:r>
      <w:r w:rsidRPr="00BC0C9E">
        <w:t>wide revenue initiatives;</w:t>
      </w:r>
    </w:p>
    <w:p w:rsidR="00F87646" w:rsidRPr="00BC0C9E" w:rsidRDefault="00F87646" w:rsidP="00882D47">
      <w:pPr>
        <w:pStyle w:val="BulletText"/>
      </w:pPr>
      <w:r w:rsidRPr="00BC0C9E">
        <w:t>government</w:t>
      </w:r>
      <w:r>
        <w:noBreakHyphen/>
      </w:r>
      <w:r w:rsidRPr="00BC0C9E">
        <w:t>wide output and asset initiatives; and</w:t>
      </w:r>
    </w:p>
    <w:p w:rsidR="00F87646" w:rsidRPr="00BC0C9E" w:rsidRDefault="00F87646" w:rsidP="00882D47">
      <w:pPr>
        <w:pStyle w:val="BulletText"/>
      </w:pPr>
      <w:r w:rsidRPr="00BC0C9E">
        <w:t>output and asset initiatives for government departments.</w:t>
      </w:r>
    </w:p>
    <w:p w:rsidR="00F87646" w:rsidRPr="00BC0C9E" w:rsidRDefault="00F87646" w:rsidP="00882D47">
      <w:r w:rsidRPr="00BC0C9E">
        <w:t>Appendix A includes a cross reference between initiatives and their relevant departmental outputs which aims to clearly indicate the impact of policy decisions on relevant portfolios.</w:t>
      </w:r>
    </w:p>
    <w:p w:rsidR="00F87646" w:rsidRPr="00BC0C9E" w:rsidRDefault="00F87646" w:rsidP="00882D47">
      <w:r w:rsidRPr="00BC0C9E">
        <w:t>The figures included are the total cost of decisions. Funding from reprioritisation and other sources has not been deducted from the total cost of decisions.</w:t>
      </w:r>
    </w:p>
    <w:p w:rsidR="00F87646" w:rsidRPr="00BC0C9E" w:rsidRDefault="00F87646" w:rsidP="00882D47">
      <w:pPr>
        <w:pStyle w:val="Heading1"/>
      </w:pPr>
      <w:bookmarkStart w:id="83" w:name="_Toc401147500"/>
      <w:bookmarkStart w:id="84" w:name="_Toc403386697"/>
      <w:r w:rsidRPr="00BC0C9E">
        <w:t>Revenue initiatives</w:t>
      </w:r>
      <w:bookmarkEnd w:id="83"/>
      <w:bookmarkEnd w:id="84"/>
    </w:p>
    <w:p w:rsidR="00F87646" w:rsidRPr="00BC0C9E" w:rsidRDefault="00F87646" w:rsidP="00B06F64">
      <w:pPr>
        <w:pStyle w:val="Tableheading"/>
      </w:pPr>
      <w:r w:rsidRPr="00BC0C9E">
        <w:t>Table A.1:</w:t>
      </w:r>
      <w:r w:rsidRPr="00BC0C9E">
        <w:tab/>
        <w:t>Revenue initiatives</w:t>
      </w:r>
    </w:p>
    <w:p w:rsidR="00F87646" w:rsidRPr="00BC0C9E" w:rsidRDefault="00F87646" w:rsidP="00947D62">
      <w:pPr>
        <w:pStyle w:val="million"/>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BC0C9E" w:rsidTr="00947D62">
        <w:trPr>
          <w:cantSplit/>
        </w:trPr>
        <w:tc>
          <w:tcPr>
            <w:tcW w:w="3803" w:type="dxa"/>
            <w:tcBorders>
              <w:top w:val="single" w:sz="6" w:space="0" w:color="auto"/>
              <w:left w:val="single" w:sz="4" w:space="0" w:color="auto"/>
              <w:bottom w:val="single" w:sz="4" w:space="0" w:color="auto"/>
              <w:right w:val="nil"/>
            </w:tcBorders>
            <w:shd w:val="clear" w:color="auto" w:fill="000000"/>
          </w:tcPr>
          <w:p w:rsidR="00F87646" w:rsidRPr="00BC0C9E" w:rsidRDefault="00F87646" w:rsidP="00947D62">
            <w:pPr>
              <w:pStyle w:val="Tabletext"/>
              <w:rPr>
                <w:rFonts w:eastAsiaTheme="minorEastAsia"/>
                <w:lang w:eastAsia="en-AU"/>
              </w:rPr>
            </w:pPr>
          </w:p>
        </w:tc>
        <w:tc>
          <w:tcPr>
            <w:tcW w:w="994" w:type="dxa"/>
            <w:tcBorders>
              <w:top w:val="single" w:sz="6" w:space="0" w:color="auto"/>
              <w:left w:val="nil"/>
              <w:bottom w:val="single" w:sz="4" w:space="0" w:color="auto"/>
              <w:right w:val="nil"/>
            </w:tcBorders>
            <w:shd w:val="clear" w:color="auto" w:fill="000000"/>
          </w:tcPr>
          <w:p w:rsidR="00F87646" w:rsidRPr="00BC0C9E" w:rsidRDefault="00F87646" w:rsidP="00947D62">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947D62">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947D62">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auto"/>
              <w:left w:val="nil"/>
              <w:bottom w:val="single" w:sz="4" w:space="0" w:color="auto"/>
              <w:right w:val="single" w:sz="4" w:space="0" w:color="auto"/>
            </w:tcBorders>
            <w:shd w:val="clear" w:color="auto" w:fill="000000"/>
          </w:tcPr>
          <w:p w:rsidR="00F87646" w:rsidRPr="00BC0C9E" w:rsidRDefault="00F87646" w:rsidP="00947D62">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947D62">
        <w:trPr>
          <w:cantSplit/>
        </w:trPr>
        <w:tc>
          <w:tcPr>
            <w:tcW w:w="3803" w:type="dxa"/>
            <w:tcBorders>
              <w:top w:val="single" w:sz="4" w:space="0" w:color="auto"/>
              <w:left w:val="nil"/>
              <w:bottom w:val="nil"/>
              <w:right w:val="nil"/>
            </w:tcBorders>
          </w:tcPr>
          <w:p w:rsidR="00F87646" w:rsidRPr="00BC0C9E" w:rsidRDefault="00F87646" w:rsidP="00947D62">
            <w:pPr>
              <w:pStyle w:val="Tabletext"/>
              <w:rPr>
                <w:rFonts w:eastAsiaTheme="minorEastAsia"/>
                <w:lang w:eastAsia="en-AU"/>
              </w:rPr>
            </w:pPr>
            <w:r w:rsidRPr="00BC0C9E">
              <w:rPr>
                <w:rFonts w:eastAsiaTheme="minorEastAsia"/>
                <w:lang w:eastAsia="en-AU"/>
              </w:rPr>
              <w:t>State Revenue Office – assessment and compliance</w:t>
            </w:r>
          </w:p>
        </w:tc>
        <w:tc>
          <w:tcPr>
            <w:tcW w:w="994" w:type="dxa"/>
            <w:tcBorders>
              <w:top w:val="single" w:sz="4" w:space="0" w:color="auto"/>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8.0</w:t>
            </w:r>
          </w:p>
        </w:tc>
        <w:tc>
          <w:tcPr>
            <w:tcW w:w="993" w:type="dxa"/>
            <w:tcBorders>
              <w:top w:val="single" w:sz="4" w:space="0" w:color="auto"/>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29.7</w:t>
            </w:r>
          </w:p>
        </w:tc>
        <w:tc>
          <w:tcPr>
            <w:tcW w:w="993" w:type="dxa"/>
            <w:tcBorders>
              <w:top w:val="single" w:sz="4" w:space="0" w:color="auto"/>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68.3</w:t>
            </w:r>
          </w:p>
        </w:tc>
        <w:tc>
          <w:tcPr>
            <w:tcW w:w="993" w:type="dxa"/>
            <w:tcBorders>
              <w:top w:val="single" w:sz="4" w:space="0" w:color="auto"/>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72.7</w:t>
            </w:r>
          </w:p>
        </w:tc>
      </w:tr>
      <w:tr w:rsidR="00F87646" w:rsidRPr="00BC0C9E" w:rsidTr="00947D62">
        <w:trPr>
          <w:cantSplit/>
        </w:trPr>
        <w:tc>
          <w:tcPr>
            <w:tcW w:w="3803" w:type="dxa"/>
            <w:tcBorders>
              <w:top w:val="nil"/>
              <w:left w:val="nil"/>
              <w:bottom w:val="nil"/>
              <w:right w:val="nil"/>
            </w:tcBorders>
          </w:tcPr>
          <w:p w:rsidR="00F87646" w:rsidRPr="00BC0C9E" w:rsidRDefault="00F87646" w:rsidP="00947D62">
            <w:pPr>
              <w:pStyle w:val="Tabletext"/>
              <w:rPr>
                <w:rFonts w:eastAsiaTheme="minorEastAsia"/>
                <w:lang w:eastAsia="en-AU"/>
              </w:rPr>
            </w:pPr>
            <w:r w:rsidRPr="00BC0C9E">
              <w:rPr>
                <w:rFonts w:eastAsiaTheme="minorEastAsia"/>
                <w:lang w:eastAsia="en-AU"/>
              </w:rPr>
              <w:t>Crown Melbourne licence amendments</w:t>
            </w:r>
          </w:p>
        </w:tc>
        <w:tc>
          <w:tcPr>
            <w:tcW w:w="994"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8.5</w:t>
            </w:r>
          </w:p>
        </w:tc>
        <w:tc>
          <w:tcPr>
            <w:tcW w:w="993"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24.3</w:t>
            </w:r>
          </w:p>
        </w:tc>
        <w:tc>
          <w:tcPr>
            <w:tcW w:w="993"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21.8</w:t>
            </w:r>
          </w:p>
        </w:tc>
        <w:tc>
          <w:tcPr>
            <w:tcW w:w="993"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19.4</w:t>
            </w:r>
          </w:p>
        </w:tc>
      </w:tr>
      <w:tr w:rsidR="00F87646" w:rsidRPr="00BC0C9E" w:rsidTr="00947D62">
        <w:trPr>
          <w:cantSplit/>
        </w:trPr>
        <w:tc>
          <w:tcPr>
            <w:tcW w:w="3803" w:type="dxa"/>
            <w:tcBorders>
              <w:top w:val="nil"/>
              <w:left w:val="nil"/>
              <w:bottom w:val="nil"/>
              <w:right w:val="nil"/>
            </w:tcBorders>
          </w:tcPr>
          <w:p w:rsidR="00F87646" w:rsidRPr="00BC0C9E" w:rsidRDefault="00F87646" w:rsidP="00947D62">
            <w:pPr>
              <w:pStyle w:val="Tabletext"/>
              <w:rPr>
                <w:rFonts w:eastAsiaTheme="minorEastAsia"/>
                <w:lang w:eastAsia="en-AU"/>
              </w:rPr>
            </w:pPr>
            <w:r w:rsidRPr="00BC0C9E">
              <w:rPr>
                <w:rFonts w:eastAsiaTheme="minorEastAsia"/>
                <w:lang w:eastAsia="en-AU"/>
              </w:rPr>
              <w:t>On</w:t>
            </w:r>
            <w:r>
              <w:rPr>
                <w:rFonts w:eastAsiaTheme="minorEastAsia"/>
                <w:lang w:eastAsia="en-AU"/>
              </w:rPr>
              <w:noBreakHyphen/>
            </w:r>
            <w:r w:rsidRPr="00BC0C9E">
              <w:rPr>
                <w:rFonts w:eastAsiaTheme="minorEastAsia"/>
                <w:lang w:eastAsia="en-AU"/>
              </w:rPr>
              <w:t>the</w:t>
            </w:r>
            <w:r>
              <w:rPr>
                <w:rFonts w:eastAsiaTheme="minorEastAsia"/>
                <w:lang w:eastAsia="en-AU"/>
              </w:rPr>
              <w:noBreakHyphen/>
            </w:r>
            <w:r w:rsidRPr="00BC0C9E">
              <w:rPr>
                <w:rFonts w:eastAsiaTheme="minorEastAsia"/>
                <w:lang w:eastAsia="en-AU"/>
              </w:rPr>
              <w:t>spot penalty fares</w:t>
            </w:r>
          </w:p>
        </w:tc>
        <w:tc>
          <w:tcPr>
            <w:tcW w:w="994"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4.3</w:t>
            </w:r>
          </w:p>
        </w:tc>
        <w:tc>
          <w:tcPr>
            <w:tcW w:w="993"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5.8</w:t>
            </w:r>
          </w:p>
        </w:tc>
        <w:tc>
          <w:tcPr>
            <w:tcW w:w="993"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6.0</w:t>
            </w:r>
          </w:p>
        </w:tc>
        <w:tc>
          <w:tcPr>
            <w:tcW w:w="993" w:type="dxa"/>
            <w:tcBorders>
              <w:top w:val="nil"/>
              <w:left w:val="nil"/>
              <w:bottom w:val="nil"/>
              <w:right w:val="nil"/>
            </w:tcBorders>
          </w:tcPr>
          <w:p w:rsidR="00F87646" w:rsidRPr="00BC0C9E" w:rsidRDefault="00F87646" w:rsidP="00947D62">
            <w:pPr>
              <w:pStyle w:val="TableofFigures"/>
              <w:rPr>
                <w:rFonts w:eastAsiaTheme="minorEastAsia"/>
                <w:color w:val="000000"/>
                <w:lang w:eastAsia="en-AU"/>
              </w:rPr>
            </w:pPr>
            <w:r w:rsidRPr="00BC0C9E">
              <w:rPr>
                <w:rFonts w:eastAsiaTheme="minorEastAsia"/>
                <w:color w:val="000000"/>
                <w:lang w:eastAsia="en-AU"/>
              </w:rPr>
              <w:t xml:space="preserve"> 6.1</w:t>
            </w:r>
          </w:p>
        </w:tc>
      </w:tr>
      <w:tr w:rsidR="00F87646" w:rsidRPr="00BC0C9E" w:rsidTr="00947D62">
        <w:trPr>
          <w:cantSplit/>
        </w:trPr>
        <w:tc>
          <w:tcPr>
            <w:tcW w:w="3803" w:type="dxa"/>
            <w:tcBorders>
              <w:top w:val="single" w:sz="6" w:space="0" w:color="auto"/>
              <w:left w:val="nil"/>
              <w:bottom w:val="single" w:sz="12" w:space="0" w:color="auto"/>
              <w:right w:val="nil"/>
            </w:tcBorders>
          </w:tcPr>
          <w:p w:rsidR="00F87646" w:rsidRPr="00BC0C9E" w:rsidRDefault="00F87646" w:rsidP="00947D62">
            <w:pPr>
              <w:pStyle w:val="Tabletext"/>
              <w:rPr>
                <w:rFonts w:eastAsiaTheme="minorEastAsia"/>
                <w:b/>
                <w:bCs/>
                <w:lang w:eastAsia="en-AU"/>
              </w:rPr>
            </w:pPr>
            <w:r w:rsidRPr="00BC0C9E">
              <w:rPr>
                <w:rFonts w:eastAsiaTheme="minorEastAsia"/>
                <w:b/>
                <w:bCs/>
                <w:lang w:eastAsia="en-AU"/>
              </w:rPr>
              <w:t>Total revenue initiatives</w:t>
            </w:r>
          </w:p>
        </w:tc>
        <w:tc>
          <w:tcPr>
            <w:tcW w:w="994" w:type="dxa"/>
            <w:tcBorders>
              <w:top w:val="single" w:sz="6" w:space="0" w:color="auto"/>
              <w:left w:val="nil"/>
              <w:bottom w:val="single" w:sz="12" w:space="0" w:color="auto"/>
              <w:right w:val="nil"/>
            </w:tcBorders>
          </w:tcPr>
          <w:p w:rsidR="00F87646" w:rsidRPr="00BC0C9E" w:rsidRDefault="00F87646" w:rsidP="00947D62">
            <w:pPr>
              <w:pStyle w:val="TableofFigures"/>
              <w:rPr>
                <w:rFonts w:eastAsiaTheme="minorEastAsia"/>
                <w:b/>
                <w:bCs/>
                <w:color w:val="000000"/>
                <w:lang w:eastAsia="en-AU"/>
              </w:rPr>
            </w:pPr>
            <w:r w:rsidRPr="00BC0C9E">
              <w:rPr>
                <w:rFonts w:eastAsiaTheme="minorEastAsia"/>
                <w:b/>
                <w:bCs/>
                <w:color w:val="000000"/>
                <w:lang w:eastAsia="en-AU"/>
              </w:rPr>
              <w:t xml:space="preserve"> 20.8</w:t>
            </w:r>
          </w:p>
        </w:tc>
        <w:tc>
          <w:tcPr>
            <w:tcW w:w="993" w:type="dxa"/>
            <w:tcBorders>
              <w:top w:val="single" w:sz="6" w:space="0" w:color="auto"/>
              <w:left w:val="nil"/>
              <w:bottom w:val="single" w:sz="12" w:space="0" w:color="auto"/>
              <w:right w:val="nil"/>
            </w:tcBorders>
          </w:tcPr>
          <w:p w:rsidR="00F87646" w:rsidRPr="00BC0C9E" w:rsidRDefault="00F87646" w:rsidP="00947D62">
            <w:pPr>
              <w:pStyle w:val="TableofFigures"/>
              <w:rPr>
                <w:rFonts w:eastAsiaTheme="minorEastAsia"/>
                <w:b/>
                <w:bCs/>
                <w:color w:val="000000"/>
                <w:lang w:eastAsia="en-AU"/>
              </w:rPr>
            </w:pPr>
            <w:r w:rsidRPr="00BC0C9E">
              <w:rPr>
                <w:rFonts w:eastAsiaTheme="minorEastAsia"/>
                <w:b/>
                <w:bCs/>
                <w:color w:val="000000"/>
                <w:lang w:eastAsia="en-AU"/>
              </w:rPr>
              <w:t xml:space="preserve"> 59.8</w:t>
            </w:r>
          </w:p>
        </w:tc>
        <w:tc>
          <w:tcPr>
            <w:tcW w:w="993" w:type="dxa"/>
            <w:tcBorders>
              <w:top w:val="single" w:sz="6" w:space="0" w:color="auto"/>
              <w:left w:val="nil"/>
              <w:bottom w:val="single" w:sz="12" w:space="0" w:color="auto"/>
              <w:right w:val="nil"/>
            </w:tcBorders>
          </w:tcPr>
          <w:p w:rsidR="00F87646" w:rsidRPr="00BC0C9E" w:rsidRDefault="00F87646" w:rsidP="00947D62">
            <w:pPr>
              <w:pStyle w:val="TableofFigures"/>
              <w:rPr>
                <w:rFonts w:eastAsiaTheme="minorEastAsia"/>
                <w:b/>
                <w:bCs/>
                <w:color w:val="000000"/>
                <w:lang w:eastAsia="en-AU"/>
              </w:rPr>
            </w:pPr>
            <w:r w:rsidRPr="00BC0C9E">
              <w:rPr>
                <w:rFonts w:eastAsiaTheme="minorEastAsia"/>
                <w:b/>
                <w:bCs/>
                <w:color w:val="000000"/>
                <w:lang w:eastAsia="en-AU"/>
              </w:rPr>
              <w:t xml:space="preserve"> 96.0</w:t>
            </w:r>
          </w:p>
        </w:tc>
        <w:tc>
          <w:tcPr>
            <w:tcW w:w="993" w:type="dxa"/>
            <w:tcBorders>
              <w:top w:val="single" w:sz="6" w:space="0" w:color="auto"/>
              <w:left w:val="nil"/>
              <w:bottom w:val="single" w:sz="12" w:space="0" w:color="auto"/>
              <w:right w:val="nil"/>
            </w:tcBorders>
          </w:tcPr>
          <w:p w:rsidR="00F87646" w:rsidRPr="00BC0C9E" w:rsidRDefault="00F87646" w:rsidP="00947D62">
            <w:pPr>
              <w:pStyle w:val="TableofFigures"/>
              <w:rPr>
                <w:rFonts w:eastAsiaTheme="minorEastAsia"/>
                <w:b/>
                <w:bCs/>
                <w:color w:val="000000"/>
                <w:lang w:eastAsia="en-AU"/>
              </w:rPr>
            </w:pPr>
            <w:r w:rsidRPr="00BC0C9E">
              <w:rPr>
                <w:rFonts w:eastAsiaTheme="minorEastAsia"/>
                <w:b/>
                <w:bCs/>
                <w:color w:val="000000"/>
                <w:lang w:eastAsia="en-AU"/>
              </w:rPr>
              <w:t xml:space="preserve"> 98.2</w:t>
            </w:r>
          </w:p>
        </w:tc>
      </w:tr>
    </w:tbl>
    <w:p w:rsidR="00F87646" w:rsidRPr="00BC0C9E" w:rsidRDefault="00F87646" w:rsidP="00E25EFD">
      <w:pPr>
        <w:pStyle w:val="Source"/>
      </w:pPr>
      <w:r w:rsidRPr="00BC0C9E">
        <w:rPr>
          <w:rStyle w:val="PageNumber"/>
          <w:sz w:val="15"/>
        </w:rPr>
        <w:t>Source: Department of Treasury and Finance</w:t>
      </w:r>
      <w:r w:rsidRPr="00BC0C9E">
        <w:br w:type="page"/>
      </w:r>
    </w:p>
    <w:p w:rsidR="00F87646" w:rsidRPr="00BC0C9E" w:rsidRDefault="00F87646" w:rsidP="00882D47">
      <w:pPr>
        <w:pStyle w:val="Heading5"/>
      </w:pPr>
      <w:r w:rsidRPr="00BC0C9E">
        <w:lastRenderedPageBreak/>
        <w:t>State Revenue Office – assessment and compliance</w:t>
      </w:r>
    </w:p>
    <w:p w:rsidR="00F87646" w:rsidRPr="00BC0C9E" w:rsidRDefault="00F87646" w:rsidP="009609CC">
      <w:pPr>
        <w:rPr>
          <w:b/>
        </w:rPr>
      </w:pPr>
      <w:r w:rsidRPr="00BC0C9E">
        <w:t>The State Revenue Office will enhance its compliance activities, primarily in relation to land tax, landholder and land rich duties, and payroll tax. These activities include greater investigation of reported land ownership, utilising new technology and data, and accelerating the resolution of duty assessments.</w:t>
      </w:r>
    </w:p>
    <w:p w:rsidR="00F87646" w:rsidRPr="00BC0C9E" w:rsidRDefault="00F87646" w:rsidP="00882D47">
      <w:pPr>
        <w:pStyle w:val="Heading5"/>
      </w:pPr>
      <w:r w:rsidRPr="00BC0C9E">
        <w:t>Crown Melbourne licence amendments</w:t>
      </w:r>
    </w:p>
    <w:p w:rsidR="00F87646" w:rsidRPr="00BC0C9E" w:rsidRDefault="00F87646" w:rsidP="00882D47">
      <w:r w:rsidRPr="00BC0C9E">
        <w:t>Crown Melbourne</w:t>
      </w:r>
      <w:r>
        <w:t>’</w:t>
      </w:r>
      <w:r w:rsidRPr="00BC0C9E">
        <w:t>s casino licence will be extended from 2033 to 2050 and Crown will be permitted to operate an additional 40 gaming tables, 50 fully automated table game terminals and 128 electronic gaming machines (within the existing statewide cap of 30 000 gaming machines). The super tax on commission</w:t>
      </w:r>
      <w:r>
        <w:noBreakHyphen/>
      </w:r>
      <w:r w:rsidRPr="00BC0C9E">
        <w:t>based play for international and interstate VIP players will be removed. The agreement also provides for Crown to receive capped compensation if the State implements certain policies that adversely affect Crown.</w:t>
      </w:r>
    </w:p>
    <w:p w:rsidR="00F87646" w:rsidRPr="00BC0C9E" w:rsidRDefault="00F87646" w:rsidP="00882D47">
      <w:r w:rsidRPr="00BC0C9E">
        <w:t>The State will receive $250</w:t>
      </w:r>
      <w:r>
        <w:t> million</w:t>
      </w:r>
      <w:r w:rsidRPr="00BC0C9E">
        <w:t xml:space="preserve"> in 2014 and $250</w:t>
      </w:r>
      <w:r>
        <w:t> million</w:t>
      </w:r>
      <w:r w:rsidRPr="00BC0C9E">
        <w:t xml:space="preserve"> in 2033, up to $200</w:t>
      </w:r>
      <w:r>
        <w:t> million</w:t>
      </w:r>
      <w:r w:rsidRPr="00BC0C9E">
        <w:t xml:space="preserve"> in 2022 contingent on Crown Melbourne</w:t>
      </w:r>
      <w:r>
        <w:t>’</w:t>
      </w:r>
      <w:r w:rsidRPr="00BC0C9E">
        <w:t>s gaming revenue growth, and guaranteed annual tax payments related to new gaming products of at least $35</w:t>
      </w:r>
      <w:r>
        <w:t> million</w:t>
      </w:r>
      <w:r w:rsidRPr="00BC0C9E">
        <w:t xml:space="preserve"> a year for six years commencing in 2015</w:t>
      </w:r>
      <w:r>
        <w:noBreakHyphen/>
      </w:r>
      <w:r w:rsidRPr="00BC0C9E">
        <w:t>16.</w:t>
      </w:r>
    </w:p>
    <w:p w:rsidR="00F87646" w:rsidRPr="00BC0C9E" w:rsidRDefault="00F87646" w:rsidP="00882D47">
      <w:r w:rsidRPr="00BC0C9E">
        <w:t>The revenue relating to the licence amendments, including the payments of $250</w:t>
      </w:r>
      <w:r>
        <w:t> million</w:t>
      </w:r>
      <w:r w:rsidRPr="00BC0C9E">
        <w:t xml:space="preserve"> in 2014 and $250</w:t>
      </w:r>
      <w:r>
        <w:t> million</w:t>
      </w:r>
      <w:r w:rsidRPr="00BC0C9E">
        <w:t xml:space="preserve"> in 2033, has been amortised over the life of the agreement and includes forgone revenue from the abolition of the super tax on commission</w:t>
      </w:r>
      <w:r>
        <w:noBreakHyphen/>
      </w:r>
      <w:r w:rsidRPr="00BC0C9E">
        <w:t>based play for international and interstate VIP players.</w:t>
      </w:r>
    </w:p>
    <w:p w:rsidR="00F87646" w:rsidRPr="00BC0C9E" w:rsidRDefault="00F87646" w:rsidP="00882D47">
      <w:pPr>
        <w:pStyle w:val="Heading5"/>
      </w:pPr>
      <w:r w:rsidRPr="00BC0C9E">
        <w:t>On</w:t>
      </w:r>
      <w:r>
        <w:noBreakHyphen/>
      </w:r>
      <w:r w:rsidRPr="00BC0C9E">
        <w:t>the</w:t>
      </w:r>
      <w:r>
        <w:noBreakHyphen/>
      </w:r>
      <w:r w:rsidRPr="00BC0C9E">
        <w:t>spot penalty fares</w:t>
      </w:r>
    </w:p>
    <w:p w:rsidR="00F87646" w:rsidRPr="00BC0C9E" w:rsidRDefault="00F87646" w:rsidP="00882D47">
      <w:r w:rsidRPr="00BC0C9E">
        <w:t>Public transport passengers who travel without a valid ticket can now pay on</w:t>
      </w:r>
      <w:r>
        <w:noBreakHyphen/>
      </w:r>
      <w:r w:rsidRPr="00BC0C9E">
        <w:t>the</w:t>
      </w:r>
      <w:r>
        <w:noBreakHyphen/>
      </w:r>
      <w:r w:rsidRPr="00BC0C9E">
        <w:t>spot penalty fares, providing an efficient alternative to existing penalty payment arrangements with the aim of reducing fare evasion.</w:t>
      </w:r>
    </w:p>
    <w:p w:rsidR="00F87646" w:rsidRPr="00BC0C9E" w:rsidRDefault="00F87646">
      <w:pPr>
        <w:spacing w:after="0"/>
        <w:rPr>
          <w:rFonts w:ascii="Calibri" w:hAnsi="Calibri"/>
          <w:b/>
          <w:caps/>
          <w:sz w:val="26"/>
          <w:szCs w:val="22"/>
        </w:rPr>
      </w:pPr>
      <w:bookmarkStart w:id="85" w:name="_Toc401147501"/>
      <w:r w:rsidRPr="00BC0C9E">
        <w:br w:type="page"/>
      </w:r>
    </w:p>
    <w:p w:rsidR="00F87646" w:rsidRPr="00BC0C9E" w:rsidRDefault="00F87646" w:rsidP="00882D47">
      <w:pPr>
        <w:pStyle w:val="Heading1"/>
      </w:pPr>
      <w:bookmarkStart w:id="86" w:name="_Toc403386698"/>
      <w:r w:rsidRPr="00BC0C9E">
        <w:lastRenderedPageBreak/>
        <w:t>Government</w:t>
      </w:r>
      <w:r>
        <w:noBreakHyphen/>
      </w:r>
      <w:r w:rsidRPr="00BC0C9E">
        <w:t>wide initiatives</w:t>
      </w:r>
      <w:bookmarkEnd w:id="85"/>
      <w:bookmarkEnd w:id="86"/>
    </w:p>
    <w:p w:rsidR="00F87646" w:rsidRPr="00BC0C9E" w:rsidRDefault="00F87646" w:rsidP="00882D47">
      <w:r w:rsidRPr="00BC0C9E">
        <w:t>The following tables provide details of the total cost of government</w:t>
      </w:r>
      <w:r>
        <w:noBreakHyphen/>
      </w:r>
      <w:r w:rsidRPr="00BC0C9E">
        <w:t>wide output and asset decisions.</w:t>
      </w:r>
    </w:p>
    <w:p w:rsidR="00F87646" w:rsidRPr="00BC0C9E" w:rsidRDefault="00F87646" w:rsidP="00882D47">
      <w:pPr>
        <w:pStyle w:val="Heading2"/>
      </w:pPr>
      <w:r w:rsidRPr="00BC0C9E">
        <w:t>Output initiatives</w:t>
      </w:r>
    </w:p>
    <w:p w:rsidR="00F87646" w:rsidRPr="00BC0C9E" w:rsidRDefault="00F87646" w:rsidP="00882D47">
      <w:pPr>
        <w:pStyle w:val="Tableheading"/>
      </w:pPr>
      <w:r w:rsidRPr="00BC0C9E">
        <w:t>Table A.2:</w:t>
      </w:r>
      <w:r w:rsidRPr="00BC0C9E">
        <w:tab/>
        <w:t>Output initiatives – government</w:t>
      </w:r>
      <w:r>
        <w:noBreakHyphen/>
      </w:r>
      <w:r w:rsidRPr="00BC0C9E">
        <w:t>wide</w:t>
      </w:r>
    </w:p>
    <w:p w:rsidR="00F87646" w:rsidRPr="009C50F8" w:rsidRDefault="00F87646" w:rsidP="009C50F8">
      <w:pPr>
        <w:pStyle w:val="million"/>
      </w:pPr>
      <w:r w:rsidRPr="00BC0C9E">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928"/>
        <w:gridCol w:w="928"/>
        <w:gridCol w:w="928"/>
        <w:gridCol w:w="928"/>
      </w:tblGrid>
      <w:tr w:rsidR="00F87646" w:rsidRPr="009C50F8" w:rsidTr="009C50F8">
        <w:trPr>
          <w:tblHeader/>
        </w:trPr>
        <w:tc>
          <w:tcPr>
            <w:tcW w:w="4064" w:type="dxa"/>
            <w:tcBorders>
              <w:top w:val="single" w:sz="6" w:space="0" w:color="auto"/>
              <w:left w:val="single" w:sz="6" w:space="0" w:color="auto"/>
              <w:bottom w:val="single" w:sz="6" w:space="0" w:color="auto"/>
              <w:right w:val="nil"/>
            </w:tcBorders>
            <w:shd w:val="clear" w:color="auto" w:fill="000000"/>
          </w:tcPr>
          <w:p w:rsidR="00F87646" w:rsidRPr="009C50F8" w:rsidRDefault="00F87646" w:rsidP="009C50F8">
            <w:pPr>
              <w:pStyle w:val="Tabletext"/>
              <w:rPr>
                <w:rFonts w:eastAsiaTheme="minorEastAsia"/>
                <w:lang w:eastAsia="en-AU"/>
              </w:rPr>
            </w:pPr>
            <w:r w:rsidRPr="009C50F8">
              <w:rPr>
                <w:rFonts w:eastAsiaTheme="minorEastAsia"/>
                <w:lang w:eastAsia="en-AU"/>
              </w:rPr>
              <w:t xml:space="preserve"> </w:t>
            </w:r>
          </w:p>
        </w:tc>
        <w:tc>
          <w:tcPr>
            <w:tcW w:w="928" w:type="dxa"/>
            <w:tcBorders>
              <w:top w:val="single" w:sz="6" w:space="0" w:color="auto"/>
              <w:left w:val="nil"/>
              <w:bottom w:val="single" w:sz="6" w:space="0" w:color="auto"/>
              <w:right w:val="nil"/>
            </w:tcBorders>
            <w:shd w:val="clear" w:color="auto" w:fill="000000"/>
          </w:tcPr>
          <w:p w:rsidR="00F87646" w:rsidRPr="009C50F8" w:rsidRDefault="00F87646" w:rsidP="009C50F8">
            <w:pPr>
              <w:pStyle w:val="Tabletextheading"/>
              <w:rPr>
                <w:rFonts w:eastAsiaTheme="minorEastAsia"/>
                <w:lang w:eastAsia="en-AU"/>
              </w:rPr>
            </w:pPr>
            <w:r w:rsidRPr="009C50F8">
              <w:rPr>
                <w:rFonts w:eastAsiaTheme="minorEastAsia"/>
                <w:lang w:eastAsia="en-AU"/>
              </w:rPr>
              <w:t>2014</w:t>
            </w:r>
            <w:r>
              <w:rPr>
                <w:rFonts w:eastAsiaTheme="minorEastAsia"/>
                <w:lang w:eastAsia="en-AU"/>
              </w:rPr>
              <w:noBreakHyphen/>
            </w:r>
            <w:r w:rsidRPr="009C50F8">
              <w:rPr>
                <w:rFonts w:eastAsiaTheme="minorEastAsia"/>
                <w:lang w:eastAsia="en-AU"/>
              </w:rPr>
              <w:t>15</w:t>
            </w:r>
          </w:p>
        </w:tc>
        <w:tc>
          <w:tcPr>
            <w:tcW w:w="928" w:type="dxa"/>
            <w:tcBorders>
              <w:top w:val="single" w:sz="6" w:space="0" w:color="auto"/>
              <w:left w:val="nil"/>
              <w:bottom w:val="single" w:sz="6" w:space="0" w:color="auto"/>
              <w:right w:val="nil"/>
            </w:tcBorders>
            <w:shd w:val="clear" w:color="auto" w:fill="000000"/>
          </w:tcPr>
          <w:p w:rsidR="00F87646" w:rsidRPr="009C50F8" w:rsidRDefault="00F87646" w:rsidP="009C50F8">
            <w:pPr>
              <w:pStyle w:val="Tabletextheading"/>
              <w:rPr>
                <w:rFonts w:eastAsiaTheme="minorEastAsia"/>
                <w:lang w:eastAsia="en-AU"/>
              </w:rPr>
            </w:pPr>
            <w:r w:rsidRPr="009C50F8">
              <w:rPr>
                <w:rFonts w:eastAsiaTheme="minorEastAsia"/>
                <w:lang w:eastAsia="en-AU"/>
              </w:rPr>
              <w:t>2015</w:t>
            </w:r>
            <w:r>
              <w:rPr>
                <w:rFonts w:eastAsiaTheme="minorEastAsia"/>
                <w:lang w:eastAsia="en-AU"/>
              </w:rPr>
              <w:noBreakHyphen/>
            </w:r>
            <w:r w:rsidRPr="009C50F8">
              <w:rPr>
                <w:rFonts w:eastAsiaTheme="minorEastAsia"/>
                <w:lang w:eastAsia="en-AU"/>
              </w:rPr>
              <w:t>16</w:t>
            </w:r>
          </w:p>
        </w:tc>
        <w:tc>
          <w:tcPr>
            <w:tcW w:w="928" w:type="dxa"/>
            <w:tcBorders>
              <w:top w:val="single" w:sz="6" w:space="0" w:color="auto"/>
              <w:left w:val="nil"/>
              <w:bottom w:val="single" w:sz="6" w:space="0" w:color="auto"/>
              <w:right w:val="nil"/>
            </w:tcBorders>
            <w:shd w:val="clear" w:color="auto" w:fill="000000"/>
          </w:tcPr>
          <w:p w:rsidR="00F87646" w:rsidRPr="009C50F8" w:rsidRDefault="00F87646" w:rsidP="009C50F8">
            <w:pPr>
              <w:pStyle w:val="Tabletextheading"/>
              <w:rPr>
                <w:rFonts w:eastAsiaTheme="minorEastAsia"/>
                <w:lang w:eastAsia="en-AU"/>
              </w:rPr>
            </w:pPr>
            <w:r w:rsidRPr="009C50F8">
              <w:rPr>
                <w:rFonts w:eastAsiaTheme="minorEastAsia"/>
                <w:lang w:eastAsia="en-AU"/>
              </w:rPr>
              <w:t>2016</w:t>
            </w:r>
            <w:r>
              <w:rPr>
                <w:rFonts w:eastAsiaTheme="minorEastAsia"/>
                <w:lang w:eastAsia="en-AU"/>
              </w:rPr>
              <w:noBreakHyphen/>
            </w:r>
            <w:r w:rsidRPr="009C50F8">
              <w:rPr>
                <w:rFonts w:eastAsiaTheme="minorEastAsia"/>
                <w:lang w:eastAsia="en-AU"/>
              </w:rPr>
              <w:t>17</w:t>
            </w:r>
          </w:p>
        </w:tc>
        <w:tc>
          <w:tcPr>
            <w:tcW w:w="928" w:type="dxa"/>
            <w:tcBorders>
              <w:top w:val="single" w:sz="6" w:space="0" w:color="auto"/>
              <w:left w:val="nil"/>
              <w:bottom w:val="single" w:sz="6" w:space="0" w:color="auto"/>
              <w:right w:val="single" w:sz="6" w:space="0" w:color="auto"/>
            </w:tcBorders>
            <w:shd w:val="clear" w:color="auto" w:fill="000000"/>
          </w:tcPr>
          <w:p w:rsidR="00F87646" w:rsidRPr="009C50F8" w:rsidRDefault="00F87646" w:rsidP="009C50F8">
            <w:pPr>
              <w:pStyle w:val="Tabletextheading"/>
              <w:rPr>
                <w:rFonts w:eastAsiaTheme="minorEastAsia"/>
                <w:lang w:eastAsia="en-AU"/>
              </w:rPr>
            </w:pPr>
            <w:r w:rsidRPr="009C50F8">
              <w:rPr>
                <w:rFonts w:eastAsiaTheme="minorEastAsia"/>
                <w:lang w:eastAsia="en-AU"/>
              </w:rPr>
              <w:t>2017</w:t>
            </w:r>
            <w:r>
              <w:rPr>
                <w:rFonts w:eastAsiaTheme="minorEastAsia"/>
                <w:lang w:eastAsia="en-AU"/>
              </w:rPr>
              <w:noBreakHyphen/>
            </w:r>
            <w:r w:rsidRPr="009C50F8">
              <w:rPr>
                <w:rFonts w:eastAsiaTheme="minorEastAsia"/>
                <w:lang w:eastAsia="en-AU"/>
              </w:rPr>
              <w:t>18</w:t>
            </w:r>
          </w:p>
        </w:tc>
      </w:tr>
      <w:tr w:rsidR="00F87646" w:rsidRPr="009C50F8" w:rsidTr="009C50F8">
        <w:tc>
          <w:tcPr>
            <w:tcW w:w="4064" w:type="dxa"/>
            <w:tcBorders>
              <w:top w:val="single" w:sz="6" w:space="0" w:color="auto"/>
              <w:left w:val="nil"/>
              <w:bottom w:val="nil"/>
              <w:right w:val="nil"/>
            </w:tcBorders>
          </w:tcPr>
          <w:p w:rsidR="00F87646" w:rsidRPr="009C50F8" w:rsidRDefault="00F87646" w:rsidP="009C50F8">
            <w:pPr>
              <w:pStyle w:val="Tabletext"/>
              <w:rPr>
                <w:rFonts w:eastAsiaTheme="minorEastAsia"/>
                <w:b/>
                <w:bCs/>
                <w:i/>
                <w:iCs/>
                <w:color w:val="000000"/>
                <w:lang w:eastAsia="en-AU"/>
              </w:rPr>
            </w:pPr>
            <w:r w:rsidRPr="009C50F8">
              <w:rPr>
                <w:rFonts w:eastAsiaTheme="minorEastAsia"/>
                <w:b/>
                <w:bCs/>
                <w:i/>
                <w:iCs/>
                <w:color w:val="000000"/>
                <w:lang w:eastAsia="en-AU"/>
              </w:rPr>
              <w:t>Ending violence against women and children</w:t>
            </w:r>
          </w:p>
        </w:tc>
        <w:tc>
          <w:tcPr>
            <w:tcW w:w="928" w:type="dxa"/>
            <w:tcBorders>
              <w:top w:val="single" w:sz="6" w:space="0" w:color="auto"/>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single" w:sz="6" w:space="0" w:color="auto"/>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single" w:sz="6" w:space="0" w:color="auto"/>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single" w:sz="6" w:space="0" w:color="auto"/>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Education and Early Childhood Development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Education pilot for children impacted by family violence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Human Services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Crisis accommodation support for women and children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1.1</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Enhanced access to support services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2.3</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1.2</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3.3</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Flexible post</w:t>
            </w:r>
            <w:r>
              <w:rPr>
                <w:rFonts w:eastAsiaTheme="minorEastAsia"/>
                <w:color w:val="000000"/>
                <w:lang w:eastAsia="en-AU"/>
              </w:rPr>
              <w:noBreakHyphen/>
            </w:r>
            <w:r w:rsidRPr="009C50F8">
              <w:rPr>
                <w:rFonts w:eastAsiaTheme="minorEastAsia"/>
                <w:color w:val="000000"/>
                <w:lang w:eastAsia="en-AU"/>
              </w:rPr>
              <w:t>crisis responses for women and children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1.9</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3.8</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3.8</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3.9</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Individualised responses for Aboriginal people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Multi</w:t>
            </w:r>
            <w:r>
              <w:rPr>
                <w:rFonts w:eastAsiaTheme="minorEastAsia"/>
                <w:color w:val="000000"/>
                <w:lang w:eastAsia="en-AU"/>
              </w:rPr>
              <w:noBreakHyphen/>
            </w:r>
            <w:r w:rsidRPr="009C50F8">
              <w:rPr>
                <w:rFonts w:eastAsiaTheme="minorEastAsia"/>
                <w:color w:val="000000"/>
                <w:lang w:eastAsia="en-AU"/>
              </w:rPr>
              <w:t>Disciplinary Centres – expanding the scope to include family violence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Multi</w:t>
            </w:r>
            <w:r>
              <w:rPr>
                <w:rFonts w:eastAsiaTheme="minorEastAsia"/>
                <w:color w:val="000000"/>
                <w:lang w:eastAsia="en-AU"/>
              </w:rPr>
              <w:noBreakHyphen/>
            </w:r>
            <w:r w:rsidRPr="009C50F8">
              <w:rPr>
                <w:rFonts w:eastAsiaTheme="minorEastAsia"/>
                <w:color w:val="000000"/>
                <w:lang w:eastAsia="en-AU"/>
              </w:rPr>
              <w:t>Disciplinary Centres – new centre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1.8</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1.8</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1.8</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Performance framework and monitoring</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Proven prevention and local coordination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1.2</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4.3</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4.3</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3.1</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Statewide behaviour change campaign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2.5</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2.0</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Justice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Crime prevention initiatives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2.4</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2.4</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2.4</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Evaluation of justice</w:t>
            </w:r>
            <w:r>
              <w:rPr>
                <w:rFonts w:eastAsiaTheme="minorEastAsia"/>
                <w:color w:val="000000"/>
                <w:lang w:eastAsia="en-AU"/>
              </w:rPr>
              <w:noBreakHyphen/>
            </w:r>
            <w:r w:rsidRPr="009C50F8">
              <w:rPr>
                <w:rFonts w:eastAsiaTheme="minorEastAsia"/>
                <w:color w:val="000000"/>
                <w:lang w:eastAsia="en-AU"/>
              </w:rPr>
              <w:t>related family violence responses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0.4</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0.4</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GPS monitoring of perpetrators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Information sharing and risk monitoring pilot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2.0</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Legal Aid expansion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0.8</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1.6</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1.6</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1.7</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Multi</w:t>
            </w:r>
            <w:r>
              <w:rPr>
                <w:rFonts w:eastAsiaTheme="minorEastAsia"/>
                <w:color w:val="000000"/>
                <w:lang w:eastAsia="en-AU"/>
              </w:rPr>
              <w:noBreakHyphen/>
            </w:r>
            <w:r w:rsidRPr="009C50F8">
              <w:rPr>
                <w:rFonts w:eastAsiaTheme="minorEastAsia"/>
                <w:color w:val="000000"/>
                <w:lang w:eastAsia="en-AU"/>
              </w:rPr>
              <w:t>Disciplinary Centres – expanding the scope to include family violence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Multi</w:t>
            </w:r>
            <w:r>
              <w:rPr>
                <w:rFonts w:eastAsiaTheme="minorEastAsia"/>
                <w:color w:val="000000"/>
                <w:lang w:eastAsia="en-AU"/>
              </w:rPr>
              <w:noBreakHyphen/>
            </w:r>
            <w:r w:rsidRPr="009C50F8">
              <w:rPr>
                <w:rFonts w:eastAsiaTheme="minorEastAsia"/>
                <w:color w:val="000000"/>
                <w:lang w:eastAsia="en-AU"/>
              </w:rPr>
              <w:t>Disciplinary Centres – new centre</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1.8</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1.8</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1.8</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Targeted programs for offenders in correctional settings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0.9</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0.9</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0.9</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Courts</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Coroners Court family violence review expansion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Court Integrated Services Program expansion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2.3</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2.4</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2.4</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Specialist family violence courts program expansion</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2.1</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3.2</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3.3</w:t>
            </w:r>
          </w:p>
        </w:tc>
        <w:tc>
          <w:tcPr>
            <w:tcW w:w="928" w:type="dxa"/>
            <w:tcBorders>
              <w:top w:val="nil"/>
              <w:left w:val="nil"/>
              <w:bottom w:val="nil"/>
              <w:right w:val="nil"/>
            </w:tcBorders>
            <w:shd w:val="solid" w:color="FFFFFF" w:fill="auto"/>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3.4</w:t>
            </w:r>
          </w:p>
        </w:tc>
      </w:tr>
      <w:tr w:rsidR="00F87646" w:rsidRPr="009C50F8" w:rsidTr="009C50F8">
        <w:tc>
          <w:tcPr>
            <w:tcW w:w="4064" w:type="dxa"/>
            <w:tcBorders>
              <w:top w:val="single" w:sz="6" w:space="0" w:color="auto"/>
              <w:left w:val="nil"/>
              <w:bottom w:val="single" w:sz="6" w:space="0" w:color="auto"/>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Total output initiatives – Ending violence against women and children</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11.4</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35.3</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32.2</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30.9</w:t>
            </w:r>
          </w:p>
        </w:tc>
      </w:tr>
    </w:tbl>
    <w:p w:rsidR="00F87646" w:rsidRDefault="00F87646">
      <w:r>
        <w:br w:type="page"/>
      </w:r>
    </w:p>
    <w:p w:rsidR="00F87646" w:rsidRPr="00BC0C9E" w:rsidRDefault="00F87646" w:rsidP="0061183A">
      <w:pPr>
        <w:pStyle w:val="Tableheading"/>
      </w:pPr>
      <w:r w:rsidRPr="00BC0C9E">
        <w:lastRenderedPageBreak/>
        <w:t>Table A.2:</w:t>
      </w:r>
      <w:r w:rsidRPr="00BC0C9E">
        <w:tab/>
        <w:t>Output initiatives – government</w:t>
      </w:r>
      <w:r>
        <w:noBreakHyphen/>
      </w:r>
      <w:r w:rsidRPr="00BC0C9E">
        <w:t>wide</w:t>
      </w:r>
      <w:r>
        <w:t xml:space="preserve"> </w:t>
      </w:r>
      <w:r w:rsidRPr="0061183A">
        <w:rPr>
          <w:i/>
        </w:rPr>
        <w:t>(continued)</w:t>
      </w:r>
    </w:p>
    <w:p w:rsidR="00F87646" w:rsidRDefault="00F87646" w:rsidP="0061183A">
      <w:pPr>
        <w:pStyle w:val="million"/>
      </w:pPr>
      <w:r w:rsidRPr="00BC0C9E">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162"/>
        <w:gridCol w:w="45"/>
        <w:gridCol w:w="396"/>
        <w:gridCol w:w="72"/>
        <w:gridCol w:w="17"/>
        <w:gridCol w:w="236"/>
        <w:gridCol w:w="872"/>
        <w:gridCol w:w="56"/>
        <w:gridCol w:w="422"/>
        <w:gridCol w:w="478"/>
        <w:gridCol w:w="28"/>
        <w:gridCol w:w="450"/>
        <w:gridCol w:w="478"/>
      </w:tblGrid>
      <w:tr w:rsidR="00F87646" w:rsidRPr="009C50F8" w:rsidTr="005820F0">
        <w:trPr>
          <w:tblHeader/>
        </w:trPr>
        <w:tc>
          <w:tcPr>
            <w:tcW w:w="4064" w:type="dxa"/>
            <w:tcBorders>
              <w:top w:val="single" w:sz="6" w:space="0" w:color="auto"/>
              <w:left w:val="single" w:sz="6" w:space="0" w:color="auto"/>
              <w:bottom w:val="single" w:sz="6" w:space="0" w:color="auto"/>
              <w:right w:val="nil"/>
            </w:tcBorders>
            <w:shd w:val="clear" w:color="auto" w:fill="000000"/>
          </w:tcPr>
          <w:p w:rsidR="00F87646" w:rsidRPr="009C50F8" w:rsidRDefault="00F87646" w:rsidP="005820F0">
            <w:pPr>
              <w:pStyle w:val="Tabletext"/>
              <w:rPr>
                <w:rFonts w:eastAsiaTheme="minorEastAsia"/>
                <w:lang w:eastAsia="en-AU"/>
              </w:rPr>
            </w:pPr>
            <w:r w:rsidRPr="009C50F8">
              <w:rPr>
                <w:rFonts w:eastAsiaTheme="minorEastAsia"/>
                <w:lang w:eastAsia="en-AU"/>
              </w:rPr>
              <w:t xml:space="preserve"> </w:t>
            </w:r>
          </w:p>
        </w:tc>
        <w:tc>
          <w:tcPr>
            <w:tcW w:w="928" w:type="dxa"/>
            <w:gridSpan w:val="6"/>
            <w:tcBorders>
              <w:top w:val="single" w:sz="6" w:space="0" w:color="auto"/>
              <w:left w:val="nil"/>
              <w:bottom w:val="single" w:sz="6" w:space="0" w:color="auto"/>
              <w:right w:val="nil"/>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2014</w:t>
            </w:r>
            <w:r>
              <w:rPr>
                <w:rFonts w:eastAsiaTheme="minorEastAsia"/>
                <w:lang w:eastAsia="en-AU"/>
              </w:rPr>
              <w:noBreakHyphen/>
            </w:r>
            <w:r w:rsidRPr="009C50F8">
              <w:rPr>
                <w:rFonts w:eastAsiaTheme="minorEastAsia"/>
                <w:lang w:eastAsia="en-AU"/>
              </w:rPr>
              <w:t>15</w:t>
            </w:r>
          </w:p>
        </w:tc>
        <w:tc>
          <w:tcPr>
            <w:tcW w:w="928" w:type="dxa"/>
            <w:gridSpan w:val="2"/>
            <w:tcBorders>
              <w:top w:val="single" w:sz="6" w:space="0" w:color="auto"/>
              <w:left w:val="nil"/>
              <w:bottom w:val="single" w:sz="6" w:space="0" w:color="auto"/>
              <w:right w:val="nil"/>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2015</w:t>
            </w:r>
            <w:r>
              <w:rPr>
                <w:rFonts w:eastAsiaTheme="minorEastAsia"/>
                <w:lang w:eastAsia="en-AU"/>
              </w:rPr>
              <w:noBreakHyphen/>
            </w:r>
            <w:r w:rsidRPr="009C50F8">
              <w:rPr>
                <w:rFonts w:eastAsiaTheme="minorEastAsia"/>
                <w:lang w:eastAsia="en-AU"/>
              </w:rPr>
              <w:t>16</w:t>
            </w:r>
          </w:p>
        </w:tc>
        <w:tc>
          <w:tcPr>
            <w:tcW w:w="928" w:type="dxa"/>
            <w:gridSpan w:val="3"/>
            <w:tcBorders>
              <w:top w:val="single" w:sz="6" w:space="0" w:color="auto"/>
              <w:left w:val="nil"/>
              <w:bottom w:val="single" w:sz="6" w:space="0" w:color="auto"/>
              <w:right w:val="nil"/>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2016</w:t>
            </w:r>
            <w:r>
              <w:rPr>
                <w:rFonts w:eastAsiaTheme="minorEastAsia"/>
                <w:lang w:eastAsia="en-AU"/>
              </w:rPr>
              <w:noBreakHyphen/>
            </w:r>
            <w:r w:rsidRPr="009C50F8">
              <w:rPr>
                <w:rFonts w:eastAsiaTheme="minorEastAsia"/>
                <w:lang w:eastAsia="en-AU"/>
              </w:rPr>
              <w:t>17</w:t>
            </w:r>
          </w:p>
        </w:tc>
        <w:tc>
          <w:tcPr>
            <w:tcW w:w="928" w:type="dxa"/>
            <w:gridSpan w:val="2"/>
            <w:tcBorders>
              <w:top w:val="single" w:sz="6" w:space="0" w:color="auto"/>
              <w:left w:val="nil"/>
              <w:bottom w:val="single" w:sz="6" w:space="0" w:color="auto"/>
              <w:right w:val="single" w:sz="6" w:space="0" w:color="auto"/>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2017</w:t>
            </w:r>
            <w:r>
              <w:rPr>
                <w:rFonts w:eastAsiaTheme="minorEastAsia"/>
                <w:lang w:eastAsia="en-AU"/>
              </w:rPr>
              <w:noBreakHyphen/>
            </w:r>
            <w:r w:rsidRPr="009C50F8">
              <w:rPr>
                <w:rFonts w:eastAsiaTheme="minorEastAsia"/>
                <w:lang w:eastAsia="en-AU"/>
              </w:rPr>
              <w:t>18</w:t>
            </w:r>
          </w:p>
        </w:tc>
      </w:tr>
      <w:tr w:rsidR="00F87646" w:rsidRPr="009C50F8" w:rsidTr="009C50F8">
        <w:tc>
          <w:tcPr>
            <w:tcW w:w="4739" w:type="dxa"/>
            <w:gridSpan w:val="5"/>
            <w:tcBorders>
              <w:top w:val="nil"/>
              <w:left w:val="nil"/>
              <w:bottom w:val="nil"/>
              <w:right w:val="nil"/>
            </w:tcBorders>
          </w:tcPr>
          <w:p w:rsidR="00F87646" w:rsidRPr="009C50F8" w:rsidRDefault="00F87646" w:rsidP="0061183A">
            <w:pPr>
              <w:pStyle w:val="Tabletext"/>
              <w:ind w:left="187" w:hanging="187"/>
              <w:rPr>
                <w:rFonts w:eastAsiaTheme="minorEastAsia"/>
                <w:b/>
                <w:bCs/>
                <w:i/>
                <w:iCs/>
                <w:color w:val="000000"/>
                <w:lang w:eastAsia="en-AU"/>
              </w:rPr>
            </w:pPr>
            <w:r w:rsidRPr="009C50F8">
              <w:rPr>
                <w:rFonts w:eastAsiaTheme="minorEastAsia"/>
                <w:b/>
                <w:bCs/>
                <w:i/>
                <w:iCs/>
                <w:color w:val="000000"/>
                <w:lang w:eastAsia="en-AU"/>
              </w:rPr>
              <w:t>Government response to the Betrayal of Trust report</w:t>
            </w:r>
          </w:p>
        </w:tc>
        <w:tc>
          <w:tcPr>
            <w:tcW w:w="253"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Human Services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New child safety standards and reportable conduct scheme</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1.4</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3.1</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1.6</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Justice</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Expansion of Working with Children Checks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r>
      <w:tr w:rsidR="00F87646" w:rsidRPr="009C50F8" w:rsidTr="009C50F8">
        <w:tc>
          <w:tcPr>
            <w:tcW w:w="4064" w:type="dxa"/>
            <w:tcBorders>
              <w:top w:val="single" w:sz="6" w:space="0" w:color="auto"/>
              <w:left w:val="nil"/>
              <w:bottom w:val="single" w:sz="6" w:space="0" w:color="auto"/>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Total output initiatives – Government response to the Betrayal of Trust report</w:t>
            </w:r>
          </w:p>
        </w:tc>
        <w:tc>
          <w:tcPr>
            <w:tcW w:w="928" w:type="dxa"/>
            <w:gridSpan w:val="6"/>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1.5</w:t>
            </w:r>
          </w:p>
        </w:tc>
        <w:tc>
          <w:tcPr>
            <w:tcW w:w="928" w:type="dxa"/>
            <w:gridSpan w:val="2"/>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3.2</w:t>
            </w:r>
          </w:p>
        </w:tc>
        <w:tc>
          <w:tcPr>
            <w:tcW w:w="928" w:type="dxa"/>
            <w:gridSpan w:val="3"/>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3.4</w:t>
            </w:r>
          </w:p>
        </w:tc>
        <w:tc>
          <w:tcPr>
            <w:tcW w:w="928" w:type="dxa"/>
            <w:gridSpan w:val="2"/>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1.9</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i/>
                <w:iCs/>
                <w:color w:val="000000"/>
                <w:lang w:eastAsia="en-AU"/>
              </w:rPr>
            </w:pPr>
            <w:r w:rsidRPr="009C50F8">
              <w:rPr>
                <w:rFonts w:eastAsiaTheme="minorEastAsia"/>
                <w:b/>
                <w:bCs/>
                <w:i/>
                <w:iCs/>
                <w:color w:val="000000"/>
                <w:lang w:eastAsia="en-AU"/>
              </w:rPr>
              <w:t>Government strategy to address ice use</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Health</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Additional resources for mental health services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Community education forums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Expansion of the Good Sports program</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Prevent Alcohol and Risk</w:t>
            </w:r>
            <w:r>
              <w:rPr>
                <w:rFonts w:eastAsiaTheme="minorEastAsia"/>
                <w:color w:val="000000"/>
                <w:lang w:eastAsia="en-AU"/>
              </w:rPr>
              <w:noBreakHyphen/>
            </w:r>
            <w:r w:rsidRPr="009C50F8">
              <w:rPr>
                <w:rFonts w:eastAsiaTheme="minorEastAsia"/>
                <w:color w:val="000000"/>
                <w:lang w:eastAsia="en-AU"/>
              </w:rPr>
              <w:t>related Trauma in Youth (PARTY) program</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0.4</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Justice</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Drug screening of arrested offenders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Ice crime prevention grants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0.7</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0.4</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Mandatory drug screening for offenders on Community Correction Orders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0.1</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0.2</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0.3</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Passive Alert Detection dogs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1.4</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2.1</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2.2</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2.3</w:t>
            </w:r>
          </w:p>
        </w:tc>
      </w:tr>
      <w:tr w:rsidR="00F87646" w:rsidRPr="009C50F8" w:rsidTr="009C50F8">
        <w:tc>
          <w:tcPr>
            <w:tcW w:w="4064" w:type="dxa"/>
            <w:tcBorders>
              <w:top w:val="single" w:sz="6" w:space="0" w:color="auto"/>
              <w:left w:val="nil"/>
              <w:bottom w:val="single" w:sz="6" w:space="0" w:color="auto"/>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Total output initiatives – Government strategy to address ice use</w:t>
            </w:r>
          </w:p>
        </w:tc>
        <w:tc>
          <w:tcPr>
            <w:tcW w:w="928" w:type="dxa"/>
            <w:gridSpan w:val="6"/>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5.1</w:t>
            </w:r>
          </w:p>
        </w:tc>
        <w:tc>
          <w:tcPr>
            <w:tcW w:w="928" w:type="dxa"/>
            <w:gridSpan w:val="2"/>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5.5</w:t>
            </w:r>
          </w:p>
        </w:tc>
        <w:tc>
          <w:tcPr>
            <w:tcW w:w="928" w:type="dxa"/>
            <w:gridSpan w:val="3"/>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5.4</w:t>
            </w:r>
          </w:p>
        </w:tc>
        <w:tc>
          <w:tcPr>
            <w:tcW w:w="928" w:type="dxa"/>
            <w:gridSpan w:val="2"/>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4.3</w:t>
            </w:r>
          </w:p>
        </w:tc>
      </w:tr>
      <w:tr w:rsidR="00F87646" w:rsidRPr="009C50F8" w:rsidTr="009C50F8">
        <w:tc>
          <w:tcPr>
            <w:tcW w:w="4667" w:type="dxa"/>
            <w:gridSpan w:val="4"/>
            <w:tcBorders>
              <w:top w:val="nil"/>
              <w:left w:val="nil"/>
              <w:bottom w:val="nil"/>
              <w:right w:val="nil"/>
            </w:tcBorders>
          </w:tcPr>
          <w:p w:rsidR="00F87646" w:rsidRPr="009C50F8" w:rsidRDefault="00F87646" w:rsidP="009C50F8">
            <w:pPr>
              <w:pStyle w:val="Tabletext"/>
              <w:rPr>
                <w:rFonts w:eastAsiaTheme="minorEastAsia"/>
                <w:b/>
                <w:bCs/>
                <w:i/>
                <w:iCs/>
                <w:color w:val="000000"/>
                <w:lang w:eastAsia="en-AU"/>
              </w:rPr>
            </w:pPr>
            <w:r w:rsidRPr="009C50F8">
              <w:rPr>
                <w:rFonts w:eastAsiaTheme="minorEastAsia"/>
                <w:b/>
                <w:bCs/>
                <w:i/>
                <w:iCs/>
                <w:color w:val="000000"/>
                <w:lang w:eastAsia="en-AU"/>
              </w:rPr>
              <w:t>Jobs in the 21st Century – International Engagement</w:t>
            </w:r>
          </w:p>
        </w:tc>
        <w:tc>
          <w:tcPr>
            <w:tcW w:w="325"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Premier and Cabinet</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International and domestic engagement</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1.2</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0.6</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State Development, Business and Innovation</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Victorian Government Business Offices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0.4</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1.1</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r>
      <w:tr w:rsidR="00F87646" w:rsidRPr="009C50F8" w:rsidTr="002F2615">
        <w:tc>
          <w:tcPr>
            <w:tcW w:w="5864" w:type="dxa"/>
            <w:gridSpan w:val="8"/>
            <w:tcBorders>
              <w:top w:val="nil"/>
              <w:left w:val="nil"/>
              <w:bottom w:val="nil"/>
              <w:right w:val="nil"/>
            </w:tcBorders>
          </w:tcPr>
          <w:p w:rsidR="00F87646" w:rsidRPr="009C50F8" w:rsidRDefault="00F87646" w:rsidP="009C50F8">
            <w:pPr>
              <w:pStyle w:val="Tabletext"/>
              <w:rPr>
                <w:rFonts w:eastAsiaTheme="minorEastAsia" w:cs="Calibri"/>
                <w:b/>
                <w:bCs/>
                <w:color w:val="000000"/>
                <w:lang w:eastAsia="en-AU"/>
              </w:rPr>
            </w:pPr>
            <w:r w:rsidRPr="009C50F8">
              <w:rPr>
                <w:rFonts w:eastAsiaTheme="minorEastAsia"/>
                <w:b/>
                <w:bCs/>
                <w:color w:val="000000"/>
                <w:lang w:eastAsia="en-AU"/>
              </w:rPr>
              <w:t>State Development, Business and Innovation/</w:t>
            </w:r>
            <w:r w:rsidRPr="009C50F8">
              <w:rPr>
                <w:rFonts w:eastAsiaTheme="minorEastAsia" w:cs="Calibri"/>
                <w:b/>
                <w:bCs/>
                <w:color w:val="000000"/>
                <w:lang w:eastAsia="en-AU"/>
              </w:rPr>
              <w:t>Premier and Cabinet</w:t>
            </w:r>
          </w:p>
        </w:tc>
        <w:tc>
          <w:tcPr>
            <w:tcW w:w="47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47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47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47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s="Calibri"/>
                <w:color w:val="000000"/>
                <w:lang w:eastAsia="en-AU"/>
              </w:rPr>
            </w:pPr>
            <w:r w:rsidRPr="009C50F8">
              <w:rPr>
                <w:rFonts w:eastAsiaTheme="minorEastAsia"/>
                <w:color w:val="000000"/>
                <w:lang w:eastAsia="en-AU"/>
              </w:rPr>
              <w:t xml:space="preserve">Inbound and outbound trade </w:t>
            </w:r>
            <w:r w:rsidRPr="009C50F8">
              <w:rPr>
                <w:rFonts w:eastAsiaTheme="minorEastAsia" w:cs="Calibri"/>
                <w:color w:val="000000"/>
                <w:lang w:eastAsia="en-AU"/>
              </w:rPr>
              <w:t>mission program</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r>
      <w:tr w:rsidR="00F87646" w:rsidRPr="009C50F8" w:rsidTr="009C50F8">
        <w:tc>
          <w:tcPr>
            <w:tcW w:w="4756" w:type="dxa"/>
            <w:gridSpan w:val="6"/>
            <w:tcBorders>
              <w:top w:val="nil"/>
              <w:left w:val="nil"/>
              <w:bottom w:val="nil"/>
              <w:right w:val="nil"/>
            </w:tcBorders>
          </w:tcPr>
          <w:p w:rsidR="00F87646" w:rsidRPr="009C50F8" w:rsidRDefault="00F87646" w:rsidP="009C50F8">
            <w:pPr>
              <w:pStyle w:val="Tabletext"/>
              <w:rPr>
                <w:rFonts w:eastAsiaTheme="minorEastAsia"/>
                <w:b/>
                <w:bCs/>
                <w:i/>
                <w:iCs/>
                <w:color w:val="000000"/>
                <w:lang w:eastAsia="en-AU"/>
              </w:rPr>
            </w:pPr>
            <w:r w:rsidRPr="009C50F8">
              <w:rPr>
                <w:rFonts w:eastAsiaTheme="minorEastAsia"/>
                <w:b/>
                <w:bCs/>
                <w:i/>
                <w:iCs/>
                <w:color w:val="000000"/>
                <w:lang w:eastAsia="en-AU"/>
              </w:rPr>
              <w:t>Jobs in the 21st Century – Manufacturing Statement</w:t>
            </w:r>
          </w:p>
        </w:tc>
        <w:tc>
          <w:tcPr>
            <w:tcW w:w="236"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State Development, Business and Innovation</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Automotive supply chain support program</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2.0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Manufacturing, Innovation and Technology Fund</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5.0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5.0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10.0</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Victorian Industry Participation Officers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i/>
                <w:iCs/>
                <w:color w:val="000000"/>
                <w:lang w:eastAsia="en-AU"/>
              </w:rPr>
            </w:pPr>
            <w:r w:rsidRPr="009C50F8">
              <w:rPr>
                <w:rFonts w:eastAsiaTheme="minorEastAsia"/>
                <w:b/>
                <w:bCs/>
                <w:i/>
                <w:iCs/>
                <w:color w:val="000000"/>
                <w:lang w:eastAsia="en-AU"/>
              </w:rPr>
              <w:t>Jobs in the 21st Century – Skills</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Education and Early Childhood Development</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Better Pathways for Young People: Your Future Your Choice</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1.5</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3.0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1.5</w:t>
            </w:r>
          </w:p>
        </w:tc>
      </w:tr>
      <w:tr w:rsidR="00F87646" w:rsidRPr="009C50F8" w:rsidTr="009C50F8">
        <w:tc>
          <w:tcPr>
            <w:tcW w:w="4226" w:type="dxa"/>
            <w:gridSpan w:val="2"/>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More Decisions Support: Your Future Your Choice</w:t>
            </w:r>
          </w:p>
        </w:tc>
        <w:tc>
          <w:tcPr>
            <w:tcW w:w="766" w:type="dxa"/>
            <w:gridSpan w:val="5"/>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Skills of the Future Fund</w:t>
            </w:r>
          </w:p>
        </w:tc>
        <w:tc>
          <w:tcPr>
            <w:tcW w:w="928" w:type="dxa"/>
            <w:gridSpan w:val="6"/>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7.5</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gridSpan w:val="3"/>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gridSpan w:val="2"/>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271" w:type="dxa"/>
            <w:gridSpan w:val="3"/>
            <w:tcBorders>
              <w:top w:val="single" w:sz="6" w:space="0" w:color="auto"/>
              <w:left w:val="nil"/>
              <w:bottom w:val="single" w:sz="6" w:space="0" w:color="auto"/>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Total output initiatives – Jobs in the 21st Century</w:t>
            </w:r>
          </w:p>
        </w:tc>
        <w:tc>
          <w:tcPr>
            <w:tcW w:w="721" w:type="dxa"/>
            <w:gridSpan w:val="4"/>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22.1</w:t>
            </w:r>
          </w:p>
        </w:tc>
        <w:tc>
          <w:tcPr>
            <w:tcW w:w="928" w:type="dxa"/>
            <w:gridSpan w:val="2"/>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16.7</w:t>
            </w:r>
          </w:p>
        </w:tc>
        <w:tc>
          <w:tcPr>
            <w:tcW w:w="928" w:type="dxa"/>
            <w:gridSpan w:val="3"/>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19.1</w:t>
            </w:r>
          </w:p>
        </w:tc>
        <w:tc>
          <w:tcPr>
            <w:tcW w:w="928" w:type="dxa"/>
            <w:gridSpan w:val="2"/>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17.1</w:t>
            </w:r>
          </w:p>
        </w:tc>
      </w:tr>
    </w:tbl>
    <w:p w:rsidR="00F87646" w:rsidRDefault="00F87646">
      <w:r>
        <w:br w:type="page"/>
      </w:r>
    </w:p>
    <w:p w:rsidR="00F87646" w:rsidRPr="00BC0C9E" w:rsidRDefault="00F87646" w:rsidP="0061183A">
      <w:pPr>
        <w:pStyle w:val="Tableheading"/>
      </w:pPr>
      <w:r w:rsidRPr="00BC0C9E">
        <w:lastRenderedPageBreak/>
        <w:t>Table A.2:</w:t>
      </w:r>
      <w:r w:rsidRPr="00BC0C9E">
        <w:tab/>
        <w:t>Output initiatives – government</w:t>
      </w:r>
      <w:r>
        <w:noBreakHyphen/>
      </w:r>
      <w:r w:rsidRPr="00BC0C9E">
        <w:t>wide</w:t>
      </w:r>
      <w:r>
        <w:t xml:space="preserve"> </w:t>
      </w:r>
      <w:r w:rsidRPr="0061183A">
        <w:rPr>
          <w:i/>
        </w:rPr>
        <w:t>(continued)</w:t>
      </w:r>
    </w:p>
    <w:p w:rsidR="00F87646" w:rsidRDefault="00F87646" w:rsidP="0061183A">
      <w:pPr>
        <w:pStyle w:val="million"/>
      </w:pPr>
      <w:r w:rsidRPr="00BC0C9E">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928"/>
        <w:gridCol w:w="928"/>
        <w:gridCol w:w="928"/>
        <w:gridCol w:w="928"/>
      </w:tblGrid>
      <w:tr w:rsidR="00F87646" w:rsidRPr="009C50F8" w:rsidTr="005820F0">
        <w:trPr>
          <w:tblHeader/>
        </w:trPr>
        <w:tc>
          <w:tcPr>
            <w:tcW w:w="4064" w:type="dxa"/>
            <w:tcBorders>
              <w:top w:val="single" w:sz="6" w:space="0" w:color="auto"/>
              <w:left w:val="single" w:sz="6" w:space="0" w:color="auto"/>
              <w:bottom w:val="single" w:sz="6" w:space="0" w:color="auto"/>
              <w:right w:val="nil"/>
            </w:tcBorders>
            <w:shd w:val="clear" w:color="auto" w:fill="000000"/>
          </w:tcPr>
          <w:p w:rsidR="00F87646" w:rsidRPr="009C50F8" w:rsidRDefault="00F87646" w:rsidP="005820F0">
            <w:pPr>
              <w:pStyle w:val="Tabletext"/>
              <w:rPr>
                <w:rFonts w:eastAsiaTheme="minorEastAsia"/>
                <w:lang w:eastAsia="en-AU"/>
              </w:rPr>
            </w:pPr>
            <w:r w:rsidRPr="009C50F8">
              <w:rPr>
                <w:rFonts w:eastAsiaTheme="minorEastAsia"/>
                <w:lang w:eastAsia="en-AU"/>
              </w:rPr>
              <w:t xml:space="preserve"> </w:t>
            </w:r>
          </w:p>
        </w:tc>
        <w:tc>
          <w:tcPr>
            <w:tcW w:w="928" w:type="dxa"/>
            <w:tcBorders>
              <w:top w:val="single" w:sz="6" w:space="0" w:color="auto"/>
              <w:left w:val="nil"/>
              <w:bottom w:val="single" w:sz="6" w:space="0" w:color="auto"/>
              <w:right w:val="nil"/>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2014</w:t>
            </w:r>
            <w:r>
              <w:rPr>
                <w:rFonts w:eastAsiaTheme="minorEastAsia"/>
                <w:lang w:eastAsia="en-AU"/>
              </w:rPr>
              <w:noBreakHyphen/>
            </w:r>
            <w:r w:rsidRPr="009C50F8">
              <w:rPr>
                <w:rFonts w:eastAsiaTheme="minorEastAsia"/>
                <w:lang w:eastAsia="en-AU"/>
              </w:rPr>
              <w:t>15</w:t>
            </w:r>
          </w:p>
        </w:tc>
        <w:tc>
          <w:tcPr>
            <w:tcW w:w="928" w:type="dxa"/>
            <w:tcBorders>
              <w:top w:val="single" w:sz="6" w:space="0" w:color="auto"/>
              <w:left w:val="nil"/>
              <w:bottom w:val="single" w:sz="6" w:space="0" w:color="auto"/>
              <w:right w:val="nil"/>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2015</w:t>
            </w:r>
            <w:r>
              <w:rPr>
                <w:rFonts w:eastAsiaTheme="minorEastAsia"/>
                <w:lang w:eastAsia="en-AU"/>
              </w:rPr>
              <w:noBreakHyphen/>
            </w:r>
            <w:r w:rsidRPr="009C50F8">
              <w:rPr>
                <w:rFonts w:eastAsiaTheme="minorEastAsia"/>
                <w:lang w:eastAsia="en-AU"/>
              </w:rPr>
              <w:t>16</w:t>
            </w:r>
          </w:p>
        </w:tc>
        <w:tc>
          <w:tcPr>
            <w:tcW w:w="928" w:type="dxa"/>
            <w:tcBorders>
              <w:top w:val="single" w:sz="6" w:space="0" w:color="auto"/>
              <w:left w:val="nil"/>
              <w:bottom w:val="single" w:sz="6" w:space="0" w:color="auto"/>
              <w:right w:val="nil"/>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2016</w:t>
            </w:r>
            <w:r>
              <w:rPr>
                <w:rFonts w:eastAsiaTheme="minorEastAsia"/>
                <w:lang w:eastAsia="en-AU"/>
              </w:rPr>
              <w:noBreakHyphen/>
            </w:r>
            <w:r w:rsidRPr="009C50F8">
              <w:rPr>
                <w:rFonts w:eastAsiaTheme="minorEastAsia"/>
                <w:lang w:eastAsia="en-AU"/>
              </w:rPr>
              <w:t>17</w:t>
            </w:r>
          </w:p>
        </w:tc>
        <w:tc>
          <w:tcPr>
            <w:tcW w:w="928" w:type="dxa"/>
            <w:tcBorders>
              <w:top w:val="single" w:sz="6" w:space="0" w:color="auto"/>
              <w:left w:val="nil"/>
              <w:bottom w:val="single" w:sz="6" w:space="0" w:color="auto"/>
              <w:right w:val="single" w:sz="6" w:space="0" w:color="auto"/>
            </w:tcBorders>
            <w:shd w:val="clear" w:color="auto" w:fill="000000"/>
          </w:tcPr>
          <w:p w:rsidR="00F87646" w:rsidRPr="009C50F8" w:rsidRDefault="00F87646" w:rsidP="005820F0">
            <w:pPr>
              <w:pStyle w:val="Tabletextheading"/>
              <w:rPr>
                <w:rFonts w:eastAsiaTheme="minorEastAsia"/>
                <w:lang w:eastAsia="en-AU"/>
              </w:rPr>
            </w:pPr>
            <w:r w:rsidRPr="009C50F8">
              <w:rPr>
                <w:rFonts w:eastAsiaTheme="minorEastAsia"/>
                <w:lang w:eastAsia="en-AU"/>
              </w:rPr>
              <w:t>2017</w:t>
            </w:r>
            <w:r>
              <w:rPr>
                <w:rFonts w:eastAsiaTheme="minorEastAsia"/>
                <w:lang w:eastAsia="en-AU"/>
              </w:rPr>
              <w:noBreakHyphen/>
            </w:r>
            <w:r w:rsidRPr="009C50F8">
              <w:rPr>
                <w:rFonts w:eastAsiaTheme="minorEastAsia"/>
                <w:lang w:eastAsia="en-AU"/>
              </w:rPr>
              <w:t>18</w:t>
            </w:r>
          </w:p>
        </w:tc>
      </w:tr>
      <w:tr w:rsidR="00F87646" w:rsidRPr="009C50F8" w:rsidTr="009C50F8">
        <w:tc>
          <w:tcPr>
            <w:tcW w:w="4064" w:type="dxa"/>
            <w:tcBorders>
              <w:top w:val="nil"/>
              <w:left w:val="nil"/>
              <w:bottom w:val="nil"/>
              <w:right w:val="nil"/>
            </w:tcBorders>
          </w:tcPr>
          <w:p w:rsidR="00F87646" w:rsidRPr="009C50F8" w:rsidRDefault="00F87646" w:rsidP="0061183A">
            <w:pPr>
              <w:pStyle w:val="Tabletext"/>
              <w:ind w:left="187" w:hanging="187"/>
              <w:rPr>
                <w:rFonts w:eastAsiaTheme="minorEastAsia"/>
                <w:b/>
                <w:bCs/>
                <w:i/>
                <w:iCs/>
                <w:color w:val="000000"/>
                <w:lang w:eastAsia="en-AU"/>
              </w:rPr>
            </w:pPr>
            <w:r w:rsidRPr="009C50F8">
              <w:rPr>
                <w:rFonts w:eastAsiaTheme="minorEastAsia"/>
                <w:b/>
                <w:bCs/>
                <w:i/>
                <w:iCs/>
                <w:color w:val="000000"/>
                <w:lang w:eastAsia="en-AU"/>
              </w:rPr>
              <w:t>Strengthening Victoria's Social Cohesion</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Justice</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Countering violent extremism</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0.5</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Premier and Cabinet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w:t>
            </w:r>
          </w:p>
        </w:tc>
      </w:tr>
      <w:tr w:rsidR="00F87646" w:rsidRPr="009C50F8" w:rsidTr="009C50F8">
        <w:tc>
          <w:tcPr>
            <w:tcW w:w="4064" w:type="dxa"/>
            <w:tcBorders>
              <w:top w:val="nil"/>
              <w:left w:val="nil"/>
              <w:bottom w:val="nil"/>
              <w:right w:val="nil"/>
            </w:tcBorders>
          </w:tcPr>
          <w:p w:rsidR="00F87646" w:rsidRPr="009C50F8" w:rsidRDefault="00F87646" w:rsidP="009C50F8">
            <w:pPr>
              <w:pStyle w:val="Tabletext"/>
              <w:rPr>
                <w:rFonts w:eastAsiaTheme="minorEastAsia"/>
                <w:color w:val="000000"/>
                <w:lang w:eastAsia="en-AU"/>
              </w:rPr>
            </w:pPr>
            <w:r w:rsidRPr="009C50F8">
              <w:rPr>
                <w:rFonts w:eastAsiaTheme="minorEastAsia"/>
                <w:color w:val="000000"/>
                <w:lang w:eastAsia="en-AU"/>
              </w:rPr>
              <w:t>Social cohesion initiatives</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 xml:space="preserve"> 1.0</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c>
          <w:tcPr>
            <w:tcW w:w="928" w:type="dxa"/>
            <w:tcBorders>
              <w:top w:val="nil"/>
              <w:left w:val="nil"/>
              <w:bottom w:val="nil"/>
              <w:right w:val="nil"/>
            </w:tcBorders>
          </w:tcPr>
          <w:p w:rsidR="00F87646" w:rsidRPr="009C50F8" w:rsidRDefault="00F87646" w:rsidP="009C50F8">
            <w:pPr>
              <w:pStyle w:val="TableofFigures"/>
              <w:rPr>
                <w:rFonts w:eastAsiaTheme="minorEastAsia"/>
                <w:color w:val="000000"/>
                <w:lang w:eastAsia="en-AU"/>
              </w:rPr>
            </w:pPr>
            <w:r w:rsidRPr="009C50F8">
              <w:rPr>
                <w:rFonts w:eastAsiaTheme="minorEastAsia"/>
                <w:color w:val="000000"/>
                <w:lang w:eastAsia="en-AU"/>
              </w:rPr>
              <w:t>..</w:t>
            </w:r>
          </w:p>
        </w:tc>
      </w:tr>
      <w:tr w:rsidR="00F87646" w:rsidRPr="009C50F8" w:rsidTr="009C50F8">
        <w:tc>
          <w:tcPr>
            <w:tcW w:w="4064" w:type="dxa"/>
            <w:tcBorders>
              <w:top w:val="single" w:sz="6" w:space="0" w:color="auto"/>
              <w:left w:val="nil"/>
              <w:bottom w:val="single" w:sz="6" w:space="0" w:color="auto"/>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Total output initiatives – Strengthening Victoria's Social Cohesion</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1.5</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w:t>
            </w:r>
          </w:p>
        </w:tc>
        <w:tc>
          <w:tcPr>
            <w:tcW w:w="928" w:type="dxa"/>
            <w:tcBorders>
              <w:top w:val="single" w:sz="6" w:space="0" w:color="auto"/>
              <w:left w:val="nil"/>
              <w:bottom w:val="single" w:sz="6"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w:t>
            </w:r>
          </w:p>
        </w:tc>
      </w:tr>
      <w:tr w:rsidR="00F87646" w:rsidRPr="009C50F8" w:rsidTr="009C50F8">
        <w:tc>
          <w:tcPr>
            <w:tcW w:w="4064" w:type="dxa"/>
            <w:tcBorders>
              <w:top w:val="nil"/>
              <w:left w:val="nil"/>
              <w:bottom w:val="single" w:sz="12" w:space="0" w:color="auto"/>
              <w:right w:val="nil"/>
            </w:tcBorders>
          </w:tcPr>
          <w:p w:rsidR="00F87646" w:rsidRPr="009C50F8" w:rsidRDefault="00F87646" w:rsidP="009C50F8">
            <w:pPr>
              <w:pStyle w:val="Tabletext"/>
              <w:rPr>
                <w:rFonts w:eastAsiaTheme="minorEastAsia"/>
                <w:b/>
                <w:bCs/>
                <w:color w:val="000000"/>
                <w:lang w:eastAsia="en-AU"/>
              </w:rPr>
            </w:pPr>
            <w:r w:rsidRPr="009C50F8">
              <w:rPr>
                <w:rFonts w:eastAsiaTheme="minorEastAsia"/>
                <w:b/>
                <w:bCs/>
                <w:color w:val="000000"/>
                <w:lang w:eastAsia="en-AU"/>
              </w:rPr>
              <w:t>Total output initiatives</w:t>
            </w:r>
          </w:p>
        </w:tc>
        <w:tc>
          <w:tcPr>
            <w:tcW w:w="928" w:type="dxa"/>
            <w:tcBorders>
              <w:top w:val="single" w:sz="6" w:space="0" w:color="auto"/>
              <w:left w:val="nil"/>
              <w:bottom w:val="single" w:sz="12"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41.7</w:t>
            </w:r>
          </w:p>
        </w:tc>
        <w:tc>
          <w:tcPr>
            <w:tcW w:w="928" w:type="dxa"/>
            <w:tcBorders>
              <w:top w:val="single" w:sz="6" w:space="0" w:color="auto"/>
              <w:left w:val="nil"/>
              <w:bottom w:val="single" w:sz="12"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60.8</w:t>
            </w:r>
          </w:p>
        </w:tc>
        <w:tc>
          <w:tcPr>
            <w:tcW w:w="928" w:type="dxa"/>
            <w:tcBorders>
              <w:top w:val="single" w:sz="6" w:space="0" w:color="auto"/>
              <w:left w:val="nil"/>
              <w:bottom w:val="single" w:sz="12"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60.1</w:t>
            </w:r>
          </w:p>
        </w:tc>
        <w:tc>
          <w:tcPr>
            <w:tcW w:w="928" w:type="dxa"/>
            <w:tcBorders>
              <w:top w:val="single" w:sz="6" w:space="0" w:color="auto"/>
              <w:left w:val="nil"/>
              <w:bottom w:val="single" w:sz="12" w:space="0" w:color="auto"/>
              <w:right w:val="nil"/>
            </w:tcBorders>
          </w:tcPr>
          <w:p w:rsidR="00F87646" w:rsidRPr="009C50F8" w:rsidRDefault="00F87646" w:rsidP="009C50F8">
            <w:pPr>
              <w:pStyle w:val="TableofFigures"/>
              <w:rPr>
                <w:rFonts w:eastAsiaTheme="minorEastAsia"/>
                <w:b/>
                <w:bCs/>
                <w:color w:val="000000"/>
                <w:lang w:eastAsia="en-AU"/>
              </w:rPr>
            </w:pPr>
            <w:r w:rsidRPr="009C50F8">
              <w:rPr>
                <w:rFonts w:eastAsiaTheme="minorEastAsia"/>
                <w:b/>
                <w:bCs/>
                <w:color w:val="000000"/>
                <w:lang w:eastAsia="en-AU"/>
              </w:rPr>
              <w:t xml:space="preserve"> 54.2</w:t>
            </w:r>
          </w:p>
        </w:tc>
      </w:tr>
    </w:tbl>
    <w:p w:rsidR="00F87646" w:rsidRPr="00BC0C9E" w:rsidRDefault="00F87646" w:rsidP="00CD5DBA">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Pr="00BC0C9E" w:rsidRDefault="00F87646" w:rsidP="00882D47">
      <w:pPr>
        <w:pStyle w:val="Heading3"/>
      </w:pPr>
      <w:r w:rsidRPr="00BC0C9E">
        <w:t>Ending violence against women and children</w:t>
      </w:r>
    </w:p>
    <w:p w:rsidR="00F87646" w:rsidRPr="00BC0C9E" w:rsidRDefault="00F87646" w:rsidP="00882D47">
      <w:pPr>
        <w:pStyle w:val="Heading4"/>
      </w:pPr>
      <w:r w:rsidRPr="00BC0C9E">
        <w:t>Education and Early Childhood Development</w:t>
      </w:r>
    </w:p>
    <w:p w:rsidR="00F87646" w:rsidRPr="00BC0C9E" w:rsidRDefault="00F87646" w:rsidP="00882D47">
      <w:pPr>
        <w:pStyle w:val="Heading5"/>
      </w:pPr>
      <w:r w:rsidRPr="00BC0C9E">
        <w:t>Education pilot for children impacted by family violence</w:t>
      </w:r>
    </w:p>
    <w:p w:rsidR="00F87646" w:rsidRPr="00BC0C9E" w:rsidRDefault="00F87646" w:rsidP="00882D47">
      <w:pPr>
        <w:rPr>
          <w:lang w:eastAsia="en-AU"/>
        </w:rPr>
      </w:pPr>
      <w:r w:rsidRPr="00BC0C9E">
        <w:rPr>
          <w:lang w:eastAsia="en-AU"/>
        </w:rPr>
        <w:t>A new approach to meeting the educational needs of children impacted by family violence will be piloted and evaluated. Outreach teachers will work with children who are displaced from their usual school or traumatised as a consequence of family violence. This initiative will also provide training to teachers and educational support staff to assist them to better respond to the needs of students affected by family violence.</w:t>
      </w:r>
    </w:p>
    <w:p w:rsidR="00F87646" w:rsidRPr="00BC0C9E" w:rsidRDefault="00F87646" w:rsidP="00882D47">
      <w:r w:rsidRPr="00BC0C9E">
        <w:t>This initiative contributes to the Department of Education and Early Childhood Development</w:t>
      </w:r>
      <w:r>
        <w:t>’</w:t>
      </w:r>
      <w:r w:rsidRPr="00BC0C9E">
        <w:t>s Support Services Delivery output.</w:t>
      </w:r>
    </w:p>
    <w:p w:rsidR="00F87646" w:rsidRPr="00BC0C9E" w:rsidRDefault="00F87646" w:rsidP="00882D47">
      <w:pPr>
        <w:pStyle w:val="Heading4"/>
      </w:pPr>
      <w:r w:rsidRPr="00BC0C9E">
        <w:t>Human Services</w:t>
      </w:r>
    </w:p>
    <w:p w:rsidR="00F87646" w:rsidRPr="00BC0C9E" w:rsidRDefault="00F87646" w:rsidP="00882D47">
      <w:pPr>
        <w:pStyle w:val="Heading5"/>
      </w:pPr>
      <w:r w:rsidRPr="00BC0C9E">
        <w:t>Crisis accommodation support for women and children</w:t>
      </w:r>
    </w:p>
    <w:p w:rsidR="00F87646" w:rsidRPr="00BC0C9E" w:rsidRDefault="00F87646" w:rsidP="00882D47">
      <w:r w:rsidRPr="00BC0C9E">
        <w:t>Additional accommodation using an innovative approach will be provided for women and children escaping family violence. It will provide safe and immediate accommodation that provides suitable temporary options for families who, with the right support, have the capacity to safely return to the family home or access longer</w:t>
      </w:r>
      <w:r>
        <w:noBreakHyphen/>
      </w:r>
      <w:r w:rsidRPr="00BC0C9E">
        <w:t>term private rental housing. A focus will be on transitioning women and children in crisis to longer</w:t>
      </w:r>
      <w:r>
        <w:noBreakHyphen/>
      </w:r>
      <w:r w:rsidRPr="00BC0C9E">
        <w:t xml:space="preserve">term housing opportunities in the private rental market so they can stabilise their lives and regain independence. </w:t>
      </w:r>
    </w:p>
    <w:p w:rsidR="00F87646" w:rsidRPr="00BC0C9E" w:rsidRDefault="00F87646" w:rsidP="00882D47">
      <w:r w:rsidRPr="00BC0C9E">
        <w:t>This initiative contributes to the Department of Human Services</w:t>
      </w:r>
      <w:r>
        <w:t>’</w:t>
      </w:r>
      <w:r w:rsidRPr="00BC0C9E">
        <w:t xml:space="preserve"> Housing Assistance output.</w:t>
      </w:r>
    </w:p>
    <w:p w:rsidR="00F87646" w:rsidRPr="00BC0C9E" w:rsidRDefault="00F87646" w:rsidP="00882D47">
      <w:pPr>
        <w:pStyle w:val="Heading5"/>
      </w:pPr>
      <w:r w:rsidRPr="00BC0C9E">
        <w:t>Enhanced access to support services</w:t>
      </w:r>
    </w:p>
    <w:p w:rsidR="00F87646" w:rsidRPr="00BC0C9E" w:rsidRDefault="00F87646" w:rsidP="00882D47">
      <w:r w:rsidRPr="00BC0C9E">
        <w:t>Additional capacity will be provided in services that assist women experiencing family violence, including providing an integrated response following police intervention. Integrated access will be trialled to ensure clients have access to a rapid risk screening, and referral and connection to the range of services they require.</w:t>
      </w:r>
    </w:p>
    <w:p w:rsidR="00F87646" w:rsidRPr="00BC0C9E" w:rsidRDefault="00F87646" w:rsidP="00E664D1">
      <w:r w:rsidRPr="00BC0C9E">
        <w:lastRenderedPageBreak/>
        <w:t>This initiative contributes to the Department of Human Services</w:t>
      </w:r>
      <w:r>
        <w:t>’</w:t>
      </w:r>
      <w:r w:rsidRPr="00BC0C9E">
        <w:t xml:space="preserve"> Child Protection and Family Services output.</w:t>
      </w:r>
    </w:p>
    <w:p w:rsidR="00F87646" w:rsidRPr="00BC0C9E" w:rsidRDefault="00F87646" w:rsidP="00E664D1">
      <w:pPr>
        <w:pStyle w:val="Heading5"/>
      </w:pPr>
      <w:r w:rsidRPr="00BC0C9E">
        <w:t>Flexible post</w:t>
      </w:r>
      <w:r>
        <w:noBreakHyphen/>
      </w:r>
      <w:r w:rsidRPr="00BC0C9E">
        <w:t>crisis responses for women and children</w:t>
      </w:r>
    </w:p>
    <w:p w:rsidR="00F87646" w:rsidRPr="00BC0C9E" w:rsidRDefault="00F87646" w:rsidP="00882D47">
      <w:r w:rsidRPr="00BC0C9E">
        <w:t>A flexible response will be provided to more families with children who have experienced family violence. As the impacts of family violence are different for every child and family, responses will be tailored to each family</w:t>
      </w:r>
      <w:r>
        <w:t>’</w:t>
      </w:r>
      <w:r w:rsidRPr="00BC0C9E">
        <w:t>s or child</w:t>
      </w:r>
      <w:r>
        <w:t>’</w:t>
      </w:r>
      <w:r w:rsidRPr="00BC0C9E">
        <w:t>s individual needs. These responses may include short</w:t>
      </w:r>
      <w:r>
        <w:noBreakHyphen/>
      </w:r>
      <w:r w:rsidRPr="00BC0C9E">
        <w:t>term or ongoing support and protection, or short</w:t>
      </w:r>
      <w:r>
        <w:noBreakHyphen/>
      </w:r>
      <w:r w:rsidRPr="00BC0C9E">
        <w:t xml:space="preserve">term counselling to help deal with trauma. Funding will be directed to the most appropriate service responses that keep women and children safe and stabilise their lives. </w:t>
      </w:r>
    </w:p>
    <w:p w:rsidR="00F87646" w:rsidRPr="00BC0C9E" w:rsidRDefault="00F87646" w:rsidP="00882D47">
      <w:r w:rsidRPr="00BC0C9E">
        <w:t>This initiative contributes to the Department of Human Services</w:t>
      </w:r>
      <w:r>
        <w:t>’</w:t>
      </w:r>
      <w:r w:rsidRPr="00BC0C9E">
        <w:t xml:space="preserve"> Child Protection and Family Services, and Housing Assistance outputs.</w:t>
      </w:r>
    </w:p>
    <w:p w:rsidR="00F87646" w:rsidRPr="00BC0C9E" w:rsidRDefault="00F87646" w:rsidP="00882D47">
      <w:pPr>
        <w:pStyle w:val="Heading5"/>
      </w:pPr>
      <w:r w:rsidRPr="00BC0C9E">
        <w:t>Individualised responses for Aboriginal people</w:t>
      </w:r>
    </w:p>
    <w:p w:rsidR="00F87646" w:rsidRPr="00BC0C9E" w:rsidRDefault="00F87646" w:rsidP="00882D47">
      <w:r w:rsidRPr="00BC0C9E">
        <w:t>Healing and Time Out services will be expanded to support Aboriginal families experiencing family violence through an enhanced response to both perpetrators and victims of family violence.</w:t>
      </w:r>
    </w:p>
    <w:p w:rsidR="00F87646" w:rsidRPr="00BC0C9E" w:rsidRDefault="00F87646" w:rsidP="00882D47">
      <w:r w:rsidRPr="00BC0C9E">
        <w:t>This initiative contributes to the Department of Human Services</w:t>
      </w:r>
      <w:r>
        <w:t>’</w:t>
      </w:r>
      <w:r w:rsidRPr="00BC0C9E">
        <w:t xml:space="preserve"> Child Protection and Family Services output. </w:t>
      </w:r>
    </w:p>
    <w:p w:rsidR="00F87646" w:rsidRPr="00BC0C9E" w:rsidRDefault="00F87646" w:rsidP="00882D47">
      <w:pPr>
        <w:pStyle w:val="Heading5"/>
      </w:pPr>
      <w:r w:rsidRPr="00BC0C9E">
        <w:t>Multi</w:t>
      </w:r>
      <w:r>
        <w:noBreakHyphen/>
      </w:r>
      <w:r w:rsidRPr="00BC0C9E">
        <w:t>Disciplinary Centres – expanding the scope to include family violence</w:t>
      </w:r>
    </w:p>
    <w:p w:rsidR="00F87646" w:rsidRPr="00BC0C9E" w:rsidRDefault="00F87646" w:rsidP="00882D47">
      <w:r w:rsidRPr="00BC0C9E">
        <w:t>Funding is provided to broaden the scope of the Geelong Multi</w:t>
      </w:r>
      <w:r>
        <w:noBreakHyphen/>
      </w:r>
      <w:r w:rsidRPr="00BC0C9E">
        <w:t>Disciplinary Centre (MDC) from a focus on sexual assault to also include family violence. The original MDC model provides an integrated multi</w:t>
      </w:r>
      <w:r>
        <w:noBreakHyphen/>
      </w:r>
      <w:r w:rsidRPr="00BC0C9E">
        <w:t>disciplinary environment including specialist police, sexual assault counsellors and child protection workers. The expanded focus will co</w:t>
      </w:r>
      <w:r>
        <w:noBreakHyphen/>
      </w:r>
      <w:r w:rsidRPr="00BC0C9E">
        <w:t xml:space="preserve">locate family violence support workers, child protection practitioners, and specialist family violence police officers with ancillary services such as legal and financial services. </w:t>
      </w:r>
    </w:p>
    <w:p w:rsidR="00F87646" w:rsidRPr="00BC0C9E" w:rsidRDefault="00F87646" w:rsidP="00882D47">
      <w:r w:rsidRPr="00BC0C9E">
        <w:t>This initiative contributes to the Department of Justice</w:t>
      </w:r>
      <w:r>
        <w:t>’</w:t>
      </w:r>
      <w:r w:rsidRPr="00BC0C9E">
        <w:t>s Policing Services output, and the Department of Human Services</w:t>
      </w:r>
      <w:r>
        <w:t>’</w:t>
      </w:r>
      <w:r w:rsidRPr="00BC0C9E">
        <w:t xml:space="preserve"> Child Protection and Family Services output.</w:t>
      </w:r>
    </w:p>
    <w:p w:rsidR="00F87646" w:rsidRPr="00BC0C9E" w:rsidRDefault="00F87646" w:rsidP="00882D47">
      <w:pPr>
        <w:pStyle w:val="Heading5"/>
      </w:pPr>
      <w:r w:rsidRPr="00BC0C9E">
        <w:t>Multi</w:t>
      </w:r>
      <w:r>
        <w:noBreakHyphen/>
      </w:r>
      <w:r w:rsidRPr="00BC0C9E">
        <w:t>Disciplinary Centres – new centre</w:t>
      </w:r>
    </w:p>
    <w:p w:rsidR="00F87646" w:rsidRPr="00BC0C9E" w:rsidRDefault="00F87646" w:rsidP="00882D47">
      <w:r w:rsidRPr="00BC0C9E">
        <w:t>An additional Multi</w:t>
      </w:r>
      <w:r>
        <w:noBreakHyphen/>
      </w:r>
      <w:r w:rsidRPr="00BC0C9E">
        <w:t>Disciplinary Centre (MDC) will be established in Wyndham, bringing the total number of centres to seven across Victoria. The centres provide for the co</w:t>
      </w:r>
      <w:r>
        <w:noBreakHyphen/>
      </w:r>
      <w:r w:rsidRPr="00BC0C9E">
        <w:t>location of Victoria Police</w:t>
      </w:r>
      <w:r>
        <w:t>’</w:t>
      </w:r>
      <w:r w:rsidRPr="00BC0C9E">
        <w:t>s Sexual Offences and Child Abuse Investigative Teams, child protection workers and Centres for Sexual Assault counsellors to provide an integrated multi</w:t>
      </w:r>
      <w:r>
        <w:noBreakHyphen/>
      </w:r>
      <w:r w:rsidRPr="00BC0C9E">
        <w:t xml:space="preserve">agency response to sexual assault and child sexual abuse. This new MDC will also include family violence services comprising family violence support workers, child protection practitioners and specialist family violence policy officers with ancillary services such as legal and financial services. </w:t>
      </w:r>
    </w:p>
    <w:p w:rsidR="00F87646" w:rsidRPr="00BC0C9E" w:rsidRDefault="00F87646" w:rsidP="00882D47">
      <w:r w:rsidRPr="00BC0C9E">
        <w:t>This initiative contributes to the Department of Justice</w:t>
      </w:r>
      <w:r>
        <w:t>’</w:t>
      </w:r>
      <w:r w:rsidRPr="00BC0C9E">
        <w:t>s Policing Services output and the Department of Human Services</w:t>
      </w:r>
      <w:r>
        <w:t>’</w:t>
      </w:r>
      <w:r w:rsidRPr="00BC0C9E">
        <w:t xml:space="preserve"> Child Protection and Family Services output.</w:t>
      </w:r>
    </w:p>
    <w:p w:rsidR="00F87646" w:rsidRPr="00BC0C9E" w:rsidRDefault="00F87646" w:rsidP="00882D47">
      <w:pPr>
        <w:pStyle w:val="Heading5"/>
      </w:pPr>
      <w:r w:rsidRPr="00BC0C9E">
        <w:t>Performance framework and monitoring</w:t>
      </w:r>
    </w:p>
    <w:p w:rsidR="00F87646" w:rsidRPr="00BC0C9E" w:rsidRDefault="00F87646" w:rsidP="00882D47">
      <w:r w:rsidRPr="00BC0C9E">
        <w:t>A performance framework will be developed that establishes a baseline against which the impacts of the prevention programs and the statewide behaviour change campaign can be measured, including shifts in community attitudes and behaviours over time.</w:t>
      </w:r>
    </w:p>
    <w:p w:rsidR="00F87646" w:rsidRPr="00BC0C9E" w:rsidRDefault="00F87646" w:rsidP="00882D47">
      <w:r w:rsidRPr="00BC0C9E">
        <w:lastRenderedPageBreak/>
        <w:t>This initiative contributes to the Department of Human Services</w:t>
      </w:r>
      <w:r>
        <w:t>’</w:t>
      </w:r>
      <w:r w:rsidRPr="00BC0C9E">
        <w:t xml:space="preserve"> Office of Women</w:t>
      </w:r>
      <w:r>
        <w:t>’</w:t>
      </w:r>
      <w:r w:rsidRPr="00BC0C9E">
        <w:t>s Affairs output.</w:t>
      </w:r>
    </w:p>
    <w:p w:rsidR="00F87646" w:rsidRPr="00BC0C9E" w:rsidRDefault="00F87646" w:rsidP="00882D47">
      <w:pPr>
        <w:pStyle w:val="Heading5"/>
      </w:pPr>
      <w:r w:rsidRPr="00BC0C9E">
        <w:t>Proven prevention and local coordination</w:t>
      </w:r>
    </w:p>
    <w:p w:rsidR="00F87646" w:rsidRPr="00BC0C9E" w:rsidRDefault="00F87646" w:rsidP="00882D47">
      <w:r w:rsidRPr="00BC0C9E">
        <w:t>Each of the State</w:t>
      </w:r>
      <w:r>
        <w:t>’</w:t>
      </w:r>
      <w:r w:rsidRPr="00BC0C9E">
        <w:t>s local areas will receive funding to increase their capacity to implement new programs in line with the statewide behaviour change campaign, reflecting local priorities. Local prevention initiatives will involve proven programs such as Respectful Relationships and will be delivered in a range of community settings, including those for Aboriginal women, culturally and linguistically diverse (CALD) women, and women with a disability.</w:t>
      </w:r>
    </w:p>
    <w:p w:rsidR="00F87646" w:rsidRPr="00BC0C9E" w:rsidRDefault="00F87646" w:rsidP="00882D47">
      <w:r w:rsidRPr="00BC0C9E">
        <w:t>This initiative contributes to the Department of Human Services</w:t>
      </w:r>
      <w:r>
        <w:t>’</w:t>
      </w:r>
      <w:r w:rsidRPr="00BC0C9E">
        <w:t xml:space="preserve"> Office of Women</w:t>
      </w:r>
      <w:r>
        <w:t>’</w:t>
      </w:r>
      <w:r w:rsidRPr="00BC0C9E">
        <w:t xml:space="preserve">s Affairs output. </w:t>
      </w:r>
    </w:p>
    <w:p w:rsidR="00F87646" w:rsidRPr="00BC0C9E" w:rsidRDefault="00F87646" w:rsidP="00882D47">
      <w:pPr>
        <w:pStyle w:val="Heading5"/>
      </w:pPr>
      <w:r w:rsidRPr="00BC0C9E">
        <w:t>Statewide behaviour change campaign</w:t>
      </w:r>
    </w:p>
    <w:p w:rsidR="00F87646" w:rsidRPr="00BC0C9E" w:rsidRDefault="00F87646" w:rsidP="00882D47">
      <w:r w:rsidRPr="00BC0C9E">
        <w:t>A social marketing campaign focused on preventing violence against women and children through sustained attitudinal and behavioural change will be implemented statewide and supported by local initiatives. The prevention campaign will be delivered in partnership with Our Watch (formerly the Foundation to Prevent Violence against Women and their Children). The funding will also support research and evaluation, measuring the shift in attitudes over time.</w:t>
      </w:r>
    </w:p>
    <w:p w:rsidR="00F87646" w:rsidRPr="00BC0C9E" w:rsidRDefault="00F87646" w:rsidP="00882D47">
      <w:r w:rsidRPr="00BC0C9E">
        <w:t>This initiative contributes to the Department of Human Services</w:t>
      </w:r>
      <w:r>
        <w:t>’</w:t>
      </w:r>
      <w:r w:rsidRPr="00BC0C9E">
        <w:t xml:space="preserve"> Office of Women</w:t>
      </w:r>
      <w:r>
        <w:t>’</w:t>
      </w:r>
      <w:r w:rsidRPr="00BC0C9E">
        <w:t>s Affairs output.</w:t>
      </w:r>
    </w:p>
    <w:p w:rsidR="00F87646" w:rsidRPr="00BC0C9E" w:rsidRDefault="00F87646" w:rsidP="00882D47">
      <w:pPr>
        <w:pStyle w:val="Heading4"/>
      </w:pPr>
      <w:r w:rsidRPr="00BC0C9E">
        <w:t>Justice</w:t>
      </w:r>
    </w:p>
    <w:p w:rsidR="00F87646" w:rsidRPr="00BC0C9E" w:rsidRDefault="00F87646" w:rsidP="00882D47">
      <w:pPr>
        <w:pStyle w:val="Heading5"/>
      </w:pPr>
      <w:r w:rsidRPr="00BC0C9E">
        <w:t>Crime prevention initiatives</w:t>
      </w:r>
    </w:p>
    <w:p w:rsidR="00F87646" w:rsidRPr="00BC0C9E" w:rsidRDefault="00F87646" w:rsidP="00882D47">
      <w:r w:rsidRPr="00BC0C9E">
        <w:t xml:space="preserve">Funding will continue to provide grants for a range of initiatives that maintain community safety, including prevention of violence against women and children. Funding will implement specific initiatives identified as priorities in local areas. </w:t>
      </w:r>
    </w:p>
    <w:p w:rsidR="00F87646" w:rsidRPr="00BC0C9E" w:rsidRDefault="00F87646" w:rsidP="00882D47">
      <w:r w:rsidRPr="00BC0C9E">
        <w:t>This initiative contributes to the Department of Justice</w:t>
      </w:r>
      <w:r>
        <w:t>’</w:t>
      </w:r>
      <w:r w:rsidRPr="00BC0C9E">
        <w:t>s Enhancing Community Safety output.</w:t>
      </w:r>
    </w:p>
    <w:p w:rsidR="00F87646" w:rsidRPr="00BC0C9E" w:rsidRDefault="00F87646" w:rsidP="00882D47">
      <w:pPr>
        <w:pStyle w:val="Heading5"/>
      </w:pPr>
      <w:r w:rsidRPr="00BC0C9E">
        <w:t>Evaluation of justice</w:t>
      </w:r>
      <w:r>
        <w:noBreakHyphen/>
      </w:r>
      <w:r w:rsidRPr="00BC0C9E">
        <w:t>related family violence responses</w:t>
      </w:r>
    </w:p>
    <w:p w:rsidR="00F87646" w:rsidRPr="00BC0C9E" w:rsidRDefault="00F87646" w:rsidP="00882D47">
      <w:r w:rsidRPr="00BC0C9E">
        <w:t>Analysis and evaluation of data will be undertaken to help identify system gaps, limitations and improvement opportunities across the Justice portfolio, as well as informing the most appropriate responses.</w:t>
      </w:r>
    </w:p>
    <w:p w:rsidR="00F87646" w:rsidRPr="00BC0C9E" w:rsidRDefault="00F87646" w:rsidP="00882D47">
      <w:r w:rsidRPr="00BC0C9E">
        <w:t>This initiative contributes to the Department of Justice</w:t>
      </w:r>
      <w:r>
        <w:t>’</w:t>
      </w:r>
      <w:r w:rsidRPr="00BC0C9E">
        <w:t>s Enhancing Community Safety output.</w:t>
      </w:r>
    </w:p>
    <w:p w:rsidR="00F87646" w:rsidRPr="00BC0C9E" w:rsidRDefault="00F87646" w:rsidP="00882D47">
      <w:pPr>
        <w:pStyle w:val="Heading5"/>
      </w:pPr>
      <w:r w:rsidRPr="00BC0C9E">
        <w:t>GPS monitoring of perpetrators</w:t>
      </w:r>
    </w:p>
    <w:p w:rsidR="00F87646" w:rsidRPr="00BC0C9E" w:rsidRDefault="00F87646" w:rsidP="00882D47">
      <w:pPr>
        <w:rPr>
          <w:lang w:eastAsia="en-AU"/>
        </w:rPr>
      </w:pPr>
      <w:r w:rsidRPr="00BC0C9E">
        <w:rPr>
          <w:lang w:eastAsia="en-AU"/>
        </w:rPr>
        <w:t xml:space="preserve">A pilot program will be developed to enhance the safety of women through a trial of court ordered GPS monitoring of men assessed as a high risk on family violence intervention orders. </w:t>
      </w:r>
    </w:p>
    <w:p w:rsidR="00F87646" w:rsidRPr="00BC0C9E" w:rsidRDefault="00F87646" w:rsidP="00882D47">
      <w:r w:rsidRPr="00BC0C9E">
        <w:t>This initiative contributes to the Department of Justice</w:t>
      </w:r>
      <w:r>
        <w:t>’</w:t>
      </w:r>
      <w:r w:rsidRPr="00BC0C9E">
        <w:t>s Community</w:t>
      </w:r>
      <w:r>
        <w:noBreakHyphen/>
        <w:t>B</w:t>
      </w:r>
      <w:r w:rsidRPr="00BC0C9E">
        <w:t>ased Offender Supervision output.</w:t>
      </w:r>
    </w:p>
    <w:p w:rsidR="00F87646" w:rsidRPr="00BC0C9E" w:rsidRDefault="00F87646" w:rsidP="00882D47">
      <w:pPr>
        <w:pStyle w:val="Heading5"/>
      </w:pPr>
      <w:r w:rsidRPr="00BC0C9E">
        <w:lastRenderedPageBreak/>
        <w:t xml:space="preserve">Information sharing and risk monitoring pilot </w:t>
      </w:r>
    </w:p>
    <w:p w:rsidR="00F87646" w:rsidRPr="00BC0C9E" w:rsidRDefault="00F87646" w:rsidP="00882D47">
      <w:r w:rsidRPr="00BC0C9E">
        <w:t xml:space="preserve">New information and communications technology will be trialled to better assess risks associated with individual intervention order applications and improve the quality of information accompanying applications. </w:t>
      </w:r>
    </w:p>
    <w:p w:rsidR="00F87646" w:rsidRPr="00BC0C9E" w:rsidRDefault="00F87646" w:rsidP="00882D47">
      <w:r w:rsidRPr="00BC0C9E">
        <w:t>This initiative contributes to the Department of Justice</w:t>
      </w:r>
      <w:r>
        <w:t>’</w:t>
      </w:r>
      <w:r w:rsidRPr="00BC0C9E">
        <w:t>s Enhancing Community Safety output.</w:t>
      </w:r>
    </w:p>
    <w:p w:rsidR="00F87646" w:rsidRPr="00BC0C9E" w:rsidRDefault="00F87646" w:rsidP="00882D47">
      <w:pPr>
        <w:pStyle w:val="Heading5"/>
      </w:pPr>
      <w:r w:rsidRPr="00BC0C9E">
        <w:t>Legal Aid expansion</w:t>
      </w:r>
    </w:p>
    <w:p w:rsidR="00F87646" w:rsidRPr="00BC0C9E" w:rsidRDefault="00F87646" w:rsidP="00882D47">
      <w:r w:rsidRPr="00BC0C9E">
        <w:t>Funding is provided for Victoria Legal Aid to increase representation in family violence intervention order matters, both directly and through community legal centres. This will contribute to increased compliance with orders by helping to ensure that orders are properly tailored to the individual</w:t>
      </w:r>
      <w:r>
        <w:t>’</w:t>
      </w:r>
      <w:r w:rsidRPr="00BC0C9E">
        <w:t xml:space="preserve">s situation and that respondents are properly informed about their obligations under the order. </w:t>
      </w:r>
    </w:p>
    <w:p w:rsidR="00F87646" w:rsidRPr="00BC0C9E" w:rsidRDefault="00F87646" w:rsidP="00882D47">
      <w:r w:rsidRPr="00BC0C9E">
        <w:t>This initiative contributes to the Department of Justice</w:t>
      </w:r>
      <w:r>
        <w:t>’</w:t>
      </w:r>
      <w:r w:rsidRPr="00BC0C9E">
        <w:t>s Access to Justice and Support Services output.</w:t>
      </w:r>
    </w:p>
    <w:p w:rsidR="00F87646" w:rsidRPr="00BC0C9E" w:rsidRDefault="00F87646" w:rsidP="00882D47">
      <w:pPr>
        <w:pStyle w:val="Heading5"/>
      </w:pPr>
      <w:r w:rsidRPr="00BC0C9E">
        <w:t>Multi</w:t>
      </w:r>
      <w:r>
        <w:noBreakHyphen/>
      </w:r>
      <w:r w:rsidRPr="00BC0C9E">
        <w:t>Disciplinary Centres – expanding the scope to include family violence</w:t>
      </w:r>
    </w:p>
    <w:p w:rsidR="00F87646" w:rsidRPr="00BC0C9E" w:rsidRDefault="00F87646" w:rsidP="00882D47">
      <w:r w:rsidRPr="00BC0C9E">
        <w:t>Refer to the Department of Human Services output initiative for a description of this initiative.</w:t>
      </w:r>
    </w:p>
    <w:p w:rsidR="00F87646" w:rsidRPr="00BC0C9E" w:rsidRDefault="00F87646" w:rsidP="00882D47">
      <w:pPr>
        <w:pStyle w:val="Heading5"/>
      </w:pPr>
      <w:r w:rsidRPr="00BC0C9E">
        <w:t>Multi</w:t>
      </w:r>
      <w:r>
        <w:noBreakHyphen/>
      </w:r>
      <w:r w:rsidRPr="00BC0C9E">
        <w:t>Disciplinary Centres – new centre</w:t>
      </w:r>
    </w:p>
    <w:p w:rsidR="00F87646" w:rsidRPr="00BC0C9E" w:rsidRDefault="00F87646" w:rsidP="00882D47">
      <w:r w:rsidRPr="00BC0C9E">
        <w:t>Refer to the Department of Human Services output initiative for a description of this initiative.</w:t>
      </w:r>
    </w:p>
    <w:p w:rsidR="00F87646" w:rsidRPr="00BC0C9E" w:rsidRDefault="00F87646" w:rsidP="00882D47">
      <w:pPr>
        <w:pStyle w:val="Heading5"/>
      </w:pPr>
      <w:r w:rsidRPr="00BC0C9E">
        <w:t>Targeted programs for offenders in correctional settings</w:t>
      </w:r>
    </w:p>
    <w:p w:rsidR="00F87646" w:rsidRPr="00BC0C9E" w:rsidRDefault="00F87646" w:rsidP="00882D47">
      <w:r w:rsidRPr="00BC0C9E">
        <w:t>Programs delivered through Corrections Victoria that address offenders</w:t>
      </w:r>
      <w:r>
        <w:t>’</w:t>
      </w:r>
      <w:r w:rsidRPr="00BC0C9E">
        <w:t xml:space="preserve"> violent behaviour that has occurred in a family violence context will be expanded. </w:t>
      </w:r>
    </w:p>
    <w:p w:rsidR="00F87646" w:rsidRPr="00BC0C9E" w:rsidRDefault="00F87646" w:rsidP="00882D47">
      <w:r w:rsidRPr="00BC0C9E">
        <w:t>This initiative contributes to the Department of Justice</w:t>
      </w:r>
      <w:r>
        <w:t>’</w:t>
      </w:r>
      <w:r w:rsidRPr="00BC0C9E">
        <w:t>s Prisoner Supervision and Support and Community</w:t>
      </w:r>
      <w:r>
        <w:noBreakHyphen/>
      </w:r>
      <w:r w:rsidRPr="00BC0C9E">
        <w:t xml:space="preserve">Based Offender Supervision outputs. </w:t>
      </w:r>
    </w:p>
    <w:p w:rsidR="00F87646" w:rsidRPr="00BC0C9E" w:rsidRDefault="00F87646" w:rsidP="00882D47">
      <w:pPr>
        <w:pStyle w:val="Heading4"/>
      </w:pPr>
      <w:r w:rsidRPr="00BC0C9E">
        <w:t>Courts</w:t>
      </w:r>
    </w:p>
    <w:p w:rsidR="00F87646" w:rsidRPr="00BC0C9E" w:rsidRDefault="00F87646" w:rsidP="00882D47">
      <w:pPr>
        <w:pStyle w:val="Heading5"/>
      </w:pPr>
      <w:r w:rsidRPr="00BC0C9E">
        <w:t>Coroners Court family violence review expansion</w:t>
      </w:r>
    </w:p>
    <w:p w:rsidR="00F87646" w:rsidRPr="00BC0C9E" w:rsidRDefault="00F87646" w:rsidP="00882D47">
      <w:r w:rsidRPr="00BC0C9E">
        <w:t xml:space="preserve">The capacity of the Family Violence Death Review Panel will be expanded to enable more detailed analysis of deaths occurring in a family violence context. </w:t>
      </w:r>
    </w:p>
    <w:p w:rsidR="00F87646" w:rsidRPr="00BC0C9E" w:rsidRDefault="00F87646" w:rsidP="00882D47">
      <w:pPr>
        <w:rPr>
          <w:b/>
        </w:rPr>
      </w:pPr>
      <w:r w:rsidRPr="00BC0C9E">
        <w:t>This initiative contributes to the Courts output.</w:t>
      </w:r>
    </w:p>
    <w:p w:rsidR="00F87646" w:rsidRPr="00BC0C9E" w:rsidRDefault="00F87646" w:rsidP="00882D47">
      <w:pPr>
        <w:pStyle w:val="Heading5"/>
      </w:pPr>
      <w:r w:rsidRPr="00BC0C9E">
        <w:t>Court Integrated Services Program expansion</w:t>
      </w:r>
    </w:p>
    <w:p w:rsidR="00F87646" w:rsidRPr="00BC0C9E" w:rsidRDefault="00F87646" w:rsidP="00882D47">
      <w:r w:rsidRPr="00BC0C9E">
        <w:t>Funding is provided to expand the Court Integrated Services Program in the Magistrates</w:t>
      </w:r>
      <w:r>
        <w:t>’</w:t>
      </w:r>
      <w:r w:rsidRPr="00BC0C9E">
        <w:t xml:space="preserve"> Court. The program provides a coordinated approach to the assessment and treatment of accused persons by facilitating links with specialist services such as drug and alcohol, accommodation and mental health services. This assistance will help perpetrators of family violence to address factors that have contributed to their violent behaviour.</w:t>
      </w:r>
    </w:p>
    <w:p w:rsidR="00F87646" w:rsidRPr="00BC0C9E" w:rsidRDefault="00F87646" w:rsidP="00882D47">
      <w:pPr>
        <w:rPr>
          <w:b/>
        </w:rPr>
      </w:pPr>
      <w:r w:rsidRPr="00BC0C9E">
        <w:t xml:space="preserve">This initiative contributes to the Courts output. </w:t>
      </w:r>
    </w:p>
    <w:p w:rsidR="00F87646" w:rsidRPr="00BC0C9E" w:rsidRDefault="00F87646" w:rsidP="00882D47">
      <w:pPr>
        <w:pStyle w:val="Heading5"/>
      </w:pPr>
      <w:r w:rsidRPr="00BC0C9E">
        <w:lastRenderedPageBreak/>
        <w:t>Specialist family violence courts program expansion</w:t>
      </w:r>
    </w:p>
    <w:p w:rsidR="00F87646" w:rsidRPr="00BC0C9E" w:rsidRDefault="00F87646" w:rsidP="00882D47">
      <w:r w:rsidRPr="00BC0C9E">
        <w:t>The specialist family violence service program will be expanded to an additional seven courts bringing the total to 13 courts which will provide a focused family violence service. Specialist services include a registrar, trained in the nature of family violence, assistance for applicants and respondents in intervention order matters, and referral to specialist services.</w:t>
      </w:r>
    </w:p>
    <w:p w:rsidR="00F87646" w:rsidRPr="00BC0C9E" w:rsidRDefault="00F87646" w:rsidP="00882D47">
      <w:r w:rsidRPr="00BC0C9E">
        <w:t>This initiative contributes to the Courts output.</w:t>
      </w:r>
    </w:p>
    <w:p w:rsidR="00F87646" w:rsidRPr="00BC0C9E" w:rsidRDefault="00F87646" w:rsidP="00882D47">
      <w:pPr>
        <w:pStyle w:val="Heading3"/>
      </w:pPr>
      <w:r w:rsidRPr="00BC0C9E">
        <w:t>Government response to the Betrayal of Trust report</w:t>
      </w:r>
    </w:p>
    <w:p w:rsidR="00F87646" w:rsidRPr="00BC0C9E" w:rsidRDefault="00F87646" w:rsidP="00882D47">
      <w:pPr>
        <w:pStyle w:val="Heading4"/>
      </w:pPr>
      <w:r w:rsidRPr="00BC0C9E">
        <w:t>Human Services</w:t>
      </w:r>
    </w:p>
    <w:p w:rsidR="00F87646" w:rsidRPr="00BC0C9E" w:rsidRDefault="00F87646" w:rsidP="00882D47">
      <w:pPr>
        <w:pStyle w:val="Heading5"/>
      </w:pPr>
      <w:r w:rsidRPr="00BC0C9E">
        <w:t>New child safety standards and reportable conduct scheme</w:t>
      </w:r>
    </w:p>
    <w:p w:rsidR="00F87646" w:rsidRPr="00BC0C9E" w:rsidRDefault="00F87646" w:rsidP="00882D47">
      <w:r w:rsidRPr="00BC0C9E">
        <w:t>A new child safety standards regime will be introduced requiring organisations, such as schools and pastoral and spiritual care services, to have policies and procedures in place to ensure a child</w:t>
      </w:r>
      <w:r>
        <w:noBreakHyphen/>
      </w:r>
      <w:r w:rsidRPr="00BC0C9E">
        <w:t xml:space="preserve">safe environment. A reportable conduct scheme is also being implemented that requires organisations with the highest levels of responsibility for children to notify the Commission for Children and Young People of all allegations and findings of child abuse. </w:t>
      </w:r>
    </w:p>
    <w:p w:rsidR="00F87646" w:rsidRPr="00BC0C9E" w:rsidRDefault="00F87646" w:rsidP="00882D47">
      <w:r w:rsidRPr="00BC0C9E">
        <w:t>This initiative contributes to the Department of Human Services</w:t>
      </w:r>
      <w:r>
        <w:t>’</w:t>
      </w:r>
      <w:r w:rsidRPr="00BC0C9E">
        <w:t xml:space="preserve"> Child Protection and Family Services output.</w:t>
      </w:r>
    </w:p>
    <w:p w:rsidR="00F87646" w:rsidRPr="00BC0C9E" w:rsidRDefault="00F87646" w:rsidP="00882D47">
      <w:pPr>
        <w:pStyle w:val="Heading4"/>
      </w:pPr>
      <w:r w:rsidRPr="00BC0C9E">
        <w:t>Justice</w:t>
      </w:r>
    </w:p>
    <w:p w:rsidR="00F87646" w:rsidRPr="00BC0C9E" w:rsidRDefault="00F87646" w:rsidP="00882D47">
      <w:pPr>
        <w:pStyle w:val="Heading5"/>
      </w:pPr>
      <w:r w:rsidRPr="00BC0C9E">
        <w:t>Expansion of Working with Children Checks</w:t>
      </w:r>
    </w:p>
    <w:p w:rsidR="00F87646" w:rsidRPr="00BC0C9E" w:rsidRDefault="00F87646" w:rsidP="00882D47">
      <w:r w:rsidRPr="00BC0C9E">
        <w:t>The introduction of a reportable conduct scheme will require the Working with Children Check to consider serious findings relating to allegations of child abuse referred from the Commission for Children and Young People. Under the new scheme, referrals from the Commissioner will trigger an assessment of a person</w:t>
      </w:r>
      <w:r>
        <w:t>’</w:t>
      </w:r>
      <w:r w:rsidRPr="00BC0C9E">
        <w:t>s suitability to hold a Working with Children Check, increasing the volume of assessment activity.</w:t>
      </w:r>
    </w:p>
    <w:p w:rsidR="00F87646" w:rsidRPr="00BC0C9E" w:rsidRDefault="00F87646" w:rsidP="00882D47">
      <w:r w:rsidRPr="00BC0C9E">
        <w:t>This initiative contributes to the Department of Justice</w:t>
      </w:r>
      <w:r>
        <w:t>’</w:t>
      </w:r>
      <w:r w:rsidRPr="00BC0C9E">
        <w:t>s Enhancing Community Safety output.</w:t>
      </w:r>
    </w:p>
    <w:p w:rsidR="00F87646" w:rsidRPr="00BC0C9E" w:rsidRDefault="00F87646" w:rsidP="00882D47">
      <w:pPr>
        <w:pStyle w:val="Heading3"/>
      </w:pPr>
      <w:r w:rsidRPr="00BC0C9E">
        <w:t>Government strategy to address ice use</w:t>
      </w:r>
    </w:p>
    <w:p w:rsidR="00F87646" w:rsidRPr="00BC0C9E" w:rsidRDefault="00F87646" w:rsidP="00882D47">
      <w:pPr>
        <w:pStyle w:val="Heading4"/>
      </w:pPr>
      <w:r w:rsidRPr="00BC0C9E">
        <w:t>Health</w:t>
      </w:r>
    </w:p>
    <w:p w:rsidR="00F87646" w:rsidRPr="00BC0C9E" w:rsidRDefault="00F87646" w:rsidP="00882D47">
      <w:pPr>
        <w:pStyle w:val="Heading5"/>
      </w:pPr>
      <w:r w:rsidRPr="00BC0C9E">
        <w:t>Additional resources for mental health services</w:t>
      </w:r>
    </w:p>
    <w:p w:rsidR="00F87646" w:rsidRPr="00BC0C9E" w:rsidRDefault="00F87646" w:rsidP="00882D47">
      <w:r w:rsidRPr="00BC0C9E">
        <w:t xml:space="preserve">Additional resources will be provided in 10 mental health units across Victoria to enhance the response to patients presenting with mental health issues associated with ice and other drug use. </w:t>
      </w:r>
    </w:p>
    <w:p w:rsidR="00F87646" w:rsidRPr="00BC0C9E" w:rsidRDefault="00F87646" w:rsidP="00882D47">
      <w:r w:rsidRPr="00BC0C9E">
        <w:t>This initiative contributes to the Department of Health</w:t>
      </w:r>
      <w:r>
        <w:t>’</w:t>
      </w:r>
      <w:r w:rsidRPr="00BC0C9E">
        <w:t>s Drug Prevention and Control output.</w:t>
      </w:r>
    </w:p>
    <w:p w:rsidR="00F87646" w:rsidRPr="00BC0C9E" w:rsidRDefault="00F87646" w:rsidP="00882D47">
      <w:pPr>
        <w:pStyle w:val="Heading5"/>
      </w:pPr>
      <w:r w:rsidRPr="00BC0C9E">
        <w:lastRenderedPageBreak/>
        <w:t>Community education forums</w:t>
      </w:r>
    </w:p>
    <w:p w:rsidR="00F87646" w:rsidRPr="00BC0C9E" w:rsidRDefault="00F87646" w:rsidP="00882D47">
      <w:pPr>
        <w:rPr>
          <w:rFonts w:ascii="Verdana" w:hAnsi="Verdana"/>
          <w:sz w:val="18"/>
          <w:szCs w:val="18"/>
        </w:rPr>
      </w:pPr>
      <w:r w:rsidRPr="00BC0C9E">
        <w:t>Community education forums will be delivered across the state through non</w:t>
      </w:r>
      <w:r>
        <w:noBreakHyphen/>
      </w:r>
      <w:r w:rsidRPr="00BC0C9E">
        <w:t>government organisations to raise awareness of the dangers of ice use, to provide information about where to get help and to facilitate local responses.</w:t>
      </w:r>
    </w:p>
    <w:p w:rsidR="00F87646" w:rsidRPr="00BC0C9E" w:rsidRDefault="00F87646" w:rsidP="00882D47">
      <w:r w:rsidRPr="00BC0C9E">
        <w:t>This initiative contributes to the Department of Health</w:t>
      </w:r>
      <w:r>
        <w:t>’</w:t>
      </w:r>
      <w:r w:rsidRPr="00BC0C9E">
        <w:t>s Drug Prevention and Control output.</w:t>
      </w:r>
    </w:p>
    <w:p w:rsidR="00F87646" w:rsidRPr="00BC0C9E" w:rsidRDefault="00F87646" w:rsidP="00882D47">
      <w:pPr>
        <w:pStyle w:val="Heading5"/>
      </w:pPr>
      <w:r w:rsidRPr="00BC0C9E">
        <w:t>Expansion of the Good Sports program</w:t>
      </w:r>
    </w:p>
    <w:p w:rsidR="00F87646" w:rsidRPr="00BC0C9E" w:rsidRDefault="00F87646" w:rsidP="00882D47">
      <w:pPr>
        <w:autoSpaceDE w:val="0"/>
        <w:autoSpaceDN w:val="0"/>
        <w:adjustRightInd w:val="0"/>
        <w:rPr>
          <w:rFonts w:cs="Garamond"/>
          <w:color w:val="000000"/>
        </w:rPr>
      </w:pPr>
      <w:r w:rsidRPr="00BC0C9E">
        <w:rPr>
          <w:rFonts w:cs="Garamond"/>
          <w:color w:val="000000"/>
        </w:rPr>
        <w:t xml:space="preserve">The </w:t>
      </w:r>
      <w:r w:rsidRPr="00BC0C9E">
        <w:rPr>
          <w:rFonts w:cs="Garamond"/>
          <w:iCs/>
          <w:color w:val="000000"/>
        </w:rPr>
        <w:t>Good Sports</w:t>
      </w:r>
      <w:r w:rsidRPr="00BC0C9E">
        <w:rPr>
          <w:rFonts w:cs="Garamond"/>
          <w:color w:val="000000"/>
        </w:rPr>
        <w:t xml:space="preserve"> program supports community sport clubs to raise young persons</w:t>
      </w:r>
      <w:r>
        <w:rPr>
          <w:rFonts w:cs="Garamond"/>
          <w:color w:val="000000"/>
        </w:rPr>
        <w:t>’</w:t>
      </w:r>
      <w:r w:rsidRPr="00BC0C9E">
        <w:rPr>
          <w:rFonts w:cs="Garamond"/>
          <w:color w:val="000000"/>
        </w:rPr>
        <w:t xml:space="preserve"> awareness of the dangers of high</w:t>
      </w:r>
      <w:r>
        <w:rPr>
          <w:rFonts w:cs="Garamond"/>
          <w:color w:val="000000"/>
        </w:rPr>
        <w:noBreakHyphen/>
      </w:r>
      <w:r w:rsidRPr="00BC0C9E">
        <w:rPr>
          <w:rFonts w:cs="Garamond"/>
          <w:color w:val="000000"/>
        </w:rPr>
        <w:t>risk drinking. The program will be expanded to enable clubs to lead discussions about the dangers of ice use.</w:t>
      </w:r>
    </w:p>
    <w:p w:rsidR="00F87646" w:rsidRPr="00BC0C9E" w:rsidRDefault="00F87646" w:rsidP="00882D47">
      <w:pPr>
        <w:autoSpaceDE w:val="0"/>
        <w:autoSpaceDN w:val="0"/>
        <w:adjustRightInd w:val="0"/>
        <w:rPr>
          <w:rFonts w:cs="Garamond"/>
          <w:color w:val="000000"/>
        </w:rPr>
      </w:pPr>
      <w:r w:rsidRPr="00BC0C9E">
        <w:rPr>
          <w:rFonts w:cs="Garamond"/>
          <w:color w:val="000000"/>
        </w:rPr>
        <w:t>This initiative contributes to the Department of Health</w:t>
      </w:r>
      <w:r>
        <w:rPr>
          <w:rFonts w:cs="Garamond"/>
          <w:color w:val="000000"/>
        </w:rPr>
        <w:t>’</w:t>
      </w:r>
      <w:r w:rsidRPr="00BC0C9E">
        <w:rPr>
          <w:rFonts w:cs="Garamond"/>
          <w:color w:val="000000"/>
        </w:rPr>
        <w:t>s Drug Prevention and Control output.</w:t>
      </w:r>
    </w:p>
    <w:p w:rsidR="00F87646" w:rsidRPr="00BC0C9E" w:rsidRDefault="00F87646" w:rsidP="00882D47">
      <w:pPr>
        <w:pStyle w:val="Heading5"/>
      </w:pPr>
      <w:r w:rsidRPr="00BC0C9E">
        <w:t>Prevent Alcohol and Risk</w:t>
      </w:r>
      <w:r>
        <w:noBreakHyphen/>
      </w:r>
      <w:r w:rsidRPr="00BC0C9E">
        <w:t>related Trauma in Youth (PARTY) program</w:t>
      </w:r>
    </w:p>
    <w:p w:rsidR="00F87646" w:rsidRPr="00BC0C9E" w:rsidRDefault="00F87646" w:rsidP="00882D47">
      <w:pPr>
        <w:rPr>
          <w:rFonts w:ascii="Verdana" w:hAnsi="Verdana"/>
          <w:sz w:val="18"/>
          <w:szCs w:val="18"/>
        </w:rPr>
      </w:pPr>
      <w:r w:rsidRPr="00BC0C9E">
        <w:t>Funding will continue for the PARTY program at the Alfred Hospital and the Royal Melbourne Hospital, and additional funding will be provided for a new 12 month trial in regional Victoria, enabling students to visit an emergency department and trauma ward to witness the consequences of risky behaviour including ice and other drug use.</w:t>
      </w:r>
    </w:p>
    <w:p w:rsidR="00F87646" w:rsidRPr="00BC0C9E" w:rsidRDefault="00F87646" w:rsidP="00882D47">
      <w:pPr>
        <w:rPr>
          <w:rFonts w:cs="Garamond"/>
        </w:rPr>
      </w:pPr>
      <w:r w:rsidRPr="00BC0C9E">
        <w:rPr>
          <w:rFonts w:cs="Garamond"/>
        </w:rPr>
        <w:t>This initiative contributes to the Department of Health</w:t>
      </w:r>
      <w:r>
        <w:rPr>
          <w:rFonts w:cs="Garamond"/>
        </w:rPr>
        <w:t>’</w:t>
      </w:r>
      <w:r w:rsidRPr="00BC0C9E">
        <w:rPr>
          <w:rFonts w:cs="Garamond"/>
        </w:rPr>
        <w:t>s Drug Prevention and Control output.</w:t>
      </w:r>
    </w:p>
    <w:p w:rsidR="00F87646" w:rsidRPr="00BC0C9E" w:rsidRDefault="00F87646" w:rsidP="00882D47">
      <w:pPr>
        <w:pStyle w:val="Heading4"/>
      </w:pPr>
      <w:r w:rsidRPr="00BC0C9E">
        <w:t>Justice</w:t>
      </w:r>
    </w:p>
    <w:p w:rsidR="00F87646" w:rsidRPr="00BC0C9E" w:rsidRDefault="00F87646" w:rsidP="00A433A7">
      <w:pPr>
        <w:pStyle w:val="Heading5"/>
      </w:pPr>
      <w:r w:rsidRPr="00BC0C9E">
        <w:t>Drug screening of arrested offenders</w:t>
      </w:r>
    </w:p>
    <w:p w:rsidR="00F87646" w:rsidRPr="00BC0C9E" w:rsidRDefault="00F87646" w:rsidP="00AA66A2">
      <w:r w:rsidRPr="00BC0C9E">
        <w:t>Offenders who have been arrested for an indictable offence and who are suspected of being under the influence of illicit drugs will be tested for the presence of drugs. This will act as a deterrent to offenders and will assist police in the investigation of drug related crime.</w:t>
      </w:r>
    </w:p>
    <w:p w:rsidR="00F87646" w:rsidRPr="00BC0C9E" w:rsidRDefault="00F87646" w:rsidP="00AA66A2">
      <w:r w:rsidRPr="00BC0C9E">
        <w:t>This initiative contributes to the Department of Justice</w:t>
      </w:r>
      <w:r>
        <w:t>’</w:t>
      </w:r>
      <w:r w:rsidRPr="00BC0C9E">
        <w:t>s Access to Justice and Support Services output.</w:t>
      </w:r>
    </w:p>
    <w:p w:rsidR="00F87646" w:rsidRPr="00BC0C9E" w:rsidRDefault="00F87646" w:rsidP="00882D47">
      <w:pPr>
        <w:pStyle w:val="Heading5"/>
      </w:pPr>
      <w:r w:rsidRPr="00BC0C9E">
        <w:t>Ice crime prevention grants</w:t>
      </w:r>
    </w:p>
    <w:p w:rsidR="00F87646" w:rsidRPr="00BC0C9E" w:rsidRDefault="00F87646" w:rsidP="00882D47">
      <w:r w:rsidRPr="00BC0C9E">
        <w:t>A $2</w:t>
      </w:r>
      <w:r>
        <w:t> million</w:t>
      </w:r>
      <w:r w:rsidRPr="00BC0C9E">
        <w:t xml:space="preserve"> grants program will be established to facilitate the implementation of local solutions for communities with ice</w:t>
      </w:r>
      <w:r>
        <w:noBreakHyphen/>
      </w:r>
      <w:r w:rsidRPr="00BC0C9E">
        <w:t>related problems. Individual grants of up to $100 000 will be made available to community organisations and/or councils partnering with community organisations to achieve this objective.</w:t>
      </w:r>
    </w:p>
    <w:p w:rsidR="00F87646" w:rsidRPr="00BC0C9E" w:rsidRDefault="00F87646" w:rsidP="001132FC">
      <w:pPr>
        <w:rPr>
          <w:rFonts w:ascii="Calibri" w:hAnsi="Calibri"/>
          <w:b/>
        </w:rPr>
      </w:pPr>
      <w:r w:rsidRPr="00BC0C9E">
        <w:t>This initiative contributes to the Department of Justice</w:t>
      </w:r>
      <w:r>
        <w:t>’</w:t>
      </w:r>
      <w:r w:rsidRPr="00BC0C9E">
        <w:t>s Enhancing Community Safety output.</w:t>
      </w:r>
    </w:p>
    <w:p w:rsidR="00F87646" w:rsidRPr="00BC0C9E" w:rsidRDefault="00F87646" w:rsidP="00AA66A2">
      <w:pPr>
        <w:pStyle w:val="Heading5"/>
      </w:pPr>
      <w:r w:rsidRPr="00BC0C9E">
        <w:t>Mandatory drug screening for offenders on Community Correction Orders</w:t>
      </w:r>
    </w:p>
    <w:p w:rsidR="00F87646" w:rsidRPr="00BC0C9E" w:rsidRDefault="00F87646" w:rsidP="00AA66A2">
      <w:r w:rsidRPr="00BC0C9E">
        <w:t>Mandatory drug screening will be introduced for all offenders sentenced to a Community Correction Order (CCO) as a result of offences committed when affected by ice. This screening will help offenders comply with the conditions of their CCO, assist with their treatment and rehabilitation and lead to improved community safety.</w:t>
      </w:r>
    </w:p>
    <w:p w:rsidR="00F87646" w:rsidRPr="00BC0C9E" w:rsidRDefault="00F87646" w:rsidP="003724EC">
      <w:r w:rsidRPr="00BC0C9E">
        <w:lastRenderedPageBreak/>
        <w:t>This initiative contributes to the Department of Justice</w:t>
      </w:r>
      <w:r>
        <w:t>’</w:t>
      </w:r>
      <w:r w:rsidRPr="00BC0C9E">
        <w:t>s Community Based Offender Supervision output.</w:t>
      </w:r>
    </w:p>
    <w:p w:rsidR="00F87646" w:rsidRPr="00BC0C9E" w:rsidRDefault="00F87646" w:rsidP="00AA66A2">
      <w:pPr>
        <w:pStyle w:val="Heading5"/>
      </w:pPr>
      <w:r w:rsidRPr="00BC0C9E">
        <w:t>Passive Alert Detection dogs</w:t>
      </w:r>
    </w:p>
    <w:p w:rsidR="00F87646" w:rsidRPr="00BC0C9E" w:rsidRDefault="00F87646" w:rsidP="00882D47">
      <w:r w:rsidRPr="00BC0C9E">
        <w:t xml:space="preserve">Eleven additional Passive Alert Detection dogs (sniffer dogs) will increase the capability of Victoria Police to carry out search warrants in the city and hotspot regional areas where ice has infiltrated. </w:t>
      </w:r>
    </w:p>
    <w:p w:rsidR="00F87646" w:rsidRPr="00BC0C9E" w:rsidRDefault="00F87646" w:rsidP="00882D47">
      <w:r w:rsidRPr="00BC0C9E">
        <w:t>This initiative contributes to the Department of Justice</w:t>
      </w:r>
      <w:r>
        <w:t>’</w:t>
      </w:r>
      <w:r w:rsidRPr="00BC0C9E">
        <w:t>s Policing Services output.</w:t>
      </w:r>
    </w:p>
    <w:p w:rsidR="00F87646" w:rsidRPr="00BC0C9E" w:rsidRDefault="00F87646" w:rsidP="00882D47">
      <w:pPr>
        <w:pStyle w:val="Heading2"/>
      </w:pPr>
      <w:r w:rsidRPr="00BC0C9E">
        <w:t>Jobs in the 21st Century</w:t>
      </w:r>
    </w:p>
    <w:p w:rsidR="00F87646" w:rsidRPr="00BC0C9E" w:rsidRDefault="00F87646" w:rsidP="00882D47">
      <w:pPr>
        <w:pStyle w:val="Heading3"/>
      </w:pPr>
      <w:r w:rsidRPr="00BC0C9E">
        <w:t>Jobs in the 21st Century – International Engagement</w:t>
      </w:r>
    </w:p>
    <w:p w:rsidR="00F87646" w:rsidRPr="00BC0C9E" w:rsidRDefault="00F87646" w:rsidP="00CD5DBA">
      <w:pPr>
        <w:pStyle w:val="Heading4"/>
      </w:pPr>
      <w:r w:rsidRPr="00BC0C9E">
        <w:t>Premier and Cabinet</w:t>
      </w:r>
    </w:p>
    <w:p w:rsidR="00F87646" w:rsidRPr="00BC0C9E" w:rsidRDefault="00F87646" w:rsidP="00CD5DBA">
      <w:pPr>
        <w:pStyle w:val="Heading5"/>
      </w:pPr>
      <w:r w:rsidRPr="00BC0C9E">
        <w:t>International and domestic engagement</w:t>
      </w:r>
    </w:p>
    <w:p w:rsidR="00F87646" w:rsidRPr="00BC0C9E" w:rsidRDefault="00F87646" w:rsidP="00CD5DBA">
      <w:r w:rsidRPr="00BC0C9E">
        <w:t xml:space="preserve">Victorian businesses will be connected to new opportunities through support for engagement and awareness amongst local employers and communities. </w:t>
      </w:r>
    </w:p>
    <w:p w:rsidR="00F87646" w:rsidRPr="00BC0C9E" w:rsidRDefault="00F87646" w:rsidP="00CD5DBA">
      <w:r w:rsidRPr="00BC0C9E">
        <w:t>This includes strengthening Victoria</w:t>
      </w:r>
      <w:r>
        <w:t>’</w:t>
      </w:r>
      <w:r w:rsidRPr="00BC0C9E">
        <w:t>s ongoing sister</w:t>
      </w:r>
      <w:r>
        <w:noBreakHyphen/>
      </w:r>
      <w:r w:rsidRPr="00BC0C9E">
        <w:t>state relationships and establishing new relationships in India and Indonesia, further enhancing important cultural links and assisting the development of new business opportunities.</w:t>
      </w:r>
    </w:p>
    <w:p w:rsidR="00F87646" w:rsidRDefault="00F87646" w:rsidP="00CD5DBA">
      <w:r w:rsidRPr="00BC0C9E">
        <w:t>This initiative contributes to the Department of Premier and Cabinet</w:t>
      </w:r>
      <w:r>
        <w:t>’</w:t>
      </w:r>
      <w:r w:rsidRPr="00BC0C9E">
        <w:t>s Strategic Advice and Government Support output.</w:t>
      </w:r>
    </w:p>
    <w:p w:rsidR="00F87646" w:rsidRPr="00BC0C9E" w:rsidRDefault="00F87646" w:rsidP="00882D47">
      <w:pPr>
        <w:pStyle w:val="Heading4"/>
      </w:pPr>
      <w:r w:rsidRPr="00BC0C9E">
        <w:t>State Development, Business and Innovation</w:t>
      </w:r>
    </w:p>
    <w:p w:rsidR="00F87646" w:rsidRPr="00BC0C9E" w:rsidRDefault="00F87646" w:rsidP="00882D47">
      <w:pPr>
        <w:pStyle w:val="Heading5"/>
      </w:pPr>
      <w:r w:rsidRPr="00BC0C9E">
        <w:t>Victorian Government Business Offices</w:t>
      </w:r>
    </w:p>
    <w:p w:rsidR="00F87646" w:rsidRPr="00BC0C9E" w:rsidRDefault="00F87646" w:rsidP="00882D47">
      <w:r w:rsidRPr="00BC0C9E">
        <w:t xml:space="preserve">New Victorian Government Business Offices will be opened in Latin America and Singapore to attract new investment to Victoria and assist Victorian businesses with new market opportunities. </w:t>
      </w:r>
    </w:p>
    <w:p w:rsidR="00F87646" w:rsidRPr="00BC0C9E" w:rsidRDefault="00F87646" w:rsidP="00882D47">
      <w:r w:rsidRPr="00BC0C9E">
        <w:t>This initiative contributes to the Department of State Development, Business and Innovation</w:t>
      </w:r>
      <w:r>
        <w:t>’</w:t>
      </w:r>
      <w:r w:rsidRPr="00BC0C9E">
        <w:t xml:space="preserve">s: </w:t>
      </w:r>
    </w:p>
    <w:p w:rsidR="00F87646" w:rsidRPr="00BC0C9E" w:rsidRDefault="00F87646" w:rsidP="00882D47">
      <w:pPr>
        <w:pStyle w:val="BulletText"/>
      </w:pPr>
      <w:r w:rsidRPr="00BC0C9E">
        <w:t>Trade and Export Facilitation output; and</w:t>
      </w:r>
    </w:p>
    <w:p w:rsidR="00F87646" w:rsidRPr="00BC0C9E" w:rsidRDefault="00F87646" w:rsidP="00882D47">
      <w:pPr>
        <w:pStyle w:val="BulletText"/>
      </w:pPr>
      <w:r w:rsidRPr="00BC0C9E">
        <w:t xml:space="preserve">Investment Attraction, Facilitation and Major Projects output. </w:t>
      </w:r>
    </w:p>
    <w:p w:rsidR="00F87646" w:rsidRDefault="00F87646" w:rsidP="00CD5DBA">
      <w:pPr>
        <w:pStyle w:val="Heading4"/>
      </w:pPr>
      <w:r w:rsidRPr="00BC0C9E">
        <w:t>State Development, Business and Innovation</w:t>
      </w:r>
      <w:r>
        <w:t>/Premier and Cabinet</w:t>
      </w:r>
    </w:p>
    <w:p w:rsidR="00F87646" w:rsidRPr="00BC0C9E" w:rsidRDefault="00F87646" w:rsidP="00CD5DBA">
      <w:r w:rsidRPr="00BC0C9E">
        <w:rPr>
          <w:rFonts w:ascii="Calibri" w:hAnsi="Calibri"/>
          <w:b/>
        </w:rPr>
        <w:t>Inbound and outbound trade mission program</w:t>
      </w:r>
    </w:p>
    <w:p w:rsidR="00F87646" w:rsidRPr="00BC0C9E" w:rsidRDefault="00F87646" w:rsidP="00CD5DBA">
      <w:r w:rsidRPr="00BC0C9E">
        <w:t>Building on existing trade missions and establishing a new inbound program, delegations will be brought to and from high</w:t>
      </w:r>
      <w:r>
        <w:noBreakHyphen/>
      </w:r>
      <w:r w:rsidRPr="00BC0C9E">
        <w:t xml:space="preserve">growth export markets to showcase the global capabilities of Victorian businesses. This program includes initiatives to strengthen cultural connections and leverage opportunities in international markets. </w:t>
      </w:r>
    </w:p>
    <w:p w:rsidR="00F87646" w:rsidRDefault="00F87646">
      <w:pPr>
        <w:spacing w:after="0"/>
      </w:pPr>
      <w:r>
        <w:br w:type="page"/>
      </w:r>
    </w:p>
    <w:p w:rsidR="00F87646" w:rsidRPr="00BC0C9E" w:rsidRDefault="00F87646" w:rsidP="00CD5DBA">
      <w:r w:rsidRPr="00BC0C9E">
        <w:lastRenderedPageBreak/>
        <w:t>This initiative contributes to the Department of State Development, Business and Innovation</w:t>
      </w:r>
      <w:r>
        <w:t>’</w:t>
      </w:r>
      <w:r w:rsidRPr="00BC0C9E">
        <w:t>s:</w:t>
      </w:r>
    </w:p>
    <w:p w:rsidR="00F87646" w:rsidRPr="00BC0C9E" w:rsidRDefault="00F87646" w:rsidP="00CD5DBA">
      <w:pPr>
        <w:pStyle w:val="BulletText"/>
      </w:pPr>
      <w:r w:rsidRPr="00BC0C9E">
        <w:t>Trade and Export Facilitation output; and</w:t>
      </w:r>
    </w:p>
    <w:p w:rsidR="00F87646" w:rsidRPr="00BC0C9E" w:rsidRDefault="00F87646" w:rsidP="00CD5DBA">
      <w:pPr>
        <w:pStyle w:val="BulletText"/>
      </w:pPr>
      <w:r w:rsidRPr="00BC0C9E">
        <w:t>Investment Attraction, Facilitation and Major Projects output.</w:t>
      </w:r>
    </w:p>
    <w:p w:rsidR="00F87646" w:rsidRDefault="00F87646" w:rsidP="00232EA5">
      <w:pPr>
        <w:rPr>
          <w:rFonts w:ascii="Calibri" w:hAnsi="Calibri"/>
          <w:i/>
          <w:sz w:val="24"/>
          <w:szCs w:val="22"/>
        </w:rPr>
      </w:pPr>
      <w:r w:rsidRPr="00BC0C9E">
        <w:t>This initiative also contributes to the Department of Premier and Cabinet</w:t>
      </w:r>
      <w:r>
        <w:t>’</w:t>
      </w:r>
      <w:r w:rsidRPr="00BC0C9E">
        <w:t>s Arts and Cultural Development output.</w:t>
      </w:r>
    </w:p>
    <w:p w:rsidR="00F87646" w:rsidRPr="00BC0C9E" w:rsidRDefault="00F87646" w:rsidP="00882D47">
      <w:pPr>
        <w:pStyle w:val="Heading3"/>
      </w:pPr>
      <w:r w:rsidRPr="00BC0C9E">
        <w:t>Jobs in the 21st Century – Manufacturing Statement</w:t>
      </w:r>
    </w:p>
    <w:p w:rsidR="00F87646" w:rsidRPr="00BC0C9E" w:rsidRDefault="00F87646" w:rsidP="00882D47">
      <w:pPr>
        <w:pStyle w:val="Heading4"/>
      </w:pPr>
      <w:r w:rsidRPr="00BC0C9E">
        <w:t>State Development, Business and Innovation</w:t>
      </w:r>
    </w:p>
    <w:p w:rsidR="00F87646" w:rsidRPr="00BC0C9E" w:rsidRDefault="00F87646" w:rsidP="00882D47">
      <w:pPr>
        <w:pStyle w:val="Heading3"/>
        <w:rPr>
          <w:i w:val="0"/>
          <w:kern w:val="0"/>
          <w:sz w:val="22"/>
          <w:szCs w:val="20"/>
        </w:rPr>
      </w:pPr>
      <w:r w:rsidRPr="00BC0C9E">
        <w:rPr>
          <w:i w:val="0"/>
          <w:kern w:val="0"/>
          <w:sz w:val="22"/>
          <w:szCs w:val="20"/>
        </w:rPr>
        <w:t>Automotive supply chain support program</w:t>
      </w:r>
    </w:p>
    <w:p w:rsidR="00F87646" w:rsidRPr="00BC0C9E" w:rsidRDefault="00F87646" w:rsidP="00882D47">
      <w:r w:rsidRPr="00BC0C9E">
        <w:t xml:space="preserve">Assistance will be provided to automotive supply chain manufacturing companies to transition to new growth markets, at home and abroad. </w:t>
      </w:r>
    </w:p>
    <w:p w:rsidR="00F87646" w:rsidRPr="00BC0C9E" w:rsidRDefault="00F87646" w:rsidP="00882D47">
      <w:r w:rsidRPr="00BC0C9E">
        <w:t>This initiative contributes to the Department of State Development, Business and Innovation</w:t>
      </w:r>
      <w:r>
        <w:t>’</w:t>
      </w:r>
      <w:r w:rsidRPr="00BC0C9E">
        <w:t>s Investment Attraction, Facilitation and Major Projects output.</w:t>
      </w:r>
    </w:p>
    <w:p w:rsidR="00F87646" w:rsidRPr="00BC0C9E" w:rsidRDefault="00F87646" w:rsidP="00882D47">
      <w:pPr>
        <w:pStyle w:val="Heading5"/>
      </w:pPr>
      <w:r w:rsidRPr="00BC0C9E">
        <w:t>Manufacturing, Innovation and Technology Fund</w:t>
      </w:r>
    </w:p>
    <w:p w:rsidR="00F87646" w:rsidRPr="00BC0C9E" w:rsidRDefault="00F87646" w:rsidP="00882D47">
      <w:r w:rsidRPr="00BC0C9E">
        <w:t xml:space="preserve">Eligible manufacturing firms will be provided with vouchers of up to $250 000 to support their investment in innovative manufacturing processes and equipment. Access to innovative research, technologies and processes will enable firms to improve their competitive position in the marketplace. </w:t>
      </w:r>
    </w:p>
    <w:p w:rsidR="00F87646" w:rsidRPr="00BC0C9E" w:rsidRDefault="00F87646" w:rsidP="00882D47">
      <w:r w:rsidRPr="00BC0C9E">
        <w:t>This initiative contributes to the Department of State Development, Business and Innovation</w:t>
      </w:r>
      <w:r>
        <w:t>’</w:t>
      </w:r>
      <w:r w:rsidRPr="00BC0C9E">
        <w:t>s Innovation and Technology output.</w:t>
      </w:r>
    </w:p>
    <w:p w:rsidR="00F87646" w:rsidRPr="00BC0C9E" w:rsidRDefault="00F87646" w:rsidP="00882D47">
      <w:pPr>
        <w:pStyle w:val="Heading5"/>
      </w:pPr>
      <w:r w:rsidRPr="00BC0C9E">
        <w:t xml:space="preserve">Victorian Industry Participation Officers </w:t>
      </w:r>
    </w:p>
    <w:p w:rsidR="00F87646" w:rsidRPr="00BC0C9E" w:rsidRDefault="00F87646" w:rsidP="00882D47">
      <w:r w:rsidRPr="00BC0C9E">
        <w:t xml:space="preserve">Victorian Industry Participation Facilitators will be appointed to assist in identifying new opportunities for Victorian businesses in major infrastructure projects that have been declared as strategic projects. </w:t>
      </w:r>
    </w:p>
    <w:p w:rsidR="00F87646" w:rsidRPr="00BC0C9E" w:rsidRDefault="00F87646" w:rsidP="00232EA5">
      <w:pPr>
        <w:rPr>
          <w:rFonts w:ascii="Calibri" w:hAnsi="Calibri"/>
          <w:b/>
          <w:i/>
          <w:kern w:val="28"/>
          <w:sz w:val="24"/>
          <w:szCs w:val="22"/>
        </w:rPr>
      </w:pPr>
      <w:r w:rsidRPr="00BC0C9E">
        <w:t>This initiative contributes to the Department of State Development, Business and Innovation</w:t>
      </w:r>
      <w:r>
        <w:t>’</w:t>
      </w:r>
      <w:r w:rsidRPr="00BC0C9E">
        <w:t>s Investment Attraction, Facilitation and Major Projects output.</w:t>
      </w:r>
    </w:p>
    <w:p w:rsidR="00F87646" w:rsidRPr="00BC0C9E" w:rsidRDefault="00F87646" w:rsidP="00882D47">
      <w:pPr>
        <w:pStyle w:val="Heading3"/>
      </w:pPr>
      <w:r w:rsidRPr="00BC0C9E">
        <w:t>Jobs in the 21st Century – Skills</w:t>
      </w:r>
    </w:p>
    <w:p w:rsidR="00F87646" w:rsidRPr="00BC0C9E" w:rsidRDefault="00F87646" w:rsidP="00882D47">
      <w:pPr>
        <w:pStyle w:val="Heading4"/>
      </w:pPr>
      <w:r w:rsidRPr="00BC0C9E">
        <w:t>Education and Early Childhood Development</w:t>
      </w:r>
    </w:p>
    <w:p w:rsidR="00F87646" w:rsidRPr="00BC0C9E" w:rsidRDefault="00F87646" w:rsidP="00882D47">
      <w:pPr>
        <w:pStyle w:val="Heading5"/>
      </w:pPr>
      <w:r w:rsidRPr="00BC0C9E">
        <w:t>Better Pathways for Young People: Your Future Your Choice</w:t>
      </w:r>
    </w:p>
    <w:p w:rsidR="00F87646" w:rsidRPr="00BC0C9E" w:rsidRDefault="00F87646" w:rsidP="00882D47">
      <w:r w:rsidRPr="00BC0C9E">
        <w:t>The Geelong Tertiary Futures program will be expanded to provide services for up to 90 schools in disadvantaged areas. The program provides hands</w:t>
      </w:r>
      <w:r>
        <w:noBreakHyphen/>
      </w:r>
      <w:r w:rsidRPr="00BC0C9E">
        <w:t xml:space="preserve">on learning experiences for year 9 students to reduce the risk of students disengaging from the school system and support students in identifying pathways to further learning. </w:t>
      </w:r>
    </w:p>
    <w:p w:rsidR="00F87646" w:rsidRPr="00BC0C9E" w:rsidRDefault="00F87646" w:rsidP="00882D47">
      <w:r w:rsidRPr="00BC0C9E">
        <w:t>This initiative contributes to the Department of Education and Early Childhood Development</w:t>
      </w:r>
      <w:r>
        <w:t>’</w:t>
      </w:r>
      <w:r w:rsidRPr="00BC0C9E">
        <w:t>s School Education – Secondary output.</w:t>
      </w:r>
    </w:p>
    <w:p w:rsidR="00F87646" w:rsidRPr="00BC0C9E" w:rsidRDefault="00F87646" w:rsidP="00882D47">
      <w:pPr>
        <w:pStyle w:val="Heading5"/>
      </w:pPr>
      <w:r w:rsidRPr="00BC0C9E">
        <w:lastRenderedPageBreak/>
        <w:t>More Decisions Support: Your Future Your Choice</w:t>
      </w:r>
    </w:p>
    <w:p w:rsidR="00F87646" w:rsidRPr="00BC0C9E" w:rsidRDefault="00F87646" w:rsidP="00882D47">
      <w:r w:rsidRPr="00BC0C9E">
        <w:t xml:space="preserve">An advisory phone line service and website will be established to provide advice on training eligibility, career direction and training provider information and referral services, to better inform training decisions. </w:t>
      </w:r>
    </w:p>
    <w:p w:rsidR="00F87646" w:rsidRPr="00BC0C9E" w:rsidRDefault="00F87646" w:rsidP="00882D47">
      <w:r w:rsidRPr="00BC0C9E">
        <w:t>This initiative contributes to the Department of Education and Early Childhood Development</w:t>
      </w:r>
      <w:r>
        <w:t>’</w:t>
      </w:r>
      <w:r w:rsidRPr="00BC0C9E">
        <w:t>s Higher Education and Skills output.</w:t>
      </w:r>
    </w:p>
    <w:p w:rsidR="00F87646" w:rsidRPr="00BC0C9E" w:rsidRDefault="00F87646" w:rsidP="00882D47">
      <w:pPr>
        <w:pStyle w:val="Heading5"/>
      </w:pPr>
      <w:r w:rsidRPr="00BC0C9E">
        <w:t>Skills of the Future Fund</w:t>
      </w:r>
    </w:p>
    <w:p w:rsidR="00F87646" w:rsidRPr="00BC0C9E" w:rsidRDefault="00F87646" w:rsidP="00882D47">
      <w:r w:rsidRPr="00BC0C9E">
        <w:t xml:space="preserve">The Skills of the Future Fund will be established to meet the costs of the construction of additional Future Skills Centres by TAFEs to provide specialised training tailored to the skills needs of specific industry sectors. </w:t>
      </w:r>
    </w:p>
    <w:p w:rsidR="00F87646" w:rsidRPr="00BC0C9E" w:rsidRDefault="00F87646" w:rsidP="00882D47">
      <w:r w:rsidRPr="00BC0C9E">
        <w:t>This initiative contributes to the Department of Education and Early Childhood Development</w:t>
      </w:r>
      <w:r>
        <w:t>’</w:t>
      </w:r>
      <w:r w:rsidRPr="00BC0C9E">
        <w:t>s Higher Education and Skills output.</w:t>
      </w:r>
    </w:p>
    <w:p w:rsidR="00F87646" w:rsidRPr="00BC0C9E" w:rsidRDefault="00F87646" w:rsidP="00A433A7">
      <w:pPr>
        <w:pStyle w:val="Heading3"/>
      </w:pPr>
      <w:r w:rsidRPr="00BC0C9E">
        <w:t>Strengthening Victoria</w:t>
      </w:r>
      <w:r>
        <w:t>’</w:t>
      </w:r>
      <w:r w:rsidRPr="00BC0C9E">
        <w:t>s Social Cohesion</w:t>
      </w:r>
    </w:p>
    <w:p w:rsidR="00F87646" w:rsidRPr="00BC0C9E" w:rsidRDefault="00F87646" w:rsidP="00A433A7">
      <w:pPr>
        <w:pStyle w:val="Heading4"/>
      </w:pPr>
      <w:r w:rsidRPr="00BC0C9E">
        <w:t>Justice</w:t>
      </w:r>
    </w:p>
    <w:p w:rsidR="00F87646" w:rsidRPr="00BC0C9E" w:rsidRDefault="00F87646" w:rsidP="00A433A7">
      <w:pPr>
        <w:pStyle w:val="Heading5"/>
      </w:pPr>
      <w:r w:rsidRPr="00BC0C9E">
        <w:t>Countering violent extremism</w:t>
      </w:r>
    </w:p>
    <w:p w:rsidR="00F87646" w:rsidRPr="00BC0C9E" w:rsidRDefault="00F87646" w:rsidP="00A433A7">
      <w:r w:rsidRPr="00BC0C9E">
        <w:t xml:space="preserve">Support will continue for programs aiming to counter violent extremism and provide early intervention, such as the Community Integration Support Program. These programs target convicted Victorian terrorists, prisoners and individuals vulnerable to radicalisation. </w:t>
      </w:r>
    </w:p>
    <w:p w:rsidR="00F87646" w:rsidRPr="00BC0C9E" w:rsidRDefault="00F87646" w:rsidP="00232EA5">
      <w:pPr>
        <w:rPr>
          <w:rFonts w:ascii="Calibri" w:hAnsi="Calibri"/>
          <w:i/>
          <w:sz w:val="24"/>
          <w:szCs w:val="22"/>
        </w:rPr>
      </w:pPr>
      <w:r w:rsidRPr="00BC0C9E">
        <w:t>This initiative contributes to the Department of Justice</w:t>
      </w:r>
      <w:r>
        <w:t>’</w:t>
      </w:r>
      <w:r w:rsidRPr="00BC0C9E">
        <w:t>s Policing Services output.</w:t>
      </w:r>
    </w:p>
    <w:p w:rsidR="00F87646" w:rsidRPr="00BC0C9E" w:rsidRDefault="00F87646" w:rsidP="00A433A7">
      <w:pPr>
        <w:pStyle w:val="Heading4"/>
      </w:pPr>
      <w:r w:rsidRPr="00BC0C9E">
        <w:t>Premier and Cabinet</w:t>
      </w:r>
    </w:p>
    <w:p w:rsidR="00F87646" w:rsidRPr="00BC0C9E" w:rsidRDefault="00F87646" w:rsidP="00A433A7">
      <w:pPr>
        <w:pStyle w:val="Heading5"/>
      </w:pPr>
      <w:r w:rsidRPr="00BC0C9E">
        <w:t>Social cohesion initiatives</w:t>
      </w:r>
    </w:p>
    <w:p w:rsidR="00F87646" w:rsidRPr="00BC0C9E" w:rsidRDefault="00F87646" w:rsidP="00A433A7">
      <w:r w:rsidRPr="00BC0C9E">
        <w:t>A range of projects will be implemented to encourage greater participation, understanding and acceptance of diversity, and minimise the impact of international, national and local events on Victoria</w:t>
      </w:r>
      <w:r>
        <w:t>’</w:t>
      </w:r>
      <w:r w:rsidRPr="00BC0C9E">
        <w:t>s social cohesion. These projects will be delivered through a range of bodies such as local councils, interfaith networks, schools, sporting clubs, Victoria Police and the Office of Multiculturalism and Citizenship.</w:t>
      </w:r>
    </w:p>
    <w:p w:rsidR="00F87646" w:rsidRPr="00BC0C9E" w:rsidRDefault="00F87646" w:rsidP="00A433A7">
      <w:r w:rsidRPr="00BC0C9E">
        <w:t>This initiative contributes to the Department of Premier and Cabinet</w:t>
      </w:r>
      <w:r>
        <w:t>’</w:t>
      </w:r>
      <w:r w:rsidRPr="00BC0C9E">
        <w:t>s Multicultural Affairs and Citizenship output.</w:t>
      </w:r>
    </w:p>
    <w:p w:rsidR="00F87646" w:rsidRDefault="00F87646">
      <w:pPr>
        <w:spacing w:after="0"/>
        <w:rPr>
          <w:rFonts w:ascii="Calibri" w:hAnsi="Calibri"/>
          <w:b/>
          <w:kern w:val="28"/>
          <w:sz w:val="26"/>
          <w:szCs w:val="22"/>
        </w:rPr>
      </w:pPr>
      <w:r>
        <w:br w:type="page"/>
      </w:r>
    </w:p>
    <w:p w:rsidR="00F87646" w:rsidRPr="00BC0C9E" w:rsidRDefault="00F87646" w:rsidP="00882D47">
      <w:pPr>
        <w:pStyle w:val="Heading2"/>
      </w:pPr>
      <w:r w:rsidRPr="00BC0C9E">
        <w:lastRenderedPageBreak/>
        <w:t>Asset initiatives</w:t>
      </w:r>
    </w:p>
    <w:p w:rsidR="00F87646" w:rsidRPr="00BC0C9E" w:rsidRDefault="00F87646" w:rsidP="00882D47">
      <w:pPr>
        <w:pStyle w:val="Tableheading"/>
      </w:pPr>
      <w:r w:rsidRPr="00BC0C9E">
        <w:t>Table A.3:</w:t>
      </w:r>
      <w:r w:rsidRPr="00BC0C9E">
        <w:tab/>
        <w:t>Asset initiatives – government</w:t>
      </w:r>
      <w:r>
        <w:noBreakHyphen/>
      </w:r>
      <w:r w:rsidRPr="00BC0C9E">
        <w:t>wide</w:t>
      </w:r>
    </w:p>
    <w:p w:rsidR="00F87646" w:rsidRPr="00C23FDF" w:rsidRDefault="00F87646" w:rsidP="0076026C">
      <w:pPr>
        <w:pStyle w:val="million"/>
      </w:pPr>
      <w:r w:rsidRPr="00BC0C9E">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612"/>
        <w:gridCol w:w="74"/>
        <w:gridCol w:w="236"/>
        <w:gridCol w:w="680"/>
        <w:gridCol w:w="242"/>
        <w:gridCol w:w="923"/>
        <w:gridCol w:w="922"/>
        <w:gridCol w:w="923"/>
      </w:tblGrid>
      <w:tr w:rsidR="00F87646" w:rsidRPr="00C23FDF" w:rsidTr="00C23FDF">
        <w:trPr>
          <w:cantSplit/>
        </w:trPr>
        <w:tc>
          <w:tcPr>
            <w:tcW w:w="3164" w:type="dxa"/>
            <w:tcBorders>
              <w:top w:val="single" w:sz="6" w:space="0" w:color="auto"/>
              <w:left w:val="single" w:sz="4" w:space="0" w:color="auto"/>
              <w:bottom w:val="single" w:sz="4" w:space="0" w:color="auto"/>
              <w:right w:val="nil"/>
            </w:tcBorders>
            <w:shd w:val="clear" w:color="auto" w:fill="000000"/>
          </w:tcPr>
          <w:p w:rsidR="00F87646" w:rsidRPr="00C23FDF" w:rsidRDefault="00F87646" w:rsidP="00C23FDF">
            <w:pPr>
              <w:pStyle w:val="Tabletext"/>
              <w:rPr>
                <w:rFonts w:eastAsiaTheme="minorEastAsia"/>
                <w:lang w:eastAsia="en-AU"/>
              </w:rPr>
            </w:pPr>
          </w:p>
        </w:tc>
        <w:tc>
          <w:tcPr>
            <w:tcW w:w="922" w:type="dxa"/>
            <w:gridSpan w:val="3"/>
            <w:tcBorders>
              <w:top w:val="single" w:sz="6" w:space="0" w:color="auto"/>
              <w:left w:val="nil"/>
              <w:bottom w:val="single" w:sz="4" w:space="0" w:color="auto"/>
              <w:right w:val="nil"/>
            </w:tcBorders>
            <w:shd w:val="clear" w:color="auto" w:fill="000000"/>
          </w:tcPr>
          <w:p w:rsidR="00F87646" w:rsidRPr="00C23FDF" w:rsidRDefault="00F87646" w:rsidP="00C23FDF">
            <w:pPr>
              <w:pStyle w:val="Tabletextheading"/>
              <w:rPr>
                <w:rFonts w:eastAsiaTheme="minorEastAsia"/>
                <w:lang w:eastAsia="en-AU"/>
              </w:rPr>
            </w:pPr>
            <w:r w:rsidRPr="00C23FDF">
              <w:rPr>
                <w:rFonts w:eastAsiaTheme="minorEastAsia"/>
                <w:lang w:eastAsia="en-AU"/>
              </w:rPr>
              <w:t>2014</w:t>
            </w:r>
            <w:r>
              <w:rPr>
                <w:rFonts w:eastAsiaTheme="minorEastAsia"/>
                <w:lang w:eastAsia="en-AU"/>
              </w:rPr>
              <w:noBreakHyphen/>
            </w:r>
            <w:r w:rsidRPr="00C23FDF">
              <w:rPr>
                <w:rFonts w:eastAsiaTheme="minorEastAsia"/>
                <w:lang w:eastAsia="en-AU"/>
              </w:rPr>
              <w:t>15</w:t>
            </w:r>
          </w:p>
        </w:tc>
        <w:tc>
          <w:tcPr>
            <w:tcW w:w="922" w:type="dxa"/>
            <w:gridSpan w:val="2"/>
            <w:tcBorders>
              <w:top w:val="single" w:sz="6" w:space="0" w:color="auto"/>
              <w:left w:val="nil"/>
              <w:bottom w:val="single" w:sz="4" w:space="0" w:color="auto"/>
              <w:right w:val="nil"/>
            </w:tcBorders>
            <w:shd w:val="clear" w:color="auto" w:fill="000000"/>
          </w:tcPr>
          <w:p w:rsidR="00F87646" w:rsidRPr="00C23FDF" w:rsidRDefault="00F87646" w:rsidP="00C23FDF">
            <w:pPr>
              <w:pStyle w:val="Tabletextheading"/>
              <w:rPr>
                <w:rFonts w:eastAsiaTheme="minorEastAsia"/>
                <w:lang w:eastAsia="en-AU"/>
              </w:rPr>
            </w:pPr>
            <w:r w:rsidRPr="00C23FDF">
              <w:rPr>
                <w:rFonts w:eastAsiaTheme="minorEastAsia"/>
                <w:lang w:eastAsia="en-AU"/>
              </w:rPr>
              <w:t>2015</w:t>
            </w:r>
            <w:r>
              <w:rPr>
                <w:rFonts w:eastAsiaTheme="minorEastAsia"/>
                <w:lang w:eastAsia="en-AU"/>
              </w:rPr>
              <w:noBreakHyphen/>
            </w:r>
            <w:r w:rsidRPr="00C23FDF">
              <w:rPr>
                <w:rFonts w:eastAsiaTheme="minorEastAsia"/>
                <w:lang w:eastAsia="en-AU"/>
              </w:rPr>
              <w:t>16</w:t>
            </w:r>
          </w:p>
        </w:tc>
        <w:tc>
          <w:tcPr>
            <w:tcW w:w="923" w:type="dxa"/>
            <w:tcBorders>
              <w:top w:val="single" w:sz="6" w:space="0" w:color="auto"/>
              <w:left w:val="nil"/>
              <w:bottom w:val="single" w:sz="4" w:space="0" w:color="auto"/>
              <w:right w:val="nil"/>
            </w:tcBorders>
            <w:shd w:val="clear" w:color="auto" w:fill="000000"/>
          </w:tcPr>
          <w:p w:rsidR="00F87646" w:rsidRPr="00C23FDF" w:rsidRDefault="00F87646" w:rsidP="00C23FDF">
            <w:pPr>
              <w:pStyle w:val="Tabletextheading"/>
              <w:rPr>
                <w:rFonts w:eastAsiaTheme="minorEastAsia"/>
                <w:lang w:eastAsia="en-AU"/>
              </w:rPr>
            </w:pPr>
            <w:r w:rsidRPr="00C23FDF">
              <w:rPr>
                <w:rFonts w:eastAsiaTheme="minorEastAsia"/>
                <w:lang w:eastAsia="en-AU"/>
              </w:rPr>
              <w:t>2016</w:t>
            </w:r>
            <w:r>
              <w:rPr>
                <w:rFonts w:eastAsiaTheme="minorEastAsia"/>
                <w:lang w:eastAsia="en-AU"/>
              </w:rPr>
              <w:noBreakHyphen/>
            </w:r>
            <w:r w:rsidRPr="00C23FDF">
              <w:rPr>
                <w:rFonts w:eastAsiaTheme="minorEastAsia"/>
                <w:lang w:eastAsia="en-AU"/>
              </w:rPr>
              <w:t>17</w:t>
            </w:r>
          </w:p>
        </w:tc>
        <w:tc>
          <w:tcPr>
            <w:tcW w:w="922" w:type="dxa"/>
            <w:tcBorders>
              <w:top w:val="single" w:sz="6" w:space="0" w:color="auto"/>
              <w:left w:val="nil"/>
              <w:bottom w:val="single" w:sz="4" w:space="0" w:color="auto"/>
              <w:right w:val="nil"/>
            </w:tcBorders>
            <w:shd w:val="clear" w:color="auto" w:fill="000000"/>
          </w:tcPr>
          <w:p w:rsidR="00F87646" w:rsidRPr="00C23FDF" w:rsidRDefault="00F87646" w:rsidP="00C23FDF">
            <w:pPr>
              <w:pStyle w:val="Tabletextheading"/>
              <w:rPr>
                <w:rFonts w:eastAsiaTheme="minorEastAsia"/>
                <w:lang w:eastAsia="en-AU"/>
              </w:rPr>
            </w:pPr>
            <w:r w:rsidRPr="00C23FDF">
              <w:rPr>
                <w:rFonts w:eastAsiaTheme="minorEastAsia"/>
                <w:lang w:eastAsia="en-AU"/>
              </w:rPr>
              <w:t>2017</w:t>
            </w:r>
            <w:r>
              <w:rPr>
                <w:rFonts w:eastAsiaTheme="minorEastAsia"/>
                <w:lang w:eastAsia="en-AU"/>
              </w:rPr>
              <w:noBreakHyphen/>
            </w:r>
            <w:r w:rsidRPr="00C23FDF">
              <w:rPr>
                <w:rFonts w:eastAsiaTheme="minorEastAsia"/>
                <w:lang w:eastAsia="en-AU"/>
              </w:rPr>
              <w:t>18</w:t>
            </w:r>
          </w:p>
        </w:tc>
        <w:tc>
          <w:tcPr>
            <w:tcW w:w="923" w:type="dxa"/>
            <w:tcBorders>
              <w:top w:val="single" w:sz="6" w:space="0" w:color="auto"/>
              <w:left w:val="nil"/>
              <w:bottom w:val="single" w:sz="4" w:space="0" w:color="auto"/>
              <w:right w:val="single" w:sz="4" w:space="0" w:color="auto"/>
            </w:tcBorders>
            <w:shd w:val="clear" w:color="auto" w:fill="000000"/>
          </w:tcPr>
          <w:p w:rsidR="00F87646" w:rsidRPr="00C23FDF" w:rsidRDefault="00F87646" w:rsidP="00C23FDF">
            <w:pPr>
              <w:pStyle w:val="Tabletextheading"/>
              <w:rPr>
                <w:rFonts w:eastAsiaTheme="minorEastAsia"/>
                <w:lang w:eastAsia="en-AU"/>
              </w:rPr>
            </w:pPr>
            <w:r w:rsidRPr="00C23FDF">
              <w:rPr>
                <w:rFonts w:eastAsiaTheme="minorEastAsia"/>
                <w:lang w:eastAsia="en-AU"/>
              </w:rPr>
              <w:t>TEI</w:t>
            </w:r>
          </w:p>
        </w:tc>
      </w:tr>
      <w:tr w:rsidR="00F87646" w:rsidRPr="00C23FDF" w:rsidTr="00C23FDF">
        <w:trPr>
          <w:cantSplit/>
        </w:trPr>
        <w:tc>
          <w:tcPr>
            <w:tcW w:w="3776" w:type="dxa"/>
            <w:gridSpan w:val="2"/>
            <w:tcBorders>
              <w:top w:val="single" w:sz="4" w:space="0" w:color="auto"/>
              <w:left w:val="nil"/>
              <w:bottom w:val="nil"/>
              <w:right w:val="nil"/>
            </w:tcBorders>
          </w:tcPr>
          <w:p w:rsidR="00F87646" w:rsidRPr="00C23FDF" w:rsidRDefault="00F87646" w:rsidP="00C23FDF">
            <w:pPr>
              <w:pStyle w:val="Tabletext"/>
              <w:rPr>
                <w:rFonts w:eastAsiaTheme="minorEastAsia"/>
                <w:b/>
                <w:bCs/>
                <w:i/>
                <w:iCs/>
                <w:lang w:eastAsia="en-AU"/>
              </w:rPr>
            </w:pPr>
            <w:r w:rsidRPr="00C23FDF">
              <w:rPr>
                <w:rFonts w:eastAsiaTheme="minorEastAsia"/>
                <w:b/>
                <w:bCs/>
                <w:i/>
                <w:iCs/>
                <w:lang w:eastAsia="en-AU"/>
              </w:rPr>
              <w:t>Ending violence against women and children</w:t>
            </w:r>
          </w:p>
        </w:tc>
        <w:tc>
          <w:tcPr>
            <w:tcW w:w="990" w:type="dxa"/>
            <w:gridSpan w:val="3"/>
            <w:tcBorders>
              <w:top w:val="single" w:sz="4" w:space="0" w:color="auto"/>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242" w:type="dxa"/>
            <w:tcBorders>
              <w:top w:val="single" w:sz="4" w:space="0" w:color="auto"/>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3" w:type="dxa"/>
            <w:tcBorders>
              <w:top w:val="single" w:sz="4" w:space="0" w:color="auto"/>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2" w:type="dxa"/>
            <w:tcBorders>
              <w:top w:val="single" w:sz="4" w:space="0" w:color="auto"/>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3" w:type="dxa"/>
            <w:tcBorders>
              <w:top w:val="single" w:sz="4" w:space="0" w:color="auto"/>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b/>
                <w:bCs/>
                <w:lang w:eastAsia="en-AU"/>
              </w:rPr>
            </w:pPr>
            <w:r w:rsidRPr="00C23FDF">
              <w:rPr>
                <w:rFonts w:eastAsiaTheme="minorEastAsia"/>
                <w:b/>
                <w:bCs/>
                <w:lang w:eastAsia="en-AU"/>
              </w:rPr>
              <w:t>Justice</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p>
        </w:tc>
      </w:tr>
      <w:tr w:rsidR="00F87646" w:rsidRPr="00C23FDF" w:rsidTr="00C23FDF">
        <w:trPr>
          <w:cantSplit/>
        </w:trPr>
        <w:tc>
          <w:tcPr>
            <w:tcW w:w="3164" w:type="dxa"/>
            <w:tcBorders>
              <w:top w:val="nil"/>
              <w:left w:val="nil"/>
              <w:bottom w:val="nil"/>
              <w:right w:val="nil"/>
            </w:tcBorders>
            <w:shd w:val="solid" w:color="FFFFFF" w:fill="auto"/>
          </w:tcPr>
          <w:p w:rsidR="00F87646" w:rsidRPr="00C23FDF" w:rsidRDefault="00F87646" w:rsidP="00C23FDF">
            <w:pPr>
              <w:pStyle w:val="Tabletext"/>
              <w:rPr>
                <w:rFonts w:eastAsiaTheme="minorEastAsia"/>
                <w:lang w:eastAsia="en-AU"/>
              </w:rPr>
            </w:pPr>
            <w:r w:rsidRPr="00C23FDF">
              <w:rPr>
                <w:rFonts w:eastAsiaTheme="minorEastAsia"/>
                <w:lang w:eastAsia="en-AU"/>
              </w:rPr>
              <w:t>Multi</w:t>
            </w:r>
            <w:r>
              <w:rPr>
                <w:rFonts w:eastAsiaTheme="minorEastAsia"/>
                <w:lang w:eastAsia="en-AU"/>
              </w:rPr>
              <w:noBreakHyphen/>
            </w:r>
            <w:r w:rsidRPr="00C23FDF">
              <w:rPr>
                <w:rFonts w:eastAsiaTheme="minorEastAsia"/>
                <w:lang w:eastAsia="en-AU"/>
              </w:rPr>
              <w:t>Disciplinary Centres – new centre</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2.0</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2.0</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4.0</w:t>
            </w: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b/>
                <w:bCs/>
                <w:lang w:eastAsia="en-AU"/>
              </w:rPr>
            </w:pPr>
            <w:r w:rsidRPr="00C23FDF">
              <w:rPr>
                <w:rFonts w:eastAsiaTheme="minorEastAsia"/>
                <w:b/>
                <w:bCs/>
                <w:lang w:eastAsia="en-AU"/>
              </w:rPr>
              <w:t>Courts</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lang w:eastAsia="en-AU"/>
              </w:rPr>
            </w:pPr>
            <w:r w:rsidRPr="00C23FDF">
              <w:rPr>
                <w:rFonts w:eastAsiaTheme="minorEastAsia"/>
                <w:lang w:eastAsia="en-AU"/>
              </w:rPr>
              <w:t>Courts – safe waiting areas</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2.8</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2.8</w:t>
            </w: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lang w:eastAsia="en-AU"/>
              </w:rPr>
            </w:pPr>
            <w:r w:rsidRPr="00C23FDF">
              <w:rPr>
                <w:rFonts w:eastAsiaTheme="minorEastAsia"/>
                <w:lang w:eastAsia="en-AU"/>
              </w:rPr>
              <w:t>Specialist Family Violence Court program expansion – minor works</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1.5</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1.5</w:t>
            </w:r>
          </w:p>
        </w:tc>
      </w:tr>
      <w:tr w:rsidR="00F87646" w:rsidRPr="00C23FDF" w:rsidTr="00C23FDF">
        <w:trPr>
          <w:cantSplit/>
        </w:trPr>
        <w:tc>
          <w:tcPr>
            <w:tcW w:w="3164" w:type="dxa"/>
            <w:tcBorders>
              <w:top w:val="single" w:sz="6" w:space="0" w:color="auto"/>
              <w:left w:val="nil"/>
              <w:bottom w:val="single" w:sz="6" w:space="0" w:color="auto"/>
              <w:right w:val="nil"/>
            </w:tcBorders>
          </w:tcPr>
          <w:p w:rsidR="00F87646" w:rsidRPr="00C23FDF" w:rsidRDefault="00F87646" w:rsidP="00C23FDF">
            <w:pPr>
              <w:pStyle w:val="Tabletext"/>
              <w:rPr>
                <w:rFonts w:eastAsiaTheme="minorEastAsia"/>
                <w:b/>
                <w:bCs/>
                <w:lang w:eastAsia="en-AU"/>
              </w:rPr>
            </w:pPr>
            <w:r w:rsidRPr="00C23FDF">
              <w:rPr>
                <w:rFonts w:eastAsiaTheme="minorEastAsia"/>
                <w:b/>
                <w:bCs/>
                <w:lang w:eastAsia="en-AU"/>
              </w:rPr>
              <w:t>Total asset initiatives – Ending violence against women and children</w:t>
            </w:r>
          </w:p>
        </w:tc>
        <w:tc>
          <w:tcPr>
            <w:tcW w:w="922" w:type="dxa"/>
            <w:gridSpan w:val="3"/>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3.5</w:t>
            </w:r>
          </w:p>
        </w:tc>
        <w:tc>
          <w:tcPr>
            <w:tcW w:w="922" w:type="dxa"/>
            <w:gridSpan w:val="2"/>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4.8</w:t>
            </w:r>
          </w:p>
        </w:tc>
        <w:tc>
          <w:tcPr>
            <w:tcW w:w="923" w:type="dxa"/>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w:t>
            </w:r>
          </w:p>
        </w:tc>
        <w:tc>
          <w:tcPr>
            <w:tcW w:w="922" w:type="dxa"/>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w:t>
            </w:r>
          </w:p>
        </w:tc>
        <w:tc>
          <w:tcPr>
            <w:tcW w:w="923" w:type="dxa"/>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8.3</w:t>
            </w: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b/>
                <w:bCs/>
                <w:i/>
                <w:iCs/>
                <w:lang w:eastAsia="en-AU"/>
              </w:rPr>
            </w:pPr>
            <w:r w:rsidRPr="00C23FDF">
              <w:rPr>
                <w:rFonts w:eastAsiaTheme="minorEastAsia"/>
                <w:b/>
                <w:bCs/>
                <w:i/>
                <w:iCs/>
                <w:lang w:eastAsia="en-AU"/>
              </w:rPr>
              <w:t>Jobs in the 21st Century – Skills</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r>
      <w:tr w:rsidR="00F87646" w:rsidRPr="00C23FDF" w:rsidTr="00C23FDF">
        <w:trPr>
          <w:cantSplit/>
        </w:trPr>
        <w:tc>
          <w:tcPr>
            <w:tcW w:w="3850" w:type="dxa"/>
            <w:gridSpan w:val="3"/>
            <w:tcBorders>
              <w:top w:val="nil"/>
              <w:left w:val="nil"/>
              <w:bottom w:val="nil"/>
              <w:right w:val="nil"/>
            </w:tcBorders>
          </w:tcPr>
          <w:p w:rsidR="00F87646" w:rsidRPr="00C23FDF" w:rsidRDefault="00F87646" w:rsidP="00C23FDF">
            <w:pPr>
              <w:pStyle w:val="Tabletext"/>
              <w:rPr>
                <w:rFonts w:eastAsiaTheme="minorEastAsia"/>
                <w:b/>
                <w:bCs/>
                <w:lang w:eastAsia="en-AU"/>
              </w:rPr>
            </w:pPr>
            <w:r w:rsidRPr="00C23FDF">
              <w:rPr>
                <w:rFonts w:eastAsiaTheme="minorEastAsia"/>
                <w:b/>
                <w:bCs/>
                <w:lang w:eastAsia="en-AU"/>
              </w:rPr>
              <w:t>Education and Early Childhood Development</w:t>
            </w:r>
          </w:p>
        </w:tc>
        <w:tc>
          <w:tcPr>
            <w:tcW w:w="236"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w:t>
            </w: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lang w:eastAsia="en-AU"/>
              </w:rPr>
            </w:pPr>
            <w:r w:rsidRPr="00C23FDF">
              <w:rPr>
                <w:rFonts w:eastAsiaTheme="minorEastAsia"/>
                <w:lang w:eastAsia="en-AU"/>
              </w:rPr>
              <w:t>Chisholm Institute Frankston Campus – Centre for Advanced Manufacturing and Trades</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2.6</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13.5</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5.8</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21.9</w:t>
            </w:r>
          </w:p>
        </w:tc>
      </w:tr>
      <w:tr w:rsidR="00F87646" w:rsidRPr="00C23FDF" w:rsidTr="00C23FDF">
        <w:trPr>
          <w:cantSplit/>
        </w:trPr>
        <w:tc>
          <w:tcPr>
            <w:tcW w:w="3164" w:type="dxa"/>
            <w:tcBorders>
              <w:top w:val="nil"/>
              <w:left w:val="nil"/>
              <w:bottom w:val="nil"/>
              <w:right w:val="nil"/>
            </w:tcBorders>
          </w:tcPr>
          <w:p w:rsidR="00F87646" w:rsidRPr="00C23FDF" w:rsidRDefault="00F87646" w:rsidP="00C23FDF">
            <w:pPr>
              <w:pStyle w:val="Tabletext"/>
              <w:rPr>
                <w:rFonts w:eastAsiaTheme="minorEastAsia"/>
                <w:lang w:eastAsia="en-AU"/>
              </w:rPr>
            </w:pPr>
            <w:r w:rsidRPr="00C23FDF">
              <w:rPr>
                <w:rFonts w:eastAsiaTheme="minorEastAsia"/>
                <w:lang w:eastAsia="en-AU"/>
              </w:rPr>
              <w:t>Skills of the Future Fund</w:t>
            </w:r>
          </w:p>
        </w:tc>
        <w:tc>
          <w:tcPr>
            <w:tcW w:w="922" w:type="dxa"/>
            <w:gridSpan w:val="3"/>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2" w:type="dxa"/>
            <w:gridSpan w:val="2"/>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7.5</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5.0</w:t>
            </w:r>
          </w:p>
        </w:tc>
        <w:tc>
          <w:tcPr>
            <w:tcW w:w="922"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w:t>
            </w:r>
          </w:p>
        </w:tc>
        <w:tc>
          <w:tcPr>
            <w:tcW w:w="923" w:type="dxa"/>
            <w:tcBorders>
              <w:top w:val="nil"/>
              <w:left w:val="nil"/>
              <w:bottom w:val="nil"/>
              <w:right w:val="nil"/>
            </w:tcBorders>
          </w:tcPr>
          <w:p w:rsidR="00F87646" w:rsidRPr="00C23FDF" w:rsidRDefault="00F87646" w:rsidP="00C23FDF">
            <w:pPr>
              <w:pStyle w:val="TableofFigures"/>
              <w:rPr>
                <w:rFonts w:eastAsiaTheme="minorEastAsia"/>
                <w:lang w:eastAsia="en-AU"/>
              </w:rPr>
            </w:pPr>
            <w:r w:rsidRPr="00C23FDF">
              <w:rPr>
                <w:rFonts w:eastAsiaTheme="minorEastAsia"/>
                <w:lang w:eastAsia="en-AU"/>
              </w:rPr>
              <w:t xml:space="preserve"> 12.5</w:t>
            </w:r>
          </w:p>
        </w:tc>
      </w:tr>
      <w:tr w:rsidR="00F87646" w:rsidRPr="00C23FDF" w:rsidTr="00C23FDF">
        <w:trPr>
          <w:cantSplit/>
        </w:trPr>
        <w:tc>
          <w:tcPr>
            <w:tcW w:w="3164" w:type="dxa"/>
            <w:tcBorders>
              <w:top w:val="single" w:sz="6" w:space="0" w:color="auto"/>
              <w:left w:val="nil"/>
              <w:bottom w:val="single" w:sz="6" w:space="0" w:color="auto"/>
              <w:right w:val="nil"/>
            </w:tcBorders>
          </w:tcPr>
          <w:p w:rsidR="00F87646" w:rsidRPr="00C23FDF" w:rsidRDefault="00F87646" w:rsidP="00C23FDF">
            <w:pPr>
              <w:pStyle w:val="Tabletext"/>
              <w:rPr>
                <w:rFonts w:eastAsiaTheme="minorEastAsia"/>
                <w:b/>
                <w:bCs/>
                <w:lang w:eastAsia="en-AU"/>
              </w:rPr>
            </w:pPr>
            <w:r w:rsidRPr="00C23FDF">
              <w:rPr>
                <w:rFonts w:eastAsiaTheme="minorEastAsia"/>
                <w:b/>
                <w:bCs/>
                <w:lang w:eastAsia="en-AU"/>
              </w:rPr>
              <w:t>Total asset initiatives – Jobs in the 21st Century</w:t>
            </w:r>
          </w:p>
        </w:tc>
        <w:tc>
          <w:tcPr>
            <w:tcW w:w="922" w:type="dxa"/>
            <w:gridSpan w:val="3"/>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2.6</w:t>
            </w:r>
          </w:p>
        </w:tc>
        <w:tc>
          <w:tcPr>
            <w:tcW w:w="922" w:type="dxa"/>
            <w:gridSpan w:val="2"/>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21.0</w:t>
            </w:r>
          </w:p>
        </w:tc>
        <w:tc>
          <w:tcPr>
            <w:tcW w:w="923" w:type="dxa"/>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10.8</w:t>
            </w:r>
          </w:p>
        </w:tc>
        <w:tc>
          <w:tcPr>
            <w:tcW w:w="922" w:type="dxa"/>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w:t>
            </w:r>
          </w:p>
        </w:tc>
        <w:tc>
          <w:tcPr>
            <w:tcW w:w="923" w:type="dxa"/>
            <w:tcBorders>
              <w:top w:val="single" w:sz="6" w:space="0" w:color="auto"/>
              <w:left w:val="nil"/>
              <w:bottom w:val="single" w:sz="6"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34.4</w:t>
            </w:r>
          </w:p>
        </w:tc>
      </w:tr>
      <w:tr w:rsidR="00F87646" w:rsidRPr="00C23FDF" w:rsidTr="00C23FDF">
        <w:trPr>
          <w:cantSplit/>
        </w:trPr>
        <w:tc>
          <w:tcPr>
            <w:tcW w:w="3164" w:type="dxa"/>
            <w:tcBorders>
              <w:top w:val="single" w:sz="6" w:space="0" w:color="auto"/>
              <w:left w:val="nil"/>
              <w:bottom w:val="single" w:sz="12" w:space="0" w:color="auto"/>
              <w:right w:val="nil"/>
            </w:tcBorders>
          </w:tcPr>
          <w:p w:rsidR="00F87646" w:rsidRPr="00C23FDF" w:rsidRDefault="00F87646" w:rsidP="00C23FDF">
            <w:pPr>
              <w:pStyle w:val="Tabletext"/>
              <w:rPr>
                <w:rFonts w:eastAsiaTheme="minorEastAsia"/>
                <w:b/>
                <w:bCs/>
                <w:lang w:eastAsia="en-AU"/>
              </w:rPr>
            </w:pPr>
            <w:r w:rsidRPr="00C23FDF">
              <w:rPr>
                <w:rFonts w:eastAsiaTheme="minorEastAsia"/>
                <w:b/>
                <w:bCs/>
                <w:lang w:eastAsia="en-AU"/>
              </w:rPr>
              <w:t>Total asset initiatives</w:t>
            </w:r>
          </w:p>
        </w:tc>
        <w:tc>
          <w:tcPr>
            <w:tcW w:w="922" w:type="dxa"/>
            <w:gridSpan w:val="3"/>
            <w:tcBorders>
              <w:top w:val="single" w:sz="6" w:space="0" w:color="auto"/>
              <w:left w:val="nil"/>
              <w:bottom w:val="single" w:sz="12"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6.1</w:t>
            </w:r>
          </w:p>
        </w:tc>
        <w:tc>
          <w:tcPr>
            <w:tcW w:w="922" w:type="dxa"/>
            <w:gridSpan w:val="2"/>
            <w:tcBorders>
              <w:top w:val="single" w:sz="6" w:space="0" w:color="auto"/>
              <w:left w:val="nil"/>
              <w:bottom w:val="single" w:sz="12"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25.8</w:t>
            </w:r>
          </w:p>
        </w:tc>
        <w:tc>
          <w:tcPr>
            <w:tcW w:w="923" w:type="dxa"/>
            <w:tcBorders>
              <w:top w:val="single" w:sz="6" w:space="0" w:color="auto"/>
              <w:left w:val="nil"/>
              <w:bottom w:val="single" w:sz="12"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10.8</w:t>
            </w:r>
          </w:p>
        </w:tc>
        <w:tc>
          <w:tcPr>
            <w:tcW w:w="922" w:type="dxa"/>
            <w:tcBorders>
              <w:top w:val="single" w:sz="6" w:space="0" w:color="auto"/>
              <w:left w:val="nil"/>
              <w:bottom w:val="single" w:sz="12"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w:t>
            </w:r>
          </w:p>
        </w:tc>
        <w:tc>
          <w:tcPr>
            <w:tcW w:w="923" w:type="dxa"/>
            <w:tcBorders>
              <w:top w:val="single" w:sz="6" w:space="0" w:color="auto"/>
              <w:left w:val="nil"/>
              <w:bottom w:val="single" w:sz="12" w:space="0" w:color="auto"/>
              <w:right w:val="nil"/>
            </w:tcBorders>
          </w:tcPr>
          <w:p w:rsidR="00F87646" w:rsidRPr="00C23FDF" w:rsidRDefault="00F87646" w:rsidP="00C23FDF">
            <w:pPr>
              <w:pStyle w:val="TableofFigures"/>
              <w:rPr>
                <w:rFonts w:eastAsiaTheme="minorEastAsia"/>
                <w:b/>
                <w:bCs/>
                <w:lang w:eastAsia="en-AU"/>
              </w:rPr>
            </w:pPr>
            <w:r w:rsidRPr="00C23FDF">
              <w:rPr>
                <w:rFonts w:eastAsiaTheme="minorEastAsia"/>
                <w:b/>
                <w:bCs/>
                <w:lang w:eastAsia="en-AU"/>
              </w:rPr>
              <w:t xml:space="preserve"> 42.7</w:t>
            </w:r>
          </w:p>
        </w:tc>
      </w:tr>
    </w:tbl>
    <w:p w:rsidR="00F87646" w:rsidRDefault="00F87646" w:rsidP="00C23FDF">
      <w:pPr>
        <w:pStyle w:val="Source"/>
        <w:rPr>
          <w:rStyle w:val="PageNumber"/>
          <w:sz w:val="15"/>
        </w:rPr>
      </w:pPr>
      <w:r w:rsidRPr="00BC0C9E">
        <w:rPr>
          <w:rStyle w:val="PageNumber"/>
          <w:sz w:val="15"/>
        </w:rPr>
        <w:t>Source: Department of Treasury and Finance</w:t>
      </w:r>
    </w:p>
    <w:p w:rsidR="00F87646" w:rsidRPr="00C23FDF" w:rsidRDefault="00F87646" w:rsidP="00C23FDF">
      <w:pPr>
        <w:pStyle w:val="Source"/>
      </w:pPr>
    </w:p>
    <w:p w:rsidR="00F87646" w:rsidRPr="00BC0C9E" w:rsidRDefault="00F87646" w:rsidP="00882D47">
      <w:pPr>
        <w:pStyle w:val="Heading3"/>
      </w:pPr>
      <w:r w:rsidRPr="00BC0C9E">
        <w:t>Ending violence against women and children</w:t>
      </w:r>
    </w:p>
    <w:p w:rsidR="00F87646" w:rsidRPr="00BC0C9E" w:rsidRDefault="00F87646" w:rsidP="00882D47">
      <w:pPr>
        <w:pStyle w:val="Heading4"/>
      </w:pPr>
      <w:r w:rsidRPr="00BC0C9E">
        <w:t>Justice</w:t>
      </w:r>
    </w:p>
    <w:p w:rsidR="00F87646" w:rsidRPr="00BC0C9E" w:rsidRDefault="00F87646" w:rsidP="00882D47">
      <w:pPr>
        <w:keepNext/>
        <w:tabs>
          <w:tab w:val="left" w:pos="504"/>
        </w:tabs>
        <w:spacing w:before="120" w:after="60"/>
        <w:outlineLvl w:val="4"/>
        <w:rPr>
          <w:rFonts w:ascii="Calibri" w:hAnsi="Calibri"/>
          <w:b/>
        </w:rPr>
      </w:pPr>
      <w:r w:rsidRPr="00BC0C9E">
        <w:rPr>
          <w:rFonts w:ascii="Calibri" w:hAnsi="Calibri"/>
          <w:b/>
        </w:rPr>
        <w:t>Multi</w:t>
      </w:r>
      <w:r>
        <w:rPr>
          <w:rFonts w:ascii="Calibri" w:hAnsi="Calibri"/>
          <w:b/>
        </w:rPr>
        <w:noBreakHyphen/>
      </w:r>
      <w:r w:rsidRPr="00BC0C9E">
        <w:rPr>
          <w:rFonts w:ascii="Calibri" w:hAnsi="Calibri"/>
          <w:b/>
        </w:rPr>
        <w:t>Disciplinary Centres – new centre</w:t>
      </w:r>
    </w:p>
    <w:p w:rsidR="00F87646" w:rsidRPr="00BC0C9E" w:rsidRDefault="00F87646" w:rsidP="00882D47">
      <w:r w:rsidRPr="00BC0C9E">
        <w:t>Refer to the Department of Human Services output initiative for a description of this initiative.</w:t>
      </w:r>
    </w:p>
    <w:p w:rsidR="00F87646" w:rsidRPr="00BC0C9E" w:rsidRDefault="00F87646" w:rsidP="00882D47">
      <w:pPr>
        <w:pStyle w:val="Heading4"/>
      </w:pPr>
      <w:r w:rsidRPr="00BC0C9E">
        <w:t>Courts</w:t>
      </w:r>
    </w:p>
    <w:p w:rsidR="00F87646" w:rsidRPr="00BC0C9E" w:rsidRDefault="00F87646" w:rsidP="00882D47">
      <w:pPr>
        <w:keepNext/>
        <w:tabs>
          <w:tab w:val="left" w:pos="504"/>
        </w:tabs>
        <w:spacing w:before="120" w:after="60"/>
        <w:outlineLvl w:val="4"/>
        <w:rPr>
          <w:rFonts w:ascii="Calibri" w:hAnsi="Calibri"/>
          <w:b/>
        </w:rPr>
      </w:pPr>
      <w:r w:rsidRPr="00BC0C9E">
        <w:rPr>
          <w:rFonts w:ascii="Calibri" w:hAnsi="Calibri"/>
          <w:b/>
        </w:rPr>
        <w:t>Courts – safe waiting areas</w:t>
      </w:r>
    </w:p>
    <w:p w:rsidR="00F87646" w:rsidRPr="00BC0C9E" w:rsidRDefault="00F87646" w:rsidP="00882D47">
      <w:r w:rsidRPr="00BC0C9E">
        <w:t>Work will be undertaken in Magistrates</w:t>
      </w:r>
      <w:r>
        <w:t>’</w:t>
      </w:r>
      <w:r w:rsidRPr="00BC0C9E">
        <w:t xml:space="preserve"> Courts to improve the amenity and safety of waiting areas for victims of family violence.</w:t>
      </w:r>
    </w:p>
    <w:p w:rsidR="00F87646" w:rsidRPr="00BC0C9E" w:rsidRDefault="00F87646" w:rsidP="00882D47">
      <w:r w:rsidRPr="00BC0C9E">
        <w:t>This initiative contributes to the Courts output.</w:t>
      </w:r>
    </w:p>
    <w:p w:rsidR="00F87646" w:rsidRPr="00BC0C9E" w:rsidRDefault="00F87646" w:rsidP="00882D47">
      <w:pPr>
        <w:pStyle w:val="Heading5"/>
      </w:pPr>
      <w:r w:rsidRPr="00BC0C9E">
        <w:lastRenderedPageBreak/>
        <w:t>Specialist Family Violence Court program expansion – minor works</w:t>
      </w:r>
    </w:p>
    <w:p w:rsidR="00F87646" w:rsidRPr="00BC0C9E" w:rsidRDefault="00F87646" w:rsidP="00882D47">
      <w:r w:rsidRPr="00BC0C9E">
        <w:t>Work will be undertaken to support the expansion of the Specialist Family Violence Court program to a further seven courts.</w:t>
      </w:r>
    </w:p>
    <w:p w:rsidR="00F87646" w:rsidRPr="00BC0C9E" w:rsidRDefault="00F87646" w:rsidP="00882D47">
      <w:r w:rsidRPr="00BC0C9E">
        <w:t>This initiative contributes to the Courts output.</w:t>
      </w:r>
    </w:p>
    <w:p w:rsidR="00F87646" w:rsidRPr="00BC0C9E" w:rsidRDefault="00F87646" w:rsidP="00882D47">
      <w:pPr>
        <w:pStyle w:val="Heading3"/>
      </w:pPr>
      <w:r w:rsidRPr="00BC0C9E">
        <w:t>Jobs in the 21st Century – Skills</w:t>
      </w:r>
    </w:p>
    <w:p w:rsidR="00F87646" w:rsidRPr="00BC0C9E" w:rsidRDefault="00F87646" w:rsidP="00882D47">
      <w:pPr>
        <w:pStyle w:val="Heading4"/>
      </w:pPr>
      <w:r w:rsidRPr="00BC0C9E">
        <w:t>Education and Early Childhood Development</w:t>
      </w:r>
    </w:p>
    <w:p w:rsidR="00F87646" w:rsidRPr="00BC0C9E" w:rsidRDefault="00F87646" w:rsidP="00882D47">
      <w:pPr>
        <w:pStyle w:val="Heading5"/>
      </w:pPr>
      <w:r w:rsidRPr="00BC0C9E">
        <w:rPr>
          <w:lang w:eastAsia="en-AU"/>
        </w:rPr>
        <w:t xml:space="preserve">Chisholm </w:t>
      </w:r>
      <w:r w:rsidRPr="00BC0C9E">
        <w:t>Institute</w:t>
      </w:r>
      <w:r w:rsidRPr="00BC0C9E">
        <w:rPr>
          <w:lang w:eastAsia="en-AU"/>
        </w:rPr>
        <w:t xml:space="preserve"> Frankston Campus – Centre for Advanced Manufacturing and Trades</w:t>
      </w:r>
    </w:p>
    <w:p w:rsidR="00F87646" w:rsidRPr="00BC0C9E" w:rsidRDefault="00F87646" w:rsidP="00882D47">
      <w:r w:rsidRPr="00BC0C9E">
        <w:t>Funding is provided to the Chisholm Institute to construct a Centre for Advanced Manufacturing and Trades at its Frankston Campus. This will deliver specialised training tailored to the skills needs of the advanced manufacturing sector.</w:t>
      </w:r>
    </w:p>
    <w:p w:rsidR="00F87646" w:rsidRPr="00BC0C9E" w:rsidRDefault="00F87646" w:rsidP="00882D47">
      <w:r w:rsidRPr="00BC0C9E">
        <w:t>This initiative contributes to the Department of Education and Early Childhood Development</w:t>
      </w:r>
      <w:r>
        <w:t>’</w:t>
      </w:r>
      <w:r w:rsidRPr="00BC0C9E">
        <w:t>s Higher Education and Skills output.</w:t>
      </w:r>
    </w:p>
    <w:p w:rsidR="00F87646" w:rsidRPr="00BC0C9E" w:rsidRDefault="00F87646" w:rsidP="00882D47">
      <w:pPr>
        <w:pStyle w:val="Heading5"/>
      </w:pPr>
      <w:r w:rsidRPr="00BC0C9E">
        <w:rPr>
          <w:lang w:eastAsia="en-AU"/>
        </w:rPr>
        <w:t>Skills of the Future Fund</w:t>
      </w:r>
    </w:p>
    <w:p w:rsidR="00F87646" w:rsidRPr="00BC0C9E" w:rsidRDefault="00F87646" w:rsidP="00232EA5">
      <w:pPr>
        <w:rPr>
          <w:rFonts w:ascii="Calibri" w:hAnsi="Calibri"/>
          <w:b/>
          <w:caps/>
          <w:sz w:val="26"/>
          <w:szCs w:val="22"/>
        </w:rPr>
      </w:pPr>
      <w:r w:rsidRPr="00BC0C9E">
        <w:t>Refer to the output initiative for a description of this initiative.</w:t>
      </w:r>
      <w:bookmarkStart w:id="87" w:name="_Toc401147502"/>
    </w:p>
    <w:p w:rsidR="00F87646" w:rsidRPr="00BC0C9E" w:rsidRDefault="00F87646" w:rsidP="00882D47">
      <w:pPr>
        <w:pStyle w:val="Heading1"/>
      </w:pPr>
      <w:bookmarkStart w:id="88" w:name="_Toc403386699"/>
      <w:r w:rsidRPr="00BC0C9E">
        <w:t>Department of Education and Early Childhood Development</w:t>
      </w:r>
      <w:bookmarkEnd w:id="87"/>
      <w:bookmarkEnd w:id="88"/>
    </w:p>
    <w:p w:rsidR="00F87646" w:rsidRPr="00BC0C9E" w:rsidRDefault="00F87646" w:rsidP="00882D47">
      <w:pPr>
        <w:pStyle w:val="Heading3"/>
      </w:pPr>
      <w:r w:rsidRPr="00BC0C9E">
        <w:t>Output initiatives</w:t>
      </w:r>
    </w:p>
    <w:p w:rsidR="00F87646" w:rsidRPr="00BC0C9E" w:rsidRDefault="00F87646" w:rsidP="00882D47">
      <w:pPr>
        <w:pStyle w:val="Tableheading"/>
      </w:pPr>
      <w:r w:rsidRPr="00BC0C9E">
        <w:t>Table A.4:</w:t>
      </w:r>
      <w:r w:rsidRPr="00BC0C9E">
        <w:tab/>
        <w:t>Output initiatives – Education and Early Childhood Development</w:t>
      </w:r>
    </w:p>
    <w:p w:rsidR="00F87646" w:rsidRPr="00FE6573" w:rsidRDefault="00F87646" w:rsidP="00FE6573">
      <w:pPr>
        <w:pStyle w:val="million"/>
        <w:rPr>
          <w:i w:val="0"/>
          <w:sz w:val="15"/>
        </w:rPr>
      </w:pPr>
      <w:r w:rsidRPr="00BC0C9E">
        <w:t>($</w:t>
      </w:r>
      <w:r>
        <w:t> million</w:t>
      </w:r>
      <w:r w:rsidRPr="00BC0C9E">
        <w:t>)</w:t>
      </w:r>
    </w:p>
    <w:tbl>
      <w:tblPr>
        <w:tblW w:w="0" w:type="auto"/>
        <w:tblInd w:w="78" w:type="dxa"/>
        <w:tblLayout w:type="fixed"/>
        <w:tblLook w:val="0000" w:firstRow="0" w:lastRow="0" w:firstColumn="0" w:lastColumn="0" w:noHBand="0" w:noVBand="0"/>
      </w:tblPr>
      <w:tblGrid>
        <w:gridCol w:w="3574"/>
        <w:gridCol w:w="1092"/>
        <w:gridCol w:w="992"/>
        <w:gridCol w:w="993"/>
        <w:gridCol w:w="992"/>
      </w:tblGrid>
      <w:tr w:rsidR="00F87646" w:rsidRPr="00FE6573" w:rsidTr="00FE6573">
        <w:trPr>
          <w:trHeight w:val="101"/>
        </w:trPr>
        <w:tc>
          <w:tcPr>
            <w:tcW w:w="3574" w:type="dxa"/>
            <w:tcBorders>
              <w:top w:val="single" w:sz="6" w:space="0" w:color="auto"/>
              <w:left w:val="single" w:sz="6" w:space="0" w:color="auto"/>
              <w:bottom w:val="single" w:sz="6" w:space="0" w:color="auto"/>
              <w:right w:val="nil"/>
            </w:tcBorders>
            <w:shd w:val="solid" w:color="000000" w:fill="auto"/>
          </w:tcPr>
          <w:p w:rsidR="00F87646" w:rsidRPr="00FE6573" w:rsidRDefault="00F87646" w:rsidP="00FE6573">
            <w:pPr>
              <w:autoSpaceDE w:val="0"/>
              <w:autoSpaceDN w:val="0"/>
              <w:adjustRightInd w:val="0"/>
              <w:spacing w:after="0"/>
              <w:rPr>
                <w:rFonts w:ascii="Calibri" w:eastAsiaTheme="minorEastAsia" w:hAnsi="Calibri" w:cs="Calibri"/>
                <w:color w:val="FFFFFF"/>
                <w:sz w:val="20"/>
                <w:lang w:eastAsia="en-AU"/>
              </w:rPr>
            </w:pPr>
            <w:r w:rsidRPr="00FE6573">
              <w:rPr>
                <w:rFonts w:ascii="Calibri" w:eastAsiaTheme="minorEastAsia" w:hAnsi="Calibri" w:cs="Calibri"/>
                <w:color w:val="FFFFFF"/>
                <w:sz w:val="20"/>
                <w:lang w:eastAsia="en-AU"/>
              </w:rPr>
              <w:t xml:space="preserve"> </w:t>
            </w:r>
          </w:p>
        </w:tc>
        <w:tc>
          <w:tcPr>
            <w:tcW w:w="1092" w:type="dxa"/>
            <w:tcBorders>
              <w:top w:val="single" w:sz="6" w:space="0" w:color="auto"/>
              <w:left w:val="nil"/>
              <w:bottom w:val="single" w:sz="6" w:space="0" w:color="auto"/>
              <w:right w:val="nil"/>
            </w:tcBorders>
            <w:shd w:val="solid" w:color="000000" w:fill="auto"/>
          </w:tcPr>
          <w:p w:rsidR="00F87646" w:rsidRPr="00FE6573" w:rsidRDefault="00F87646" w:rsidP="00FE6573">
            <w:pPr>
              <w:pStyle w:val="Tabletextheading"/>
              <w:rPr>
                <w:rFonts w:eastAsiaTheme="minorEastAsia"/>
                <w:lang w:eastAsia="en-AU"/>
              </w:rPr>
            </w:pPr>
            <w:r w:rsidRPr="00FE6573">
              <w:rPr>
                <w:rFonts w:eastAsiaTheme="minorEastAsia"/>
                <w:lang w:eastAsia="en-AU"/>
              </w:rPr>
              <w:t>2014</w:t>
            </w:r>
            <w:r>
              <w:rPr>
                <w:rFonts w:eastAsiaTheme="minorEastAsia"/>
                <w:lang w:eastAsia="en-AU"/>
              </w:rPr>
              <w:noBreakHyphen/>
            </w:r>
            <w:r w:rsidRPr="00FE6573">
              <w:rPr>
                <w:rFonts w:eastAsiaTheme="minorEastAsia"/>
                <w:lang w:eastAsia="en-AU"/>
              </w:rPr>
              <w:t>15</w:t>
            </w:r>
          </w:p>
        </w:tc>
        <w:tc>
          <w:tcPr>
            <w:tcW w:w="992" w:type="dxa"/>
            <w:tcBorders>
              <w:top w:val="single" w:sz="6" w:space="0" w:color="auto"/>
              <w:left w:val="nil"/>
              <w:bottom w:val="single" w:sz="6" w:space="0" w:color="auto"/>
              <w:right w:val="nil"/>
            </w:tcBorders>
            <w:shd w:val="solid" w:color="000000" w:fill="auto"/>
          </w:tcPr>
          <w:p w:rsidR="00F87646" w:rsidRPr="00FE6573" w:rsidRDefault="00F87646" w:rsidP="00FE6573">
            <w:pPr>
              <w:pStyle w:val="Tabletextheading"/>
              <w:rPr>
                <w:rFonts w:eastAsiaTheme="minorEastAsia"/>
                <w:lang w:eastAsia="en-AU"/>
              </w:rPr>
            </w:pPr>
            <w:r w:rsidRPr="00FE6573">
              <w:rPr>
                <w:rFonts w:eastAsiaTheme="minorEastAsia"/>
                <w:lang w:eastAsia="en-AU"/>
              </w:rPr>
              <w:t>2015</w:t>
            </w:r>
            <w:r>
              <w:rPr>
                <w:rFonts w:eastAsiaTheme="minorEastAsia"/>
                <w:lang w:eastAsia="en-AU"/>
              </w:rPr>
              <w:noBreakHyphen/>
            </w:r>
            <w:r w:rsidRPr="00FE6573">
              <w:rPr>
                <w:rFonts w:eastAsiaTheme="minorEastAsia"/>
                <w:lang w:eastAsia="en-AU"/>
              </w:rPr>
              <w:t>16</w:t>
            </w:r>
          </w:p>
        </w:tc>
        <w:tc>
          <w:tcPr>
            <w:tcW w:w="993" w:type="dxa"/>
            <w:tcBorders>
              <w:top w:val="single" w:sz="6" w:space="0" w:color="auto"/>
              <w:left w:val="nil"/>
              <w:bottom w:val="single" w:sz="6" w:space="0" w:color="auto"/>
              <w:right w:val="nil"/>
            </w:tcBorders>
            <w:shd w:val="solid" w:color="000000" w:fill="auto"/>
          </w:tcPr>
          <w:p w:rsidR="00F87646" w:rsidRPr="00FE6573" w:rsidRDefault="00F87646" w:rsidP="00FE6573">
            <w:pPr>
              <w:pStyle w:val="Tabletextheading"/>
              <w:rPr>
                <w:rFonts w:eastAsiaTheme="minorEastAsia"/>
                <w:lang w:eastAsia="en-AU"/>
              </w:rPr>
            </w:pPr>
            <w:r w:rsidRPr="00FE6573">
              <w:rPr>
                <w:rFonts w:eastAsiaTheme="minorEastAsia"/>
                <w:lang w:eastAsia="en-AU"/>
              </w:rPr>
              <w:t>2016</w:t>
            </w:r>
            <w:r>
              <w:rPr>
                <w:rFonts w:eastAsiaTheme="minorEastAsia"/>
                <w:lang w:eastAsia="en-AU"/>
              </w:rPr>
              <w:noBreakHyphen/>
            </w:r>
            <w:r w:rsidRPr="00FE6573">
              <w:rPr>
                <w:rFonts w:eastAsiaTheme="minorEastAsia"/>
                <w:lang w:eastAsia="en-AU"/>
              </w:rPr>
              <w:t>17</w:t>
            </w:r>
          </w:p>
        </w:tc>
        <w:tc>
          <w:tcPr>
            <w:tcW w:w="992" w:type="dxa"/>
            <w:tcBorders>
              <w:top w:val="single" w:sz="6" w:space="0" w:color="auto"/>
              <w:left w:val="nil"/>
              <w:bottom w:val="single" w:sz="6" w:space="0" w:color="auto"/>
              <w:right w:val="nil"/>
            </w:tcBorders>
            <w:shd w:val="solid" w:color="000000" w:fill="auto"/>
          </w:tcPr>
          <w:p w:rsidR="00F87646" w:rsidRPr="00FE6573" w:rsidRDefault="00F87646" w:rsidP="00FE6573">
            <w:pPr>
              <w:pStyle w:val="Tabletextheading"/>
              <w:rPr>
                <w:rFonts w:eastAsiaTheme="minorEastAsia"/>
                <w:lang w:eastAsia="en-AU"/>
              </w:rPr>
            </w:pPr>
            <w:r w:rsidRPr="00FE6573">
              <w:rPr>
                <w:rFonts w:eastAsiaTheme="minorEastAsia"/>
                <w:lang w:eastAsia="en-AU"/>
              </w:rPr>
              <w:t>2017</w:t>
            </w:r>
            <w:r>
              <w:rPr>
                <w:rFonts w:eastAsiaTheme="minorEastAsia"/>
                <w:lang w:eastAsia="en-AU"/>
              </w:rPr>
              <w:noBreakHyphen/>
            </w:r>
            <w:r w:rsidRPr="00FE6573">
              <w:rPr>
                <w:rFonts w:eastAsiaTheme="minorEastAsia"/>
                <w:lang w:eastAsia="en-AU"/>
              </w:rPr>
              <w:t>18</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lang w:eastAsia="en-AU"/>
              </w:rPr>
            </w:pPr>
            <w:r w:rsidRPr="00FE6573">
              <w:rPr>
                <w:rFonts w:eastAsiaTheme="minorEastAsia"/>
                <w:lang w:eastAsia="en-AU"/>
              </w:rPr>
              <w:t>Independent public schools</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4.5</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4.5</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4.5</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lang w:eastAsia="en-AU"/>
              </w:rPr>
            </w:pPr>
            <w:r w:rsidRPr="00FE6573">
              <w:rPr>
                <w:rFonts w:eastAsiaTheme="minorEastAsia"/>
                <w:lang w:eastAsia="en-AU"/>
              </w:rPr>
              <w:t>Kindergarten enrolment growth</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0.8</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0.8</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0.8</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0.8</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lang w:eastAsia="en-AU"/>
              </w:rPr>
            </w:pPr>
            <w:r w:rsidRPr="00FE6573">
              <w:rPr>
                <w:rFonts w:eastAsiaTheme="minorEastAsia"/>
                <w:lang w:eastAsia="en-AU"/>
              </w:rPr>
              <w:t>National Occasional Care Programme</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1.1</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cs="Calibri"/>
                <w:color w:val="000000"/>
                <w:lang w:eastAsia="en-AU"/>
              </w:rPr>
            </w:pPr>
            <w:r w:rsidRPr="00FE6573">
              <w:rPr>
                <w:rFonts w:eastAsiaTheme="minorEastAsia"/>
                <w:lang w:eastAsia="en-AU"/>
              </w:rPr>
              <w:t xml:space="preserve">National Partnership Agreement on Universal Access to Early Childhood </w:t>
            </w:r>
            <w:r w:rsidRPr="00FE6573">
              <w:rPr>
                <w:rFonts w:eastAsiaTheme="minorEastAsia" w:cs="Calibri"/>
                <w:color w:val="000000"/>
                <w:lang w:eastAsia="en-AU"/>
              </w:rPr>
              <w:t>Education</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29.2</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68.2</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lang w:eastAsia="en-AU"/>
              </w:rPr>
            </w:pPr>
            <w:r w:rsidRPr="00FE6573">
              <w:rPr>
                <w:rFonts w:eastAsiaTheme="minorEastAsia"/>
                <w:lang w:eastAsia="en-AU"/>
              </w:rPr>
              <w:t>National School Chaplaincy Programme</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12.3</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12.3</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12.3</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12.3</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lang w:eastAsia="en-AU"/>
              </w:rPr>
            </w:pPr>
            <w:r w:rsidRPr="00FE6573">
              <w:rPr>
                <w:rFonts w:eastAsiaTheme="minorEastAsia"/>
                <w:lang w:eastAsia="en-AU"/>
              </w:rPr>
              <w:t>Resourcing schools to raise performance</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8.0</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59.6</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w:t>
            </w:r>
          </w:p>
        </w:tc>
      </w:tr>
      <w:tr w:rsidR="00F87646" w:rsidRPr="00FE6573" w:rsidTr="00FE6573">
        <w:trPr>
          <w:trHeight w:val="101"/>
        </w:trPr>
        <w:tc>
          <w:tcPr>
            <w:tcW w:w="3574" w:type="dxa"/>
            <w:tcBorders>
              <w:top w:val="nil"/>
              <w:left w:val="nil"/>
              <w:bottom w:val="nil"/>
              <w:right w:val="nil"/>
            </w:tcBorders>
          </w:tcPr>
          <w:p w:rsidR="00F87646" w:rsidRPr="00FE6573" w:rsidRDefault="00F87646" w:rsidP="00FE6573">
            <w:pPr>
              <w:pStyle w:val="Tabletext"/>
              <w:rPr>
                <w:rFonts w:eastAsiaTheme="minorEastAsia"/>
                <w:lang w:eastAsia="en-AU"/>
              </w:rPr>
            </w:pPr>
            <w:r w:rsidRPr="00FE6573">
              <w:rPr>
                <w:rFonts w:eastAsiaTheme="minorEastAsia"/>
                <w:lang w:eastAsia="en-AU"/>
              </w:rPr>
              <w:t>Student enrolment growth</w:t>
            </w:r>
          </w:p>
        </w:tc>
        <w:tc>
          <w:tcPr>
            <w:tcW w:w="10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10.6</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12.3</w:t>
            </w:r>
          </w:p>
        </w:tc>
        <w:tc>
          <w:tcPr>
            <w:tcW w:w="993"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14.0</w:t>
            </w:r>
          </w:p>
        </w:tc>
        <w:tc>
          <w:tcPr>
            <w:tcW w:w="992" w:type="dxa"/>
            <w:tcBorders>
              <w:top w:val="nil"/>
              <w:left w:val="nil"/>
              <w:bottom w:val="nil"/>
              <w:right w:val="nil"/>
            </w:tcBorders>
          </w:tcPr>
          <w:p w:rsidR="00F87646" w:rsidRPr="00FE6573" w:rsidRDefault="00F87646" w:rsidP="00FE6573">
            <w:pPr>
              <w:pStyle w:val="TableofFigures"/>
              <w:rPr>
                <w:rFonts w:eastAsiaTheme="minorEastAsia"/>
                <w:lang w:eastAsia="en-AU"/>
              </w:rPr>
            </w:pPr>
            <w:r w:rsidRPr="00FE6573">
              <w:rPr>
                <w:rFonts w:eastAsiaTheme="minorEastAsia"/>
                <w:lang w:eastAsia="en-AU"/>
              </w:rPr>
              <w:t xml:space="preserve"> 15.7</w:t>
            </w:r>
          </w:p>
        </w:tc>
      </w:tr>
      <w:tr w:rsidR="00F87646" w:rsidRPr="00FE6573" w:rsidTr="00FE6573">
        <w:trPr>
          <w:trHeight w:val="108"/>
        </w:trPr>
        <w:tc>
          <w:tcPr>
            <w:tcW w:w="3574" w:type="dxa"/>
            <w:tcBorders>
              <w:top w:val="single" w:sz="6" w:space="0" w:color="auto"/>
              <w:left w:val="nil"/>
              <w:bottom w:val="single" w:sz="12" w:space="0" w:color="auto"/>
              <w:right w:val="nil"/>
            </w:tcBorders>
          </w:tcPr>
          <w:p w:rsidR="00F87646" w:rsidRPr="00FE6573" w:rsidRDefault="00F87646" w:rsidP="00FE6573">
            <w:pPr>
              <w:pStyle w:val="Tabletext"/>
              <w:rPr>
                <w:rFonts w:eastAsiaTheme="minorEastAsia"/>
                <w:b/>
                <w:bCs/>
                <w:lang w:eastAsia="en-AU"/>
              </w:rPr>
            </w:pPr>
            <w:r w:rsidRPr="00FE6573">
              <w:rPr>
                <w:rFonts w:eastAsiaTheme="minorEastAsia"/>
                <w:b/>
                <w:bCs/>
                <w:lang w:eastAsia="en-AU"/>
              </w:rPr>
              <w:t>Total output initiatives</w:t>
            </w:r>
          </w:p>
        </w:tc>
        <w:tc>
          <w:tcPr>
            <w:tcW w:w="1092" w:type="dxa"/>
            <w:tcBorders>
              <w:top w:val="single" w:sz="6" w:space="0" w:color="auto"/>
              <w:left w:val="nil"/>
              <w:bottom w:val="single" w:sz="12" w:space="0" w:color="auto"/>
              <w:right w:val="nil"/>
            </w:tcBorders>
          </w:tcPr>
          <w:p w:rsidR="00F87646" w:rsidRPr="00FE6573" w:rsidRDefault="00F87646" w:rsidP="00FE6573">
            <w:pPr>
              <w:pStyle w:val="TableofFigures"/>
              <w:rPr>
                <w:rFonts w:eastAsiaTheme="minorEastAsia"/>
                <w:b/>
                <w:bCs/>
                <w:lang w:eastAsia="en-AU"/>
              </w:rPr>
            </w:pPr>
            <w:r w:rsidRPr="00FE6573">
              <w:rPr>
                <w:rFonts w:eastAsiaTheme="minorEastAsia"/>
                <w:b/>
                <w:bCs/>
                <w:lang w:eastAsia="en-AU"/>
              </w:rPr>
              <w:t xml:space="preserve"> 66.5</w:t>
            </w:r>
          </w:p>
        </w:tc>
        <w:tc>
          <w:tcPr>
            <w:tcW w:w="992" w:type="dxa"/>
            <w:tcBorders>
              <w:top w:val="single" w:sz="6" w:space="0" w:color="auto"/>
              <w:left w:val="nil"/>
              <w:bottom w:val="single" w:sz="12" w:space="0" w:color="auto"/>
              <w:right w:val="nil"/>
            </w:tcBorders>
          </w:tcPr>
          <w:p w:rsidR="00F87646" w:rsidRPr="00FE6573" w:rsidRDefault="00F87646" w:rsidP="00FE6573">
            <w:pPr>
              <w:pStyle w:val="TableofFigures"/>
              <w:rPr>
                <w:rFonts w:eastAsiaTheme="minorEastAsia"/>
                <w:b/>
                <w:bCs/>
                <w:lang w:eastAsia="en-AU"/>
              </w:rPr>
            </w:pPr>
            <w:r w:rsidRPr="00FE6573">
              <w:rPr>
                <w:rFonts w:eastAsiaTheme="minorEastAsia"/>
                <w:b/>
                <w:bCs/>
                <w:lang w:eastAsia="en-AU"/>
              </w:rPr>
              <w:t xml:space="preserve"> 158.8</w:t>
            </w:r>
          </w:p>
        </w:tc>
        <w:tc>
          <w:tcPr>
            <w:tcW w:w="993" w:type="dxa"/>
            <w:tcBorders>
              <w:top w:val="single" w:sz="6" w:space="0" w:color="auto"/>
              <w:left w:val="nil"/>
              <w:bottom w:val="single" w:sz="12" w:space="0" w:color="auto"/>
              <w:right w:val="nil"/>
            </w:tcBorders>
          </w:tcPr>
          <w:p w:rsidR="00F87646" w:rsidRPr="00FE6573" w:rsidRDefault="00F87646" w:rsidP="00FE6573">
            <w:pPr>
              <w:pStyle w:val="TableofFigures"/>
              <w:rPr>
                <w:rFonts w:eastAsiaTheme="minorEastAsia"/>
                <w:b/>
                <w:bCs/>
                <w:lang w:eastAsia="en-AU"/>
              </w:rPr>
            </w:pPr>
            <w:r w:rsidRPr="00FE6573">
              <w:rPr>
                <w:rFonts w:eastAsiaTheme="minorEastAsia"/>
                <w:b/>
                <w:bCs/>
                <w:lang w:eastAsia="en-AU"/>
              </w:rPr>
              <w:t xml:space="preserve"> 32.7</w:t>
            </w:r>
          </w:p>
        </w:tc>
        <w:tc>
          <w:tcPr>
            <w:tcW w:w="992" w:type="dxa"/>
            <w:tcBorders>
              <w:top w:val="single" w:sz="6" w:space="0" w:color="auto"/>
              <w:left w:val="nil"/>
              <w:bottom w:val="single" w:sz="12" w:space="0" w:color="auto"/>
              <w:right w:val="nil"/>
            </w:tcBorders>
          </w:tcPr>
          <w:p w:rsidR="00F87646" w:rsidRPr="00FE6573" w:rsidRDefault="00F87646" w:rsidP="00FE6573">
            <w:pPr>
              <w:pStyle w:val="TableofFigures"/>
              <w:rPr>
                <w:rFonts w:eastAsiaTheme="minorEastAsia"/>
                <w:b/>
                <w:bCs/>
                <w:lang w:eastAsia="en-AU"/>
              </w:rPr>
            </w:pPr>
            <w:r w:rsidRPr="00FE6573">
              <w:rPr>
                <w:rFonts w:eastAsiaTheme="minorEastAsia"/>
                <w:b/>
                <w:bCs/>
                <w:lang w:eastAsia="en-AU"/>
              </w:rPr>
              <w:t xml:space="preserve"> 29.9</w:t>
            </w:r>
          </w:p>
        </w:tc>
      </w:tr>
    </w:tbl>
    <w:p w:rsidR="00F87646" w:rsidRPr="00BC0C9E" w:rsidRDefault="00F87646" w:rsidP="00860FED">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Default="00F87646">
      <w:pPr>
        <w:spacing w:after="0"/>
        <w:rPr>
          <w:rFonts w:ascii="Calibri" w:hAnsi="Calibri"/>
          <w:b/>
        </w:rPr>
      </w:pPr>
      <w:r>
        <w:br w:type="page"/>
      </w:r>
    </w:p>
    <w:p w:rsidR="00F87646" w:rsidRPr="00BC0C9E" w:rsidRDefault="00F87646" w:rsidP="00882D47">
      <w:pPr>
        <w:pStyle w:val="Heading5"/>
      </w:pPr>
      <w:r w:rsidRPr="00BC0C9E">
        <w:lastRenderedPageBreak/>
        <w:t>Independent public schools</w:t>
      </w:r>
    </w:p>
    <w:p w:rsidR="00F87646" w:rsidRPr="00BC0C9E" w:rsidRDefault="00F87646" w:rsidP="00882D47">
      <w:r w:rsidRPr="00BC0C9E">
        <w:t xml:space="preserve">To assist government schools transition to greater independence, management training and capacity building will be provided to school leaders and school councils, along with administrative support for principals of small schools and support federated school governance models. These activities will assist principals and school communities to take full advantage of the autonomy available in the government school system. </w:t>
      </w:r>
    </w:p>
    <w:p w:rsidR="00F87646" w:rsidRPr="00BC0C9E" w:rsidRDefault="00F87646" w:rsidP="00882D47">
      <w:r w:rsidRPr="00BC0C9E">
        <w:t>This initiative contributes to the Department of Education and Early Childhood Development</w:t>
      </w:r>
      <w:r>
        <w:t>’</w:t>
      </w:r>
      <w:r w:rsidRPr="00BC0C9E">
        <w:t>s:</w:t>
      </w:r>
    </w:p>
    <w:p w:rsidR="00F87646" w:rsidRPr="00BC0C9E" w:rsidRDefault="00F87646" w:rsidP="00882D47">
      <w:pPr>
        <w:pStyle w:val="BulletText"/>
      </w:pPr>
      <w:r w:rsidRPr="00BC0C9E">
        <w:t>School Education – Primary output; and</w:t>
      </w:r>
    </w:p>
    <w:p w:rsidR="00F87646" w:rsidRPr="00BC0C9E" w:rsidRDefault="00F87646" w:rsidP="00882D47">
      <w:pPr>
        <w:pStyle w:val="BulletText"/>
      </w:pPr>
      <w:r w:rsidRPr="00BC0C9E">
        <w:t>School Education – Secondary output.</w:t>
      </w:r>
    </w:p>
    <w:p w:rsidR="00F87646" w:rsidRPr="00BC0C9E" w:rsidRDefault="00F87646" w:rsidP="00882D47">
      <w:pPr>
        <w:pStyle w:val="Heading5"/>
      </w:pPr>
      <w:r w:rsidRPr="00BC0C9E">
        <w:t>Kindergarten enrolment growth</w:t>
      </w:r>
    </w:p>
    <w:p w:rsidR="00F87646" w:rsidRPr="00BC0C9E" w:rsidRDefault="00F87646" w:rsidP="00882D47">
      <w:r w:rsidRPr="00BC0C9E">
        <w:t xml:space="preserve">Additional and ongoing funding is provided for forecast kindergarten enrolment growth. </w:t>
      </w:r>
    </w:p>
    <w:p w:rsidR="00F87646" w:rsidRPr="00BC0C9E" w:rsidRDefault="00F87646" w:rsidP="00882D47">
      <w:r w:rsidRPr="00BC0C9E">
        <w:t>This initiative contributes to the Department of Education and Early Childhood Development</w:t>
      </w:r>
      <w:r>
        <w:t>’</w:t>
      </w:r>
      <w:r w:rsidRPr="00BC0C9E">
        <w:t>s Early Childhood Development output.</w:t>
      </w:r>
    </w:p>
    <w:p w:rsidR="00F87646" w:rsidRPr="00BC0C9E" w:rsidRDefault="00F87646" w:rsidP="00891842">
      <w:pPr>
        <w:pStyle w:val="Heading5"/>
      </w:pPr>
      <w:r w:rsidRPr="00BC0C9E">
        <w:t>National Occasional Care Program</w:t>
      </w:r>
      <w:r>
        <w:t>me</w:t>
      </w:r>
    </w:p>
    <w:p w:rsidR="00F87646" w:rsidRPr="00BC0C9E" w:rsidRDefault="00F87646" w:rsidP="00AA66A2">
      <w:r w:rsidRPr="00BC0C9E">
        <w:t>Under a Project Agreement on the National Occasional Care Program</w:t>
      </w:r>
      <w:r>
        <w:t>me</w:t>
      </w:r>
      <w:r w:rsidRPr="00BC0C9E">
        <w:t>, the Commonwealth will provide funding for flexible occasional care places, particularly in rural, regional and remote areas that do not currently have these services.</w:t>
      </w:r>
    </w:p>
    <w:p w:rsidR="00F87646" w:rsidRPr="00BC0C9E" w:rsidRDefault="00F87646" w:rsidP="00AA66A2">
      <w:pPr>
        <w:rPr>
          <w:rFonts w:ascii="Calibri" w:hAnsi="Calibri"/>
          <w:b/>
        </w:rPr>
      </w:pPr>
      <w:r w:rsidRPr="00BC0C9E">
        <w:t>This initiative contributes to the Department of Education and Early Childhood Development</w:t>
      </w:r>
      <w:r>
        <w:t>’</w:t>
      </w:r>
      <w:r w:rsidRPr="00BC0C9E">
        <w:t xml:space="preserve">s Early Childhood Development output. </w:t>
      </w:r>
    </w:p>
    <w:p w:rsidR="00F87646" w:rsidRPr="00BC0C9E" w:rsidRDefault="00F87646" w:rsidP="00924D0D">
      <w:pPr>
        <w:pStyle w:val="Heading5"/>
      </w:pPr>
      <w:r w:rsidRPr="00BC0C9E">
        <w:t xml:space="preserve">National Partnership </w:t>
      </w:r>
      <w:r>
        <w:t xml:space="preserve">Agreement </w:t>
      </w:r>
      <w:r w:rsidRPr="00BC0C9E">
        <w:t>on Universal Access to Early Childhood Education</w:t>
      </w:r>
    </w:p>
    <w:p w:rsidR="00F87646" w:rsidRPr="00BC0C9E" w:rsidRDefault="00F87646" w:rsidP="00117AD6">
      <w:bookmarkStart w:id="89" w:name="OLE_LINK1"/>
      <w:r w:rsidRPr="00BC0C9E">
        <w:t xml:space="preserve">Under a National Partnership Agreement on Universal Access to Early Childhood Education, the Commonwealth will provide funding for the continued provision of a </w:t>
      </w:r>
      <w:r w:rsidRPr="00BC0C9E">
        <w:br/>
        <w:t xml:space="preserve">15 hour per week kindergarten program for the 2015 calendar year. </w:t>
      </w:r>
    </w:p>
    <w:p w:rsidR="00F87646" w:rsidRPr="00BC0C9E" w:rsidRDefault="00F87646" w:rsidP="00117AD6">
      <w:r w:rsidRPr="00BC0C9E">
        <w:t>This initiative contributes to the Department of Education and Early Childhood Development</w:t>
      </w:r>
      <w:r>
        <w:t>’</w:t>
      </w:r>
      <w:r w:rsidRPr="00BC0C9E">
        <w:t>s Early Childhood Development output.</w:t>
      </w:r>
    </w:p>
    <w:p w:rsidR="00F87646" w:rsidRPr="00BC0C9E" w:rsidRDefault="00F87646" w:rsidP="00117AD6">
      <w:pPr>
        <w:pStyle w:val="Heading5"/>
      </w:pPr>
      <w:r w:rsidRPr="00BC0C9E">
        <w:t>National School Chaplaincy Program</w:t>
      </w:r>
      <w:bookmarkEnd w:id="89"/>
      <w:r>
        <w:t>me</w:t>
      </w:r>
    </w:p>
    <w:p w:rsidR="00F87646" w:rsidRPr="00BC0C9E" w:rsidRDefault="00F87646" w:rsidP="00117AD6">
      <w:r w:rsidRPr="00BC0C9E">
        <w:t>Under a Project Agreement on the National School Chaplaincy Program</w:t>
      </w:r>
      <w:r>
        <w:t>me</w:t>
      </w:r>
      <w:r w:rsidRPr="00BC0C9E">
        <w:t>, the Commonwealth will provide funding for chaplaincy services in Victorian government and non</w:t>
      </w:r>
      <w:r>
        <w:noBreakHyphen/>
      </w:r>
      <w:r w:rsidRPr="00BC0C9E">
        <w:t>government schools to support the emotional wellbeing of students by providing pastoral care services.</w:t>
      </w:r>
    </w:p>
    <w:p w:rsidR="00F87646" w:rsidRPr="00BC0C9E" w:rsidRDefault="00F87646" w:rsidP="00891842">
      <w:r w:rsidRPr="00BC0C9E">
        <w:t>This initiative contributes to the Department of Education and Early Childhood Development</w:t>
      </w:r>
      <w:r>
        <w:t>’</w:t>
      </w:r>
      <w:r w:rsidRPr="00BC0C9E">
        <w:t>s:</w:t>
      </w:r>
    </w:p>
    <w:p w:rsidR="00F87646" w:rsidRPr="00BC0C9E" w:rsidRDefault="00F87646" w:rsidP="00891842">
      <w:pPr>
        <w:pStyle w:val="BulletText"/>
      </w:pPr>
      <w:r w:rsidRPr="00BC0C9E">
        <w:t>School Education – Primary output; and</w:t>
      </w:r>
    </w:p>
    <w:p w:rsidR="00F87646" w:rsidRPr="00BC0C9E" w:rsidRDefault="00F87646" w:rsidP="00891842">
      <w:pPr>
        <w:pStyle w:val="BulletText"/>
      </w:pPr>
      <w:r w:rsidRPr="00BC0C9E">
        <w:t>School Education – Secondary output.</w:t>
      </w:r>
    </w:p>
    <w:p w:rsidR="00F87646" w:rsidRDefault="00F87646">
      <w:pPr>
        <w:spacing w:after="0"/>
        <w:rPr>
          <w:rFonts w:ascii="Calibri" w:hAnsi="Calibri"/>
          <w:b/>
        </w:rPr>
      </w:pPr>
      <w:r>
        <w:br w:type="page"/>
      </w:r>
    </w:p>
    <w:p w:rsidR="00F87646" w:rsidRPr="00BC0C9E" w:rsidRDefault="00F87646" w:rsidP="00882D47">
      <w:pPr>
        <w:pStyle w:val="Heading5"/>
      </w:pPr>
      <w:r w:rsidRPr="00BC0C9E">
        <w:lastRenderedPageBreak/>
        <w:t>Resourcing schools to raise performance</w:t>
      </w:r>
    </w:p>
    <w:p w:rsidR="00F87646" w:rsidRPr="00BC0C9E" w:rsidRDefault="00F87646" w:rsidP="00882D47">
      <w:r w:rsidRPr="00BC0C9E">
        <w:t>Additional funding is provided to government and non</w:t>
      </w:r>
      <w:r>
        <w:noBreakHyphen/>
      </w:r>
      <w:r w:rsidRPr="00BC0C9E">
        <w:t>government schools to improve student outcomes. This initiative includes additional targeted funding for students from low socio</w:t>
      </w:r>
      <w:r>
        <w:noBreakHyphen/>
      </w:r>
      <w:r w:rsidRPr="00BC0C9E">
        <w:t>economic backgrounds, ensuring that resources are allocated to where they are most needed.</w:t>
      </w:r>
    </w:p>
    <w:p w:rsidR="00F87646" w:rsidRPr="00BC0C9E" w:rsidRDefault="00F87646" w:rsidP="00882D47">
      <w:r w:rsidRPr="00BC0C9E">
        <w:t>The funding is provided directly to schools, which will have the flexibility to use the funding in the way that will best drive improved educational outcomes.</w:t>
      </w:r>
    </w:p>
    <w:p w:rsidR="00F87646" w:rsidRPr="00BC0C9E" w:rsidRDefault="00F87646" w:rsidP="00882D47">
      <w:r w:rsidRPr="00BC0C9E">
        <w:t>This initiative contributes to the Department of Education and Early Childhood Development</w:t>
      </w:r>
      <w:r>
        <w:t>’</w:t>
      </w:r>
      <w:r w:rsidRPr="00BC0C9E">
        <w:t>s:</w:t>
      </w:r>
    </w:p>
    <w:p w:rsidR="00F87646" w:rsidRPr="00BC0C9E" w:rsidRDefault="00F87646" w:rsidP="00882D47">
      <w:pPr>
        <w:pStyle w:val="BulletText"/>
      </w:pPr>
      <w:r w:rsidRPr="00BC0C9E">
        <w:t>School Education – Primary output; and</w:t>
      </w:r>
    </w:p>
    <w:p w:rsidR="00F87646" w:rsidRPr="00BC0C9E" w:rsidRDefault="00F87646" w:rsidP="00882D47">
      <w:pPr>
        <w:pStyle w:val="BulletText"/>
      </w:pPr>
      <w:r w:rsidRPr="00BC0C9E">
        <w:t>School Education – Secondary output.</w:t>
      </w:r>
    </w:p>
    <w:p w:rsidR="00F87646" w:rsidRPr="00BC0C9E" w:rsidRDefault="00F87646" w:rsidP="00882D47">
      <w:pPr>
        <w:pStyle w:val="Heading5"/>
      </w:pPr>
      <w:r w:rsidRPr="00BC0C9E">
        <w:t>Student enrolment growth</w:t>
      </w:r>
    </w:p>
    <w:p w:rsidR="00F87646" w:rsidRPr="00BC0C9E" w:rsidRDefault="00F87646" w:rsidP="00882D47">
      <w:r w:rsidRPr="00BC0C9E">
        <w:t>Additional and ongoing funding is provided for government and non</w:t>
      </w:r>
      <w:r>
        <w:noBreakHyphen/>
      </w:r>
      <w:r w:rsidRPr="00BC0C9E">
        <w:t xml:space="preserve">government schools for higher than forecast student enrolments. </w:t>
      </w:r>
    </w:p>
    <w:p w:rsidR="00F87646" w:rsidRPr="00BC0C9E" w:rsidRDefault="00F87646" w:rsidP="00882D47">
      <w:r w:rsidRPr="00BC0C9E">
        <w:t>This initiative contributes to the Department of Education and Early Childhood Development</w:t>
      </w:r>
      <w:r>
        <w:t>’</w:t>
      </w:r>
      <w:r w:rsidRPr="00BC0C9E">
        <w:t>s:</w:t>
      </w:r>
    </w:p>
    <w:p w:rsidR="00F87646" w:rsidRPr="00BC0C9E" w:rsidRDefault="00F87646" w:rsidP="00882D47">
      <w:pPr>
        <w:pStyle w:val="BulletText"/>
      </w:pPr>
      <w:r w:rsidRPr="00BC0C9E">
        <w:t>School Education – Primary output; and</w:t>
      </w:r>
    </w:p>
    <w:p w:rsidR="00F87646" w:rsidRPr="00232EA5" w:rsidRDefault="00F87646" w:rsidP="00232EA5">
      <w:pPr>
        <w:pStyle w:val="BulletText"/>
        <w:spacing w:after="0"/>
        <w:rPr>
          <w:rFonts w:ascii="Calibri" w:hAnsi="Calibri"/>
          <w:b/>
          <w:i/>
          <w:kern w:val="28"/>
          <w:sz w:val="24"/>
          <w:szCs w:val="22"/>
        </w:rPr>
      </w:pPr>
      <w:r w:rsidRPr="00BC0C9E">
        <w:t>School Education – Secondary output.</w:t>
      </w:r>
    </w:p>
    <w:p w:rsidR="00F87646" w:rsidRPr="00BC0C9E" w:rsidRDefault="00F87646" w:rsidP="00882D47">
      <w:pPr>
        <w:pStyle w:val="Heading3"/>
      </w:pPr>
      <w:r w:rsidRPr="00BC0C9E">
        <w:t>Asset initiatives</w:t>
      </w:r>
    </w:p>
    <w:p w:rsidR="00F87646" w:rsidRPr="00BC0C9E" w:rsidRDefault="00F87646" w:rsidP="00882D47">
      <w:pPr>
        <w:pStyle w:val="Tableheading"/>
      </w:pPr>
      <w:r w:rsidRPr="00BC0C9E">
        <w:t>Table A.5:</w:t>
      </w:r>
      <w:r w:rsidRPr="00BC0C9E">
        <w:tab/>
        <w:t>Asset initiatives – Education and Early Childhood Development</w:t>
      </w:r>
    </w:p>
    <w:p w:rsidR="00F87646" w:rsidRPr="00BC0C9E" w:rsidRDefault="00F87646" w:rsidP="00F61E35">
      <w:pPr>
        <w:pStyle w:val="million"/>
        <w:rPr>
          <w:i w:val="0"/>
        </w:rPr>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F87646" w:rsidRPr="00BC0C9E" w:rsidTr="00F61E35">
        <w:trPr>
          <w:cantSplit/>
        </w:trPr>
        <w:tc>
          <w:tcPr>
            <w:tcW w:w="2810" w:type="dxa"/>
            <w:tcBorders>
              <w:top w:val="single" w:sz="6" w:space="0" w:color="auto"/>
              <w:left w:val="single" w:sz="4" w:space="0" w:color="auto"/>
              <w:bottom w:val="single" w:sz="4" w:space="0" w:color="auto"/>
              <w:right w:val="nil"/>
            </w:tcBorders>
            <w:shd w:val="clear" w:color="auto" w:fill="000000"/>
          </w:tcPr>
          <w:p w:rsidR="00F87646" w:rsidRPr="00BC0C9E" w:rsidRDefault="00F87646" w:rsidP="00F61E35">
            <w:pPr>
              <w:pStyle w:val="Tabletext"/>
              <w:rPr>
                <w:rFonts w:eastAsiaTheme="minorEastAsia"/>
                <w:lang w:eastAsia="en-AU"/>
              </w:rPr>
            </w:pPr>
          </w:p>
        </w:tc>
        <w:tc>
          <w:tcPr>
            <w:tcW w:w="994" w:type="dxa"/>
            <w:tcBorders>
              <w:top w:val="single" w:sz="6" w:space="0" w:color="auto"/>
              <w:left w:val="nil"/>
              <w:bottom w:val="single" w:sz="4" w:space="0" w:color="auto"/>
              <w:right w:val="nil"/>
            </w:tcBorders>
            <w:shd w:val="clear" w:color="auto" w:fill="000000"/>
          </w:tcPr>
          <w:p w:rsidR="00F87646" w:rsidRPr="00BC0C9E" w:rsidRDefault="00F87646" w:rsidP="00F61E35">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F61E35">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F61E35">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F61E35">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c>
          <w:tcPr>
            <w:tcW w:w="993" w:type="dxa"/>
            <w:tcBorders>
              <w:top w:val="single" w:sz="6" w:space="0" w:color="auto"/>
              <w:left w:val="nil"/>
              <w:bottom w:val="single" w:sz="4" w:space="0" w:color="auto"/>
              <w:right w:val="single" w:sz="4" w:space="0" w:color="auto"/>
            </w:tcBorders>
            <w:shd w:val="clear" w:color="auto" w:fill="000000"/>
          </w:tcPr>
          <w:p w:rsidR="00F87646" w:rsidRPr="00BC0C9E" w:rsidRDefault="00F87646" w:rsidP="00F61E35">
            <w:pPr>
              <w:pStyle w:val="Tabletextheading"/>
              <w:rPr>
                <w:rFonts w:eastAsiaTheme="minorEastAsia"/>
                <w:lang w:eastAsia="en-AU"/>
              </w:rPr>
            </w:pPr>
            <w:r w:rsidRPr="00BC0C9E">
              <w:rPr>
                <w:rFonts w:eastAsiaTheme="minorEastAsia"/>
                <w:lang w:eastAsia="en-AU"/>
              </w:rPr>
              <w:t>TEI</w:t>
            </w:r>
          </w:p>
        </w:tc>
      </w:tr>
      <w:tr w:rsidR="00F87646" w:rsidRPr="00BC0C9E" w:rsidTr="00F61E35">
        <w:trPr>
          <w:cantSplit/>
        </w:trPr>
        <w:tc>
          <w:tcPr>
            <w:tcW w:w="2810" w:type="dxa"/>
            <w:tcBorders>
              <w:top w:val="single" w:sz="4" w:space="0" w:color="auto"/>
              <w:left w:val="nil"/>
              <w:bottom w:val="nil"/>
              <w:right w:val="nil"/>
            </w:tcBorders>
          </w:tcPr>
          <w:p w:rsidR="00F87646" w:rsidRPr="00BC0C9E" w:rsidRDefault="00F87646" w:rsidP="00F61E35">
            <w:pPr>
              <w:pStyle w:val="Tabletext"/>
              <w:rPr>
                <w:rFonts w:eastAsiaTheme="minorEastAsia"/>
                <w:vertAlign w:val="superscript"/>
                <w:lang w:eastAsia="en-AU"/>
              </w:rPr>
            </w:pPr>
            <w:r w:rsidRPr="00BC0C9E">
              <w:rPr>
                <w:rFonts w:eastAsiaTheme="minorEastAsia"/>
                <w:lang w:eastAsia="en-AU"/>
              </w:rPr>
              <w:t xml:space="preserve">School capital program </w:t>
            </w:r>
            <w:r w:rsidRPr="00BC0C9E">
              <w:rPr>
                <w:rFonts w:eastAsiaTheme="minorEastAsia"/>
                <w:vertAlign w:val="superscript"/>
                <w:lang w:eastAsia="en-AU"/>
              </w:rPr>
              <w:t>(a)</w:t>
            </w:r>
          </w:p>
        </w:tc>
        <w:tc>
          <w:tcPr>
            <w:tcW w:w="994" w:type="dxa"/>
            <w:tcBorders>
              <w:top w:val="single" w:sz="4" w:space="0" w:color="auto"/>
              <w:left w:val="nil"/>
              <w:bottom w:val="nil"/>
              <w:right w:val="nil"/>
            </w:tcBorders>
          </w:tcPr>
          <w:p w:rsidR="00F87646" w:rsidRPr="00BC0C9E" w:rsidRDefault="00F87646" w:rsidP="00F61E35">
            <w:pPr>
              <w:pStyle w:val="TableofFigures"/>
              <w:rPr>
                <w:rFonts w:eastAsiaTheme="minorEastAsia"/>
                <w:lang w:eastAsia="en-AU"/>
              </w:rPr>
            </w:pPr>
            <w:r w:rsidRPr="00BC0C9E">
              <w:rPr>
                <w:rFonts w:eastAsiaTheme="minorEastAsia"/>
                <w:lang w:eastAsia="en-AU"/>
              </w:rPr>
              <w:t>tbc</w:t>
            </w:r>
          </w:p>
        </w:tc>
        <w:tc>
          <w:tcPr>
            <w:tcW w:w="993" w:type="dxa"/>
            <w:tcBorders>
              <w:top w:val="single" w:sz="4" w:space="0" w:color="auto"/>
              <w:left w:val="nil"/>
              <w:bottom w:val="nil"/>
              <w:right w:val="nil"/>
            </w:tcBorders>
          </w:tcPr>
          <w:p w:rsidR="00F87646" w:rsidRPr="00BC0C9E" w:rsidRDefault="00F87646" w:rsidP="00F61E35">
            <w:pPr>
              <w:pStyle w:val="TableofFigures"/>
              <w:rPr>
                <w:rFonts w:eastAsiaTheme="minorEastAsia"/>
                <w:lang w:eastAsia="en-AU"/>
              </w:rPr>
            </w:pPr>
            <w:r w:rsidRPr="00BC0C9E">
              <w:rPr>
                <w:rFonts w:eastAsiaTheme="minorEastAsia"/>
                <w:lang w:eastAsia="en-AU"/>
              </w:rPr>
              <w:t>tbc</w:t>
            </w:r>
          </w:p>
        </w:tc>
        <w:tc>
          <w:tcPr>
            <w:tcW w:w="993" w:type="dxa"/>
            <w:tcBorders>
              <w:top w:val="single" w:sz="4" w:space="0" w:color="auto"/>
              <w:left w:val="nil"/>
              <w:bottom w:val="nil"/>
              <w:right w:val="nil"/>
            </w:tcBorders>
          </w:tcPr>
          <w:p w:rsidR="00F87646" w:rsidRPr="00BC0C9E" w:rsidRDefault="00F87646" w:rsidP="00F61E35">
            <w:pPr>
              <w:pStyle w:val="TableofFigures"/>
              <w:rPr>
                <w:rFonts w:eastAsiaTheme="minorEastAsia"/>
                <w:lang w:eastAsia="en-AU"/>
              </w:rPr>
            </w:pPr>
            <w:r w:rsidRPr="00BC0C9E">
              <w:rPr>
                <w:rFonts w:eastAsiaTheme="minorEastAsia"/>
                <w:lang w:eastAsia="en-AU"/>
              </w:rPr>
              <w:t>tbc</w:t>
            </w:r>
          </w:p>
        </w:tc>
        <w:tc>
          <w:tcPr>
            <w:tcW w:w="993" w:type="dxa"/>
            <w:tcBorders>
              <w:top w:val="single" w:sz="4" w:space="0" w:color="auto"/>
              <w:left w:val="nil"/>
              <w:bottom w:val="nil"/>
              <w:right w:val="nil"/>
            </w:tcBorders>
          </w:tcPr>
          <w:p w:rsidR="00F87646" w:rsidRPr="00BC0C9E" w:rsidRDefault="00F87646" w:rsidP="00F61E35">
            <w:pPr>
              <w:pStyle w:val="TableofFigures"/>
              <w:rPr>
                <w:rFonts w:eastAsiaTheme="minorEastAsia"/>
                <w:lang w:eastAsia="en-AU"/>
              </w:rPr>
            </w:pPr>
            <w:r w:rsidRPr="00BC0C9E">
              <w:rPr>
                <w:rFonts w:eastAsiaTheme="minorEastAsia"/>
                <w:lang w:eastAsia="en-AU"/>
              </w:rPr>
              <w:t>tbc</w:t>
            </w:r>
          </w:p>
        </w:tc>
        <w:tc>
          <w:tcPr>
            <w:tcW w:w="993" w:type="dxa"/>
            <w:tcBorders>
              <w:top w:val="single" w:sz="4" w:space="0" w:color="auto"/>
              <w:left w:val="nil"/>
              <w:bottom w:val="nil"/>
              <w:right w:val="nil"/>
            </w:tcBorders>
          </w:tcPr>
          <w:p w:rsidR="00F87646" w:rsidRPr="00BC0C9E" w:rsidRDefault="00F87646" w:rsidP="00F61E35">
            <w:pPr>
              <w:pStyle w:val="TableofFigures"/>
              <w:rPr>
                <w:rFonts w:eastAsiaTheme="minorEastAsia"/>
                <w:lang w:eastAsia="en-AU"/>
              </w:rPr>
            </w:pPr>
            <w:r w:rsidRPr="00BC0C9E">
              <w:rPr>
                <w:rFonts w:eastAsiaTheme="minorEastAsia"/>
                <w:lang w:eastAsia="en-AU"/>
              </w:rPr>
              <w:t xml:space="preserve"> 38.0</w:t>
            </w:r>
          </w:p>
        </w:tc>
      </w:tr>
      <w:tr w:rsidR="00F87646" w:rsidRPr="00BC0C9E" w:rsidTr="00F61E35">
        <w:trPr>
          <w:cantSplit/>
        </w:trPr>
        <w:tc>
          <w:tcPr>
            <w:tcW w:w="2810" w:type="dxa"/>
            <w:tcBorders>
              <w:top w:val="single" w:sz="6" w:space="0" w:color="auto"/>
              <w:left w:val="nil"/>
              <w:bottom w:val="single" w:sz="12" w:space="0" w:color="auto"/>
              <w:right w:val="nil"/>
            </w:tcBorders>
          </w:tcPr>
          <w:p w:rsidR="00F87646" w:rsidRPr="00BC0C9E" w:rsidRDefault="00F87646" w:rsidP="00F61E35">
            <w:pPr>
              <w:pStyle w:val="Tabletext"/>
              <w:rPr>
                <w:rFonts w:eastAsiaTheme="minorEastAsia"/>
                <w:b/>
                <w:bCs/>
                <w:lang w:eastAsia="en-AU"/>
              </w:rPr>
            </w:pPr>
            <w:r w:rsidRPr="00BC0C9E">
              <w:rPr>
                <w:rFonts w:eastAsiaTheme="minorEastAsia"/>
                <w:b/>
                <w:bCs/>
                <w:lang w:eastAsia="en-AU"/>
              </w:rPr>
              <w:t>Total asset initiatives</w:t>
            </w:r>
          </w:p>
        </w:tc>
        <w:tc>
          <w:tcPr>
            <w:tcW w:w="994" w:type="dxa"/>
            <w:tcBorders>
              <w:top w:val="single" w:sz="6" w:space="0" w:color="auto"/>
              <w:left w:val="nil"/>
              <w:bottom w:val="single" w:sz="12" w:space="0" w:color="auto"/>
              <w:right w:val="nil"/>
            </w:tcBorders>
          </w:tcPr>
          <w:p w:rsidR="00F87646" w:rsidRPr="00BC0C9E" w:rsidRDefault="00F87646" w:rsidP="00F61E35">
            <w:pPr>
              <w:pStyle w:val="TableofFigures"/>
              <w:rPr>
                <w:rFonts w:eastAsiaTheme="minorEastAsia"/>
                <w:b/>
                <w:bCs/>
                <w:lang w:eastAsia="en-AU"/>
              </w:rPr>
            </w:pPr>
            <w:r w:rsidRPr="00BC0C9E">
              <w:rPr>
                <w:rFonts w:eastAsiaTheme="minorEastAsia"/>
                <w:b/>
                <w:bCs/>
                <w:lang w:eastAsia="en-AU"/>
              </w:rPr>
              <w:t>..</w:t>
            </w:r>
          </w:p>
        </w:tc>
        <w:tc>
          <w:tcPr>
            <w:tcW w:w="993" w:type="dxa"/>
            <w:tcBorders>
              <w:top w:val="single" w:sz="6" w:space="0" w:color="auto"/>
              <w:left w:val="nil"/>
              <w:bottom w:val="single" w:sz="12" w:space="0" w:color="auto"/>
              <w:right w:val="nil"/>
            </w:tcBorders>
          </w:tcPr>
          <w:p w:rsidR="00F87646" w:rsidRPr="00BC0C9E" w:rsidRDefault="00F87646" w:rsidP="00F61E35">
            <w:pPr>
              <w:pStyle w:val="TableofFigures"/>
              <w:rPr>
                <w:rFonts w:eastAsiaTheme="minorEastAsia"/>
                <w:b/>
                <w:bCs/>
                <w:lang w:eastAsia="en-AU"/>
              </w:rPr>
            </w:pPr>
            <w:r w:rsidRPr="00BC0C9E">
              <w:rPr>
                <w:rFonts w:eastAsiaTheme="minorEastAsia"/>
                <w:b/>
                <w:bCs/>
                <w:lang w:eastAsia="en-AU"/>
              </w:rPr>
              <w:t>..</w:t>
            </w:r>
          </w:p>
        </w:tc>
        <w:tc>
          <w:tcPr>
            <w:tcW w:w="993" w:type="dxa"/>
            <w:tcBorders>
              <w:top w:val="single" w:sz="6" w:space="0" w:color="auto"/>
              <w:left w:val="nil"/>
              <w:bottom w:val="single" w:sz="12" w:space="0" w:color="auto"/>
              <w:right w:val="nil"/>
            </w:tcBorders>
          </w:tcPr>
          <w:p w:rsidR="00F87646" w:rsidRPr="00BC0C9E" w:rsidRDefault="00F87646" w:rsidP="00F61E35">
            <w:pPr>
              <w:pStyle w:val="TableofFigures"/>
              <w:rPr>
                <w:rFonts w:eastAsiaTheme="minorEastAsia"/>
                <w:b/>
                <w:bCs/>
                <w:lang w:eastAsia="en-AU"/>
              </w:rPr>
            </w:pPr>
            <w:r w:rsidRPr="00BC0C9E">
              <w:rPr>
                <w:rFonts w:eastAsiaTheme="minorEastAsia"/>
                <w:b/>
                <w:bCs/>
                <w:lang w:eastAsia="en-AU"/>
              </w:rPr>
              <w:t>..</w:t>
            </w:r>
          </w:p>
        </w:tc>
        <w:tc>
          <w:tcPr>
            <w:tcW w:w="993" w:type="dxa"/>
            <w:tcBorders>
              <w:top w:val="single" w:sz="6" w:space="0" w:color="auto"/>
              <w:left w:val="nil"/>
              <w:bottom w:val="single" w:sz="12" w:space="0" w:color="auto"/>
              <w:right w:val="nil"/>
            </w:tcBorders>
          </w:tcPr>
          <w:p w:rsidR="00F87646" w:rsidRPr="00BC0C9E" w:rsidRDefault="00F87646" w:rsidP="00F61E35">
            <w:pPr>
              <w:pStyle w:val="TableofFigures"/>
              <w:rPr>
                <w:rFonts w:eastAsiaTheme="minorEastAsia"/>
                <w:b/>
                <w:bCs/>
                <w:lang w:eastAsia="en-AU"/>
              </w:rPr>
            </w:pPr>
            <w:r w:rsidRPr="00BC0C9E">
              <w:rPr>
                <w:rFonts w:eastAsiaTheme="minorEastAsia"/>
                <w:b/>
                <w:bCs/>
                <w:lang w:eastAsia="en-AU"/>
              </w:rPr>
              <w:t>..</w:t>
            </w:r>
          </w:p>
        </w:tc>
        <w:tc>
          <w:tcPr>
            <w:tcW w:w="993" w:type="dxa"/>
            <w:tcBorders>
              <w:top w:val="single" w:sz="6" w:space="0" w:color="auto"/>
              <w:left w:val="nil"/>
              <w:bottom w:val="single" w:sz="12" w:space="0" w:color="auto"/>
              <w:right w:val="nil"/>
            </w:tcBorders>
          </w:tcPr>
          <w:p w:rsidR="00F87646" w:rsidRPr="00BC0C9E" w:rsidRDefault="00F87646" w:rsidP="00F61E35">
            <w:pPr>
              <w:pStyle w:val="TableofFigures"/>
              <w:rPr>
                <w:rFonts w:eastAsiaTheme="minorEastAsia"/>
                <w:b/>
                <w:bCs/>
                <w:lang w:eastAsia="en-AU"/>
              </w:rPr>
            </w:pPr>
            <w:r w:rsidRPr="00BC0C9E">
              <w:rPr>
                <w:rFonts w:eastAsiaTheme="minorEastAsia"/>
                <w:b/>
                <w:bCs/>
                <w:lang w:eastAsia="en-AU"/>
              </w:rPr>
              <w:t xml:space="preserve"> 38.0</w:t>
            </w:r>
          </w:p>
        </w:tc>
      </w:tr>
    </w:tbl>
    <w:p w:rsidR="00F87646" w:rsidRPr="00BC0C9E" w:rsidRDefault="00F87646" w:rsidP="00F61E35">
      <w:pPr>
        <w:pStyle w:val="Source"/>
        <w:rPr>
          <w:rStyle w:val="PageNumber"/>
          <w:sz w:val="15"/>
        </w:rPr>
      </w:pPr>
      <w:r w:rsidRPr="00BC0C9E">
        <w:rPr>
          <w:rStyle w:val="PageNumber"/>
          <w:sz w:val="15"/>
        </w:rPr>
        <w:t>Source: Department of Treasury and Finance</w:t>
      </w:r>
    </w:p>
    <w:p w:rsidR="00F87646" w:rsidRPr="00BC0C9E" w:rsidRDefault="00F87646" w:rsidP="003F7F0D">
      <w:pPr>
        <w:pStyle w:val="Notes"/>
      </w:pPr>
      <w:r w:rsidRPr="00BC0C9E">
        <w:t>Note:</w:t>
      </w:r>
    </w:p>
    <w:p w:rsidR="00F87646" w:rsidRPr="00BC0C9E" w:rsidRDefault="00F87646" w:rsidP="003F7F0D">
      <w:pPr>
        <w:pStyle w:val="Notes"/>
      </w:pPr>
      <w:r w:rsidRPr="00BC0C9E">
        <w:t>(a)</w:t>
      </w:r>
      <w:r w:rsidRPr="00BC0C9E">
        <w:tab/>
        <w:t>Estimated capital value only. The new schools will be undertaken under a public private partnership arrangement. Estimated annual expenditure to be confirmed upon contractual completion of public private partnership contracting arrangements.</w:t>
      </w:r>
    </w:p>
    <w:p w:rsidR="00F87646" w:rsidRPr="00BC0C9E" w:rsidRDefault="00F87646" w:rsidP="00E664D1">
      <w:pPr>
        <w:pStyle w:val="Notes"/>
      </w:pPr>
    </w:p>
    <w:p w:rsidR="00F87646" w:rsidRPr="00BC0C9E" w:rsidRDefault="00F87646" w:rsidP="00882D47">
      <w:pPr>
        <w:pStyle w:val="Heading5"/>
      </w:pPr>
      <w:r w:rsidRPr="00BC0C9E">
        <w:t>School capital program</w:t>
      </w:r>
    </w:p>
    <w:p w:rsidR="00F87646" w:rsidRPr="00BC0C9E" w:rsidRDefault="00F87646" w:rsidP="00882D47">
      <w:pPr>
        <w:pStyle w:val="BulletText"/>
        <w:numPr>
          <w:ilvl w:val="0"/>
          <w:numId w:val="0"/>
        </w:numPr>
      </w:pPr>
      <w:r w:rsidRPr="00BC0C9E">
        <w:t xml:space="preserve">Funding is provided for two new schools as well as additional relocatable classrooms for schools with growing enrolments. The new schools that will be constructed as part of the New Schools Public Private Partnership project announced in the </w:t>
      </w:r>
      <w:r w:rsidRPr="00BC0C9E">
        <w:rPr>
          <w:i/>
        </w:rPr>
        <w:t>2014</w:t>
      </w:r>
      <w:r>
        <w:rPr>
          <w:i/>
        </w:rPr>
        <w:noBreakHyphen/>
      </w:r>
      <w:r w:rsidRPr="00BC0C9E">
        <w:rPr>
          <w:i/>
        </w:rPr>
        <w:t>15 Budget</w:t>
      </w:r>
      <w:r w:rsidRPr="00BC0C9E">
        <w:t xml:space="preserve"> are:</w:t>
      </w:r>
    </w:p>
    <w:p w:rsidR="00F87646" w:rsidRPr="00BC0C9E" w:rsidRDefault="00F87646" w:rsidP="00882D47">
      <w:pPr>
        <w:pStyle w:val="BulletText"/>
      </w:pPr>
      <w:r w:rsidRPr="00BC0C9E">
        <w:t>Armstrong Creek Primary School; and</w:t>
      </w:r>
    </w:p>
    <w:p w:rsidR="00F87646" w:rsidRPr="00BC0C9E" w:rsidRDefault="00F87646" w:rsidP="00882D47">
      <w:pPr>
        <w:pStyle w:val="BulletText"/>
      </w:pPr>
      <w:r w:rsidRPr="00BC0C9E">
        <w:t xml:space="preserve">Armstrong Creek Special School. </w:t>
      </w:r>
    </w:p>
    <w:p w:rsidR="00F87646" w:rsidRDefault="00F87646">
      <w:pPr>
        <w:spacing w:after="0"/>
      </w:pPr>
      <w:r>
        <w:br w:type="page"/>
      </w:r>
    </w:p>
    <w:p w:rsidR="00F87646" w:rsidRPr="00BC0C9E" w:rsidRDefault="00F87646" w:rsidP="00882D47">
      <w:r w:rsidRPr="00BC0C9E">
        <w:lastRenderedPageBreak/>
        <w:t>This initiative contributes to the Department of Education and Early Childhood Development</w:t>
      </w:r>
      <w:r>
        <w:t>’</w:t>
      </w:r>
      <w:r w:rsidRPr="00BC0C9E">
        <w:t>s:</w:t>
      </w:r>
    </w:p>
    <w:p w:rsidR="00F87646" w:rsidRPr="00BC0C9E" w:rsidRDefault="00F87646" w:rsidP="00882D47">
      <w:pPr>
        <w:pStyle w:val="BulletText"/>
      </w:pPr>
      <w:r w:rsidRPr="00BC0C9E">
        <w:t>School Education – Primary output; and</w:t>
      </w:r>
    </w:p>
    <w:p w:rsidR="00F87646" w:rsidRPr="00BC0C9E" w:rsidRDefault="00F87646" w:rsidP="00882D47">
      <w:pPr>
        <w:pStyle w:val="BulletText"/>
      </w:pPr>
      <w:r w:rsidRPr="00BC0C9E">
        <w:t>School Education – Secondary output.</w:t>
      </w:r>
    </w:p>
    <w:p w:rsidR="00F87646" w:rsidRPr="00BC0C9E" w:rsidRDefault="00F87646" w:rsidP="005E0593">
      <w:pPr>
        <w:pStyle w:val="Heading1"/>
      </w:pPr>
      <w:bookmarkStart w:id="90" w:name="_Toc403386700"/>
      <w:bookmarkStart w:id="91" w:name="_Toc401147503"/>
      <w:r w:rsidRPr="00BC0C9E">
        <w:t>Department of Environment and Primary Industries</w:t>
      </w:r>
      <w:bookmarkEnd w:id="90"/>
    </w:p>
    <w:p w:rsidR="00F87646" w:rsidRPr="00BC0C9E" w:rsidRDefault="00F87646" w:rsidP="005E0593">
      <w:pPr>
        <w:pStyle w:val="Heading3"/>
      </w:pPr>
      <w:r w:rsidRPr="00BC0C9E">
        <w:t>Output initiatives</w:t>
      </w:r>
    </w:p>
    <w:p w:rsidR="00F87646" w:rsidRPr="00BC0C9E" w:rsidRDefault="00F87646" w:rsidP="005E0593">
      <w:pPr>
        <w:pStyle w:val="Tableheading"/>
      </w:pPr>
      <w:r w:rsidRPr="00BC0C9E">
        <w:t>Table A.6:</w:t>
      </w:r>
      <w:r w:rsidRPr="00BC0C9E">
        <w:tab/>
        <w:t>Output initiatives – Environment and Primary Industries</w:t>
      </w:r>
    </w:p>
    <w:p w:rsidR="00F87646" w:rsidRPr="00BC0C9E" w:rsidRDefault="00F87646" w:rsidP="00916491">
      <w:pPr>
        <w:pStyle w:val="million"/>
      </w:pPr>
      <w:r w:rsidRPr="00BC0C9E">
        <w:t>($</w:t>
      </w:r>
      <w:r>
        <w:t> million</w:t>
      </w:r>
      <w:r w:rsidRPr="00BC0C9E">
        <w:t>)</w:t>
      </w:r>
    </w:p>
    <w:tbl>
      <w:tblPr>
        <w:tblW w:w="0" w:type="auto"/>
        <w:tblInd w:w="78" w:type="dxa"/>
        <w:tblLayout w:type="fixed"/>
        <w:tblLook w:val="0000" w:firstRow="0" w:lastRow="0" w:firstColumn="0" w:lastColumn="0" w:noHBand="0" w:noVBand="0"/>
      </w:tblPr>
      <w:tblGrid>
        <w:gridCol w:w="3858"/>
        <w:gridCol w:w="924"/>
        <w:gridCol w:w="992"/>
        <w:gridCol w:w="992"/>
        <w:gridCol w:w="992"/>
      </w:tblGrid>
      <w:tr w:rsidR="00F87646" w:rsidRPr="00BC0C9E" w:rsidTr="00916491">
        <w:trPr>
          <w:trHeight w:val="86"/>
        </w:trPr>
        <w:tc>
          <w:tcPr>
            <w:tcW w:w="3858" w:type="dxa"/>
            <w:tcBorders>
              <w:top w:val="single" w:sz="6" w:space="0" w:color="auto"/>
              <w:left w:val="single" w:sz="6" w:space="0" w:color="auto"/>
              <w:bottom w:val="single" w:sz="6" w:space="0" w:color="auto"/>
              <w:right w:val="nil"/>
            </w:tcBorders>
            <w:shd w:val="solid" w:color="000000" w:fill="auto"/>
          </w:tcPr>
          <w:p w:rsidR="00F87646" w:rsidRPr="00BC0C9E" w:rsidRDefault="00F87646" w:rsidP="00916491">
            <w:pPr>
              <w:pStyle w:val="Tabletextheading"/>
              <w:rPr>
                <w:rFonts w:eastAsiaTheme="minorEastAsia"/>
                <w:lang w:eastAsia="en-AU"/>
              </w:rPr>
            </w:pPr>
          </w:p>
        </w:tc>
        <w:tc>
          <w:tcPr>
            <w:tcW w:w="924" w:type="dxa"/>
            <w:tcBorders>
              <w:top w:val="single" w:sz="6" w:space="0" w:color="auto"/>
              <w:left w:val="nil"/>
              <w:bottom w:val="single" w:sz="6" w:space="0" w:color="auto"/>
              <w:right w:val="nil"/>
            </w:tcBorders>
            <w:shd w:val="solid" w:color="000000" w:fill="auto"/>
          </w:tcPr>
          <w:p w:rsidR="00F87646" w:rsidRPr="00BC0C9E" w:rsidRDefault="00F87646" w:rsidP="00916491">
            <w:pPr>
              <w:pStyle w:val="Tabletextheading"/>
              <w:rPr>
                <w:rFonts w:eastAsiaTheme="minorEastAsia"/>
                <w:iCs/>
                <w:lang w:eastAsia="en-AU"/>
              </w:rPr>
            </w:pPr>
            <w:r w:rsidRPr="00BC0C9E">
              <w:rPr>
                <w:rFonts w:eastAsiaTheme="minorEastAsia"/>
                <w:iCs/>
                <w:lang w:eastAsia="en-AU"/>
              </w:rPr>
              <w:t>2014</w:t>
            </w:r>
            <w:r>
              <w:rPr>
                <w:rFonts w:eastAsiaTheme="minorEastAsia"/>
                <w:iCs/>
                <w:lang w:eastAsia="en-AU"/>
              </w:rPr>
              <w:noBreakHyphen/>
            </w:r>
            <w:r w:rsidRPr="00BC0C9E">
              <w:rPr>
                <w:rFonts w:eastAsiaTheme="minorEastAsia"/>
                <w:iCs/>
                <w:lang w:eastAsia="en-AU"/>
              </w:rPr>
              <w:t>15</w:t>
            </w:r>
          </w:p>
        </w:tc>
        <w:tc>
          <w:tcPr>
            <w:tcW w:w="992" w:type="dxa"/>
            <w:tcBorders>
              <w:top w:val="single" w:sz="6" w:space="0" w:color="auto"/>
              <w:left w:val="nil"/>
              <w:bottom w:val="single" w:sz="6" w:space="0" w:color="auto"/>
              <w:right w:val="nil"/>
            </w:tcBorders>
            <w:shd w:val="solid" w:color="000000" w:fill="auto"/>
          </w:tcPr>
          <w:p w:rsidR="00F87646" w:rsidRPr="00BC0C9E" w:rsidRDefault="00F87646" w:rsidP="00916491">
            <w:pPr>
              <w:pStyle w:val="Tabletextheading"/>
              <w:rPr>
                <w:rFonts w:eastAsiaTheme="minorEastAsia"/>
                <w:iCs/>
                <w:lang w:eastAsia="en-AU"/>
              </w:rPr>
            </w:pPr>
            <w:r w:rsidRPr="00BC0C9E">
              <w:rPr>
                <w:rFonts w:eastAsiaTheme="minorEastAsia"/>
                <w:iCs/>
                <w:lang w:eastAsia="en-AU"/>
              </w:rPr>
              <w:t>2015</w:t>
            </w:r>
            <w:r>
              <w:rPr>
                <w:rFonts w:eastAsiaTheme="minorEastAsia"/>
                <w:iCs/>
                <w:lang w:eastAsia="en-AU"/>
              </w:rPr>
              <w:noBreakHyphen/>
            </w:r>
            <w:r w:rsidRPr="00BC0C9E">
              <w:rPr>
                <w:rFonts w:eastAsiaTheme="minorEastAsia"/>
                <w:iCs/>
                <w:lang w:eastAsia="en-AU"/>
              </w:rPr>
              <w:t>16</w:t>
            </w:r>
          </w:p>
        </w:tc>
        <w:tc>
          <w:tcPr>
            <w:tcW w:w="992" w:type="dxa"/>
            <w:tcBorders>
              <w:top w:val="single" w:sz="6" w:space="0" w:color="auto"/>
              <w:left w:val="nil"/>
              <w:bottom w:val="single" w:sz="6" w:space="0" w:color="auto"/>
              <w:right w:val="nil"/>
            </w:tcBorders>
            <w:shd w:val="solid" w:color="000000" w:fill="auto"/>
          </w:tcPr>
          <w:p w:rsidR="00F87646" w:rsidRPr="00BC0C9E" w:rsidRDefault="00F87646" w:rsidP="00916491">
            <w:pPr>
              <w:pStyle w:val="Tabletextheading"/>
              <w:rPr>
                <w:rFonts w:eastAsiaTheme="minorEastAsia"/>
                <w:iCs/>
                <w:lang w:eastAsia="en-AU"/>
              </w:rPr>
            </w:pPr>
            <w:r w:rsidRPr="00BC0C9E">
              <w:rPr>
                <w:rFonts w:eastAsiaTheme="minorEastAsia"/>
                <w:iCs/>
                <w:lang w:eastAsia="en-AU"/>
              </w:rPr>
              <w:t>2016</w:t>
            </w:r>
            <w:r>
              <w:rPr>
                <w:rFonts w:eastAsiaTheme="minorEastAsia"/>
                <w:iCs/>
                <w:lang w:eastAsia="en-AU"/>
              </w:rPr>
              <w:noBreakHyphen/>
            </w:r>
            <w:r w:rsidRPr="00BC0C9E">
              <w:rPr>
                <w:rFonts w:eastAsiaTheme="minorEastAsia"/>
                <w:iCs/>
                <w:lang w:eastAsia="en-AU"/>
              </w:rPr>
              <w:t>17</w:t>
            </w:r>
          </w:p>
        </w:tc>
        <w:tc>
          <w:tcPr>
            <w:tcW w:w="992" w:type="dxa"/>
            <w:tcBorders>
              <w:top w:val="single" w:sz="6" w:space="0" w:color="auto"/>
              <w:left w:val="nil"/>
              <w:bottom w:val="single" w:sz="6" w:space="0" w:color="auto"/>
              <w:right w:val="nil"/>
            </w:tcBorders>
            <w:shd w:val="solid" w:color="000000" w:fill="auto"/>
          </w:tcPr>
          <w:p w:rsidR="00F87646" w:rsidRPr="00BC0C9E" w:rsidRDefault="00F87646" w:rsidP="00916491">
            <w:pPr>
              <w:pStyle w:val="Tabletextheading"/>
              <w:rPr>
                <w:rFonts w:eastAsiaTheme="minorEastAsia"/>
                <w:iCs/>
                <w:lang w:eastAsia="en-AU"/>
              </w:rPr>
            </w:pPr>
            <w:r w:rsidRPr="00BC0C9E">
              <w:rPr>
                <w:rFonts w:eastAsiaTheme="minorEastAsia"/>
                <w:iCs/>
                <w:lang w:eastAsia="en-AU"/>
              </w:rPr>
              <w:t>2017</w:t>
            </w:r>
            <w:r>
              <w:rPr>
                <w:rFonts w:eastAsiaTheme="minorEastAsia"/>
                <w:iCs/>
                <w:lang w:eastAsia="en-AU"/>
              </w:rPr>
              <w:noBreakHyphen/>
            </w:r>
            <w:r w:rsidRPr="00BC0C9E">
              <w:rPr>
                <w:rFonts w:eastAsiaTheme="minorEastAsia"/>
                <w:iCs/>
                <w:lang w:eastAsia="en-AU"/>
              </w:rPr>
              <w:t>18</w:t>
            </w:r>
          </w:p>
        </w:tc>
      </w:tr>
      <w:tr w:rsidR="00F87646" w:rsidRPr="00BC0C9E" w:rsidTr="00916491">
        <w:trPr>
          <w:trHeight w:val="86"/>
        </w:trPr>
        <w:tc>
          <w:tcPr>
            <w:tcW w:w="3858" w:type="dxa"/>
            <w:tcBorders>
              <w:top w:val="nil"/>
              <w:left w:val="nil"/>
              <w:bottom w:val="nil"/>
              <w:right w:val="nil"/>
            </w:tcBorders>
          </w:tcPr>
          <w:p w:rsidR="00F87646" w:rsidRPr="00BC0C9E" w:rsidRDefault="00F87646" w:rsidP="00916491">
            <w:pPr>
              <w:pStyle w:val="Tabletext"/>
              <w:rPr>
                <w:rFonts w:eastAsiaTheme="minorEastAsia"/>
                <w:lang w:eastAsia="en-AU"/>
              </w:rPr>
            </w:pPr>
            <w:r w:rsidRPr="00BC0C9E">
              <w:rPr>
                <w:rFonts w:eastAsiaTheme="minorEastAsia"/>
                <w:lang w:eastAsia="en-AU"/>
              </w:rPr>
              <w:t>Building on reform of illegal puppy and kitten farms</w:t>
            </w:r>
          </w:p>
        </w:tc>
        <w:tc>
          <w:tcPr>
            <w:tcW w:w="924"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 xml:space="preserve"> 2.3</w:t>
            </w:r>
          </w:p>
        </w:tc>
        <w:tc>
          <w:tcPr>
            <w:tcW w:w="992"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 xml:space="preserve"> 1.5</w:t>
            </w:r>
          </w:p>
        </w:tc>
        <w:tc>
          <w:tcPr>
            <w:tcW w:w="992"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 xml:space="preserve"> 1.3</w:t>
            </w:r>
          </w:p>
        </w:tc>
        <w:tc>
          <w:tcPr>
            <w:tcW w:w="992"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 xml:space="preserve"> 1.0</w:t>
            </w:r>
          </w:p>
        </w:tc>
      </w:tr>
      <w:tr w:rsidR="00F87646" w:rsidRPr="00BC0C9E" w:rsidTr="00916491">
        <w:trPr>
          <w:trHeight w:val="86"/>
        </w:trPr>
        <w:tc>
          <w:tcPr>
            <w:tcW w:w="3858" w:type="dxa"/>
            <w:tcBorders>
              <w:top w:val="nil"/>
              <w:left w:val="nil"/>
              <w:bottom w:val="nil"/>
              <w:right w:val="nil"/>
            </w:tcBorders>
          </w:tcPr>
          <w:p w:rsidR="00F87646" w:rsidRPr="00BC0C9E" w:rsidRDefault="00F87646" w:rsidP="00916491">
            <w:pPr>
              <w:pStyle w:val="Tabletext"/>
              <w:rPr>
                <w:rFonts w:eastAsiaTheme="minorEastAsia"/>
                <w:lang w:eastAsia="en-AU"/>
              </w:rPr>
            </w:pPr>
            <w:r w:rsidRPr="00BC0C9E">
              <w:rPr>
                <w:rFonts w:eastAsiaTheme="minorEastAsia"/>
                <w:lang w:eastAsia="en-AU"/>
              </w:rPr>
              <w:t>Urban water reform</w:t>
            </w:r>
          </w:p>
        </w:tc>
        <w:tc>
          <w:tcPr>
            <w:tcW w:w="924"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 xml:space="preserve"> 8.5</w:t>
            </w:r>
          </w:p>
        </w:tc>
        <w:tc>
          <w:tcPr>
            <w:tcW w:w="992"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w:t>
            </w:r>
          </w:p>
        </w:tc>
        <w:tc>
          <w:tcPr>
            <w:tcW w:w="992"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w:t>
            </w:r>
          </w:p>
        </w:tc>
        <w:tc>
          <w:tcPr>
            <w:tcW w:w="992" w:type="dxa"/>
            <w:tcBorders>
              <w:top w:val="nil"/>
              <w:left w:val="nil"/>
              <w:bottom w:val="nil"/>
              <w:right w:val="nil"/>
            </w:tcBorders>
          </w:tcPr>
          <w:p w:rsidR="00F87646" w:rsidRPr="00BC0C9E" w:rsidRDefault="00F87646" w:rsidP="00916491">
            <w:pPr>
              <w:pStyle w:val="TableofFigures"/>
              <w:rPr>
                <w:rFonts w:eastAsiaTheme="minorEastAsia"/>
                <w:lang w:eastAsia="en-AU"/>
              </w:rPr>
            </w:pPr>
            <w:r w:rsidRPr="00BC0C9E">
              <w:rPr>
                <w:rFonts w:eastAsiaTheme="minorEastAsia"/>
                <w:lang w:eastAsia="en-AU"/>
              </w:rPr>
              <w:t>..</w:t>
            </w:r>
          </w:p>
        </w:tc>
      </w:tr>
      <w:tr w:rsidR="00F87646" w:rsidRPr="00BC0C9E" w:rsidTr="00916491">
        <w:trPr>
          <w:trHeight w:val="86"/>
        </w:trPr>
        <w:tc>
          <w:tcPr>
            <w:tcW w:w="3858" w:type="dxa"/>
            <w:tcBorders>
              <w:top w:val="single" w:sz="6" w:space="0" w:color="auto"/>
              <w:left w:val="nil"/>
              <w:bottom w:val="single" w:sz="12" w:space="0" w:color="auto"/>
              <w:right w:val="nil"/>
            </w:tcBorders>
          </w:tcPr>
          <w:p w:rsidR="00F87646" w:rsidRPr="00BC0C9E" w:rsidRDefault="00F87646" w:rsidP="00916491">
            <w:pPr>
              <w:pStyle w:val="Tabletext"/>
              <w:rPr>
                <w:rFonts w:eastAsiaTheme="minorEastAsia"/>
                <w:b/>
                <w:bCs/>
                <w:lang w:eastAsia="en-AU"/>
              </w:rPr>
            </w:pPr>
            <w:r w:rsidRPr="00BC0C9E">
              <w:rPr>
                <w:rFonts w:eastAsiaTheme="minorEastAsia"/>
                <w:b/>
                <w:bCs/>
                <w:lang w:eastAsia="en-AU"/>
              </w:rPr>
              <w:t>Total output initiatives</w:t>
            </w:r>
          </w:p>
        </w:tc>
        <w:tc>
          <w:tcPr>
            <w:tcW w:w="924" w:type="dxa"/>
            <w:tcBorders>
              <w:top w:val="single" w:sz="6" w:space="0" w:color="auto"/>
              <w:left w:val="nil"/>
              <w:bottom w:val="single" w:sz="12" w:space="0" w:color="auto"/>
              <w:right w:val="nil"/>
            </w:tcBorders>
          </w:tcPr>
          <w:p w:rsidR="00F87646" w:rsidRPr="00BC0C9E" w:rsidRDefault="00F87646" w:rsidP="00916491">
            <w:pPr>
              <w:pStyle w:val="TableofFigures"/>
              <w:rPr>
                <w:rFonts w:eastAsiaTheme="minorEastAsia"/>
                <w:b/>
                <w:bCs/>
                <w:lang w:eastAsia="en-AU"/>
              </w:rPr>
            </w:pPr>
            <w:r w:rsidRPr="00BC0C9E">
              <w:rPr>
                <w:rFonts w:eastAsiaTheme="minorEastAsia"/>
                <w:b/>
                <w:bCs/>
                <w:lang w:eastAsia="en-AU"/>
              </w:rPr>
              <w:t xml:space="preserve"> 10.8</w:t>
            </w:r>
          </w:p>
        </w:tc>
        <w:tc>
          <w:tcPr>
            <w:tcW w:w="992" w:type="dxa"/>
            <w:tcBorders>
              <w:top w:val="single" w:sz="6" w:space="0" w:color="auto"/>
              <w:left w:val="nil"/>
              <w:bottom w:val="single" w:sz="12" w:space="0" w:color="auto"/>
              <w:right w:val="nil"/>
            </w:tcBorders>
          </w:tcPr>
          <w:p w:rsidR="00F87646" w:rsidRPr="00BC0C9E" w:rsidRDefault="00F87646" w:rsidP="00916491">
            <w:pPr>
              <w:pStyle w:val="TableofFigures"/>
              <w:rPr>
                <w:rFonts w:eastAsiaTheme="minorEastAsia"/>
                <w:b/>
                <w:bCs/>
                <w:lang w:eastAsia="en-AU"/>
              </w:rPr>
            </w:pPr>
            <w:r w:rsidRPr="00BC0C9E">
              <w:rPr>
                <w:rFonts w:eastAsiaTheme="minorEastAsia"/>
                <w:b/>
                <w:bCs/>
                <w:lang w:eastAsia="en-AU"/>
              </w:rPr>
              <w:t xml:space="preserve"> 1.5</w:t>
            </w:r>
          </w:p>
        </w:tc>
        <w:tc>
          <w:tcPr>
            <w:tcW w:w="992" w:type="dxa"/>
            <w:tcBorders>
              <w:top w:val="single" w:sz="6" w:space="0" w:color="auto"/>
              <w:left w:val="nil"/>
              <w:bottom w:val="single" w:sz="12" w:space="0" w:color="auto"/>
              <w:right w:val="nil"/>
            </w:tcBorders>
          </w:tcPr>
          <w:p w:rsidR="00F87646" w:rsidRPr="00BC0C9E" w:rsidRDefault="00F87646" w:rsidP="00916491">
            <w:pPr>
              <w:pStyle w:val="TableofFigures"/>
              <w:rPr>
                <w:rFonts w:eastAsiaTheme="minorEastAsia"/>
                <w:b/>
                <w:bCs/>
                <w:lang w:eastAsia="en-AU"/>
              </w:rPr>
            </w:pPr>
            <w:r w:rsidRPr="00BC0C9E">
              <w:rPr>
                <w:rFonts w:eastAsiaTheme="minorEastAsia"/>
                <w:b/>
                <w:bCs/>
                <w:lang w:eastAsia="en-AU"/>
              </w:rPr>
              <w:t xml:space="preserve"> 1.3</w:t>
            </w:r>
          </w:p>
        </w:tc>
        <w:tc>
          <w:tcPr>
            <w:tcW w:w="992" w:type="dxa"/>
            <w:tcBorders>
              <w:top w:val="single" w:sz="6" w:space="0" w:color="auto"/>
              <w:left w:val="nil"/>
              <w:bottom w:val="single" w:sz="12" w:space="0" w:color="auto"/>
              <w:right w:val="nil"/>
            </w:tcBorders>
          </w:tcPr>
          <w:p w:rsidR="00F87646" w:rsidRPr="00BC0C9E" w:rsidRDefault="00F87646" w:rsidP="00916491">
            <w:pPr>
              <w:pStyle w:val="TableofFigures"/>
              <w:rPr>
                <w:rFonts w:eastAsiaTheme="minorEastAsia"/>
                <w:b/>
                <w:bCs/>
                <w:lang w:eastAsia="en-AU"/>
              </w:rPr>
            </w:pPr>
            <w:r w:rsidRPr="00BC0C9E">
              <w:rPr>
                <w:rFonts w:eastAsiaTheme="minorEastAsia"/>
                <w:b/>
                <w:bCs/>
                <w:lang w:eastAsia="en-AU"/>
              </w:rPr>
              <w:t xml:space="preserve"> 1.0</w:t>
            </w:r>
          </w:p>
        </w:tc>
      </w:tr>
    </w:tbl>
    <w:p w:rsidR="00F87646" w:rsidRDefault="00F87646" w:rsidP="00232EA5">
      <w:pPr>
        <w:pStyle w:val="Source"/>
        <w:rPr>
          <w:rStyle w:val="PageNumber"/>
          <w:sz w:val="15"/>
        </w:rPr>
      </w:pPr>
      <w:r w:rsidRPr="00BC0C9E">
        <w:rPr>
          <w:rStyle w:val="PageNumber"/>
          <w:sz w:val="15"/>
        </w:rPr>
        <w:t>Source: Department of Treasury and Finance</w:t>
      </w:r>
    </w:p>
    <w:p w:rsidR="00F87646" w:rsidRPr="00232EA5" w:rsidRDefault="00F87646" w:rsidP="00232EA5">
      <w:pPr>
        <w:pStyle w:val="Source"/>
      </w:pPr>
    </w:p>
    <w:p w:rsidR="00F87646" w:rsidRPr="00BC0C9E" w:rsidRDefault="00F87646" w:rsidP="005E0593">
      <w:pPr>
        <w:pStyle w:val="Heading5"/>
      </w:pPr>
      <w:r w:rsidRPr="00BC0C9E">
        <w:t xml:space="preserve">Building on reform of illegal puppy and kitten farms </w:t>
      </w:r>
    </w:p>
    <w:p w:rsidR="00F87646" w:rsidRPr="00BC0C9E" w:rsidRDefault="00F87646" w:rsidP="005E0593">
      <w:r w:rsidRPr="00BC0C9E">
        <w:t xml:space="preserve">Funding will be provided to the RSPCA to enable increased enforcement of the </w:t>
      </w:r>
      <w:r w:rsidRPr="00BC0C9E">
        <w:rPr>
          <w:i/>
        </w:rPr>
        <w:t xml:space="preserve">Domestic Animals Act 1994 </w:t>
      </w:r>
      <w:r w:rsidRPr="00BC0C9E">
        <w:t>to close illegal puppy and kitten farms. This includes a one</w:t>
      </w:r>
      <w:r>
        <w:noBreakHyphen/>
      </w:r>
      <w:r w:rsidRPr="00BC0C9E">
        <w:t>off grant of $750 000 in 2014</w:t>
      </w:r>
      <w:r>
        <w:noBreakHyphen/>
      </w:r>
      <w:r w:rsidRPr="00BC0C9E">
        <w:t>15 to assist with the purchase of vehicles and equipment to aid in the seizure of dogs and cats from illegal establishments.</w:t>
      </w:r>
    </w:p>
    <w:p w:rsidR="00F87646" w:rsidRPr="00BC0C9E" w:rsidRDefault="00F87646" w:rsidP="005E0593">
      <w:r w:rsidRPr="00BC0C9E">
        <w:t>This initiative contributes to the Department of Environment and Primary Industries</w:t>
      </w:r>
      <w:r>
        <w:t>’</w:t>
      </w:r>
      <w:r w:rsidRPr="00BC0C9E">
        <w:t xml:space="preserve"> Biosecurity output.</w:t>
      </w:r>
    </w:p>
    <w:p w:rsidR="00F87646" w:rsidRPr="00BC0C9E" w:rsidRDefault="00F87646" w:rsidP="005E0593">
      <w:pPr>
        <w:pStyle w:val="Heading5"/>
      </w:pPr>
      <w:r w:rsidRPr="00BC0C9E">
        <w:t xml:space="preserve">Urban water reform </w:t>
      </w:r>
    </w:p>
    <w:p w:rsidR="00F87646" w:rsidRPr="00BC0C9E" w:rsidRDefault="00F87646" w:rsidP="005E0593">
      <w:r w:rsidRPr="00BC0C9E">
        <w:t>Funding will be provided to support the implementation of the Fairer Water Bills initiative, which will require Victoria</w:t>
      </w:r>
      <w:r>
        <w:t>’</w:t>
      </w:r>
      <w:r w:rsidRPr="00BC0C9E">
        <w:t>s urban water corporations to identify operational efficiencies in delivering water services to provide cost savings for customers.</w:t>
      </w:r>
    </w:p>
    <w:p w:rsidR="00F87646" w:rsidRDefault="00F87646" w:rsidP="00232EA5">
      <w:pPr>
        <w:rPr>
          <w:rFonts w:ascii="Calibri" w:hAnsi="Calibri"/>
          <w:b/>
          <w:caps/>
          <w:sz w:val="26"/>
          <w:szCs w:val="22"/>
        </w:rPr>
      </w:pPr>
      <w:r w:rsidRPr="00BC0C9E">
        <w:t>This initiative contributes to the Department of Environment and Primary Industries</w:t>
      </w:r>
      <w:r>
        <w:t>’</w:t>
      </w:r>
      <w:r w:rsidRPr="00BC0C9E">
        <w:t xml:space="preserve"> Effective Water Management and Supply output.</w:t>
      </w:r>
      <w:r>
        <w:br w:type="page"/>
      </w:r>
    </w:p>
    <w:p w:rsidR="00F87646" w:rsidRPr="00BC0C9E" w:rsidRDefault="00F87646" w:rsidP="00882D47">
      <w:pPr>
        <w:pStyle w:val="Heading1"/>
      </w:pPr>
      <w:bookmarkStart w:id="92" w:name="_Toc403386701"/>
      <w:r w:rsidRPr="00BC0C9E">
        <w:lastRenderedPageBreak/>
        <w:t>Department of Health</w:t>
      </w:r>
      <w:bookmarkEnd w:id="91"/>
      <w:bookmarkEnd w:id="92"/>
    </w:p>
    <w:p w:rsidR="00F87646" w:rsidRPr="00BC0C9E" w:rsidRDefault="00F87646" w:rsidP="00882D47">
      <w:pPr>
        <w:pStyle w:val="Heading3"/>
      </w:pPr>
      <w:r w:rsidRPr="00BC0C9E">
        <w:t>Output initiatives</w:t>
      </w:r>
    </w:p>
    <w:p w:rsidR="00F87646" w:rsidRPr="00BC0C9E" w:rsidRDefault="00F87646" w:rsidP="009B3707">
      <w:pPr>
        <w:pStyle w:val="Tableheading"/>
      </w:pPr>
      <w:r w:rsidRPr="00BC0C9E">
        <w:t>Table A.7:</w:t>
      </w:r>
      <w:r w:rsidRPr="00BC0C9E">
        <w:tab/>
        <w:t>Output initiatives – Health</w:t>
      </w:r>
    </w:p>
    <w:p w:rsidR="00F87646" w:rsidRPr="00BC0C9E" w:rsidRDefault="00F87646" w:rsidP="00D146BA">
      <w:pPr>
        <w:pStyle w:val="million"/>
        <w:rPr>
          <w:sz w:val="22"/>
        </w:rPr>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BC0C9E" w:rsidTr="00D146BA">
        <w:tc>
          <w:tcPr>
            <w:tcW w:w="3803" w:type="dxa"/>
            <w:tcBorders>
              <w:top w:val="single" w:sz="6" w:space="0" w:color="000000" w:themeColor="text1"/>
              <w:left w:val="single" w:sz="6" w:space="0" w:color="000000" w:themeColor="text1"/>
              <w:bottom w:val="single" w:sz="6" w:space="0" w:color="auto"/>
              <w:right w:val="nil"/>
            </w:tcBorders>
            <w:shd w:val="clear" w:color="auto" w:fill="000000"/>
          </w:tcPr>
          <w:p w:rsidR="00F87646" w:rsidRPr="00BC0C9E" w:rsidRDefault="00F87646" w:rsidP="00D146BA">
            <w:pPr>
              <w:pStyle w:val="Tabletext"/>
              <w:rPr>
                <w:rFonts w:eastAsiaTheme="minorEastAsia"/>
                <w:lang w:eastAsia="en-AU"/>
              </w:rPr>
            </w:pPr>
          </w:p>
        </w:tc>
        <w:tc>
          <w:tcPr>
            <w:tcW w:w="994" w:type="dxa"/>
            <w:tcBorders>
              <w:top w:val="single" w:sz="6" w:space="0" w:color="000000" w:themeColor="text1"/>
              <w:left w:val="nil"/>
              <w:bottom w:val="single" w:sz="6" w:space="0" w:color="auto"/>
              <w:right w:val="nil"/>
            </w:tcBorders>
            <w:shd w:val="clear" w:color="auto" w:fill="000000"/>
          </w:tcPr>
          <w:p w:rsidR="00F87646" w:rsidRPr="00BC0C9E" w:rsidRDefault="00F87646" w:rsidP="00D146BA">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D146BA">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D146BA">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000000" w:themeColor="text1"/>
              <w:left w:val="nil"/>
              <w:bottom w:val="single" w:sz="6" w:space="0" w:color="auto"/>
              <w:right w:val="single" w:sz="6" w:space="0" w:color="000000" w:themeColor="text1"/>
            </w:tcBorders>
            <w:shd w:val="clear" w:color="auto" w:fill="000000"/>
          </w:tcPr>
          <w:p w:rsidR="00F87646" w:rsidRPr="00BC0C9E" w:rsidRDefault="00F87646" w:rsidP="00D146BA">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D146BA">
        <w:tc>
          <w:tcPr>
            <w:tcW w:w="3803" w:type="dxa"/>
            <w:tcBorders>
              <w:top w:val="single" w:sz="6" w:space="0" w:color="000000" w:themeColor="text1"/>
              <w:left w:val="nil"/>
              <w:bottom w:val="nil"/>
              <w:right w:val="nil"/>
            </w:tcBorders>
          </w:tcPr>
          <w:p w:rsidR="00F87646" w:rsidRPr="00BC0C9E" w:rsidRDefault="00F87646" w:rsidP="00D146BA">
            <w:pPr>
              <w:pStyle w:val="Tabletext"/>
              <w:rPr>
                <w:rFonts w:eastAsiaTheme="minorEastAsia"/>
                <w:lang w:eastAsia="en-AU"/>
              </w:rPr>
            </w:pPr>
            <w:r w:rsidRPr="00BC0C9E">
              <w:rPr>
                <w:rFonts w:eastAsiaTheme="minorEastAsia"/>
                <w:lang w:eastAsia="en-AU"/>
              </w:rPr>
              <w:t>Hazelwood health study</w:t>
            </w:r>
          </w:p>
        </w:tc>
        <w:tc>
          <w:tcPr>
            <w:tcW w:w="994" w:type="dxa"/>
            <w:tcBorders>
              <w:top w:val="single" w:sz="6" w:space="0" w:color="000000" w:themeColor="text1"/>
              <w:left w:val="nil"/>
              <w:bottom w:val="nil"/>
              <w:right w:val="nil"/>
            </w:tcBorders>
          </w:tcPr>
          <w:p w:rsidR="00F87646" w:rsidRPr="00BC0C9E" w:rsidRDefault="00F87646" w:rsidP="00D146BA">
            <w:pPr>
              <w:pStyle w:val="TableofFigures"/>
              <w:rPr>
                <w:rFonts w:eastAsiaTheme="minorEastAsia" w:cs="Calibri"/>
                <w:color w:val="000000"/>
                <w:lang w:eastAsia="en-AU"/>
              </w:rPr>
            </w:pPr>
            <w:r w:rsidRPr="00BC0C9E">
              <w:rPr>
                <w:rFonts w:eastAsiaTheme="minorEastAsia"/>
                <w:lang w:eastAsia="en-AU"/>
              </w:rPr>
              <w:t xml:space="preserve"> 1.5</w:t>
            </w:r>
          </w:p>
        </w:tc>
        <w:tc>
          <w:tcPr>
            <w:tcW w:w="993" w:type="dxa"/>
            <w:tcBorders>
              <w:top w:val="single" w:sz="6" w:space="0" w:color="000000" w:themeColor="text1"/>
              <w:left w:val="nil"/>
              <w:bottom w:val="nil"/>
              <w:right w:val="nil"/>
            </w:tcBorders>
          </w:tcPr>
          <w:p w:rsidR="00F87646" w:rsidRPr="00BC0C9E" w:rsidRDefault="00F87646" w:rsidP="00D146BA">
            <w:pPr>
              <w:pStyle w:val="TableofFigures"/>
              <w:rPr>
                <w:rFonts w:eastAsiaTheme="minorEastAsia" w:cs="Calibri"/>
                <w:color w:val="000000"/>
                <w:lang w:eastAsia="en-AU"/>
              </w:rPr>
            </w:pPr>
            <w:r w:rsidRPr="00BC0C9E">
              <w:rPr>
                <w:rFonts w:eastAsiaTheme="minorEastAsia"/>
                <w:lang w:eastAsia="en-AU"/>
              </w:rPr>
              <w:t xml:space="preserve"> 3.0</w:t>
            </w:r>
          </w:p>
        </w:tc>
        <w:tc>
          <w:tcPr>
            <w:tcW w:w="993" w:type="dxa"/>
            <w:tcBorders>
              <w:top w:val="single" w:sz="6" w:space="0" w:color="000000" w:themeColor="text1"/>
              <w:left w:val="nil"/>
              <w:bottom w:val="nil"/>
              <w:right w:val="nil"/>
            </w:tcBorders>
          </w:tcPr>
          <w:p w:rsidR="00F87646" w:rsidRPr="00BC0C9E" w:rsidRDefault="00F87646" w:rsidP="00D146BA">
            <w:pPr>
              <w:pStyle w:val="TableofFigures"/>
              <w:rPr>
                <w:rFonts w:eastAsiaTheme="minorEastAsia" w:cs="Calibri"/>
                <w:color w:val="000000"/>
                <w:lang w:eastAsia="en-AU"/>
              </w:rPr>
            </w:pPr>
            <w:r w:rsidRPr="00BC0C9E">
              <w:rPr>
                <w:rFonts w:eastAsiaTheme="minorEastAsia"/>
                <w:lang w:eastAsia="en-AU"/>
              </w:rPr>
              <w:t xml:space="preserve"> 3.1</w:t>
            </w:r>
          </w:p>
        </w:tc>
        <w:tc>
          <w:tcPr>
            <w:tcW w:w="993" w:type="dxa"/>
            <w:tcBorders>
              <w:top w:val="single" w:sz="6" w:space="0" w:color="000000" w:themeColor="text1"/>
              <w:left w:val="nil"/>
              <w:bottom w:val="nil"/>
              <w:right w:val="nil"/>
            </w:tcBorders>
          </w:tcPr>
          <w:p w:rsidR="00F87646" w:rsidRPr="00BC0C9E" w:rsidRDefault="00F87646" w:rsidP="00D146BA">
            <w:pPr>
              <w:pStyle w:val="TableofFigures"/>
              <w:rPr>
                <w:rFonts w:eastAsiaTheme="minorEastAsia" w:cs="Calibri"/>
                <w:color w:val="000000"/>
                <w:lang w:eastAsia="en-AU"/>
              </w:rPr>
            </w:pPr>
            <w:r w:rsidRPr="00BC0C9E">
              <w:rPr>
                <w:rFonts w:eastAsiaTheme="minorEastAsia"/>
                <w:lang w:eastAsia="en-AU"/>
              </w:rPr>
              <w:t xml:space="preserve"> 2.7</w:t>
            </w:r>
          </w:p>
        </w:tc>
      </w:tr>
      <w:tr w:rsidR="00F87646" w:rsidRPr="00BC0C9E" w:rsidTr="00D146BA">
        <w:tc>
          <w:tcPr>
            <w:tcW w:w="3803" w:type="dxa"/>
            <w:tcBorders>
              <w:top w:val="nil"/>
              <w:left w:val="nil"/>
              <w:bottom w:val="nil"/>
              <w:right w:val="nil"/>
            </w:tcBorders>
          </w:tcPr>
          <w:p w:rsidR="00F87646" w:rsidRPr="00BC0C9E" w:rsidRDefault="00F87646" w:rsidP="00D146BA">
            <w:pPr>
              <w:pStyle w:val="Tabletext"/>
              <w:rPr>
                <w:rFonts w:eastAsiaTheme="minorEastAsia"/>
                <w:lang w:eastAsia="en-AU"/>
              </w:rPr>
            </w:pPr>
            <w:r w:rsidRPr="00BC0C9E">
              <w:rPr>
                <w:rFonts w:eastAsiaTheme="minorEastAsia"/>
                <w:lang w:eastAsia="en-AU"/>
              </w:rPr>
              <w:t>Seniors Participation Action Plan</w:t>
            </w:r>
          </w:p>
        </w:tc>
        <w:tc>
          <w:tcPr>
            <w:tcW w:w="994"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 xml:space="preserve"> 0.3</w:t>
            </w:r>
          </w:p>
        </w:tc>
        <w:tc>
          <w:tcPr>
            <w:tcW w:w="993"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 xml:space="preserve"> 1.3</w:t>
            </w:r>
          </w:p>
        </w:tc>
        <w:tc>
          <w:tcPr>
            <w:tcW w:w="993"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 xml:space="preserve"> 1.4</w:t>
            </w:r>
          </w:p>
        </w:tc>
        <w:tc>
          <w:tcPr>
            <w:tcW w:w="993"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 xml:space="preserve"> 1.1</w:t>
            </w:r>
          </w:p>
        </w:tc>
      </w:tr>
      <w:tr w:rsidR="00F87646" w:rsidRPr="00BC0C9E" w:rsidTr="00D146BA">
        <w:tc>
          <w:tcPr>
            <w:tcW w:w="3803" w:type="dxa"/>
            <w:tcBorders>
              <w:top w:val="nil"/>
              <w:left w:val="nil"/>
              <w:bottom w:val="nil"/>
              <w:right w:val="nil"/>
            </w:tcBorders>
          </w:tcPr>
          <w:p w:rsidR="00F87646" w:rsidRPr="00BC0C9E" w:rsidRDefault="00F87646" w:rsidP="00D146BA">
            <w:pPr>
              <w:pStyle w:val="Tabletext"/>
              <w:rPr>
                <w:rFonts w:eastAsiaTheme="minorEastAsia"/>
                <w:lang w:eastAsia="en-AU"/>
              </w:rPr>
            </w:pPr>
            <w:r w:rsidRPr="00BC0C9E">
              <w:rPr>
                <w:rFonts w:eastAsiaTheme="minorEastAsia"/>
                <w:lang w:eastAsia="en-AU"/>
              </w:rPr>
              <w:t>Treatment services at Waurn Ponds</w:t>
            </w:r>
          </w:p>
        </w:tc>
        <w:tc>
          <w:tcPr>
            <w:tcW w:w="994"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w:t>
            </w:r>
          </w:p>
        </w:tc>
        <w:tc>
          <w:tcPr>
            <w:tcW w:w="993"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w:t>
            </w:r>
          </w:p>
        </w:tc>
        <w:tc>
          <w:tcPr>
            <w:tcW w:w="993"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 xml:space="preserve"> 9.5</w:t>
            </w:r>
          </w:p>
        </w:tc>
        <w:tc>
          <w:tcPr>
            <w:tcW w:w="993" w:type="dxa"/>
            <w:tcBorders>
              <w:top w:val="nil"/>
              <w:left w:val="nil"/>
              <w:bottom w:val="nil"/>
              <w:right w:val="nil"/>
            </w:tcBorders>
          </w:tcPr>
          <w:p w:rsidR="00F87646" w:rsidRPr="00BC0C9E" w:rsidRDefault="00F87646" w:rsidP="00D146BA">
            <w:pPr>
              <w:pStyle w:val="TableofFigures"/>
              <w:rPr>
                <w:rFonts w:eastAsiaTheme="minorEastAsia"/>
                <w:lang w:eastAsia="en-AU"/>
              </w:rPr>
            </w:pPr>
            <w:r w:rsidRPr="00BC0C9E">
              <w:rPr>
                <w:rFonts w:eastAsiaTheme="minorEastAsia"/>
                <w:lang w:eastAsia="en-AU"/>
              </w:rPr>
              <w:t xml:space="preserve"> 3.3</w:t>
            </w:r>
          </w:p>
        </w:tc>
      </w:tr>
      <w:tr w:rsidR="00F87646" w:rsidRPr="00BC0C9E" w:rsidTr="00D146BA">
        <w:tc>
          <w:tcPr>
            <w:tcW w:w="3803" w:type="dxa"/>
            <w:tcBorders>
              <w:top w:val="single" w:sz="6" w:space="0" w:color="auto"/>
              <w:left w:val="nil"/>
              <w:bottom w:val="single" w:sz="12" w:space="0" w:color="auto"/>
              <w:right w:val="nil"/>
            </w:tcBorders>
          </w:tcPr>
          <w:p w:rsidR="00F87646" w:rsidRPr="00BC0C9E" w:rsidRDefault="00F87646" w:rsidP="00D146BA">
            <w:pPr>
              <w:pStyle w:val="Tabletext"/>
              <w:rPr>
                <w:rFonts w:eastAsiaTheme="minorEastAsia"/>
                <w:b/>
                <w:bCs/>
                <w:lang w:eastAsia="en-AU"/>
              </w:rPr>
            </w:pPr>
            <w:r w:rsidRPr="00BC0C9E">
              <w:rPr>
                <w:rFonts w:eastAsiaTheme="minorEastAsia"/>
                <w:b/>
                <w:bCs/>
                <w:lang w:eastAsia="en-AU"/>
              </w:rPr>
              <w:t>Total output initiatives</w:t>
            </w:r>
          </w:p>
        </w:tc>
        <w:tc>
          <w:tcPr>
            <w:tcW w:w="994" w:type="dxa"/>
            <w:tcBorders>
              <w:top w:val="single" w:sz="6" w:space="0" w:color="auto"/>
              <w:left w:val="nil"/>
              <w:bottom w:val="single" w:sz="12" w:space="0" w:color="auto"/>
              <w:right w:val="nil"/>
            </w:tcBorders>
          </w:tcPr>
          <w:p w:rsidR="00F87646" w:rsidRPr="00BC0C9E" w:rsidRDefault="00F87646" w:rsidP="00D146BA">
            <w:pPr>
              <w:pStyle w:val="TableofFigures"/>
              <w:rPr>
                <w:rFonts w:eastAsiaTheme="minorEastAsia"/>
                <w:b/>
                <w:bCs/>
                <w:lang w:eastAsia="en-AU"/>
              </w:rPr>
            </w:pPr>
            <w:r w:rsidRPr="00BC0C9E">
              <w:rPr>
                <w:rFonts w:eastAsiaTheme="minorEastAsia"/>
                <w:b/>
                <w:bCs/>
                <w:lang w:eastAsia="en-AU"/>
              </w:rPr>
              <w:t xml:space="preserve"> 1.8</w:t>
            </w:r>
          </w:p>
        </w:tc>
        <w:tc>
          <w:tcPr>
            <w:tcW w:w="993" w:type="dxa"/>
            <w:tcBorders>
              <w:top w:val="single" w:sz="6" w:space="0" w:color="auto"/>
              <w:left w:val="nil"/>
              <w:bottom w:val="single" w:sz="12" w:space="0" w:color="auto"/>
              <w:right w:val="nil"/>
            </w:tcBorders>
          </w:tcPr>
          <w:p w:rsidR="00F87646" w:rsidRPr="00BC0C9E" w:rsidRDefault="00F87646" w:rsidP="00D146BA">
            <w:pPr>
              <w:pStyle w:val="TableofFigures"/>
              <w:rPr>
                <w:rFonts w:eastAsiaTheme="minorEastAsia"/>
                <w:b/>
                <w:bCs/>
                <w:lang w:eastAsia="en-AU"/>
              </w:rPr>
            </w:pPr>
            <w:r w:rsidRPr="00BC0C9E">
              <w:rPr>
                <w:rFonts w:eastAsiaTheme="minorEastAsia"/>
                <w:b/>
                <w:bCs/>
                <w:lang w:eastAsia="en-AU"/>
              </w:rPr>
              <w:t xml:space="preserve"> 4.3</w:t>
            </w:r>
          </w:p>
        </w:tc>
        <w:tc>
          <w:tcPr>
            <w:tcW w:w="993" w:type="dxa"/>
            <w:tcBorders>
              <w:top w:val="single" w:sz="6" w:space="0" w:color="auto"/>
              <w:left w:val="nil"/>
              <w:bottom w:val="single" w:sz="12" w:space="0" w:color="auto"/>
              <w:right w:val="nil"/>
            </w:tcBorders>
          </w:tcPr>
          <w:p w:rsidR="00F87646" w:rsidRPr="00BC0C9E" w:rsidRDefault="00F87646" w:rsidP="00D146BA">
            <w:pPr>
              <w:pStyle w:val="TableofFigures"/>
              <w:rPr>
                <w:rFonts w:eastAsiaTheme="minorEastAsia"/>
                <w:b/>
                <w:bCs/>
                <w:lang w:eastAsia="en-AU"/>
              </w:rPr>
            </w:pPr>
            <w:r w:rsidRPr="00BC0C9E">
              <w:rPr>
                <w:rFonts w:eastAsiaTheme="minorEastAsia"/>
                <w:b/>
                <w:bCs/>
                <w:lang w:eastAsia="en-AU"/>
              </w:rPr>
              <w:t xml:space="preserve"> 14.0</w:t>
            </w:r>
          </w:p>
        </w:tc>
        <w:tc>
          <w:tcPr>
            <w:tcW w:w="993" w:type="dxa"/>
            <w:tcBorders>
              <w:top w:val="single" w:sz="6" w:space="0" w:color="auto"/>
              <w:left w:val="nil"/>
              <w:bottom w:val="single" w:sz="12" w:space="0" w:color="auto"/>
              <w:right w:val="nil"/>
            </w:tcBorders>
          </w:tcPr>
          <w:p w:rsidR="00F87646" w:rsidRPr="00BC0C9E" w:rsidRDefault="00F87646" w:rsidP="00D146BA">
            <w:pPr>
              <w:pStyle w:val="TableofFigures"/>
              <w:rPr>
                <w:rFonts w:eastAsiaTheme="minorEastAsia"/>
                <w:b/>
                <w:bCs/>
                <w:lang w:eastAsia="en-AU"/>
              </w:rPr>
            </w:pPr>
            <w:r w:rsidRPr="00BC0C9E">
              <w:rPr>
                <w:rFonts w:eastAsiaTheme="minorEastAsia"/>
                <w:b/>
                <w:bCs/>
                <w:lang w:eastAsia="en-AU"/>
              </w:rPr>
              <w:t xml:space="preserve"> 7.1</w:t>
            </w:r>
          </w:p>
        </w:tc>
      </w:tr>
    </w:tbl>
    <w:p w:rsidR="00F87646" w:rsidRPr="00BC0C9E" w:rsidRDefault="00F87646" w:rsidP="009B3707">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Pr="00BC0C9E" w:rsidRDefault="00F87646" w:rsidP="00882D47">
      <w:pPr>
        <w:pStyle w:val="Heading5"/>
      </w:pPr>
      <w:r w:rsidRPr="00BC0C9E">
        <w:t>Hazelwood health study</w:t>
      </w:r>
    </w:p>
    <w:p w:rsidR="00F87646" w:rsidRPr="00BC0C9E" w:rsidRDefault="00F87646" w:rsidP="00742FE0">
      <w:pPr>
        <w:autoSpaceDE w:val="0"/>
        <w:autoSpaceDN w:val="0"/>
        <w:adjustRightInd w:val="0"/>
        <w:rPr>
          <w:rFonts w:cs="Garamond"/>
          <w:color w:val="000000"/>
        </w:rPr>
      </w:pPr>
      <w:r w:rsidRPr="00BC0C9E">
        <w:rPr>
          <w:rFonts w:cs="Garamond"/>
          <w:color w:val="000000"/>
        </w:rPr>
        <w:t>Funding is provided for the first stage of a long</w:t>
      </w:r>
      <w:r>
        <w:rPr>
          <w:rFonts w:cs="Garamond"/>
          <w:color w:val="000000"/>
        </w:rPr>
        <w:noBreakHyphen/>
      </w:r>
      <w:r w:rsidRPr="00BC0C9E">
        <w:rPr>
          <w:rFonts w:cs="Garamond"/>
          <w:color w:val="000000"/>
        </w:rPr>
        <w:t>term study into the potential health effects from the Hazelwood coal mine fire. This will be undertaken by an independent research consortium. The study forms part of the Government</w:t>
      </w:r>
      <w:r>
        <w:rPr>
          <w:rFonts w:cs="Garamond"/>
          <w:color w:val="000000"/>
        </w:rPr>
        <w:t>’</w:t>
      </w:r>
      <w:r w:rsidRPr="00BC0C9E">
        <w:rPr>
          <w:rFonts w:cs="Garamond"/>
          <w:color w:val="000000"/>
        </w:rPr>
        <w:t xml:space="preserve">s response to the </w:t>
      </w:r>
      <w:r w:rsidRPr="00BC0C9E">
        <w:rPr>
          <w:i/>
        </w:rPr>
        <w:t>Hazelwood Mine Fire Board of Inquiry</w:t>
      </w:r>
      <w:r w:rsidRPr="00BC0C9E">
        <w:rPr>
          <w:rFonts w:cs="Garamond"/>
          <w:color w:val="000000"/>
        </w:rPr>
        <w:t xml:space="preserve"> and responds to community concerns on the potential health impacts of the fire. Funding for subsequent stages will be provided as part of the next budget cycle.</w:t>
      </w:r>
    </w:p>
    <w:p w:rsidR="00F87646" w:rsidRPr="00BC0C9E" w:rsidRDefault="00F87646" w:rsidP="00232EA5">
      <w:pPr>
        <w:autoSpaceDE w:val="0"/>
        <w:autoSpaceDN w:val="0"/>
        <w:adjustRightInd w:val="0"/>
        <w:rPr>
          <w:rFonts w:ascii="Calibri" w:hAnsi="Calibri"/>
          <w:b/>
        </w:rPr>
      </w:pPr>
      <w:r w:rsidRPr="00BC0C9E">
        <w:rPr>
          <w:rFonts w:cs="Garamond"/>
          <w:color w:val="000000"/>
        </w:rPr>
        <w:t>This initiative contributes to the Department of Health</w:t>
      </w:r>
      <w:r>
        <w:rPr>
          <w:rFonts w:cs="Garamond"/>
          <w:color w:val="000000"/>
        </w:rPr>
        <w:t>’</w:t>
      </w:r>
      <w:r w:rsidRPr="00BC0C9E">
        <w:rPr>
          <w:rFonts w:cs="Garamond"/>
          <w:color w:val="000000"/>
        </w:rPr>
        <w:t>s Health Protection output.</w:t>
      </w:r>
    </w:p>
    <w:p w:rsidR="00F87646" w:rsidRPr="00BC0C9E" w:rsidRDefault="00F87646" w:rsidP="00882D47">
      <w:pPr>
        <w:pStyle w:val="Heading5"/>
      </w:pPr>
      <w:r w:rsidRPr="00BC0C9E">
        <w:t>Seniors Participation Action Plan</w:t>
      </w:r>
    </w:p>
    <w:p w:rsidR="00F87646" w:rsidRPr="00BC0C9E" w:rsidRDefault="00F87646" w:rsidP="00882D47">
      <w:pPr>
        <w:autoSpaceDE w:val="0"/>
        <w:autoSpaceDN w:val="0"/>
        <w:adjustRightInd w:val="0"/>
        <w:rPr>
          <w:rFonts w:cs="Garamond"/>
          <w:color w:val="000000"/>
        </w:rPr>
      </w:pPr>
      <w:r w:rsidRPr="00BC0C9E">
        <w:rPr>
          <w:rFonts w:cs="Garamond"/>
          <w:color w:val="000000"/>
        </w:rPr>
        <w:t>Funding is provided to support community participation by Victoria</w:t>
      </w:r>
      <w:r>
        <w:rPr>
          <w:rFonts w:cs="Garamond"/>
          <w:color w:val="000000"/>
        </w:rPr>
        <w:t>’</w:t>
      </w:r>
      <w:r w:rsidRPr="00BC0C9E">
        <w:rPr>
          <w:rFonts w:cs="Garamond"/>
          <w:color w:val="000000"/>
        </w:rPr>
        <w:t>s seniors. This will be achieved by focusing efforts around five priority goals:</w:t>
      </w:r>
    </w:p>
    <w:p w:rsidR="00F87646" w:rsidRPr="00BC0C9E" w:rsidRDefault="00F87646" w:rsidP="00882D47">
      <w:pPr>
        <w:pStyle w:val="BulletText"/>
      </w:pPr>
      <w:r w:rsidRPr="00BC0C9E">
        <w:t>respecting the voices of seniors, by actively involving seniors in the planning and implementation of initiatives;</w:t>
      </w:r>
    </w:p>
    <w:p w:rsidR="00F87646" w:rsidRPr="00BC0C9E" w:rsidRDefault="00F87646" w:rsidP="00882D47">
      <w:pPr>
        <w:pStyle w:val="BulletText"/>
      </w:pPr>
      <w:r w:rsidRPr="00BC0C9E">
        <w:t>supporting seniors to keep healthy and well;</w:t>
      </w:r>
    </w:p>
    <w:p w:rsidR="00F87646" w:rsidRPr="00BC0C9E" w:rsidRDefault="00F87646" w:rsidP="00882D47">
      <w:pPr>
        <w:pStyle w:val="BulletText"/>
      </w:pPr>
      <w:r w:rsidRPr="00BC0C9E">
        <w:t>promoting age</w:t>
      </w:r>
      <w:r>
        <w:noBreakHyphen/>
      </w:r>
      <w:r w:rsidRPr="00BC0C9E">
        <w:t>friendly communities, particularly through better planning of the built environment to improve accessibility;</w:t>
      </w:r>
    </w:p>
    <w:p w:rsidR="00F87646" w:rsidRPr="00BC0C9E" w:rsidRDefault="00F87646" w:rsidP="00882D47">
      <w:pPr>
        <w:pStyle w:val="BulletText"/>
      </w:pPr>
      <w:r w:rsidRPr="00BC0C9E">
        <w:t>promoting economic participation, learning and life planning; and</w:t>
      </w:r>
    </w:p>
    <w:p w:rsidR="00F87646" w:rsidRPr="00BC0C9E" w:rsidRDefault="00F87646" w:rsidP="00882D47">
      <w:pPr>
        <w:pStyle w:val="BulletText"/>
      </w:pPr>
      <w:r w:rsidRPr="00BC0C9E">
        <w:t xml:space="preserve">supporting volunteering and community engagement opportunities for seniors. </w:t>
      </w:r>
    </w:p>
    <w:p w:rsidR="00F87646" w:rsidRPr="00BC0C9E" w:rsidRDefault="00F87646" w:rsidP="00882D47">
      <w:pPr>
        <w:autoSpaceDE w:val="0"/>
        <w:autoSpaceDN w:val="0"/>
        <w:adjustRightInd w:val="0"/>
        <w:rPr>
          <w:rFonts w:cs="Garamond"/>
          <w:color w:val="000000"/>
        </w:rPr>
      </w:pPr>
      <w:r w:rsidRPr="00BC0C9E">
        <w:rPr>
          <w:rFonts w:cs="Garamond"/>
          <w:color w:val="000000"/>
        </w:rPr>
        <w:t>This initiative contributes to the Department of Health</w:t>
      </w:r>
      <w:r>
        <w:rPr>
          <w:rFonts w:cs="Garamond"/>
          <w:color w:val="000000"/>
        </w:rPr>
        <w:t>’</w:t>
      </w:r>
      <w:r w:rsidRPr="00BC0C9E">
        <w:rPr>
          <w:rFonts w:cs="Garamond"/>
          <w:color w:val="000000"/>
        </w:rPr>
        <w:t>s Seniors Program and Participation output.</w:t>
      </w:r>
    </w:p>
    <w:p w:rsidR="00F87646" w:rsidRPr="00BC0C9E" w:rsidRDefault="00F87646" w:rsidP="001547C7">
      <w:pPr>
        <w:pStyle w:val="Heading5"/>
      </w:pPr>
      <w:r w:rsidRPr="00BC0C9E">
        <w:t>Treatment services at Waurn Ponds</w:t>
      </w:r>
    </w:p>
    <w:p w:rsidR="00F87646" w:rsidRPr="00BC0C9E" w:rsidRDefault="00F87646" w:rsidP="001547C7">
      <w:pPr>
        <w:autoSpaceDE w:val="0"/>
        <w:autoSpaceDN w:val="0"/>
        <w:adjustRightInd w:val="0"/>
        <w:rPr>
          <w:rFonts w:cs="Garamond"/>
          <w:color w:val="000000"/>
        </w:rPr>
      </w:pPr>
      <w:r w:rsidRPr="00BC0C9E">
        <w:rPr>
          <w:rFonts w:cs="Garamond"/>
          <w:color w:val="000000"/>
        </w:rPr>
        <w:t xml:space="preserve">Funding is provided to procure same day surgical, renal dialysis and chemotherapy services at the new Geelong Hospital facility being </w:t>
      </w:r>
      <w:r>
        <w:rPr>
          <w:rFonts w:cs="Garamond"/>
          <w:color w:val="000000"/>
        </w:rPr>
        <w:t>constructed by Epworth in Waurn </w:t>
      </w:r>
      <w:r w:rsidRPr="00BC0C9E">
        <w:rPr>
          <w:rFonts w:cs="Garamond"/>
          <w:color w:val="000000"/>
        </w:rPr>
        <w:t>Ponds.</w:t>
      </w:r>
    </w:p>
    <w:p w:rsidR="00F87646" w:rsidRPr="00BC0C9E" w:rsidRDefault="00F87646" w:rsidP="001547C7">
      <w:pPr>
        <w:autoSpaceDE w:val="0"/>
        <w:autoSpaceDN w:val="0"/>
        <w:adjustRightInd w:val="0"/>
        <w:rPr>
          <w:rFonts w:cs="Garamond"/>
          <w:color w:val="000000"/>
        </w:rPr>
      </w:pPr>
      <w:r w:rsidRPr="00BC0C9E">
        <w:rPr>
          <w:rFonts w:cs="Garamond"/>
          <w:color w:val="000000"/>
        </w:rPr>
        <w:t>This initiative contributes to the Department of Health</w:t>
      </w:r>
      <w:r>
        <w:rPr>
          <w:rFonts w:cs="Garamond"/>
          <w:color w:val="000000"/>
        </w:rPr>
        <w:t>’</w:t>
      </w:r>
      <w:r w:rsidRPr="00BC0C9E">
        <w:rPr>
          <w:rFonts w:cs="Garamond"/>
          <w:color w:val="000000"/>
        </w:rPr>
        <w:t>s Admitted Services output.</w:t>
      </w:r>
    </w:p>
    <w:p w:rsidR="00F87646" w:rsidRPr="00BC0C9E" w:rsidRDefault="00F87646" w:rsidP="00882D47">
      <w:pPr>
        <w:pStyle w:val="Heading3"/>
      </w:pPr>
      <w:r w:rsidRPr="00BC0C9E">
        <w:lastRenderedPageBreak/>
        <w:t>Asset initiatives</w:t>
      </w:r>
    </w:p>
    <w:p w:rsidR="00F87646" w:rsidRPr="00BC0C9E" w:rsidRDefault="00F87646" w:rsidP="00882D47">
      <w:pPr>
        <w:pStyle w:val="Tableheading"/>
      </w:pPr>
      <w:r w:rsidRPr="00BC0C9E">
        <w:t>Table A.8:</w:t>
      </w:r>
      <w:r w:rsidRPr="00BC0C9E">
        <w:tab/>
        <w:t>Asset initiatives – Health</w:t>
      </w:r>
    </w:p>
    <w:p w:rsidR="00F87646" w:rsidRPr="00A32C30" w:rsidRDefault="00F87646" w:rsidP="00A32C30">
      <w:pPr>
        <w:pStyle w:val="million"/>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614"/>
        <w:gridCol w:w="832"/>
        <w:gridCol w:w="832"/>
        <w:gridCol w:w="833"/>
        <w:gridCol w:w="832"/>
        <w:gridCol w:w="833"/>
      </w:tblGrid>
      <w:tr w:rsidR="00F87646" w:rsidRPr="00A32C30" w:rsidTr="00A32C30">
        <w:tc>
          <w:tcPr>
            <w:tcW w:w="3614" w:type="dxa"/>
            <w:tcBorders>
              <w:top w:val="single" w:sz="6" w:space="0" w:color="auto"/>
              <w:left w:val="single" w:sz="4" w:space="0" w:color="auto"/>
              <w:bottom w:val="single" w:sz="4" w:space="0" w:color="auto"/>
              <w:right w:val="nil"/>
            </w:tcBorders>
            <w:shd w:val="clear" w:color="auto" w:fill="000000"/>
          </w:tcPr>
          <w:p w:rsidR="00F87646" w:rsidRPr="00A32C30" w:rsidRDefault="00F87646" w:rsidP="00A32C30">
            <w:pPr>
              <w:pStyle w:val="Tabletext"/>
              <w:rPr>
                <w:rFonts w:eastAsiaTheme="minorEastAsia"/>
                <w:lang w:eastAsia="en-AU"/>
              </w:rPr>
            </w:pPr>
            <w:r w:rsidRPr="00A32C30">
              <w:rPr>
                <w:rFonts w:eastAsiaTheme="minorEastAsia"/>
                <w:lang w:eastAsia="en-AU"/>
              </w:rPr>
              <w:t xml:space="preserve">  </w:t>
            </w:r>
          </w:p>
        </w:tc>
        <w:tc>
          <w:tcPr>
            <w:tcW w:w="832" w:type="dxa"/>
            <w:tcBorders>
              <w:top w:val="single" w:sz="6" w:space="0" w:color="auto"/>
              <w:left w:val="nil"/>
              <w:bottom w:val="single" w:sz="4" w:space="0" w:color="auto"/>
              <w:right w:val="nil"/>
            </w:tcBorders>
            <w:shd w:val="clear" w:color="auto" w:fill="000000"/>
          </w:tcPr>
          <w:p w:rsidR="00F87646" w:rsidRPr="00A32C30" w:rsidRDefault="00F87646" w:rsidP="00A32C30">
            <w:pPr>
              <w:pStyle w:val="Tabletextheading"/>
              <w:rPr>
                <w:rFonts w:eastAsiaTheme="minorEastAsia"/>
                <w:lang w:eastAsia="en-AU"/>
              </w:rPr>
            </w:pPr>
            <w:r w:rsidRPr="00A32C30">
              <w:rPr>
                <w:rFonts w:eastAsiaTheme="minorEastAsia"/>
                <w:lang w:eastAsia="en-AU"/>
              </w:rPr>
              <w:t>2014</w:t>
            </w:r>
            <w:r>
              <w:rPr>
                <w:rFonts w:eastAsiaTheme="minorEastAsia"/>
                <w:lang w:eastAsia="en-AU"/>
              </w:rPr>
              <w:noBreakHyphen/>
            </w:r>
            <w:r w:rsidRPr="00A32C30">
              <w:rPr>
                <w:rFonts w:eastAsiaTheme="minorEastAsia"/>
                <w:lang w:eastAsia="en-AU"/>
              </w:rPr>
              <w:t>15</w:t>
            </w:r>
          </w:p>
        </w:tc>
        <w:tc>
          <w:tcPr>
            <w:tcW w:w="832" w:type="dxa"/>
            <w:tcBorders>
              <w:top w:val="single" w:sz="6" w:space="0" w:color="auto"/>
              <w:left w:val="nil"/>
              <w:bottom w:val="single" w:sz="4" w:space="0" w:color="auto"/>
              <w:right w:val="nil"/>
            </w:tcBorders>
            <w:shd w:val="clear" w:color="auto" w:fill="000000"/>
          </w:tcPr>
          <w:p w:rsidR="00F87646" w:rsidRPr="00A32C30" w:rsidRDefault="00F87646" w:rsidP="00A32C30">
            <w:pPr>
              <w:pStyle w:val="Tabletextheading"/>
              <w:rPr>
                <w:rFonts w:eastAsiaTheme="minorEastAsia"/>
                <w:lang w:eastAsia="en-AU"/>
              </w:rPr>
            </w:pPr>
            <w:r w:rsidRPr="00A32C30">
              <w:rPr>
                <w:rFonts w:eastAsiaTheme="minorEastAsia"/>
                <w:lang w:eastAsia="en-AU"/>
              </w:rPr>
              <w:t>2015</w:t>
            </w:r>
            <w:r>
              <w:rPr>
                <w:rFonts w:eastAsiaTheme="minorEastAsia"/>
                <w:lang w:eastAsia="en-AU"/>
              </w:rPr>
              <w:noBreakHyphen/>
            </w:r>
            <w:r w:rsidRPr="00A32C30">
              <w:rPr>
                <w:rFonts w:eastAsiaTheme="minorEastAsia"/>
                <w:lang w:eastAsia="en-AU"/>
              </w:rPr>
              <w:t>16</w:t>
            </w:r>
          </w:p>
        </w:tc>
        <w:tc>
          <w:tcPr>
            <w:tcW w:w="833" w:type="dxa"/>
            <w:tcBorders>
              <w:top w:val="single" w:sz="6" w:space="0" w:color="auto"/>
              <w:left w:val="nil"/>
              <w:bottom w:val="single" w:sz="4" w:space="0" w:color="auto"/>
              <w:right w:val="nil"/>
            </w:tcBorders>
            <w:shd w:val="clear" w:color="auto" w:fill="000000"/>
          </w:tcPr>
          <w:p w:rsidR="00F87646" w:rsidRPr="00A32C30" w:rsidRDefault="00F87646" w:rsidP="00A32C30">
            <w:pPr>
              <w:pStyle w:val="Tabletextheading"/>
              <w:rPr>
                <w:rFonts w:eastAsiaTheme="minorEastAsia"/>
                <w:lang w:eastAsia="en-AU"/>
              </w:rPr>
            </w:pPr>
            <w:r w:rsidRPr="00A32C30">
              <w:rPr>
                <w:rFonts w:eastAsiaTheme="minorEastAsia"/>
                <w:lang w:eastAsia="en-AU"/>
              </w:rPr>
              <w:t>2016</w:t>
            </w:r>
            <w:r>
              <w:rPr>
                <w:rFonts w:eastAsiaTheme="minorEastAsia"/>
                <w:lang w:eastAsia="en-AU"/>
              </w:rPr>
              <w:noBreakHyphen/>
            </w:r>
            <w:r w:rsidRPr="00A32C30">
              <w:rPr>
                <w:rFonts w:eastAsiaTheme="minorEastAsia"/>
                <w:lang w:eastAsia="en-AU"/>
              </w:rPr>
              <w:t>17</w:t>
            </w:r>
          </w:p>
        </w:tc>
        <w:tc>
          <w:tcPr>
            <w:tcW w:w="832" w:type="dxa"/>
            <w:tcBorders>
              <w:top w:val="single" w:sz="6" w:space="0" w:color="auto"/>
              <w:left w:val="nil"/>
              <w:bottom w:val="single" w:sz="4" w:space="0" w:color="auto"/>
              <w:right w:val="nil"/>
            </w:tcBorders>
            <w:shd w:val="clear" w:color="auto" w:fill="000000"/>
          </w:tcPr>
          <w:p w:rsidR="00F87646" w:rsidRPr="00A32C30" w:rsidRDefault="00F87646" w:rsidP="00A32C30">
            <w:pPr>
              <w:pStyle w:val="Tabletextheading"/>
              <w:rPr>
                <w:rFonts w:eastAsiaTheme="minorEastAsia"/>
                <w:lang w:eastAsia="en-AU"/>
              </w:rPr>
            </w:pPr>
            <w:r w:rsidRPr="00A32C30">
              <w:rPr>
                <w:rFonts w:eastAsiaTheme="minorEastAsia"/>
                <w:lang w:eastAsia="en-AU"/>
              </w:rPr>
              <w:t>2017</w:t>
            </w:r>
            <w:r>
              <w:rPr>
                <w:rFonts w:eastAsiaTheme="minorEastAsia"/>
                <w:lang w:eastAsia="en-AU"/>
              </w:rPr>
              <w:noBreakHyphen/>
            </w:r>
            <w:r w:rsidRPr="00A32C30">
              <w:rPr>
                <w:rFonts w:eastAsiaTheme="minorEastAsia"/>
                <w:lang w:eastAsia="en-AU"/>
              </w:rPr>
              <w:t>18</w:t>
            </w:r>
          </w:p>
        </w:tc>
        <w:tc>
          <w:tcPr>
            <w:tcW w:w="833" w:type="dxa"/>
            <w:tcBorders>
              <w:top w:val="single" w:sz="6" w:space="0" w:color="auto"/>
              <w:left w:val="nil"/>
              <w:bottom w:val="single" w:sz="4" w:space="0" w:color="auto"/>
              <w:right w:val="single" w:sz="4" w:space="0" w:color="auto"/>
            </w:tcBorders>
            <w:shd w:val="clear" w:color="auto" w:fill="000000"/>
          </w:tcPr>
          <w:p w:rsidR="00F87646" w:rsidRPr="00A32C30" w:rsidRDefault="00F87646" w:rsidP="00A32C30">
            <w:pPr>
              <w:pStyle w:val="Tabletextheading"/>
              <w:rPr>
                <w:rFonts w:eastAsiaTheme="minorEastAsia"/>
                <w:lang w:eastAsia="en-AU"/>
              </w:rPr>
            </w:pPr>
            <w:r w:rsidRPr="00A32C30">
              <w:rPr>
                <w:rFonts w:eastAsiaTheme="minorEastAsia"/>
                <w:lang w:eastAsia="en-AU"/>
              </w:rPr>
              <w:t>TEI</w:t>
            </w:r>
          </w:p>
        </w:tc>
      </w:tr>
      <w:tr w:rsidR="00F87646" w:rsidRPr="00A32C30" w:rsidTr="00A32C30">
        <w:tc>
          <w:tcPr>
            <w:tcW w:w="3614" w:type="dxa"/>
            <w:tcBorders>
              <w:top w:val="single" w:sz="4" w:space="0" w:color="auto"/>
              <w:left w:val="nil"/>
              <w:bottom w:val="nil"/>
              <w:right w:val="nil"/>
            </w:tcBorders>
          </w:tcPr>
          <w:p w:rsidR="00F87646" w:rsidRPr="00A32C30" w:rsidRDefault="00F87646" w:rsidP="00A32C30">
            <w:pPr>
              <w:pStyle w:val="Tabletext"/>
              <w:rPr>
                <w:rFonts w:eastAsiaTheme="minorEastAsia"/>
                <w:color w:val="000000"/>
                <w:lang w:eastAsia="en-AU"/>
              </w:rPr>
            </w:pPr>
            <w:r w:rsidRPr="00A32C30">
              <w:rPr>
                <w:rFonts w:eastAsiaTheme="minorEastAsia"/>
                <w:color w:val="000000"/>
                <w:lang w:eastAsia="en-AU"/>
              </w:rPr>
              <w:t>Additional Geelong Hospital improvements</w:t>
            </w:r>
          </w:p>
        </w:tc>
        <w:tc>
          <w:tcPr>
            <w:tcW w:w="832" w:type="dxa"/>
            <w:tcBorders>
              <w:top w:val="single" w:sz="4" w:space="0" w:color="auto"/>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3.4</w:t>
            </w:r>
          </w:p>
        </w:tc>
        <w:tc>
          <w:tcPr>
            <w:tcW w:w="832" w:type="dxa"/>
            <w:tcBorders>
              <w:top w:val="single" w:sz="4" w:space="0" w:color="auto"/>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19.5</w:t>
            </w:r>
          </w:p>
        </w:tc>
        <w:tc>
          <w:tcPr>
            <w:tcW w:w="833" w:type="dxa"/>
            <w:tcBorders>
              <w:top w:val="single" w:sz="4" w:space="0" w:color="auto"/>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2.0</w:t>
            </w:r>
          </w:p>
        </w:tc>
        <w:tc>
          <w:tcPr>
            <w:tcW w:w="832" w:type="dxa"/>
            <w:tcBorders>
              <w:top w:val="single" w:sz="4" w:space="0" w:color="auto"/>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single" w:sz="4" w:space="0" w:color="auto"/>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24.9</w:t>
            </w:r>
          </w:p>
        </w:tc>
      </w:tr>
      <w:tr w:rsidR="00F87646" w:rsidRPr="00A32C30" w:rsidTr="00A32C30">
        <w:tc>
          <w:tcPr>
            <w:tcW w:w="3614" w:type="dxa"/>
            <w:tcBorders>
              <w:top w:val="nil"/>
              <w:left w:val="nil"/>
              <w:bottom w:val="nil"/>
              <w:right w:val="nil"/>
            </w:tcBorders>
          </w:tcPr>
          <w:p w:rsidR="00F87646" w:rsidRPr="00A32C30" w:rsidRDefault="00F87646" w:rsidP="00A32C30">
            <w:pPr>
              <w:pStyle w:val="Tabletext"/>
              <w:rPr>
                <w:rFonts w:eastAsiaTheme="minorEastAsia"/>
                <w:color w:val="000000"/>
                <w:lang w:eastAsia="en-AU"/>
              </w:rPr>
            </w:pPr>
            <w:r w:rsidRPr="00A32C30">
              <w:rPr>
                <w:rFonts w:eastAsiaTheme="minorEastAsia"/>
                <w:color w:val="000000"/>
                <w:lang w:eastAsia="en-AU"/>
              </w:rPr>
              <w:t>Additional scope at Barwon Health North</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0.5</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4.5</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5.0</w:t>
            </w:r>
          </w:p>
        </w:tc>
      </w:tr>
      <w:tr w:rsidR="00F87646" w:rsidRPr="00A32C30" w:rsidTr="00A32C30">
        <w:tc>
          <w:tcPr>
            <w:tcW w:w="3614" w:type="dxa"/>
            <w:tcBorders>
              <w:top w:val="nil"/>
              <w:left w:val="nil"/>
              <w:bottom w:val="nil"/>
              <w:right w:val="nil"/>
            </w:tcBorders>
          </w:tcPr>
          <w:p w:rsidR="00F87646" w:rsidRPr="00A32C30" w:rsidRDefault="00F87646" w:rsidP="00A32C30">
            <w:pPr>
              <w:pStyle w:val="Tabletext"/>
              <w:rPr>
                <w:rFonts w:eastAsiaTheme="minorEastAsia"/>
                <w:color w:val="000000"/>
                <w:lang w:eastAsia="en-AU"/>
              </w:rPr>
            </w:pPr>
            <w:r w:rsidRPr="00A32C30">
              <w:rPr>
                <w:rFonts w:eastAsiaTheme="minorEastAsia"/>
                <w:color w:val="000000"/>
                <w:lang w:eastAsia="en-AU"/>
              </w:rPr>
              <w:t>Project Agreement for the Bright Hospital Feasibility Study</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0.1</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0.1</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0.2</w:t>
            </w:r>
          </w:p>
        </w:tc>
      </w:tr>
      <w:tr w:rsidR="00F87646" w:rsidRPr="00A32C30" w:rsidTr="00A32C30">
        <w:tc>
          <w:tcPr>
            <w:tcW w:w="3614" w:type="dxa"/>
            <w:tcBorders>
              <w:top w:val="nil"/>
              <w:left w:val="nil"/>
              <w:bottom w:val="nil"/>
              <w:right w:val="nil"/>
            </w:tcBorders>
          </w:tcPr>
          <w:p w:rsidR="00F87646" w:rsidRPr="00A32C30" w:rsidRDefault="00F87646" w:rsidP="00A32C30">
            <w:pPr>
              <w:pStyle w:val="Tabletext"/>
              <w:rPr>
                <w:rFonts w:eastAsiaTheme="minorEastAsia" w:cs="Calibri"/>
                <w:color w:val="000000"/>
                <w:lang w:eastAsia="en-AU"/>
              </w:rPr>
            </w:pPr>
            <w:r w:rsidRPr="00A32C30">
              <w:rPr>
                <w:rFonts w:eastAsiaTheme="minorEastAsia"/>
                <w:color w:val="000000"/>
                <w:lang w:eastAsia="en-AU"/>
              </w:rPr>
              <w:t xml:space="preserve">Project Agreement for the Warrnambool Integrated Cancer Care </w:t>
            </w:r>
            <w:r w:rsidRPr="00A32C30">
              <w:rPr>
                <w:rFonts w:eastAsiaTheme="minorEastAsia" w:cs="Calibri"/>
                <w:color w:val="000000"/>
                <w:lang w:eastAsia="en-AU"/>
              </w:rPr>
              <w:t>Centre</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10.0</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10.0</w:t>
            </w:r>
          </w:p>
        </w:tc>
      </w:tr>
      <w:tr w:rsidR="00F87646" w:rsidRPr="00A32C30" w:rsidTr="00A32C30">
        <w:tc>
          <w:tcPr>
            <w:tcW w:w="3614" w:type="dxa"/>
            <w:tcBorders>
              <w:top w:val="nil"/>
              <w:left w:val="nil"/>
              <w:bottom w:val="nil"/>
              <w:right w:val="nil"/>
            </w:tcBorders>
          </w:tcPr>
          <w:p w:rsidR="00F87646" w:rsidRPr="00A32C30" w:rsidRDefault="00F87646" w:rsidP="00A32C30">
            <w:pPr>
              <w:pStyle w:val="Tabletext"/>
              <w:rPr>
                <w:rFonts w:eastAsiaTheme="minorEastAsia"/>
                <w:color w:val="000000"/>
                <w:lang w:eastAsia="en-AU"/>
              </w:rPr>
            </w:pPr>
            <w:r w:rsidRPr="00A32C30">
              <w:rPr>
                <w:rFonts w:eastAsiaTheme="minorEastAsia"/>
                <w:color w:val="000000"/>
                <w:lang w:eastAsia="en-AU"/>
              </w:rPr>
              <w:t>Sunshine Hospital – new acute cardiac services</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10.7</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10.7</w:t>
            </w:r>
          </w:p>
        </w:tc>
      </w:tr>
      <w:tr w:rsidR="00F87646" w:rsidRPr="00A32C30" w:rsidTr="00A32C30">
        <w:tc>
          <w:tcPr>
            <w:tcW w:w="3614" w:type="dxa"/>
            <w:tcBorders>
              <w:top w:val="nil"/>
              <w:left w:val="nil"/>
              <w:bottom w:val="nil"/>
              <w:right w:val="nil"/>
            </w:tcBorders>
          </w:tcPr>
          <w:p w:rsidR="00F87646" w:rsidRPr="00A32C30" w:rsidRDefault="00F87646" w:rsidP="00A32C30">
            <w:pPr>
              <w:pStyle w:val="Tabletext"/>
              <w:rPr>
                <w:rFonts w:eastAsiaTheme="minorEastAsia"/>
                <w:color w:val="000000"/>
                <w:lang w:eastAsia="en-AU"/>
              </w:rPr>
            </w:pPr>
            <w:r w:rsidRPr="00A32C30">
              <w:rPr>
                <w:rFonts w:eastAsiaTheme="minorEastAsia"/>
                <w:color w:val="000000"/>
                <w:lang w:eastAsia="en-AU"/>
              </w:rPr>
              <w:t>West Gippsland Healthcare Group energy performance contract</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4.4</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2"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w:t>
            </w:r>
          </w:p>
        </w:tc>
        <w:tc>
          <w:tcPr>
            <w:tcW w:w="833" w:type="dxa"/>
            <w:tcBorders>
              <w:top w:val="nil"/>
              <w:left w:val="nil"/>
              <w:bottom w:val="nil"/>
              <w:right w:val="nil"/>
            </w:tcBorders>
          </w:tcPr>
          <w:p w:rsidR="00F87646" w:rsidRPr="00A32C30" w:rsidRDefault="00F87646" w:rsidP="00A32C30">
            <w:pPr>
              <w:pStyle w:val="TableofFigures"/>
              <w:rPr>
                <w:rFonts w:eastAsiaTheme="minorEastAsia"/>
                <w:color w:val="000000"/>
                <w:lang w:eastAsia="en-AU"/>
              </w:rPr>
            </w:pPr>
            <w:r w:rsidRPr="00A32C30">
              <w:rPr>
                <w:rFonts w:eastAsiaTheme="minorEastAsia"/>
                <w:color w:val="000000"/>
                <w:lang w:eastAsia="en-AU"/>
              </w:rPr>
              <w:t xml:space="preserve"> 4.4</w:t>
            </w:r>
          </w:p>
        </w:tc>
      </w:tr>
      <w:tr w:rsidR="00F87646" w:rsidRPr="00A32C30" w:rsidTr="00A32C30">
        <w:tc>
          <w:tcPr>
            <w:tcW w:w="3614" w:type="dxa"/>
            <w:tcBorders>
              <w:top w:val="single" w:sz="6" w:space="0" w:color="auto"/>
              <w:left w:val="nil"/>
              <w:bottom w:val="single" w:sz="12" w:space="0" w:color="auto"/>
              <w:right w:val="nil"/>
            </w:tcBorders>
          </w:tcPr>
          <w:p w:rsidR="00F87646" w:rsidRPr="00A32C30" w:rsidRDefault="00F87646" w:rsidP="00A32C30">
            <w:pPr>
              <w:pStyle w:val="Tabletext"/>
              <w:rPr>
                <w:rFonts w:eastAsiaTheme="minorEastAsia"/>
                <w:b/>
                <w:bCs/>
                <w:color w:val="000000"/>
                <w:lang w:eastAsia="en-AU"/>
              </w:rPr>
            </w:pPr>
            <w:r w:rsidRPr="00A32C30">
              <w:rPr>
                <w:rFonts w:eastAsiaTheme="minorEastAsia"/>
                <w:b/>
                <w:bCs/>
                <w:color w:val="000000"/>
                <w:lang w:eastAsia="en-AU"/>
              </w:rPr>
              <w:t>Total asset initiatives</w:t>
            </w:r>
          </w:p>
        </w:tc>
        <w:tc>
          <w:tcPr>
            <w:tcW w:w="832" w:type="dxa"/>
            <w:tcBorders>
              <w:top w:val="single" w:sz="6" w:space="0" w:color="auto"/>
              <w:left w:val="nil"/>
              <w:bottom w:val="single" w:sz="12" w:space="0" w:color="auto"/>
              <w:right w:val="nil"/>
            </w:tcBorders>
          </w:tcPr>
          <w:p w:rsidR="00F87646" w:rsidRPr="00A32C30" w:rsidRDefault="00F87646" w:rsidP="00A32C30">
            <w:pPr>
              <w:pStyle w:val="TableofFigures"/>
              <w:rPr>
                <w:rFonts w:eastAsiaTheme="minorEastAsia"/>
                <w:b/>
                <w:bCs/>
                <w:color w:val="000000"/>
                <w:lang w:eastAsia="en-AU"/>
              </w:rPr>
            </w:pPr>
            <w:r w:rsidRPr="00A32C30">
              <w:rPr>
                <w:rFonts w:eastAsiaTheme="minorEastAsia"/>
                <w:b/>
                <w:bCs/>
                <w:color w:val="000000"/>
                <w:lang w:eastAsia="en-AU"/>
              </w:rPr>
              <w:t xml:space="preserve"> 28.6</w:t>
            </w:r>
          </w:p>
        </w:tc>
        <w:tc>
          <w:tcPr>
            <w:tcW w:w="832" w:type="dxa"/>
            <w:tcBorders>
              <w:top w:val="single" w:sz="6" w:space="0" w:color="auto"/>
              <w:left w:val="nil"/>
              <w:bottom w:val="single" w:sz="12" w:space="0" w:color="auto"/>
              <w:right w:val="nil"/>
            </w:tcBorders>
          </w:tcPr>
          <w:p w:rsidR="00F87646" w:rsidRPr="00A32C30" w:rsidRDefault="00F87646" w:rsidP="00A32C30">
            <w:pPr>
              <w:pStyle w:val="TableofFigures"/>
              <w:rPr>
                <w:rFonts w:eastAsiaTheme="minorEastAsia"/>
                <w:b/>
                <w:bCs/>
                <w:color w:val="000000"/>
                <w:lang w:eastAsia="en-AU"/>
              </w:rPr>
            </w:pPr>
            <w:r w:rsidRPr="00A32C30">
              <w:rPr>
                <w:rFonts w:eastAsiaTheme="minorEastAsia"/>
                <w:b/>
                <w:bCs/>
                <w:color w:val="000000"/>
                <w:lang w:eastAsia="en-AU"/>
              </w:rPr>
              <w:t xml:space="preserve"> 20.1</w:t>
            </w:r>
          </w:p>
        </w:tc>
        <w:tc>
          <w:tcPr>
            <w:tcW w:w="833" w:type="dxa"/>
            <w:tcBorders>
              <w:top w:val="single" w:sz="6" w:space="0" w:color="auto"/>
              <w:left w:val="nil"/>
              <w:bottom w:val="single" w:sz="12" w:space="0" w:color="auto"/>
              <w:right w:val="nil"/>
            </w:tcBorders>
          </w:tcPr>
          <w:p w:rsidR="00F87646" w:rsidRPr="00A32C30" w:rsidRDefault="00F87646" w:rsidP="00A32C30">
            <w:pPr>
              <w:pStyle w:val="TableofFigures"/>
              <w:rPr>
                <w:rFonts w:eastAsiaTheme="minorEastAsia"/>
                <w:b/>
                <w:bCs/>
                <w:color w:val="000000"/>
                <w:lang w:eastAsia="en-AU"/>
              </w:rPr>
            </w:pPr>
            <w:r w:rsidRPr="00A32C30">
              <w:rPr>
                <w:rFonts w:eastAsiaTheme="minorEastAsia"/>
                <w:b/>
                <w:bCs/>
                <w:color w:val="000000"/>
                <w:lang w:eastAsia="en-AU"/>
              </w:rPr>
              <w:t xml:space="preserve"> 6.5</w:t>
            </w:r>
          </w:p>
        </w:tc>
        <w:tc>
          <w:tcPr>
            <w:tcW w:w="832" w:type="dxa"/>
            <w:tcBorders>
              <w:top w:val="single" w:sz="6" w:space="0" w:color="auto"/>
              <w:left w:val="nil"/>
              <w:bottom w:val="single" w:sz="12" w:space="0" w:color="auto"/>
              <w:right w:val="nil"/>
            </w:tcBorders>
          </w:tcPr>
          <w:p w:rsidR="00F87646" w:rsidRPr="00A32C30" w:rsidRDefault="00F87646" w:rsidP="00A32C30">
            <w:pPr>
              <w:pStyle w:val="TableofFigures"/>
              <w:rPr>
                <w:rFonts w:eastAsiaTheme="minorEastAsia"/>
                <w:b/>
                <w:bCs/>
                <w:color w:val="000000"/>
                <w:lang w:eastAsia="en-AU"/>
              </w:rPr>
            </w:pPr>
            <w:r w:rsidRPr="00A32C30">
              <w:rPr>
                <w:rFonts w:eastAsiaTheme="minorEastAsia"/>
                <w:b/>
                <w:bCs/>
                <w:color w:val="000000"/>
                <w:lang w:eastAsia="en-AU"/>
              </w:rPr>
              <w:t>..</w:t>
            </w:r>
          </w:p>
        </w:tc>
        <w:tc>
          <w:tcPr>
            <w:tcW w:w="833" w:type="dxa"/>
            <w:tcBorders>
              <w:top w:val="single" w:sz="6" w:space="0" w:color="auto"/>
              <w:left w:val="nil"/>
              <w:bottom w:val="single" w:sz="12" w:space="0" w:color="auto"/>
              <w:right w:val="nil"/>
            </w:tcBorders>
          </w:tcPr>
          <w:p w:rsidR="00F87646" w:rsidRPr="00A32C30" w:rsidRDefault="00F87646" w:rsidP="00A32C30">
            <w:pPr>
              <w:pStyle w:val="TableofFigures"/>
              <w:rPr>
                <w:rFonts w:eastAsiaTheme="minorEastAsia"/>
                <w:b/>
                <w:bCs/>
                <w:color w:val="000000"/>
                <w:lang w:eastAsia="en-AU"/>
              </w:rPr>
            </w:pPr>
            <w:r w:rsidRPr="00A32C30">
              <w:rPr>
                <w:rFonts w:eastAsiaTheme="minorEastAsia"/>
                <w:b/>
                <w:bCs/>
                <w:color w:val="000000"/>
                <w:lang w:eastAsia="en-AU"/>
              </w:rPr>
              <w:t xml:space="preserve"> 55.1</w:t>
            </w:r>
          </w:p>
        </w:tc>
      </w:tr>
    </w:tbl>
    <w:p w:rsidR="00F87646" w:rsidRDefault="00F87646" w:rsidP="00232EA5">
      <w:pPr>
        <w:pStyle w:val="Source"/>
        <w:rPr>
          <w:rStyle w:val="PageNumber"/>
          <w:sz w:val="15"/>
        </w:rPr>
      </w:pPr>
      <w:r w:rsidRPr="00BC0C9E">
        <w:rPr>
          <w:rStyle w:val="PageNumber"/>
          <w:sz w:val="15"/>
        </w:rPr>
        <w:t>Source: Department of Treasury and Finance</w:t>
      </w:r>
    </w:p>
    <w:p w:rsidR="00F87646" w:rsidRPr="00232EA5" w:rsidRDefault="00F87646" w:rsidP="00232EA5">
      <w:pPr>
        <w:pStyle w:val="Source"/>
      </w:pPr>
    </w:p>
    <w:p w:rsidR="00F87646" w:rsidRPr="00BC0C9E" w:rsidRDefault="00F87646" w:rsidP="001547C7">
      <w:pPr>
        <w:pStyle w:val="Heading5"/>
      </w:pPr>
      <w:r w:rsidRPr="00BC0C9E">
        <w:t xml:space="preserve">Additional Geelong Hospital improvements </w:t>
      </w:r>
    </w:p>
    <w:p w:rsidR="00F87646" w:rsidRPr="00BC0C9E" w:rsidRDefault="00F87646" w:rsidP="001547C7">
      <w:r w:rsidRPr="00BC0C9E">
        <w:t>Funding is provided for additional improvements at the Geelong Hospital including the relocation of the current helipad to the rooftop of the acute services tower block. The new helipad will provide direct service links to the emergency department and ICU. Funding is also provided for refurbishments to deliver the new Interventional Day of Surgery Accommodation, and support services, and redevelopment of the current renal dialysis facilities to improve its amenity and functionality.</w:t>
      </w:r>
    </w:p>
    <w:p w:rsidR="00F87646" w:rsidRPr="00BC0C9E" w:rsidRDefault="00F87646" w:rsidP="001547C7">
      <w:r w:rsidRPr="00BC0C9E">
        <w:rPr>
          <w:rFonts w:cs="Garamond"/>
          <w:color w:val="000000"/>
        </w:rPr>
        <w:t>This initiative contributes to the Department of Health</w:t>
      </w:r>
      <w:r>
        <w:rPr>
          <w:rFonts w:cs="Garamond"/>
          <w:color w:val="000000"/>
        </w:rPr>
        <w:t>’</w:t>
      </w:r>
      <w:r w:rsidRPr="00BC0C9E">
        <w:rPr>
          <w:rFonts w:cs="Garamond"/>
          <w:color w:val="000000"/>
        </w:rPr>
        <w:t>s Admitted Services output.</w:t>
      </w:r>
    </w:p>
    <w:p w:rsidR="00F87646" w:rsidRPr="00BC0C9E" w:rsidRDefault="00F87646" w:rsidP="009A6A6C">
      <w:pPr>
        <w:pStyle w:val="Heading5"/>
      </w:pPr>
      <w:r w:rsidRPr="00BC0C9E">
        <w:t xml:space="preserve">Additional scope at Barwon Health North </w:t>
      </w:r>
    </w:p>
    <w:p w:rsidR="00F87646" w:rsidRPr="00BC0C9E" w:rsidRDefault="00F87646" w:rsidP="009A6A6C">
      <w:r w:rsidRPr="00BC0C9E">
        <w:t xml:space="preserve">Funding is provided for the inclusion of a number of new health services at Barwon Health North including renal dialysis and chemotherapy, as part of the urgent care centre that was announced in the </w:t>
      </w:r>
      <w:r w:rsidRPr="00BC0C9E">
        <w:rPr>
          <w:i/>
        </w:rPr>
        <w:t>2014</w:t>
      </w:r>
      <w:r>
        <w:rPr>
          <w:i/>
        </w:rPr>
        <w:noBreakHyphen/>
      </w:r>
      <w:r w:rsidRPr="00BC0C9E">
        <w:rPr>
          <w:i/>
        </w:rPr>
        <w:t>15 Budget</w:t>
      </w:r>
      <w:r w:rsidRPr="00BC0C9E">
        <w:t>. An increased number of generic consulting suites will also be provided. This will enable a greater range of services to be provided to the region, and will support better health outcomes to the community.</w:t>
      </w:r>
    </w:p>
    <w:p w:rsidR="00F87646" w:rsidRPr="00BC0C9E" w:rsidRDefault="00F87646" w:rsidP="001547C7">
      <w:pPr>
        <w:autoSpaceDE w:val="0"/>
        <w:autoSpaceDN w:val="0"/>
        <w:adjustRightInd w:val="0"/>
        <w:rPr>
          <w:rFonts w:cs="Garamond"/>
          <w:color w:val="000000"/>
        </w:rPr>
      </w:pPr>
      <w:r w:rsidRPr="00BC0C9E">
        <w:rPr>
          <w:rFonts w:cs="Garamond"/>
          <w:color w:val="000000"/>
        </w:rPr>
        <w:t>This initiative contributes to the Department of Health</w:t>
      </w:r>
      <w:r>
        <w:rPr>
          <w:rFonts w:cs="Garamond"/>
          <w:color w:val="000000"/>
        </w:rPr>
        <w:t>’</w:t>
      </w:r>
      <w:r w:rsidRPr="00BC0C9E">
        <w:rPr>
          <w:rFonts w:cs="Garamond"/>
          <w:color w:val="000000"/>
        </w:rPr>
        <w:t>s Admitted Services output.</w:t>
      </w:r>
    </w:p>
    <w:p w:rsidR="00F87646" w:rsidRPr="00BC0C9E" w:rsidRDefault="00F87646" w:rsidP="00AB3114">
      <w:pPr>
        <w:pStyle w:val="Heading5"/>
      </w:pPr>
      <w:r w:rsidRPr="00BC0C9E">
        <w:t>Project Agreement for the Bright Hospital Feasibility Study</w:t>
      </w:r>
    </w:p>
    <w:p w:rsidR="00F87646" w:rsidRPr="00BC0C9E" w:rsidRDefault="00F87646" w:rsidP="00AB3114">
      <w:r w:rsidRPr="00BC0C9E">
        <w:t xml:space="preserve">Under a </w:t>
      </w:r>
      <w:r>
        <w:t>Project</w:t>
      </w:r>
      <w:r w:rsidRPr="00BC0C9E">
        <w:t xml:space="preserve"> Agreement for the Bright Hospital Feasibility Study, the Commonwealth will provide $150 000 over two years for a feasibility study for the redevelopment of Bright Hospital.</w:t>
      </w:r>
    </w:p>
    <w:p w:rsidR="00F87646" w:rsidRPr="00BC0C9E" w:rsidRDefault="00F87646" w:rsidP="00AB3114">
      <w:r w:rsidRPr="00BC0C9E">
        <w:t>This initiative contributes to the Department of Health</w:t>
      </w:r>
      <w:r>
        <w:t>’</w:t>
      </w:r>
      <w:r w:rsidRPr="00BC0C9E">
        <w:t>s Small Rural Services output.</w:t>
      </w:r>
    </w:p>
    <w:p w:rsidR="00F87646" w:rsidRDefault="00F87646">
      <w:pPr>
        <w:spacing w:after="0"/>
        <w:rPr>
          <w:rFonts w:ascii="Calibri" w:hAnsi="Calibri"/>
          <w:b/>
        </w:rPr>
      </w:pPr>
      <w:r>
        <w:br w:type="page"/>
      </w:r>
    </w:p>
    <w:p w:rsidR="00F87646" w:rsidRPr="00BC0C9E" w:rsidRDefault="00F87646" w:rsidP="00D9353A">
      <w:pPr>
        <w:pStyle w:val="Heading5"/>
      </w:pPr>
      <w:r w:rsidRPr="00BC0C9E">
        <w:lastRenderedPageBreak/>
        <w:t>Project Agreement for the Warrnambool Integrated Cancer Care Centre</w:t>
      </w:r>
    </w:p>
    <w:p w:rsidR="00F87646" w:rsidRPr="00BC0C9E" w:rsidRDefault="00F87646" w:rsidP="00D9353A">
      <w:r w:rsidRPr="00BC0C9E">
        <w:t xml:space="preserve">Under a </w:t>
      </w:r>
      <w:r>
        <w:t>Project Agreement</w:t>
      </w:r>
      <w:r w:rsidRPr="00BC0C9E">
        <w:t xml:space="preserve"> on Warrnambool Integrated Cancer Care Centre, the Commonwealth will provide $10</w:t>
      </w:r>
      <w:r>
        <w:t> million</w:t>
      </w:r>
      <w:r w:rsidRPr="00BC0C9E">
        <w:t xml:space="preserve"> for the construction of a regional integrated cancer care centre in Warrnambool. This will contribute to the previously announced commitment, radiotherapy services in South West Victoria.</w:t>
      </w:r>
    </w:p>
    <w:p w:rsidR="00F87646" w:rsidRPr="00BC0C9E" w:rsidRDefault="00F87646" w:rsidP="00D9353A">
      <w:r w:rsidRPr="00BC0C9E">
        <w:t>This initiative contributes to the Department of Health</w:t>
      </w:r>
      <w:r>
        <w:t>’</w:t>
      </w:r>
      <w:r w:rsidRPr="00BC0C9E">
        <w:t>s Non</w:t>
      </w:r>
      <w:r>
        <w:noBreakHyphen/>
      </w:r>
      <w:r w:rsidRPr="00BC0C9E">
        <w:t>Admitted Services output.</w:t>
      </w:r>
    </w:p>
    <w:p w:rsidR="00F87646" w:rsidRPr="00BC0C9E" w:rsidRDefault="00F87646" w:rsidP="00AB3114">
      <w:pPr>
        <w:pStyle w:val="Heading5"/>
      </w:pPr>
      <w:r w:rsidRPr="00BC0C9E">
        <w:t>Sunshine Hospital – new acute cardiac services</w:t>
      </w:r>
    </w:p>
    <w:p w:rsidR="00F87646" w:rsidRPr="00BC0C9E" w:rsidRDefault="00F87646" w:rsidP="00882D47">
      <w:r w:rsidRPr="00BC0C9E">
        <w:t>Funding is provided for a major new acute cardiac service in Melbourne</w:t>
      </w:r>
      <w:r>
        <w:t>’</w:t>
      </w:r>
      <w:r w:rsidRPr="00BC0C9E">
        <w:t>s west to address increasing demand and provide access to world leading cardiac services, closer to home. The new Coronary Care Unit will include cardiac catheter facilities, digital angiography services and a second tomography machine. These services will strongly support better health outcomes to the community.</w:t>
      </w:r>
    </w:p>
    <w:p w:rsidR="00F87646" w:rsidRPr="00BC0C9E" w:rsidRDefault="00F87646" w:rsidP="00232EA5">
      <w:pPr>
        <w:rPr>
          <w:rFonts w:ascii="Calibri" w:hAnsi="Calibri"/>
          <w:b/>
        </w:rPr>
      </w:pPr>
      <w:r w:rsidRPr="00BC0C9E">
        <w:t>This initiative contributes to the Department of Health</w:t>
      </w:r>
      <w:r>
        <w:t>’</w:t>
      </w:r>
      <w:r w:rsidRPr="00BC0C9E">
        <w:t>s Acute Health Services output.</w:t>
      </w:r>
      <w:bookmarkStart w:id="93" w:name="_Toc401147504"/>
    </w:p>
    <w:p w:rsidR="00F87646" w:rsidRPr="00BC0C9E" w:rsidRDefault="00F87646" w:rsidP="000709D7">
      <w:pPr>
        <w:pStyle w:val="Heading5"/>
      </w:pPr>
      <w:r w:rsidRPr="00BC0C9E">
        <w:t>West Gippsland Healthcare Group Energy Performance Contract</w:t>
      </w:r>
    </w:p>
    <w:p w:rsidR="00F87646" w:rsidRPr="00BC0C9E" w:rsidRDefault="00F87646" w:rsidP="000709D7">
      <w:pPr>
        <w:autoSpaceDE w:val="0"/>
        <w:autoSpaceDN w:val="0"/>
        <w:adjustRightInd w:val="0"/>
        <w:rPr>
          <w:rFonts w:cs="Garamond"/>
          <w:color w:val="000000"/>
        </w:rPr>
      </w:pPr>
      <w:r w:rsidRPr="00BC0C9E">
        <w:rPr>
          <w:rFonts w:cs="Garamond"/>
          <w:color w:val="000000"/>
        </w:rPr>
        <w:t>Funding is provided to implement an Energy Performance Contract project, enabling greater energy and water efficiency to be achieved at government</w:t>
      </w:r>
      <w:r>
        <w:rPr>
          <w:rFonts w:cs="Garamond"/>
          <w:color w:val="000000"/>
        </w:rPr>
        <w:noBreakHyphen/>
      </w:r>
      <w:r w:rsidRPr="00BC0C9E">
        <w:rPr>
          <w:rFonts w:cs="Garamond"/>
          <w:color w:val="000000"/>
        </w:rPr>
        <w:t>owned buildings across the West Gippsland Healthcare Group. This is part of the Efficient Government Buildings initiative.</w:t>
      </w:r>
    </w:p>
    <w:p w:rsidR="00F87646" w:rsidRPr="00BC0C9E" w:rsidRDefault="00F87646" w:rsidP="000709D7">
      <w:pPr>
        <w:autoSpaceDE w:val="0"/>
        <w:autoSpaceDN w:val="0"/>
        <w:adjustRightInd w:val="0"/>
        <w:rPr>
          <w:rFonts w:cs="Garamond"/>
          <w:color w:val="000000"/>
        </w:rPr>
      </w:pPr>
      <w:r w:rsidRPr="00BC0C9E">
        <w:rPr>
          <w:rFonts w:cs="Garamond"/>
          <w:color w:val="000000"/>
        </w:rPr>
        <w:t>This initiative contributes to the Department of Health</w:t>
      </w:r>
      <w:r>
        <w:rPr>
          <w:rFonts w:cs="Garamond"/>
          <w:color w:val="000000"/>
        </w:rPr>
        <w:t>’</w:t>
      </w:r>
      <w:r w:rsidRPr="00BC0C9E">
        <w:rPr>
          <w:rFonts w:cs="Garamond"/>
          <w:color w:val="000000"/>
        </w:rPr>
        <w:t>s Admitted Services output.</w:t>
      </w:r>
    </w:p>
    <w:p w:rsidR="00F87646" w:rsidRPr="00BC0C9E" w:rsidRDefault="00F87646" w:rsidP="00882D47">
      <w:pPr>
        <w:pStyle w:val="Heading1"/>
      </w:pPr>
      <w:bookmarkStart w:id="94" w:name="_Toc403386702"/>
      <w:r w:rsidRPr="00BC0C9E">
        <w:t>Department of Human Services</w:t>
      </w:r>
      <w:bookmarkEnd w:id="93"/>
      <w:bookmarkEnd w:id="94"/>
    </w:p>
    <w:p w:rsidR="00F87646" w:rsidRPr="00BC0C9E" w:rsidRDefault="00F87646" w:rsidP="00882D47">
      <w:pPr>
        <w:pStyle w:val="Heading3"/>
      </w:pPr>
      <w:r w:rsidRPr="00BC0C9E">
        <w:t>Output initiatives</w:t>
      </w:r>
    </w:p>
    <w:p w:rsidR="00F87646" w:rsidRPr="00BC0C9E" w:rsidRDefault="00F87646" w:rsidP="00882D47">
      <w:pPr>
        <w:pStyle w:val="Tableheading"/>
      </w:pPr>
      <w:r w:rsidRPr="00BC0C9E">
        <w:t>Table A.9:</w:t>
      </w:r>
      <w:r w:rsidRPr="00BC0C9E">
        <w:tab/>
        <w:t>Output initiatives – Human Services</w:t>
      </w:r>
    </w:p>
    <w:p w:rsidR="00F87646" w:rsidRPr="00BC0C9E" w:rsidRDefault="00F87646" w:rsidP="00EE55F3">
      <w:pPr>
        <w:pStyle w:val="million"/>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BC0C9E" w:rsidTr="004D349D">
        <w:trPr>
          <w:cantSplit/>
        </w:trPr>
        <w:tc>
          <w:tcPr>
            <w:tcW w:w="3803" w:type="dxa"/>
            <w:tcBorders>
              <w:top w:val="single" w:sz="6" w:space="0" w:color="000000" w:themeColor="text1"/>
              <w:left w:val="single" w:sz="6" w:space="0" w:color="000000" w:themeColor="text1"/>
              <w:bottom w:val="single" w:sz="6" w:space="0" w:color="auto"/>
              <w:right w:val="nil"/>
            </w:tcBorders>
            <w:shd w:val="clear" w:color="auto" w:fill="000000"/>
          </w:tcPr>
          <w:p w:rsidR="00F87646" w:rsidRPr="00BC0C9E" w:rsidRDefault="00F87646" w:rsidP="004D349D">
            <w:pPr>
              <w:pStyle w:val="Tabletext"/>
              <w:rPr>
                <w:rFonts w:eastAsiaTheme="minorEastAsia"/>
                <w:lang w:eastAsia="en-AU"/>
              </w:rPr>
            </w:pPr>
          </w:p>
        </w:tc>
        <w:tc>
          <w:tcPr>
            <w:tcW w:w="994" w:type="dxa"/>
            <w:tcBorders>
              <w:top w:val="single" w:sz="6" w:space="0" w:color="000000" w:themeColor="text1"/>
              <w:left w:val="nil"/>
              <w:bottom w:val="single" w:sz="6" w:space="0" w:color="auto"/>
              <w:right w:val="nil"/>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000000" w:themeColor="text1"/>
              <w:left w:val="nil"/>
              <w:bottom w:val="single" w:sz="6" w:space="0" w:color="auto"/>
              <w:right w:val="single" w:sz="6" w:space="0" w:color="000000" w:themeColor="text1"/>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4D349D">
        <w:trPr>
          <w:cantSplit/>
        </w:trPr>
        <w:tc>
          <w:tcPr>
            <w:tcW w:w="3803" w:type="dxa"/>
            <w:tcBorders>
              <w:top w:val="single" w:sz="6" w:space="0" w:color="000000" w:themeColor="text1"/>
              <w:left w:val="nil"/>
              <w:bottom w:val="nil"/>
              <w:right w:val="nil"/>
            </w:tcBorders>
          </w:tcPr>
          <w:p w:rsidR="00F87646" w:rsidRPr="00BC0C9E" w:rsidRDefault="00F87646" w:rsidP="004D349D">
            <w:pPr>
              <w:pStyle w:val="Tabletext"/>
              <w:rPr>
                <w:rFonts w:eastAsiaTheme="minorEastAsia"/>
                <w:lang w:eastAsia="en-AU"/>
              </w:rPr>
            </w:pPr>
            <w:r w:rsidRPr="00BC0C9E">
              <w:rPr>
                <w:rFonts w:eastAsiaTheme="minorEastAsia"/>
                <w:lang w:eastAsia="en-AU"/>
              </w:rPr>
              <w:t>Family violence response</w:t>
            </w:r>
          </w:p>
        </w:tc>
        <w:tc>
          <w:tcPr>
            <w:tcW w:w="994"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8.3</w:t>
            </w:r>
          </w:p>
        </w:tc>
        <w:tc>
          <w:tcPr>
            <w:tcW w:w="993"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8.7</w:t>
            </w:r>
          </w:p>
        </w:tc>
        <w:tc>
          <w:tcPr>
            <w:tcW w:w="993"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6.5</w:t>
            </w:r>
          </w:p>
        </w:tc>
        <w:tc>
          <w:tcPr>
            <w:tcW w:w="993"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6.5</w:t>
            </w:r>
          </w:p>
        </w:tc>
      </w:tr>
      <w:tr w:rsidR="00F87646" w:rsidRPr="00BC0C9E" w:rsidTr="004D349D">
        <w:trPr>
          <w:cantSplit/>
        </w:trPr>
        <w:tc>
          <w:tcPr>
            <w:tcW w:w="3803" w:type="dxa"/>
            <w:tcBorders>
              <w:top w:val="nil"/>
              <w:left w:val="nil"/>
              <w:bottom w:val="nil"/>
              <w:right w:val="nil"/>
            </w:tcBorders>
          </w:tcPr>
          <w:p w:rsidR="00F87646" w:rsidRPr="00BC0C9E" w:rsidRDefault="00F87646" w:rsidP="004D349D">
            <w:pPr>
              <w:pStyle w:val="Tabletext"/>
              <w:rPr>
                <w:rFonts w:eastAsiaTheme="minorEastAsia"/>
                <w:lang w:eastAsia="en-AU"/>
              </w:rPr>
            </w:pPr>
            <w:r w:rsidRPr="00BC0C9E">
              <w:rPr>
                <w:rFonts w:eastAsiaTheme="minorEastAsia"/>
                <w:lang w:eastAsia="en-AU"/>
              </w:rPr>
              <w:t>Out</w:t>
            </w:r>
            <w:r>
              <w:rPr>
                <w:rFonts w:eastAsiaTheme="minorEastAsia"/>
                <w:lang w:eastAsia="en-AU"/>
              </w:rPr>
              <w:noBreakHyphen/>
            </w:r>
            <w:r w:rsidRPr="00BC0C9E">
              <w:rPr>
                <w:rFonts w:eastAsiaTheme="minorEastAsia"/>
                <w:lang w:eastAsia="en-AU"/>
              </w:rPr>
              <w:t>of</w:t>
            </w:r>
            <w:r>
              <w:rPr>
                <w:rFonts w:eastAsiaTheme="minorEastAsia"/>
                <w:lang w:eastAsia="en-AU"/>
              </w:rPr>
              <w:noBreakHyphen/>
            </w:r>
            <w:r w:rsidRPr="00BC0C9E">
              <w:rPr>
                <w:rFonts w:eastAsiaTheme="minorEastAsia"/>
                <w:lang w:eastAsia="en-AU"/>
              </w:rPr>
              <w:t>home care</w:t>
            </w:r>
          </w:p>
        </w:tc>
        <w:tc>
          <w:tcPr>
            <w:tcW w:w="994"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20.5</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16.6</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10.8</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7.2</w:t>
            </w:r>
          </w:p>
        </w:tc>
      </w:tr>
      <w:tr w:rsidR="00F87646" w:rsidRPr="00BC0C9E" w:rsidTr="004D349D">
        <w:trPr>
          <w:cantSplit/>
        </w:trPr>
        <w:tc>
          <w:tcPr>
            <w:tcW w:w="3803" w:type="dxa"/>
            <w:tcBorders>
              <w:top w:val="nil"/>
              <w:left w:val="nil"/>
              <w:bottom w:val="nil"/>
              <w:right w:val="nil"/>
            </w:tcBorders>
          </w:tcPr>
          <w:p w:rsidR="00F87646" w:rsidRPr="00BC0C9E" w:rsidRDefault="00F87646" w:rsidP="004D349D">
            <w:pPr>
              <w:pStyle w:val="Tabletext"/>
              <w:rPr>
                <w:rFonts w:eastAsiaTheme="minorEastAsia"/>
                <w:lang w:eastAsia="en-AU"/>
              </w:rPr>
            </w:pPr>
            <w:r w:rsidRPr="00BC0C9E">
              <w:rPr>
                <w:rFonts w:eastAsiaTheme="minorEastAsia"/>
                <w:lang w:eastAsia="en-AU"/>
              </w:rPr>
              <w:t>Queen Victoria Women</w:t>
            </w:r>
            <w:r>
              <w:rPr>
                <w:rFonts w:eastAsiaTheme="minorEastAsia"/>
                <w:lang w:eastAsia="en-AU"/>
              </w:rPr>
              <w:t>’</w:t>
            </w:r>
            <w:r w:rsidRPr="00BC0C9E">
              <w:rPr>
                <w:rFonts w:eastAsiaTheme="minorEastAsia"/>
                <w:lang w:eastAsia="en-AU"/>
              </w:rPr>
              <w:t>s Centre</w:t>
            </w:r>
          </w:p>
        </w:tc>
        <w:tc>
          <w:tcPr>
            <w:tcW w:w="994"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1.2</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w:t>
            </w:r>
          </w:p>
        </w:tc>
      </w:tr>
      <w:tr w:rsidR="00F87646" w:rsidRPr="00BC0C9E" w:rsidTr="004D349D">
        <w:trPr>
          <w:cantSplit/>
        </w:trPr>
        <w:tc>
          <w:tcPr>
            <w:tcW w:w="3803" w:type="dxa"/>
            <w:tcBorders>
              <w:top w:val="single" w:sz="6" w:space="0" w:color="auto"/>
              <w:left w:val="nil"/>
              <w:bottom w:val="single" w:sz="12" w:space="0" w:color="auto"/>
              <w:right w:val="nil"/>
            </w:tcBorders>
          </w:tcPr>
          <w:p w:rsidR="00F87646" w:rsidRPr="00BC0C9E" w:rsidRDefault="00F87646" w:rsidP="004D349D">
            <w:pPr>
              <w:pStyle w:val="Tabletext"/>
              <w:rPr>
                <w:rFonts w:eastAsiaTheme="minorEastAsia"/>
                <w:b/>
                <w:bCs/>
                <w:lang w:eastAsia="en-AU"/>
              </w:rPr>
            </w:pPr>
            <w:r w:rsidRPr="00BC0C9E">
              <w:rPr>
                <w:rFonts w:eastAsiaTheme="minorEastAsia"/>
                <w:b/>
                <w:bCs/>
                <w:lang w:eastAsia="en-AU"/>
              </w:rPr>
              <w:t>Total output initiatives</w:t>
            </w:r>
          </w:p>
        </w:tc>
        <w:tc>
          <w:tcPr>
            <w:tcW w:w="994"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30.0</w:t>
            </w:r>
          </w:p>
        </w:tc>
        <w:tc>
          <w:tcPr>
            <w:tcW w:w="993"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25.3</w:t>
            </w:r>
          </w:p>
        </w:tc>
        <w:tc>
          <w:tcPr>
            <w:tcW w:w="993"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17.3</w:t>
            </w:r>
          </w:p>
        </w:tc>
        <w:tc>
          <w:tcPr>
            <w:tcW w:w="993"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13.7</w:t>
            </w:r>
          </w:p>
        </w:tc>
      </w:tr>
    </w:tbl>
    <w:p w:rsidR="00F87646" w:rsidRPr="00BC0C9E" w:rsidRDefault="00F87646" w:rsidP="00EE55F3">
      <w:pPr>
        <w:pStyle w:val="Source"/>
        <w:rPr>
          <w:rStyle w:val="PageNumber"/>
          <w:sz w:val="15"/>
        </w:rPr>
      </w:pPr>
      <w:r w:rsidRPr="00BC0C9E">
        <w:rPr>
          <w:rStyle w:val="PageNumber"/>
          <w:sz w:val="15"/>
        </w:rPr>
        <w:t xml:space="preserve"> Source: Department of Treasury and Finance</w:t>
      </w:r>
    </w:p>
    <w:p w:rsidR="00F87646" w:rsidRPr="00BC0C9E" w:rsidRDefault="00F87646" w:rsidP="00E664D1">
      <w:pPr>
        <w:pStyle w:val="Notes"/>
      </w:pPr>
    </w:p>
    <w:p w:rsidR="00F87646" w:rsidRPr="00BC0C9E" w:rsidRDefault="00F87646" w:rsidP="00882D47">
      <w:pPr>
        <w:pStyle w:val="Heading5"/>
      </w:pPr>
      <w:r w:rsidRPr="00BC0C9E">
        <w:t>Family violence response</w:t>
      </w:r>
    </w:p>
    <w:p w:rsidR="00F87646" w:rsidRPr="00BC0C9E" w:rsidRDefault="00F87646" w:rsidP="00882D47">
      <w:r w:rsidRPr="00BC0C9E">
        <w:t>Responses to family violence will be strengthened through measures to protect and support women and children experiencing or at risk of family violence. The package will expand on the statewide Strengthening Risk Management program. This brings together police, the courts, family violence and family services to fast track support for women and children who have experienced family violence. The package will also expand case management and practical support for women and children.</w:t>
      </w:r>
    </w:p>
    <w:p w:rsidR="00F87646" w:rsidRDefault="00F87646">
      <w:pPr>
        <w:spacing w:after="0"/>
      </w:pPr>
      <w:r>
        <w:br w:type="page"/>
      </w:r>
    </w:p>
    <w:p w:rsidR="00F87646" w:rsidRPr="00BC0C9E" w:rsidRDefault="00F87646" w:rsidP="00882D47">
      <w:r w:rsidRPr="00BC0C9E">
        <w:lastRenderedPageBreak/>
        <w:t>This initiative contributes to the Department of Human Services</w:t>
      </w:r>
      <w:r>
        <w:t>’</w:t>
      </w:r>
      <w:r w:rsidRPr="00BC0C9E">
        <w:t xml:space="preserve"> Child Protection and Family Services output.</w:t>
      </w:r>
    </w:p>
    <w:p w:rsidR="00F87646" w:rsidRPr="00BC0C9E" w:rsidRDefault="00F87646" w:rsidP="001547C7">
      <w:pPr>
        <w:pStyle w:val="Heading5"/>
      </w:pPr>
      <w:r w:rsidRPr="00BC0C9E">
        <w:t>Out</w:t>
      </w:r>
      <w:r>
        <w:noBreakHyphen/>
      </w:r>
      <w:r w:rsidRPr="00BC0C9E">
        <w:t>of</w:t>
      </w:r>
      <w:r>
        <w:noBreakHyphen/>
      </w:r>
      <w:r w:rsidRPr="00BC0C9E">
        <w:t>home care</w:t>
      </w:r>
    </w:p>
    <w:p w:rsidR="00F87646" w:rsidRPr="00BC0C9E" w:rsidRDefault="00F87646" w:rsidP="001547C7">
      <w:r w:rsidRPr="00BC0C9E">
        <w:t>Additional therapeutic placements and increased levels of staffing will improve the support for children and young people in out of home care who are unable to remain safely with their families. Tailored care packages will be introduced to support children moving from residential care to home based care. Placement prevention programs that focus on addressing the over</w:t>
      </w:r>
      <w:r>
        <w:noBreakHyphen/>
      </w:r>
      <w:r w:rsidRPr="00BC0C9E">
        <w:t>representation of Aboriginal children in care will be expanded. These initiatives are consi</w:t>
      </w:r>
      <w:r>
        <w:t xml:space="preserve">stent with the Government’s </w:t>
      </w:r>
      <w:r w:rsidRPr="009D4F44">
        <w:rPr>
          <w:i/>
        </w:rPr>
        <w:t>Out</w:t>
      </w:r>
      <w:r w:rsidRPr="009D4F44">
        <w:rPr>
          <w:i/>
        </w:rPr>
        <w:noBreakHyphen/>
        <w:t>of</w:t>
      </w:r>
      <w:r w:rsidRPr="009D4F44">
        <w:rPr>
          <w:i/>
        </w:rPr>
        <w:noBreakHyphen/>
        <w:t>home care: a five year plan</w:t>
      </w:r>
      <w:r w:rsidRPr="00BC0C9E">
        <w:t>.</w:t>
      </w:r>
    </w:p>
    <w:p w:rsidR="00F87646" w:rsidRPr="00BC0C9E" w:rsidRDefault="00F87646" w:rsidP="00232EA5">
      <w:pPr>
        <w:rPr>
          <w:rFonts w:ascii="Calibri" w:hAnsi="Calibri"/>
          <w:b/>
        </w:rPr>
      </w:pPr>
      <w:r w:rsidRPr="00BC0C9E">
        <w:t>This initiative contributes to the Department of Human Services</w:t>
      </w:r>
      <w:r>
        <w:t>’</w:t>
      </w:r>
      <w:r w:rsidRPr="00BC0C9E">
        <w:t xml:space="preserve"> Child Protection and Family Services output.</w:t>
      </w:r>
    </w:p>
    <w:p w:rsidR="00F87646" w:rsidRPr="00BC0C9E" w:rsidRDefault="00F87646" w:rsidP="00882D47">
      <w:pPr>
        <w:pStyle w:val="Heading5"/>
      </w:pPr>
      <w:r w:rsidRPr="00BC0C9E">
        <w:t>Queen Victoria Women</w:t>
      </w:r>
      <w:r>
        <w:t>’</w:t>
      </w:r>
      <w:r w:rsidRPr="00BC0C9E">
        <w:t>s Centre</w:t>
      </w:r>
    </w:p>
    <w:p w:rsidR="00F87646" w:rsidRPr="00BC0C9E" w:rsidRDefault="00F87646" w:rsidP="00882D47">
      <w:r w:rsidRPr="00BC0C9E">
        <w:t>Critical maintenance works will be undertaken on the Queen Victoria Women</w:t>
      </w:r>
      <w:r>
        <w:t>’</w:t>
      </w:r>
      <w:r w:rsidRPr="00BC0C9E">
        <w:t>s Centre, including improving access for people with a disability. These works will stabilise the fabric of the building, enabling the continued operation of the centre as a home to a range of not</w:t>
      </w:r>
      <w:r>
        <w:noBreakHyphen/>
      </w:r>
      <w:r w:rsidRPr="00BC0C9E">
        <w:t>for</w:t>
      </w:r>
      <w:r>
        <w:noBreakHyphen/>
      </w:r>
      <w:r w:rsidRPr="00BC0C9E">
        <w:t>profit women</w:t>
      </w:r>
      <w:r>
        <w:t>’</w:t>
      </w:r>
      <w:r w:rsidRPr="00BC0C9E">
        <w:t>s organisations that offer support and information services to women.</w:t>
      </w:r>
    </w:p>
    <w:p w:rsidR="00F87646" w:rsidRPr="00BC0C9E" w:rsidRDefault="00F87646" w:rsidP="00882D47">
      <w:r w:rsidRPr="00BC0C9E">
        <w:t>This initiative contributes to the Department of Human Services</w:t>
      </w:r>
      <w:r>
        <w:t>’</w:t>
      </w:r>
      <w:r w:rsidRPr="00BC0C9E">
        <w:t xml:space="preserve"> Office of Women</w:t>
      </w:r>
      <w:r>
        <w:t>’</w:t>
      </w:r>
      <w:r w:rsidRPr="00BC0C9E">
        <w:t>s Affairs output.</w:t>
      </w:r>
    </w:p>
    <w:p w:rsidR="00F87646" w:rsidRPr="00BC0C9E" w:rsidRDefault="00F87646" w:rsidP="00890ED0">
      <w:pPr>
        <w:pStyle w:val="Heading3"/>
      </w:pPr>
      <w:r w:rsidRPr="00BC0C9E">
        <w:t>Asset initiatives</w:t>
      </w:r>
    </w:p>
    <w:p w:rsidR="00F87646" w:rsidRPr="00BC0C9E" w:rsidRDefault="00F87646" w:rsidP="00890ED0">
      <w:pPr>
        <w:pStyle w:val="Tableheading"/>
      </w:pPr>
      <w:r w:rsidRPr="00BC0C9E">
        <w:t>Table A.10:</w:t>
      </w:r>
      <w:r w:rsidRPr="00BC0C9E">
        <w:tab/>
        <w:t>Asset initiatives – Human Services</w:t>
      </w:r>
    </w:p>
    <w:p w:rsidR="00F87646" w:rsidRPr="00BC0C9E" w:rsidRDefault="00F87646" w:rsidP="000400C7">
      <w:pPr>
        <w:pStyle w:val="million"/>
        <w:rPr>
          <w:i w:val="0"/>
          <w:sz w:val="15"/>
        </w:rPr>
      </w:pPr>
      <w:r w:rsidRPr="00BC0C9E">
        <w:t>($</w:t>
      </w:r>
      <w:r>
        <w:t> million</w:t>
      </w:r>
      <w:r w:rsidRPr="00BC0C9E">
        <w:t>)</w:t>
      </w:r>
      <w:r w:rsidRPr="00BC0C9E">
        <w:rPr>
          <w:i w:val="0"/>
          <w:sz w:val="15"/>
        </w:rPr>
        <w:t xml:space="preserve"> </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58"/>
        <w:gridCol w:w="958"/>
        <w:gridCol w:w="959"/>
        <w:gridCol w:w="958"/>
        <w:gridCol w:w="959"/>
      </w:tblGrid>
      <w:tr w:rsidR="00F87646" w:rsidRPr="00BC0C9E" w:rsidTr="000400C7">
        <w:tc>
          <w:tcPr>
            <w:tcW w:w="2984" w:type="dxa"/>
            <w:tcBorders>
              <w:top w:val="single" w:sz="6" w:space="0" w:color="000000" w:themeColor="text1"/>
              <w:left w:val="single" w:sz="6" w:space="0" w:color="000000" w:themeColor="text1"/>
              <w:bottom w:val="single" w:sz="6" w:space="0" w:color="auto"/>
              <w:right w:val="nil"/>
            </w:tcBorders>
            <w:shd w:val="clear" w:color="auto" w:fill="000000"/>
          </w:tcPr>
          <w:p w:rsidR="00F87646" w:rsidRPr="00BC0C9E" w:rsidRDefault="00F87646" w:rsidP="000400C7">
            <w:pPr>
              <w:pStyle w:val="Tabletext"/>
              <w:rPr>
                <w:rFonts w:eastAsiaTheme="minorEastAsia"/>
                <w:lang w:eastAsia="en-AU"/>
              </w:rPr>
            </w:pPr>
          </w:p>
        </w:tc>
        <w:tc>
          <w:tcPr>
            <w:tcW w:w="958" w:type="dxa"/>
            <w:tcBorders>
              <w:top w:val="single" w:sz="6" w:space="0" w:color="000000" w:themeColor="text1"/>
              <w:left w:val="nil"/>
              <w:bottom w:val="single" w:sz="6" w:space="0" w:color="auto"/>
              <w:right w:val="nil"/>
            </w:tcBorders>
            <w:shd w:val="clear" w:color="auto" w:fill="000000"/>
          </w:tcPr>
          <w:p w:rsidR="00F87646" w:rsidRPr="00BC0C9E" w:rsidRDefault="00F87646" w:rsidP="000400C7">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58" w:type="dxa"/>
            <w:tcBorders>
              <w:top w:val="single" w:sz="6" w:space="0" w:color="000000" w:themeColor="text1"/>
              <w:left w:val="nil"/>
              <w:bottom w:val="single" w:sz="6" w:space="0" w:color="auto"/>
              <w:right w:val="nil"/>
            </w:tcBorders>
            <w:shd w:val="clear" w:color="auto" w:fill="000000"/>
          </w:tcPr>
          <w:p w:rsidR="00F87646" w:rsidRPr="00BC0C9E" w:rsidRDefault="00F87646" w:rsidP="000400C7">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59" w:type="dxa"/>
            <w:tcBorders>
              <w:top w:val="single" w:sz="6" w:space="0" w:color="000000" w:themeColor="text1"/>
              <w:left w:val="nil"/>
              <w:bottom w:val="single" w:sz="6" w:space="0" w:color="auto"/>
              <w:right w:val="nil"/>
            </w:tcBorders>
            <w:shd w:val="clear" w:color="auto" w:fill="000000"/>
          </w:tcPr>
          <w:p w:rsidR="00F87646" w:rsidRPr="00BC0C9E" w:rsidRDefault="00F87646" w:rsidP="000400C7">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58" w:type="dxa"/>
            <w:tcBorders>
              <w:top w:val="single" w:sz="6" w:space="0" w:color="000000" w:themeColor="text1"/>
              <w:left w:val="nil"/>
              <w:bottom w:val="single" w:sz="6" w:space="0" w:color="auto"/>
              <w:right w:val="nil"/>
            </w:tcBorders>
            <w:shd w:val="clear" w:color="auto" w:fill="000000"/>
          </w:tcPr>
          <w:p w:rsidR="00F87646" w:rsidRPr="00BC0C9E" w:rsidRDefault="00F87646" w:rsidP="000400C7">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c>
          <w:tcPr>
            <w:tcW w:w="959" w:type="dxa"/>
            <w:tcBorders>
              <w:top w:val="single" w:sz="6" w:space="0" w:color="000000" w:themeColor="text1"/>
              <w:left w:val="nil"/>
              <w:bottom w:val="single" w:sz="6" w:space="0" w:color="auto"/>
              <w:right w:val="single" w:sz="6" w:space="0" w:color="000000" w:themeColor="text1"/>
            </w:tcBorders>
            <w:shd w:val="clear" w:color="auto" w:fill="000000"/>
          </w:tcPr>
          <w:p w:rsidR="00F87646" w:rsidRPr="00BC0C9E" w:rsidRDefault="00F87646" w:rsidP="000400C7">
            <w:pPr>
              <w:pStyle w:val="Tabletextheading"/>
              <w:rPr>
                <w:rFonts w:eastAsiaTheme="minorEastAsia"/>
                <w:lang w:eastAsia="en-AU"/>
              </w:rPr>
            </w:pPr>
            <w:r w:rsidRPr="00BC0C9E">
              <w:rPr>
                <w:rFonts w:eastAsiaTheme="minorEastAsia"/>
                <w:lang w:eastAsia="en-AU"/>
              </w:rPr>
              <w:t>TEI</w:t>
            </w:r>
          </w:p>
        </w:tc>
      </w:tr>
      <w:tr w:rsidR="00F87646" w:rsidRPr="00BC0C9E" w:rsidTr="000400C7">
        <w:tc>
          <w:tcPr>
            <w:tcW w:w="2984" w:type="dxa"/>
            <w:tcBorders>
              <w:top w:val="single" w:sz="6" w:space="0" w:color="000000" w:themeColor="text1"/>
              <w:left w:val="nil"/>
              <w:bottom w:val="nil"/>
              <w:right w:val="nil"/>
            </w:tcBorders>
          </w:tcPr>
          <w:p w:rsidR="00F87646" w:rsidRPr="00BC0C9E" w:rsidRDefault="00F87646" w:rsidP="000400C7">
            <w:pPr>
              <w:pStyle w:val="Tabletext"/>
              <w:rPr>
                <w:rFonts w:eastAsiaTheme="minorEastAsia"/>
                <w:lang w:eastAsia="en-AU"/>
              </w:rPr>
            </w:pPr>
            <w:r w:rsidRPr="00BC0C9E">
              <w:rPr>
                <w:rFonts w:eastAsiaTheme="minorEastAsia"/>
                <w:lang w:eastAsia="en-AU"/>
              </w:rPr>
              <w:t>Public housing energy performance contract</w:t>
            </w:r>
          </w:p>
        </w:tc>
        <w:tc>
          <w:tcPr>
            <w:tcW w:w="958" w:type="dxa"/>
            <w:tcBorders>
              <w:top w:val="single" w:sz="6" w:space="0" w:color="000000" w:themeColor="text1"/>
              <w:left w:val="nil"/>
              <w:bottom w:val="nil"/>
              <w:right w:val="nil"/>
            </w:tcBorders>
          </w:tcPr>
          <w:p w:rsidR="00F87646" w:rsidRPr="00BC0C9E" w:rsidRDefault="00F87646" w:rsidP="000400C7">
            <w:pPr>
              <w:pStyle w:val="TableofFigures"/>
              <w:rPr>
                <w:rFonts w:eastAsiaTheme="minorEastAsia"/>
                <w:lang w:eastAsia="en-AU"/>
              </w:rPr>
            </w:pPr>
            <w:r w:rsidRPr="00BC0C9E">
              <w:rPr>
                <w:rFonts w:eastAsiaTheme="minorEastAsia"/>
                <w:lang w:eastAsia="en-AU"/>
              </w:rPr>
              <w:t xml:space="preserve"> 13.4</w:t>
            </w:r>
          </w:p>
        </w:tc>
        <w:tc>
          <w:tcPr>
            <w:tcW w:w="958" w:type="dxa"/>
            <w:tcBorders>
              <w:top w:val="single" w:sz="6" w:space="0" w:color="000000" w:themeColor="text1"/>
              <w:left w:val="nil"/>
              <w:bottom w:val="nil"/>
              <w:right w:val="nil"/>
            </w:tcBorders>
          </w:tcPr>
          <w:p w:rsidR="00F87646" w:rsidRPr="00BC0C9E" w:rsidRDefault="00F87646" w:rsidP="000400C7">
            <w:pPr>
              <w:pStyle w:val="TableofFigures"/>
              <w:rPr>
                <w:rFonts w:eastAsiaTheme="minorEastAsia"/>
                <w:lang w:eastAsia="en-AU"/>
              </w:rPr>
            </w:pPr>
            <w:r w:rsidRPr="00BC0C9E">
              <w:rPr>
                <w:rFonts w:eastAsiaTheme="minorEastAsia"/>
                <w:lang w:eastAsia="en-AU"/>
              </w:rPr>
              <w:t>..</w:t>
            </w:r>
          </w:p>
        </w:tc>
        <w:tc>
          <w:tcPr>
            <w:tcW w:w="959" w:type="dxa"/>
            <w:tcBorders>
              <w:top w:val="single" w:sz="6" w:space="0" w:color="000000" w:themeColor="text1"/>
              <w:left w:val="nil"/>
              <w:bottom w:val="nil"/>
              <w:right w:val="nil"/>
            </w:tcBorders>
          </w:tcPr>
          <w:p w:rsidR="00F87646" w:rsidRPr="00BC0C9E" w:rsidRDefault="00F87646" w:rsidP="000400C7">
            <w:pPr>
              <w:pStyle w:val="TableofFigures"/>
              <w:rPr>
                <w:rFonts w:eastAsiaTheme="minorEastAsia"/>
                <w:lang w:eastAsia="en-AU"/>
              </w:rPr>
            </w:pPr>
            <w:r w:rsidRPr="00BC0C9E">
              <w:rPr>
                <w:rFonts w:eastAsiaTheme="minorEastAsia"/>
                <w:lang w:eastAsia="en-AU"/>
              </w:rPr>
              <w:t>..</w:t>
            </w:r>
          </w:p>
        </w:tc>
        <w:tc>
          <w:tcPr>
            <w:tcW w:w="958" w:type="dxa"/>
            <w:tcBorders>
              <w:top w:val="single" w:sz="6" w:space="0" w:color="000000" w:themeColor="text1"/>
              <w:left w:val="nil"/>
              <w:bottom w:val="nil"/>
              <w:right w:val="nil"/>
            </w:tcBorders>
          </w:tcPr>
          <w:p w:rsidR="00F87646" w:rsidRPr="00BC0C9E" w:rsidRDefault="00F87646" w:rsidP="000400C7">
            <w:pPr>
              <w:pStyle w:val="TableofFigures"/>
              <w:rPr>
                <w:rFonts w:eastAsiaTheme="minorEastAsia"/>
                <w:lang w:eastAsia="en-AU"/>
              </w:rPr>
            </w:pPr>
            <w:r w:rsidRPr="00BC0C9E">
              <w:rPr>
                <w:rFonts w:eastAsiaTheme="minorEastAsia"/>
                <w:lang w:eastAsia="en-AU"/>
              </w:rPr>
              <w:t>..</w:t>
            </w:r>
          </w:p>
        </w:tc>
        <w:tc>
          <w:tcPr>
            <w:tcW w:w="959" w:type="dxa"/>
            <w:tcBorders>
              <w:top w:val="single" w:sz="6" w:space="0" w:color="000000" w:themeColor="text1"/>
              <w:left w:val="nil"/>
              <w:bottom w:val="nil"/>
              <w:right w:val="nil"/>
            </w:tcBorders>
          </w:tcPr>
          <w:p w:rsidR="00F87646" w:rsidRPr="00BC0C9E" w:rsidRDefault="00F87646" w:rsidP="000400C7">
            <w:pPr>
              <w:pStyle w:val="TableofFigures"/>
              <w:rPr>
                <w:rFonts w:eastAsiaTheme="minorEastAsia"/>
                <w:lang w:eastAsia="en-AU"/>
              </w:rPr>
            </w:pPr>
            <w:r w:rsidRPr="00BC0C9E">
              <w:rPr>
                <w:rFonts w:eastAsiaTheme="minorEastAsia"/>
                <w:lang w:eastAsia="en-AU"/>
              </w:rPr>
              <w:t xml:space="preserve"> 13.4</w:t>
            </w:r>
          </w:p>
        </w:tc>
      </w:tr>
      <w:tr w:rsidR="00F87646" w:rsidRPr="00BC0C9E" w:rsidTr="000400C7">
        <w:tc>
          <w:tcPr>
            <w:tcW w:w="2984" w:type="dxa"/>
            <w:tcBorders>
              <w:top w:val="single" w:sz="6" w:space="0" w:color="auto"/>
              <w:left w:val="nil"/>
              <w:bottom w:val="single" w:sz="12" w:space="0" w:color="auto"/>
              <w:right w:val="nil"/>
            </w:tcBorders>
          </w:tcPr>
          <w:p w:rsidR="00F87646" w:rsidRPr="00BC0C9E" w:rsidRDefault="00F87646" w:rsidP="000400C7">
            <w:pPr>
              <w:pStyle w:val="Tabletext"/>
              <w:rPr>
                <w:rFonts w:eastAsiaTheme="minorEastAsia"/>
                <w:b/>
                <w:bCs/>
                <w:lang w:eastAsia="en-AU"/>
              </w:rPr>
            </w:pPr>
            <w:r w:rsidRPr="00BC0C9E">
              <w:rPr>
                <w:rFonts w:eastAsiaTheme="minorEastAsia"/>
                <w:b/>
                <w:bCs/>
                <w:lang w:eastAsia="en-AU"/>
              </w:rPr>
              <w:t>Total asset initiatives</w:t>
            </w:r>
          </w:p>
        </w:tc>
        <w:tc>
          <w:tcPr>
            <w:tcW w:w="958" w:type="dxa"/>
            <w:tcBorders>
              <w:top w:val="single" w:sz="6" w:space="0" w:color="auto"/>
              <w:left w:val="nil"/>
              <w:bottom w:val="single" w:sz="12" w:space="0" w:color="auto"/>
              <w:right w:val="nil"/>
            </w:tcBorders>
          </w:tcPr>
          <w:p w:rsidR="00F87646" w:rsidRPr="00BC0C9E" w:rsidRDefault="00F87646" w:rsidP="000400C7">
            <w:pPr>
              <w:pStyle w:val="TableofFigures"/>
              <w:rPr>
                <w:rFonts w:eastAsiaTheme="minorEastAsia"/>
                <w:b/>
                <w:bCs/>
                <w:lang w:eastAsia="en-AU"/>
              </w:rPr>
            </w:pPr>
            <w:r w:rsidRPr="00BC0C9E">
              <w:rPr>
                <w:rFonts w:eastAsiaTheme="minorEastAsia"/>
                <w:b/>
                <w:bCs/>
                <w:lang w:eastAsia="en-AU"/>
              </w:rPr>
              <w:t xml:space="preserve"> 13.4</w:t>
            </w:r>
          </w:p>
        </w:tc>
        <w:tc>
          <w:tcPr>
            <w:tcW w:w="958" w:type="dxa"/>
            <w:tcBorders>
              <w:top w:val="single" w:sz="6" w:space="0" w:color="auto"/>
              <w:left w:val="nil"/>
              <w:bottom w:val="single" w:sz="12" w:space="0" w:color="auto"/>
              <w:right w:val="nil"/>
            </w:tcBorders>
          </w:tcPr>
          <w:p w:rsidR="00F87646" w:rsidRPr="00BC0C9E" w:rsidRDefault="00F87646" w:rsidP="000400C7">
            <w:pPr>
              <w:pStyle w:val="TableofFigures"/>
              <w:rPr>
                <w:rFonts w:eastAsiaTheme="minorEastAsia"/>
                <w:b/>
                <w:bCs/>
                <w:lang w:eastAsia="en-AU"/>
              </w:rPr>
            </w:pPr>
            <w:r w:rsidRPr="00BC0C9E">
              <w:rPr>
                <w:rFonts w:eastAsiaTheme="minorEastAsia"/>
                <w:b/>
                <w:bCs/>
                <w:lang w:eastAsia="en-AU"/>
              </w:rPr>
              <w:t>..</w:t>
            </w:r>
          </w:p>
        </w:tc>
        <w:tc>
          <w:tcPr>
            <w:tcW w:w="959" w:type="dxa"/>
            <w:tcBorders>
              <w:top w:val="single" w:sz="6" w:space="0" w:color="auto"/>
              <w:left w:val="nil"/>
              <w:bottom w:val="single" w:sz="12" w:space="0" w:color="auto"/>
              <w:right w:val="nil"/>
            </w:tcBorders>
          </w:tcPr>
          <w:p w:rsidR="00F87646" w:rsidRPr="00BC0C9E" w:rsidRDefault="00F87646" w:rsidP="000400C7">
            <w:pPr>
              <w:pStyle w:val="TableofFigures"/>
              <w:rPr>
                <w:rFonts w:eastAsiaTheme="minorEastAsia"/>
                <w:b/>
                <w:bCs/>
                <w:lang w:eastAsia="en-AU"/>
              </w:rPr>
            </w:pPr>
            <w:r w:rsidRPr="00BC0C9E">
              <w:rPr>
                <w:rFonts w:eastAsiaTheme="minorEastAsia"/>
                <w:b/>
                <w:bCs/>
                <w:lang w:eastAsia="en-AU"/>
              </w:rPr>
              <w:t>..</w:t>
            </w:r>
          </w:p>
        </w:tc>
        <w:tc>
          <w:tcPr>
            <w:tcW w:w="958" w:type="dxa"/>
            <w:tcBorders>
              <w:top w:val="single" w:sz="6" w:space="0" w:color="auto"/>
              <w:left w:val="nil"/>
              <w:bottom w:val="single" w:sz="12" w:space="0" w:color="auto"/>
              <w:right w:val="nil"/>
            </w:tcBorders>
          </w:tcPr>
          <w:p w:rsidR="00F87646" w:rsidRPr="00BC0C9E" w:rsidRDefault="00F87646" w:rsidP="000400C7">
            <w:pPr>
              <w:pStyle w:val="TableofFigures"/>
              <w:rPr>
                <w:rFonts w:eastAsiaTheme="minorEastAsia"/>
                <w:b/>
                <w:bCs/>
                <w:lang w:eastAsia="en-AU"/>
              </w:rPr>
            </w:pPr>
            <w:r w:rsidRPr="00BC0C9E">
              <w:rPr>
                <w:rFonts w:eastAsiaTheme="minorEastAsia"/>
                <w:b/>
                <w:bCs/>
                <w:lang w:eastAsia="en-AU"/>
              </w:rPr>
              <w:t>..</w:t>
            </w:r>
          </w:p>
        </w:tc>
        <w:tc>
          <w:tcPr>
            <w:tcW w:w="959" w:type="dxa"/>
            <w:tcBorders>
              <w:top w:val="single" w:sz="6" w:space="0" w:color="auto"/>
              <w:left w:val="nil"/>
              <w:bottom w:val="single" w:sz="12" w:space="0" w:color="auto"/>
              <w:right w:val="nil"/>
            </w:tcBorders>
          </w:tcPr>
          <w:p w:rsidR="00F87646" w:rsidRPr="00BC0C9E" w:rsidRDefault="00F87646" w:rsidP="000400C7">
            <w:pPr>
              <w:pStyle w:val="TableofFigures"/>
              <w:rPr>
                <w:rFonts w:eastAsiaTheme="minorEastAsia"/>
                <w:b/>
                <w:bCs/>
                <w:lang w:eastAsia="en-AU"/>
              </w:rPr>
            </w:pPr>
            <w:r w:rsidRPr="00BC0C9E">
              <w:rPr>
                <w:rFonts w:eastAsiaTheme="minorEastAsia"/>
                <w:b/>
                <w:bCs/>
                <w:lang w:eastAsia="en-AU"/>
              </w:rPr>
              <w:t xml:space="preserve"> 13.4</w:t>
            </w:r>
          </w:p>
        </w:tc>
      </w:tr>
    </w:tbl>
    <w:p w:rsidR="00F87646" w:rsidRPr="00BC0C9E" w:rsidRDefault="00F87646" w:rsidP="001D6A46">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Pr="00BC0C9E" w:rsidRDefault="00F87646" w:rsidP="00890ED0">
      <w:pPr>
        <w:pStyle w:val="Heading5"/>
      </w:pPr>
      <w:r w:rsidRPr="00BC0C9E">
        <w:t>Public housing Energy Performance Contract</w:t>
      </w:r>
    </w:p>
    <w:p w:rsidR="00F87646" w:rsidRPr="00BC0C9E" w:rsidRDefault="00F87646" w:rsidP="00890ED0">
      <w:r w:rsidRPr="00BC0C9E">
        <w:t>Funding is provided to implement an Energy Performance Contract project across high</w:t>
      </w:r>
      <w:r>
        <w:noBreakHyphen/>
      </w:r>
      <w:r w:rsidRPr="00BC0C9E">
        <w:t>rise public housing properties to reduce energy and water usage and maintenance costs. This is part of the Efficient Government Buildings initiative.</w:t>
      </w:r>
    </w:p>
    <w:p w:rsidR="00F87646" w:rsidRPr="00BC0C9E" w:rsidRDefault="00F87646" w:rsidP="00890ED0">
      <w:r w:rsidRPr="00BC0C9E">
        <w:t>This initiative contributes to the Department of Human Services</w:t>
      </w:r>
      <w:r>
        <w:t>’</w:t>
      </w:r>
      <w:r w:rsidRPr="00BC0C9E">
        <w:t xml:space="preserve"> Housing Assistance output.</w:t>
      </w:r>
    </w:p>
    <w:p w:rsidR="00F87646" w:rsidRPr="00BC0C9E" w:rsidRDefault="00F87646" w:rsidP="00882D47">
      <w:pPr>
        <w:pStyle w:val="Heading1"/>
      </w:pPr>
      <w:bookmarkStart w:id="95" w:name="_Toc403386703"/>
      <w:r w:rsidRPr="00BC0C9E">
        <w:lastRenderedPageBreak/>
        <w:t>Department of Justice</w:t>
      </w:r>
      <w:bookmarkEnd w:id="95"/>
    </w:p>
    <w:p w:rsidR="00F87646" w:rsidRPr="00BC0C9E" w:rsidRDefault="00F87646" w:rsidP="00882D47">
      <w:pPr>
        <w:pStyle w:val="Heading3"/>
      </w:pPr>
      <w:r w:rsidRPr="00BC0C9E">
        <w:t>Output initiatives</w:t>
      </w:r>
    </w:p>
    <w:p w:rsidR="00F87646" w:rsidRPr="00BC0C9E" w:rsidRDefault="00F87646" w:rsidP="00882D47">
      <w:pPr>
        <w:pStyle w:val="Tableheading"/>
      </w:pPr>
      <w:r w:rsidRPr="00BC0C9E">
        <w:t>Table A.11:</w:t>
      </w:r>
      <w:r w:rsidRPr="00BC0C9E">
        <w:tab/>
        <w:t>Output initiatives – Justice</w:t>
      </w:r>
    </w:p>
    <w:p w:rsidR="00F87646" w:rsidRPr="00BC0C9E" w:rsidRDefault="00F87646" w:rsidP="00F249A0">
      <w:pPr>
        <w:pStyle w:val="million"/>
      </w:pPr>
      <w:r w:rsidRPr="00BC0C9E">
        <w:t>($</w:t>
      </w:r>
      <w:r>
        <w:t> million</w:t>
      </w:r>
      <w:r w:rsidRPr="00BC0C9E">
        <w:t xml:space="preserve">) </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BC0C9E" w:rsidTr="004D349D">
        <w:trPr>
          <w:cantSplit/>
        </w:trPr>
        <w:tc>
          <w:tcPr>
            <w:tcW w:w="3803" w:type="dxa"/>
            <w:tcBorders>
              <w:top w:val="single" w:sz="6" w:space="0" w:color="000000" w:themeColor="text1"/>
              <w:left w:val="single" w:sz="6" w:space="0" w:color="000000" w:themeColor="text1"/>
              <w:bottom w:val="single" w:sz="6" w:space="0" w:color="auto"/>
              <w:right w:val="nil"/>
            </w:tcBorders>
            <w:shd w:val="clear" w:color="auto" w:fill="000000"/>
          </w:tcPr>
          <w:p w:rsidR="00F87646" w:rsidRPr="00BC0C9E" w:rsidRDefault="00F87646" w:rsidP="004D349D">
            <w:pPr>
              <w:pStyle w:val="Tabletext"/>
              <w:rPr>
                <w:rFonts w:eastAsiaTheme="minorEastAsia"/>
                <w:lang w:eastAsia="en-AU"/>
              </w:rPr>
            </w:pPr>
          </w:p>
        </w:tc>
        <w:tc>
          <w:tcPr>
            <w:tcW w:w="994" w:type="dxa"/>
            <w:tcBorders>
              <w:top w:val="single" w:sz="6" w:space="0" w:color="000000" w:themeColor="text1"/>
              <w:left w:val="nil"/>
              <w:bottom w:val="single" w:sz="6" w:space="0" w:color="auto"/>
              <w:right w:val="nil"/>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000000" w:themeColor="text1"/>
              <w:left w:val="nil"/>
              <w:bottom w:val="single" w:sz="6" w:space="0" w:color="auto"/>
              <w:right w:val="single" w:sz="6" w:space="0" w:color="000000" w:themeColor="text1"/>
            </w:tcBorders>
            <w:shd w:val="clear" w:color="auto" w:fill="000000"/>
          </w:tcPr>
          <w:p w:rsidR="00F87646" w:rsidRPr="00BC0C9E" w:rsidRDefault="00F87646" w:rsidP="004D349D">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4D349D">
        <w:trPr>
          <w:cantSplit/>
        </w:trPr>
        <w:tc>
          <w:tcPr>
            <w:tcW w:w="3803" w:type="dxa"/>
            <w:tcBorders>
              <w:top w:val="single" w:sz="6" w:space="0" w:color="000000" w:themeColor="text1"/>
              <w:left w:val="nil"/>
              <w:bottom w:val="nil"/>
              <w:right w:val="nil"/>
            </w:tcBorders>
          </w:tcPr>
          <w:p w:rsidR="00F87646" w:rsidRPr="00BC0C9E" w:rsidRDefault="00F87646" w:rsidP="004D349D">
            <w:pPr>
              <w:pStyle w:val="Tabletext"/>
              <w:rPr>
                <w:rFonts w:eastAsiaTheme="minorEastAsia"/>
                <w:lang w:eastAsia="en-AU"/>
              </w:rPr>
            </w:pPr>
            <w:r w:rsidRPr="00BC0C9E">
              <w:rPr>
                <w:rFonts w:eastAsiaTheme="minorEastAsia"/>
                <w:lang w:eastAsia="en-AU"/>
              </w:rPr>
              <w:t>Additional Protective Services Officers</w:t>
            </w:r>
          </w:p>
        </w:tc>
        <w:tc>
          <w:tcPr>
            <w:tcW w:w="994"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5.7</w:t>
            </w:r>
          </w:p>
        </w:tc>
        <w:tc>
          <w:tcPr>
            <w:tcW w:w="993"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12.0</w:t>
            </w:r>
          </w:p>
        </w:tc>
        <w:tc>
          <w:tcPr>
            <w:tcW w:w="993"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13.0</w:t>
            </w:r>
          </w:p>
        </w:tc>
        <w:tc>
          <w:tcPr>
            <w:tcW w:w="993" w:type="dxa"/>
            <w:tcBorders>
              <w:top w:val="single" w:sz="6" w:space="0" w:color="000000" w:themeColor="text1"/>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13.5</w:t>
            </w:r>
          </w:p>
        </w:tc>
      </w:tr>
      <w:tr w:rsidR="00F87646" w:rsidRPr="00BC0C9E" w:rsidTr="004D349D">
        <w:trPr>
          <w:cantSplit/>
        </w:trPr>
        <w:tc>
          <w:tcPr>
            <w:tcW w:w="3803" w:type="dxa"/>
            <w:tcBorders>
              <w:top w:val="nil"/>
              <w:left w:val="nil"/>
              <w:bottom w:val="nil"/>
              <w:right w:val="nil"/>
            </w:tcBorders>
          </w:tcPr>
          <w:p w:rsidR="00F87646" w:rsidRPr="00BC0C9E" w:rsidRDefault="00F87646" w:rsidP="004D349D">
            <w:pPr>
              <w:pStyle w:val="Tabletext"/>
              <w:rPr>
                <w:rFonts w:eastAsiaTheme="minorEastAsia"/>
                <w:lang w:eastAsia="en-AU"/>
              </w:rPr>
            </w:pPr>
            <w:r w:rsidRPr="00BC0C9E">
              <w:rPr>
                <w:rFonts w:eastAsiaTheme="minorEastAsia"/>
                <w:lang w:eastAsia="en-AU"/>
              </w:rPr>
              <w:t>Provision of additional firefighting aircraft resources</w:t>
            </w:r>
          </w:p>
        </w:tc>
        <w:tc>
          <w:tcPr>
            <w:tcW w:w="994"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 xml:space="preserve"> 7.2</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w:t>
            </w:r>
          </w:p>
        </w:tc>
        <w:tc>
          <w:tcPr>
            <w:tcW w:w="993" w:type="dxa"/>
            <w:tcBorders>
              <w:top w:val="nil"/>
              <w:left w:val="nil"/>
              <w:bottom w:val="nil"/>
              <w:right w:val="nil"/>
            </w:tcBorders>
          </w:tcPr>
          <w:p w:rsidR="00F87646" w:rsidRPr="00BC0C9E" w:rsidRDefault="00F87646" w:rsidP="004D349D">
            <w:pPr>
              <w:pStyle w:val="TableofFigures"/>
              <w:rPr>
                <w:rFonts w:eastAsiaTheme="minorEastAsia"/>
                <w:lang w:eastAsia="en-AU"/>
              </w:rPr>
            </w:pPr>
            <w:r w:rsidRPr="00BC0C9E">
              <w:rPr>
                <w:rFonts w:eastAsiaTheme="minorEastAsia"/>
                <w:lang w:eastAsia="en-AU"/>
              </w:rPr>
              <w:t>..</w:t>
            </w:r>
          </w:p>
        </w:tc>
      </w:tr>
      <w:tr w:rsidR="00F87646" w:rsidRPr="00BC0C9E" w:rsidTr="004D349D">
        <w:trPr>
          <w:cantSplit/>
        </w:trPr>
        <w:tc>
          <w:tcPr>
            <w:tcW w:w="3803" w:type="dxa"/>
            <w:tcBorders>
              <w:top w:val="single" w:sz="6" w:space="0" w:color="auto"/>
              <w:left w:val="nil"/>
              <w:bottom w:val="single" w:sz="12" w:space="0" w:color="auto"/>
              <w:right w:val="nil"/>
            </w:tcBorders>
          </w:tcPr>
          <w:p w:rsidR="00F87646" w:rsidRPr="00BC0C9E" w:rsidRDefault="00F87646" w:rsidP="004D349D">
            <w:pPr>
              <w:pStyle w:val="Tabletext"/>
              <w:rPr>
                <w:rFonts w:eastAsiaTheme="minorEastAsia"/>
                <w:b/>
                <w:bCs/>
                <w:lang w:eastAsia="en-AU"/>
              </w:rPr>
            </w:pPr>
            <w:r w:rsidRPr="00BC0C9E">
              <w:rPr>
                <w:rFonts w:eastAsiaTheme="minorEastAsia"/>
                <w:b/>
                <w:bCs/>
                <w:lang w:eastAsia="en-AU"/>
              </w:rPr>
              <w:t>Total output initiatives</w:t>
            </w:r>
          </w:p>
        </w:tc>
        <w:tc>
          <w:tcPr>
            <w:tcW w:w="994"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12.9</w:t>
            </w:r>
          </w:p>
        </w:tc>
        <w:tc>
          <w:tcPr>
            <w:tcW w:w="993"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12.0</w:t>
            </w:r>
          </w:p>
        </w:tc>
        <w:tc>
          <w:tcPr>
            <w:tcW w:w="993"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13.0</w:t>
            </w:r>
          </w:p>
        </w:tc>
        <w:tc>
          <w:tcPr>
            <w:tcW w:w="993" w:type="dxa"/>
            <w:tcBorders>
              <w:top w:val="single" w:sz="6" w:space="0" w:color="auto"/>
              <w:left w:val="nil"/>
              <w:bottom w:val="single" w:sz="12" w:space="0" w:color="auto"/>
              <w:right w:val="nil"/>
            </w:tcBorders>
          </w:tcPr>
          <w:p w:rsidR="00F87646" w:rsidRPr="00BC0C9E" w:rsidRDefault="00F87646" w:rsidP="004D349D">
            <w:pPr>
              <w:pStyle w:val="TableofFigures"/>
              <w:rPr>
                <w:rFonts w:eastAsiaTheme="minorEastAsia"/>
                <w:b/>
                <w:bCs/>
                <w:lang w:eastAsia="en-AU"/>
              </w:rPr>
            </w:pPr>
            <w:r w:rsidRPr="00BC0C9E">
              <w:rPr>
                <w:rFonts w:eastAsiaTheme="minorEastAsia"/>
                <w:b/>
                <w:bCs/>
                <w:lang w:eastAsia="en-AU"/>
              </w:rPr>
              <w:t xml:space="preserve"> 13.5</w:t>
            </w:r>
          </w:p>
        </w:tc>
      </w:tr>
    </w:tbl>
    <w:p w:rsidR="00F87646" w:rsidRDefault="00F87646" w:rsidP="00232EA5">
      <w:pPr>
        <w:pStyle w:val="Source"/>
        <w:rPr>
          <w:rStyle w:val="PageNumber"/>
          <w:sz w:val="15"/>
        </w:rPr>
      </w:pPr>
      <w:r w:rsidRPr="00BC0C9E">
        <w:rPr>
          <w:rStyle w:val="PageNumber"/>
          <w:sz w:val="15"/>
        </w:rPr>
        <w:t>Source: Department of Treasury and Finance</w:t>
      </w:r>
    </w:p>
    <w:p w:rsidR="00F87646" w:rsidRPr="00232EA5" w:rsidRDefault="00F87646" w:rsidP="00232EA5">
      <w:pPr>
        <w:pStyle w:val="Source"/>
      </w:pPr>
    </w:p>
    <w:p w:rsidR="00F87646" w:rsidRPr="00BC0C9E" w:rsidRDefault="00F87646" w:rsidP="00882D47">
      <w:pPr>
        <w:pStyle w:val="Heading5"/>
      </w:pPr>
      <w:r w:rsidRPr="00BC0C9E">
        <w:t>Additional Protective Services Officers</w:t>
      </w:r>
    </w:p>
    <w:p w:rsidR="00F87646" w:rsidRPr="00BC0C9E" w:rsidRDefault="00F87646" w:rsidP="00882D47">
      <w:r w:rsidRPr="00BC0C9E">
        <w:t>A further 96 Protective Services Officers (PSOs) will be deployed to enable a dedicated PSO presence at 212 metropolitan stations and four major regional stations. This will bring the total number of PSOs to 1 036, further improving community safety around railway stations.</w:t>
      </w:r>
    </w:p>
    <w:p w:rsidR="00F87646" w:rsidRPr="00BC0C9E" w:rsidRDefault="00F87646" w:rsidP="00882D47">
      <w:r w:rsidRPr="00BC0C9E">
        <w:t>This initiative contributes to the Department of Justice</w:t>
      </w:r>
      <w:r>
        <w:t>’</w:t>
      </w:r>
      <w:r w:rsidRPr="00BC0C9E">
        <w:t>s Policing Services output.</w:t>
      </w:r>
    </w:p>
    <w:p w:rsidR="00F87646" w:rsidRPr="00BC0C9E" w:rsidRDefault="00F87646" w:rsidP="00882D47">
      <w:pPr>
        <w:pStyle w:val="Heading5"/>
      </w:pPr>
      <w:r w:rsidRPr="00BC0C9E">
        <w:t>Provision of additional firefighting aircraft resources</w:t>
      </w:r>
    </w:p>
    <w:p w:rsidR="00F87646" w:rsidRPr="00BC0C9E" w:rsidRDefault="00F87646" w:rsidP="00882D47">
      <w:r w:rsidRPr="00BC0C9E">
        <w:t>Additional firefighting aircraft resources will be delivered to enhance Victoria</w:t>
      </w:r>
      <w:r>
        <w:t>’</w:t>
      </w:r>
      <w:r w:rsidRPr="00BC0C9E">
        <w:t>s firefighting capability, including a Helitak aircraft to be leased over the 2014</w:t>
      </w:r>
      <w:r>
        <w:noBreakHyphen/>
      </w:r>
      <w:r w:rsidRPr="00BC0C9E">
        <w:t>15 summer in the Latrobe Valley, and two large fixed</w:t>
      </w:r>
      <w:r>
        <w:noBreakHyphen/>
      </w:r>
      <w:r w:rsidRPr="00BC0C9E">
        <w:t>wing air tankers based at Avalon.</w:t>
      </w:r>
    </w:p>
    <w:p w:rsidR="00F87646" w:rsidRPr="00BC0C9E" w:rsidRDefault="00F87646" w:rsidP="00882D47">
      <w:r w:rsidRPr="00BC0C9E">
        <w:t>This initiative contributes to the Department of Justice</w:t>
      </w:r>
      <w:r>
        <w:t>’</w:t>
      </w:r>
      <w:r w:rsidRPr="00BC0C9E">
        <w:t>s Emergency Management Capability output.</w:t>
      </w:r>
    </w:p>
    <w:p w:rsidR="00F87646" w:rsidRPr="00BC0C9E" w:rsidRDefault="00F87646" w:rsidP="00882D47">
      <w:pPr>
        <w:pStyle w:val="Heading3"/>
      </w:pPr>
      <w:r w:rsidRPr="00BC0C9E">
        <w:t>Asset initiatives</w:t>
      </w:r>
    </w:p>
    <w:p w:rsidR="00F87646" w:rsidRPr="00BC0C9E" w:rsidRDefault="00F87646" w:rsidP="00882D47">
      <w:pPr>
        <w:pStyle w:val="Tableheading"/>
      </w:pPr>
      <w:r w:rsidRPr="00BC0C9E">
        <w:t>Table A.12:</w:t>
      </w:r>
      <w:r w:rsidRPr="00BC0C9E">
        <w:tab/>
        <w:t>Asset initiatives – Justice</w:t>
      </w:r>
    </w:p>
    <w:p w:rsidR="00F87646" w:rsidRPr="00BC0C9E" w:rsidRDefault="00F87646" w:rsidP="000F5A42">
      <w:pPr>
        <w:pStyle w:val="million"/>
      </w:pPr>
      <w:r w:rsidRPr="00BC0C9E">
        <w:t>($</w:t>
      </w:r>
      <w:r>
        <w:t> million</w:t>
      </w:r>
      <w:r w:rsidRPr="00BC0C9E">
        <w:t>)</w:t>
      </w:r>
    </w:p>
    <w:tbl>
      <w:tblPr>
        <w:tblW w:w="0" w:type="auto"/>
        <w:tblInd w:w="78" w:type="dxa"/>
        <w:tblLayout w:type="fixed"/>
        <w:tblLook w:val="0000" w:firstRow="0" w:lastRow="0" w:firstColumn="0" w:lastColumn="0" w:noHBand="0" w:noVBand="0"/>
      </w:tblPr>
      <w:tblGrid>
        <w:gridCol w:w="2724"/>
        <w:gridCol w:w="1025"/>
        <w:gridCol w:w="992"/>
        <w:gridCol w:w="992"/>
        <w:gridCol w:w="992"/>
        <w:gridCol w:w="1026"/>
      </w:tblGrid>
      <w:tr w:rsidR="00F87646" w:rsidRPr="00BC0C9E" w:rsidTr="000F5A42">
        <w:trPr>
          <w:trHeight w:val="86"/>
        </w:trPr>
        <w:tc>
          <w:tcPr>
            <w:tcW w:w="2724" w:type="dxa"/>
            <w:tcBorders>
              <w:top w:val="single" w:sz="6" w:space="0" w:color="auto"/>
              <w:left w:val="single" w:sz="6" w:space="0" w:color="auto"/>
              <w:bottom w:val="single" w:sz="6" w:space="0" w:color="auto"/>
              <w:right w:val="nil"/>
            </w:tcBorders>
            <w:shd w:val="solid" w:color="000000" w:fill="auto"/>
          </w:tcPr>
          <w:p w:rsidR="00F87646" w:rsidRPr="00BC0C9E" w:rsidRDefault="00F87646">
            <w:pPr>
              <w:autoSpaceDE w:val="0"/>
              <w:autoSpaceDN w:val="0"/>
              <w:adjustRightInd w:val="0"/>
              <w:spacing w:after="0"/>
              <w:jc w:val="right"/>
              <w:rPr>
                <w:rFonts w:ascii="Calibri" w:eastAsiaTheme="minorEastAsia" w:hAnsi="Calibri" w:cs="Calibri"/>
                <w:color w:val="000000"/>
                <w:sz w:val="20"/>
                <w:lang w:eastAsia="en-AU"/>
              </w:rPr>
            </w:pPr>
          </w:p>
        </w:tc>
        <w:tc>
          <w:tcPr>
            <w:tcW w:w="1025" w:type="dxa"/>
            <w:tcBorders>
              <w:top w:val="single" w:sz="6" w:space="0" w:color="auto"/>
              <w:left w:val="nil"/>
              <w:bottom w:val="single" w:sz="6" w:space="0" w:color="auto"/>
              <w:right w:val="nil"/>
            </w:tcBorders>
            <w:shd w:val="solid" w:color="000000" w:fill="auto"/>
          </w:tcPr>
          <w:p w:rsidR="00F87646" w:rsidRPr="00BC0C9E" w:rsidRDefault="00F87646" w:rsidP="000F5A42">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2" w:type="dxa"/>
            <w:tcBorders>
              <w:top w:val="single" w:sz="6" w:space="0" w:color="auto"/>
              <w:left w:val="nil"/>
              <w:bottom w:val="single" w:sz="6" w:space="0" w:color="auto"/>
              <w:right w:val="nil"/>
            </w:tcBorders>
            <w:shd w:val="solid" w:color="000000" w:fill="auto"/>
          </w:tcPr>
          <w:p w:rsidR="00F87646" w:rsidRPr="00BC0C9E" w:rsidRDefault="00F87646" w:rsidP="000F5A42">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2" w:type="dxa"/>
            <w:tcBorders>
              <w:top w:val="single" w:sz="6" w:space="0" w:color="auto"/>
              <w:left w:val="nil"/>
              <w:bottom w:val="single" w:sz="6" w:space="0" w:color="auto"/>
              <w:right w:val="nil"/>
            </w:tcBorders>
            <w:shd w:val="solid" w:color="000000" w:fill="auto"/>
          </w:tcPr>
          <w:p w:rsidR="00F87646" w:rsidRPr="00BC0C9E" w:rsidRDefault="00F87646" w:rsidP="000F5A42">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2" w:type="dxa"/>
            <w:tcBorders>
              <w:top w:val="single" w:sz="6" w:space="0" w:color="auto"/>
              <w:left w:val="nil"/>
              <w:bottom w:val="single" w:sz="6" w:space="0" w:color="auto"/>
              <w:right w:val="nil"/>
            </w:tcBorders>
            <w:shd w:val="solid" w:color="000000" w:fill="auto"/>
          </w:tcPr>
          <w:p w:rsidR="00F87646" w:rsidRPr="00BC0C9E" w:rsidRDefault="00F87646" w:rsidP="000F5A42">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c>
          <w:tcPr>
            <w:tcW w:w="1026" w:type="dxa"/>
            <w:tcBorders>
              <w:top w:val="single" w:sz="6" w:space="0" w:color="auto"/>
              <w:left w:val="nil"/>
              <w:bottom w:val="single" w:sz="6" w:space="0" w:color="auto"/>
              <w:right w:val="nil"/>
            </w:tcBorders>
            <w:shd w:val="solid" w:color="000000" w:fill="auto"/>
          </w:tcPr>
          <w:p w:rsidR="00F87646" w:rsidRPr="00BC0C9E" w:rsidRDefault="00F87646" w:rsidP="000F5A42">
            <w:pPr>
              <w:pStyle w:val="Tabletextheading"/>
              <w:rPr>
                <w:rFonts w:eastAsiaTheme="minorEastAsia"/>
                <w:lang w:eastAsia="en-AU"/>
              </w:rPr>
            </w:pPr>
            <w:r w:rsidRPr="00BC0C9E">
              <w:rPr>
                <w:rFonts w:eastAsiaTheme="minorEastAsia"/>
                <w:lang w:eastAsia="en-AU"/>
              </w:rPr>
              <w:t>TEI</w:t>
            </w:r>
          </w:p>
        </w:tc>
      </w:tr>
      <w:tr w:rsidR="00F87646" w:rsidRPr="00BC0C9E" w:rsidTr="000F5A42">
        <w:trPr>
          <w:trHeight w:val="86"/>
        </w:trPr>
        <w:tc>
          <w:tcPr>
            <w:tcW w:w="2724" w:type="dxa"/>
            <w:tcBorders>
              <w:top w:val="nil"/>
              <w:left w:val="nil"/>
              <w:bottom w:val="nil"/>
              <w:right w:val="nil"/>
            </w:tcBorders>
          </w:tcPr>
          <w:p w:rsidR="00F87646" w:rsidRPr="00BC0C9E" w:rsidRDefault="00F87646" w:rsidP="000F5A42">
            <w:pPr>
              <w:pStyle w:val="Tabletext"/>
              <w:rPr>
                <w:rFonts w:eastAsiaTheme="minorEastAsia"/>
                <w:lang w:eastAsia="en-AU"/>
              </w:rPr>
            </w:pPr>
            <w:r w:rsidRPr="00BC0C9E">
              <w:rPr>
                <w:rFonts w:eastAsiaTheme="minorEastAsia"/>
                <w:lang w:eastAsia="en-AU"/>
              </w:rPr>
              <w:t>Additional Protective Services Officers</w:t>
            </w:r>
          </w:p>
        </w:tc>
        <w:tc>
          <w:tcPr>
            <w:tcW w:w="1025"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 xml:space="preserve"> 0.5</w:t>
            </w:r>
          </w:p>
        </w:tc>
        <w:tc>
          <w:tcPr>
            <w:tcW w:w="992"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w:t>
            </w:r>
          </w:p>
        </w:tc>
        <w:tc>
          <w:tcPr>
            <w:tcW w:w="992"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w:t>
            </w:r>
          </w:p>
        </w:tc>
        <w:tc>
          <w:tcPr>
            <w:tcW w:w="992"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w:t>
            </w:r>
          </w:p>
        </w:tc>
        <w:tc>
          <w:tcPr>
            <w:tcW w:w="1026"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 xml:space="preserve"> 0.5</w:t>
            </w:r>
          </w:p>
        </w:tc>
      </w:tr>
      <w:tr w:rsidR="00F87646" w:rsidRPr="00BC0C9E" w:rsidTr="000F5A42">
        <w:trPr>
          <w:trHeight w:val="86"/>
        </w:trPr>
        <w:tc>
          <w:tcPr>
            <w:tcW w:w="2724" w:type="dxa"/>
            <w:tcBorders>
              <w:top w:val="nil"/>
              <w:left w:val="nil"/>
              <w:bottom w:val="nil"/>
              <w:right w:val="nil"/>
            </w:tcBorders>
          </w:tcPr>
          <w:p w:rsidR="00F87646" w:rsidRPr="00BC0C9E" w:rsidRDefault="00F87646" w:rsidP="000F5A42">
            <w:pPr>
              <w:pStyle w:val="Tabletext"/>
              <w:rPr>
                <w:rFonts w:eastAsiaTheme="minorEastAsia"/>
                <w:lang w:eastAsia="en-AU"/>
              </w:rPr>
            </w:pPr>
            <w:r w:rsidRPr="00BC0C9E">
              <w:rPr>
                <w:rFonts w:eastAsiaTheme="minorEastAsia"/>
                <w:lang w:eastAsia="en-AU"/>
              </w:rPr>
              <w:t>Morwell Fire Station</w:t>
            </w:r>
          </w:p>
        </w:tc>
        <w:tc>
          <w:tcPr>
            <w:tcW w:w="1025"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w:t>
            </w:r>
          </w:p>
        </w:tc>
        <w:tc>
          <w:tcPr>
            <w:tcW w:w="992"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 xml:space="preserve"> 5.0</w:t>
            </w:r>
          </w:p>
        </w:tc>
        <w:tc>
          <w:tcPr>
            <w:tcW w:w="992"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w:t>
            </w:r>
          </w:p>
        </w:tc>
        <w:tc>
          <w:tcPr>
            <w:tcW w:w="992"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w:t>
            </w:r>
          </w:p>
        </w:tc>
        <w:tc>
          <w:tcPr>
            <w:tcW w:w="1026" w:type="dxa"/>
            <w:tcBorders>
              <w:top w:val="nil"/>
              <w:left w:val="nil"/>
              <w:bottom w:val="nil"/>
              <w:right w:val="nil"/>
            </w:tcBorders>
          </w:tcPr>
          <w:p w:rsidR="00F87646" w:rsidRPr="00BC0C9E" w:rsidRDefault="00F87646" w:rsidP="000F5A42">
            <w:pPr>
              <w:pStyle w:val="TableofFigures"/>
              <w:rPr>
                <w:rFonts w:eastAsiaTheme="minorEastAsia"/>
                <w:lang w:eastAsia="en-AU"/>
              </w:rPr>
            </w:pPr>
            <w:r w:rsidRPr="00BC0C9E">
              <w:rPr>
                <w:rFonts w:eastAsiaTheme="minorEastAsia"/>
                <w:lang w:eastAsia="en-AU"/>
              </w:rPr>
              <w:t xml:space="preserve"> 5.0</w:t>
            </w:r>
          </w:p>
        </w:tc>
      </w:tr>
      <w:tr w:rsidR="00F87646" w:rsidRPr="00BC0C9E" w:rsidTr="000F5A42">
        <w:trPr>
          <w:trHeight w:val="86"/>
        </w:trPr>
        <w:tc>
          <w:tcPr>
            <w:tcW w:w="2724" w:type="dxa"/>
            <w:tcBorders>
              <w:top w:val="single" w:sz="6" w:space="0" w:color="auto"/>
              <w:left w:val="nil"/>
              <w:bottom w:val="single" w:sz="12" w:space="0" w:color="auto"/>
              <w:right w:val="nil"/>
            </w:tcBorders>
          </w:tcPr>
          <w:p w:rsidR="00F87646" w:rsidRPr="00BC0C9E" w:rsidRDefault="00F87646" w:rsidP="000F5A42">
            <w:pPr>
              <w:pStyle w:val="Tabletext"/>
              <w:rPr>
                <w:rFonts w:eastAsiaTheme="minorEastAsia"/>
                <w:b/>
                <w:bCs/>
                <w:lang w:eastAsia="en-AU"/>
              </w:rPr>
            </w:pPr>
            <w:r w:rsidRPr="00BC0C9E">
              <w:rPr>
                <w:rFonts w:eastAsiaTheme="minorEastAsia"/>
                <w:b/>
                <w:bCs/>
                <w:lang w:eastAsia="en-AU"/>
              </w:rPr>
              <w:t>Total asset initiatives</w:t>
            </w:r>
          </w:p>
        </w:tc>
        <w:tc>
          <w:tcPr>
            <w:tcW w:w="1025" w:type="dxa"/>
            <w:tcBorders>
              <w:top w:val="single" w:sz="6" w:space="0" w:color="auto"/>
              <w:left w:val="nil"/>
              <w:bottom w:val="single" w:sz="12" w:space="0" w:color="auto"/>
              <w:right w:val="nil"/>
            </w:tcBorders>
          </w:tcPr>
          <w:p w:rsidR="00F87646" w:rsidRPr="00BC0C9E" w:rsidRDefault="00F87646" w:rsidP="000F5A42">
            <w:pPr>
              <w:pStyle w:val="TableofFigures"/>
              <w:rPr>
                <w:rFonts w:eastAsiaTheme="minorEastAsia"/>
                <w:b/>
                <w:bCs/>
                <w:lang w:eastAsia="en-AU"/>
              </w:rPr>
            </w:pPr>
            <w:r w:rsidRPr="00BC0C9E">
              <w:rPr>
                <w:rFonts w:eastAsiaTheme="minorEastAsia"/>
                <w:b/>
                <w:bCs/>
                <w:lang w:eastAsia="en-AU"/>
              </w:rPr>
              <w:t xml:space="preserve"> 0.5</w:t>
            </w:r>
          </w:p>
        </w:tc>
        <w:tc>
          <w:tcPr>
            <w:tcW w:w="992" w:type="dxa"/>
            <w:tcBorders>
              <w:top w:val="single" w:sz="6" w:space="0" w:color="auto"/>
              <w:left w:val="nil"/>
              <w:bottom w:val="single" w:sz="12" w:space="0" w:color="auto"/>
              <w:right w:val="nil"/>
            </w:tcBorders>
          </w:tcPr>
          <w:p w:rsidR="00F87646" w:rsidRPr="00BC0C9E" w:rsidRDefault="00F87646" w:rsidP="000F5A42">
            <w:pPr>
              <w:pStyle w:val="TableofFigures"/>
              <w:rPr>
                <w:rFonts w:eastAsiaTheme="minorEastAsia"/>
                <w:b/>
                <w:bCs/>
                <w:lang w:eastAsia="en-AU"/>
              </w:rPr>
            </w:pPr>
            <w:r w:rsidRPr="00BC0C9E">
              <w:rPr>
                <w:rFonts w:eastAsiaTheme="minorEastAsia"/>
                <w:b/>
                <w:bCs/>
                <w:lang w:eastAsia="en-AU"/>
              </w:rPr>
              <w:t xml:space="preserve"> 5.0</w:t>
            </w:r>
          </w:p>
        </w:tc>
        <w:tc>
          <w:tcPr>
            <w:tcW w:w="992" w:type="dxa"/>
            <w:tcBorders>
              <w:top w:val="single" w:sz="6" w:space="0" w:color="auto"/>
              <w:left w:val="nil"/>
              <w:bottom w:val="single" w:sz="12" w:space="0" w:color="auto"/>
              <w:right w:val="nil"/>
            </w:tcBorders>
          </w:tcPr>
          <w:p w:rsidR="00F87646" w:rsidRPr="00BC0C9E" w:rsidRDefault="00F87646" w:rsidP="000F5A42">
            <w:pPr>
              <w:pStyle w:val="TableofFigures"/>
              <w:rPr>
                <w:rFonts w:eastAsiaTheme="minorEastAsia"/>
                <w:b/>
                <w:bCs/>
                <w:lang w:eastAsia="en-AU"/>
              </w:rPr>
            </w:pPr>
            <w:r w:rsidRPr="00BC0C9E">
              <w:rPr>
                <w:rFonts w:eastAsiaTheme="minorEastAsia"/>
                <w:b/>
                <w:bCs/>
                <w:lang w:eastAsia="en-AU"/>
              </w:rPr>
              <w:t>..</w:t>
            </w:r>
          </w:p>
        </w:tc>
        <w:tc>
          <w:tcPr>
            <w:tcW w:w="992" w:type="dxa"/>
            <w:tcBorders>
              <w:top w:val="single" w:sz="6" w:space="0" w:color="auto"/>
              <w:left w:val="nil"/>
              <w:bottom w:val="single" w:sz="12" w:space="0" w:color="auto"/>
              <w:right w:val="nil"/>
            </w:tcBorders>
          </w:tcPr>
          <w:p w:rsidR="00F87646" w:rsidRPr="00BC0C9E" w:rsidRDefault="00F87646" w:rsidP="000F5A42">
            <w:pPr>
              <w:pStyle w:val="TableofFigures"/>
              <w:rPr>
                <w:rFonts w:eastAsiaTheme="minorEastAsia"/>
                <w:b/>
                <w:bCs/>
                <w:lang w:eastAsia="en-AU"/>
              </w:rPr>
            </w:pPr>
            <w:r w:rsidRPr="00BC0C9E">
              <w:rPr>
                <w:rFonts w:eastAsiaTheme="minorEastAsia"/>
                <w:b/>
                <w:bCs/>
                <w:lang w:eastAsia="en-AU"/>
              </w:rPr>
              <w:t>..</w:t>
            </w:r>
          </w:p>
        </w:tc>
        <w:tc>
          <w:tcPr>
            <w:tcW w:w="1026" w:type="dxa"/>
            <w:tcBorders>
              <w:top w:val="single" w:sz="6" w:space="0" w:color="auto"/>
              <w:left w:val="nil"/>
              <w:bottom w:val="single" w:sz="12" w:space="0" w:color="auto"/>
              <w:right w:val="nil"/>
            </w:tcBorders>
          </w:tcPr>
          <w:p w:rsidR="00F87646" w:rsidRPr="00BC0C9E" w:rsidRDefault="00F87646" w:rsidP="000F5A42">
            <w:pPr>
              <w:pStyle w:val="TableofFigures"/>
              <w:rPr>
                <w:rFonts w:eastAsiaTheme="minorEastAsia"/>
                <w:b/>
                <w:bCs/>
                <w:lang w:eastAsia="en-AU"/>
              </w:rPr>
            </w:pPr>
            <w:r w:rsidRPr="00BC0C9E">
              <w:rPr>
                <w:rFonts w:eastAsiaTheme="minorEastAsia"/>
                <w:b/>
                <w:bCs/>
                <w:lang w:eastAsia="en-AU"/>
              </w:rPr>
              <w:t xml:space="preserve"> 5.5</w:t>
            </w:r>
          </w:p>
        </w:tc>
      </w:tr>
    </w:tbl>
    <w:p w:rsidR="00F87646" w:rsidRPr="00BC0C9E" w:rsidRDefault="00F87646" w:rsidP="003917E0">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Default="00F87646">
      <w:pPr>
        <w:spacing w:after="0"/>
        <w:rPr>
          <w:rFonts w:ascii="Calibri" w:hAnsi="Calibri"/>
          <w:b/>
        </w:rPr>
      </w:pPr>
      <w:r>
        <w:br w:type="page"/>
      </w:r>
    </w:p>
    <w:p w:rsidR="00F87646" w:rsidRPr="00BC0C9E" w:rsidRDefault="00F87646" w:rsidP="00882D47">
      <w:pPr>
        <w:pStyle w:val="Heading5"/>
      </w:pPr>
      <w:r w:rsidRPr="00BC0C9E">
        <w:lastRenderedPageBreak/>
        <w:t>Additional Protective Services Officers</w:t>
      </w:r>
    </w:p>
    <w:p w:rsidR="00F87646" w:rsidRPr="00BC0C9E" w:rsidRDefault="00F87646" w:rsidP="00882D47">
      <w:r w:rsidRPr="00BC0C9E">
        <w:t>Refer to the output initiative for a description of this initiative.</w:t>
      </w:r>
    </w:p>
    <w:p w:rsidR="00F87646" w:rsidRPr="00BC0C9E" w:rsidRDefault="00F87646" w:rsidP="00882D47">
      <w:pPr>
        <w:pStyle w:val="Heading5"/>
      </w:pPr>
      <w:r w:rsidRPr="00BC0C9E">
        <w:t>Morwell Fire Station</w:t>
      </w:r>
    </w:p>
    <w:p w:rsidR="00F87646" w:rsidRPr="00BC0C9E" w:rsidRDefault="00F87646" w:rsidP="00882D47">
      <w:r w:rsidRPr="00BC0C9E">
        <w:t>A new Country Fire Authority station will be constructed in Morwell to enhance emergency services within the Latrobe region. This initiative forms part of the Government</w:t>
      </w:r>
      <w:r>
        <w:t>’</w:t>
      </w:r>
      <w:r w:rsidRPr="00BC0C9E">
        <w:t xml:space="preserve">s response to the </w:t>
      </w:r>
      <w:r w:rsidRPr="00BC0C9E">
        <w:rPr>
          <w:i/>
        </w:rPr>
        <w:t>Hazelwood Mine Fire Board of Inquiry</w:t>
      </w:r>
      <w:r w:rsidRPr="00BC0C9E">
        <w:t>.</w:t>
      </w:r>
    </w:p>
    <w:p w:rsidR="00F87646" w:rsidRPr="00BC0C9E" w:rsidRDefault="00F87646" w:rsidP="00232EA5">
      <w:pPr>
        <w:rPr>
          <w:rFonts w:ascii="Calibri" w:hAnsi="Calibri"/>
          <w:b/>
          <w:caps/>
          <w:sz w:val="26"/>
          <w:szCs w:val="22"/>
        </w:rPr>
      </w:pPr>
      <w:r w:rsidRPr="00BC0C9E">
        <w:t>This initiative contributes to the Department of Justice</w:t>
      </w:r>
      <w:r>
        <w:t>’</w:t>
      </w:r>
      <w:r w:rsidRPr="00BC0C9E">
        <w:t>s Emergency Management Capability output.</w:t>
      </w:r>
      <w:bookmarkStart w:id="96" w:name="_Toc401147506"/>
    </w:p>
    <w:p w:rsidR="00F87646" w:rsidRPr="00BC0C9E" w:rsidRDefault="00F87646" w:rsidP="00882D47">
      <w:pPr>
        <w:pStyle w:val="Heading1"/>
      </w:pPr>
      <w:bookmarkStart w:id="97" w:name="_Toc403386704"/>
      <w:r w:rsidRPr="00BC0C9E">
        <w:t>Department of Premier and Cabinet</w:t>
      </w:r>
      <w:bookmarkEnd w:id="96"/>
      <w:bookmarkEnd w:id="97"/>
    </w:p>
    <w:p w:rsidR="00F87646" w:rsidRPr="00BC0C9E" w:rsidRDefault="00F87646" w:rsidP="00882D47">
      <w:pPr>
        <w:pStyle w:val="Heading3"/>
      </w:pPr>
      <w:r w:rsidRPr="00BC0C9E">
        <w:t>Asset initiatives</w:t>
      </w:r>
    </w:p>
    <w:p w:rsidR="00F87646" w:rsidRPr="00BC0C9E" w:rsidRDefault="00F87646" w:rsidP="00882D47">
      <w:pPr>
        <w:pStyle w:val="Tableheading"/>
      </w:pPr>
      <w:r w:rsidRPr="00BC0C9E">
        <w:t>Table A.13:</w:t>
      </w:r>
      <w:r w:rsidRPr="00BC0C9E">
        <w:tab/>
        <w:t>Asset initiatives – Premier and Cabinet</w:t>
      </w:r>
    </w:p>
    <w:p w:rsidR="00F87646" w:rsidRPr="00BC0C9E" w:rsidRDefault="00F87646" w:rsidP="00BC5882">
      <w:pPr>
        <w:pStyle w:val="million"/>
        <w:rPr>
          <w:rFonts w:ascii="Times New Roman" w:hAnsi="Times New Roman"/>
          <w:i w:val="0"/>
          <w:sz w:val="20"/>
          <w:lang w:eastAsia="en-AU"/>
        </w:rPr>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58"/>
        <w:gridCol w:w="958"/>
        <w:gridCol w:w="959"/>
        <w:gridCol w:w="958"/>
        <w:gridCol w:w="959"/>
      </w:tblGrid>
      <w:tr w:rsidR="00F87646" w:rsidRPr="00BC0C9E" w:rsidTr="00BC5882">
        <w:tc>
          <w:tcPr>
            <w:tcW w:w="2984" w:type="dxa"/>
            <w:tcBorders>
              <w:top w:val="single" w:sz="6" w:space="0" w:color="000000" w:themeColor="text1"/>
              <w:left w:val="single" w:sz="6" w:space="0" w:color="000000" w:themeColor="text1"/>
              <w:bottom w:val="single" w:sz="6" w:space="0" w:color="auto"/>
              <w:right w:val="nil"/>
            </w:tcBorders>
            <w:shd w:val="clear" w:color="auto" w:fill="000000"/>
          </w:tcPr>
          <w:p w:rsidR="00F87646" w:rsidRPr="00BC0C9E" w:rsidRDefault="00F87646" w:rsidP="00BC5882">
            <w:pPr>
              <w:pStyle w:val="Tabletext"/>
              <w:rPr>
                <w:rFonts w:eastAsiaTheme="minorEastAsia"/>
                <w:lang w:eastAsia="en-AU"/>
              </w:rPr>
            </w:pPr>
          </w:p>
        </w:tc>
        <w:tc>
          <w:tcPr>
            <w:tcW w:w="958" w:type="dxa"/>
            <w:tcBorders>
              <w:top w:val="single" w:sz="6" w:space="0" w:color="000000" w:themeColor="text1"/>
              <w:left w:val="nil"/>
              <w:bottom w:val="single" w:sz="6"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58" w:type="dxa"/>
            <w:tcBorders>
              <w:top w:val="single" w:sz="6" w:space="0" w:color="000000" w:themeColor="text1"/>
              <w:left w:val="nil"/>
              <w:bottom w:val="single" w:sz="6"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59" w:type="dxa"/>
            <w:tcBorders>
              <w:top w:val="single" w:sz="6" w:space="0" w:color="000000" w:themeColor="text1"/>
              <w:left w:val="nil"/>
              <w:bottom w:val="single" w:sz="6"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58" w:type="dxa"/>
            <w:tcBorders>
              <w:top w:val="single" w:sz="6" w:space="0" w:color="000000" w:themeColor="text1"/>
              <w:left w:val="nil"/>
              <w:bottom w:val="single" w:sz="6"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c>
          <w:tcPr>
            <w:tcW w:w="959" w:type="dxa"/>
            <w:tcBorders>
              <w:top w:val="single" w:sz="6" w:space="0" w:color="000000" w:themeColor="text1"/>
              <w:left w:val="nil"/>
              <w:bottom w:val="single" w:sz="6" w:space="0" w:color="auto"/>
              <w:right w:val="single" w:sz="6" w:space="0" w:color="000000" w:themeColor="text1"/>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TEI</w:t>
            </w:r>
          </w:p>
        </w:tc>
      </w:tr>
      <w:tr w:rsidR="00F87646" w:rsidRPr="00BC0C9E" w:rsidTr="00BC5882">
        <w:tc>
          <w:tcPr>
            <w:tcW w:w="2984" w:type="dxa"/>
            <w:tcBorders>
              <w:top w:val="single" w:sz="6" w:space="0" w:color="000000" w:themeColor="text1"/>
              <w:left w:val="nil"/>
              <w:bottom w:val="nil"/>
              <w:right w:val="nil"/>
            </w:tcBorders>
          </w:tcPr>
          <w:p w:rsidR="00F87646" w:rsidRPr="00BC0C9E" w:rsidRDefault="00F87646" w:rsidP="00BC5882">
            <w:pPr>
              <w:pStyle w:val="Tabletext"/>
              <w:rPr>
                <w:rFonts w:eastAsiaTheme="minorEastAsia"/>
                <w:lang w:eastAsia="en-AU"/>
              </w:rPr>
            </w:pPr>
            <w:r w:rsidRPr="00BC0C9E">
              <w:rPr>
                <w:rFonts w:eastAsiaTheme="minorEastAsia"/>
                <w:lang w:eastAsia="en-AU"/>
              </w:rPr>
              <w:t>Maintaining Victoria</w:t>
            </w:r>
            <w:r>
              <w:rPr>
                <w:rFonts w:eastAsiaTheme="minorEastAsia"/>
                <w:lang w:eastAsia="en-AU"/>
              </w:rPr>
              <w:t>’</w:t>
            </w:r>
            <w:r w:rsidRPr="00BC0C9E">
              <w:rPr>
                <w:rFonts w:eastAsiaTheme="minorEastAsia"/>
                <w:lang w:eastAsia="en-AU"/>
              </w:rPr>
              <w:t>s arts facilities</w:t>
            </w:r>
          </w:p>
        </w:tc>
        <w:tc>
          <w:tcPr>
            <w:tcW w:w="958" w:type="dxa"/>
            <w:tcBorders>
              <w:top w:val="single" w:sz="6" w:space="0" w:color="000000" w:themeColor="text1"/>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 xml:space="preserve"> 2.5</w:t>
            </w:r>
          </w:p>
        </w:tc>
        <w:tc>
          <w:tcPr>
            <w:tcW w:w="958" w:type="dxa"/>
            <w:tcBorders>
              <w:top w:val="single" w:sz="6" w:space="0" w:color="000000" w:themeColor="text1"/>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w:t>
            </w:r>
          </w:p>
        </w:tc>
        <w:tc>
          <w:tcPr>
            <w:tcW w:w="959" w:type="dxa"/>
            <w:tcBorders>
              <w:top w:val="single" w:sz="6" w:space="0" w:color="000000" w:themeColor="text1"/>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w:t>
            </w:r>
          </w:p>
        </w:tc>
        <w:tc>
          <w:tcPr>
            <w:tcW w:w="958" w:type="dxa"/>
            <w:tcBorders>
              <w:top w:val="single" w:sz="6" w:space="0" w:color="000000" w:themeColor="text1"/>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w:t>
            </w:r>
          </w:p>
        </w:tc>
        <w:tc>
          <w:tcPr>
            <w:tcW w:w="959" w:type="dxa"/>
            <w:tcBorders>
              <w:top w:val="single" w:sz="6" w:space="0" w:color="000000" w:themeColor="text1"/>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 xml:space="preserve"> 2.5</w:t>
            </w:r>
          </w:p>
        </w:tc>
      </w:tr>
      <w:tr w:rsidR="00F87646" w:rsidRPr="00BC0C9E" w:rsidTr="00BC5882">
        <w:tc>
          <w:tcPr>
            <w:tcW w:w="2984" w:type="dxa"/>
            <w:tcBorders>
              <w:top w:val="nil"/>
              <w:left w:val="nil"/>
              <w:bottom w:val="nil"/>
              <w:right w:val="nil"/>
            </w:tcBorders>
          </w:tcPr>
          <w:p w:rsidR="00F87646" w:rsidRPr="00BC0C9E" w:rsidRDefault="00F87646" w:rsidP="00BC5882">
            <w:pPr>
              <w:pStyle w:val="Tabletext"/>
              <w:rPr>
                <w:rFonts w:eastAsiaTheme="minorEastAsia"/>
                <w:lang w:eastAsia="en-AU"/>
              </w:rPr>
            </w:pPr>
            <w:r w:rsidRPr="00BC0C9E">
              <w:rPr>
                <w:rFonts w:eastAsiaTheme="minorEastAsia"/>
                <w:lang w:eastAsia="en-AU"/>
              </w:rPr>
              <w:t>Museum Victoria Energy Efficiency project</w:t>
            </w:r>
          </w:p>
        </w:tc>
        <w:tc>
          <w:tcPr>
            <w:tcW w:w="958" w:type="dxa"/>
            <w:tcBorders>
              <w:top w:val="nil"/>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 xml:space="preserve"> 11.3</w:t>
            </w:r>
          </w:p>
        </w:tc>
        <w:tc>
          <w:tcPr>
            <w:tcW w:w="958" w:type="dxa"/>
            <w:tcBorders>
              <w:top w:val="nil"/>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w:t>
            </w:r>
          </w:p>
        </w:tc>
        <w:tc>
          <w:tcPr>
            <w:tcW w:w="959" w:type="dxa"/>
            <w:tcBorders>
              <w:top w:val="nil"/>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w:t>
            </w:r>
          </w:p>
        </w:tc>
        <w:tc>
          <w:tcPr>
            <w:tcW w:w="958" w:type="dxa"/>
            <w:tcBorders>
              <w:top w:val="nil"/>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w:t>
            </w:r>
          </w:p>
        </w:tc>
        <w:tc>
          <w:tcPr>
            <w:tcW w:w="959" w:type="dxa"/>
            <w:tcBorders>
              <w:top w:val="nil"/>
              <w:left w:val="nil"/>
              <w:bottom w:val="nil"/>
              <w:right w:val="nil"/>
            </w:tcBorders>
          </w:tcPr>
          <w:p w:rsidR="00F87646" w:rsidRPr="00BC0C9E" w:rsidRDefault="00F87646" w:rsidP="00BC5882">
            <w:pPr>
              <w:pStyle w:val="TableofFigures"/>
              <w:rPr>
                <w:rFonts w:eastAsiaTheme="minorEastAsia"/>
                <w:lang w:eastAsia="en-AU"/>
              </w:rPr>
            </w:pPr>
            <w:r w:rsidRPr="00BC0C9E">
              <w:rPr>
                <w:rFonts w:eastAsiaTheme="minorEastAsia"/>
                <w:lang w:eastAsia="en-AU"/>
              </w:rPr>
              <w:t xml:space="preserve"> 11.3</w:t>
            </w:r>
          </w:p>
        </w:tc>
      </w:tr>
      <w:tr w:rsidR="00F87646" w:rsidRPr="00BC0C9E" w:rsidTr="00BC5882">
        <w:tc>
          <w:tcPr>
            <w:tcW w:w="2984" w:type="dxa"/>
            <w:tcBorders>
              <w:top w:val="single" w:sz="6" w:space="0" w:color="auto"/>
              <w:left w:val="nil"/>
              <w:bottom w:val="single" w:sz="12" w:space="0" w:color="auto"/>
              <w:right w:val="nil"/>
            </w:tcBorders>
          </w:tcPr>
          <w:p w:rsidR="00F87646" w:rsidRPr="00BC0C9E" w:rsidRDefault="00F87646" w:rsidP="00BC5882">
            <w:pPr>
              <w:pStyle w:val="Tabletext"/>
              <w:rPr>
                <w:rFonts w:eastAsiaTheme="minorEastAsia"/>
                <w:b/>
                <w:bCs/>
                <w:lang w:eastAsia="en-AU"/>
              </w:rPr>
            </w:pPr>
            <w:r w:rsidRPr="00BC0C9E">
              <w:rPr>
                <w:rFonts w:eastAsiaTheme="minorEastAsia"/>
                <w:b/>
                <w:bCs/>
                <w:lang w:eastAsia="en-AU"/>
              </w:rPr>
              <w:t>Total asset initiatives</w:t>
            </w:r>
          </w:p>
        </w:tc>
        <w:tc>
          <w:tcPr>
            <w:tcW w:w="958"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lang w:eastAsia="en-AU"/>
              </w:rPr>
            </w:pPr>
            <w:r w:rsidRPr="00BC0C9E">
              <w:rPr>
                <w:rFonts w:eastAsiaTheme="minorEastAsia"/>
                <w:b/>
                <w:bCs/>
                <w:lang w:eastAsia="en-AU"/>
              </w:rPr>
              <w:t xml:space="preserve"> 13.8</w:t>
            </w:r>
          </w:p>
        </w:tc>
        <w:tc>
          <w:tcPr>
            <w:tcW w:w="958"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lang w:eastAsia="en-AU"/>
              </w:rPr>
            </w:pPr>
            <w:r w:rsidRPr="00BC0C9E">
              <w:rPr>
                <w:rFonts w:eastAsiaTheme="minorEastAsia"/>
                <w:b/>
                <w:bCs/>
                <w:lang w:eastAsia="en-AU"/>
              </w:rPr>
              <w:t>..</w:t>
            </w:r>
          </w:p>
        </w:tc>
        <w:tc>
          <w:tcPr>
            <w:tcW w:w="959"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lang w:eastAsia="en-AU"/>
              </w:rPr>
            </w:pPr>
            <w:r w:rsidRPr="00BC0C9E">
              <w:rPr>
                <w:rFonts w:eastAsiaTheme="minorEastAsia"/>
                <w:b/>
                <w:bCs/>
                <w:lang w:eastAsia="en-AU"/>
              </w:rPr>
              <w:t>..</w:t>
            </w:r>
          </w:p>
        </w:tc>
        <w:tc>
          <w:tcPr>
            <w:tcW w:w="958"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lang w:eastAsia="en-AU"/>
              </w:rPr>
            </w:pPr>
            <w:r w:rsidRPr="00BC0C9E">
              <w:rPr>
                <w:rFonts w:eastAsiaTheme="minorEastAsia"/>
                <w:b/>
                <w:bCs/>
                <w:lang w:eastAsia="en-AU"/>
              </w:rPr>
              <w:t>..</w:t>
            </w:r>
          </w:p>
        </w:tc>
        <w:tc>
          <w:tcPr>
            <w:tcW w:w="959"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lang w:eastAsia="en-AU"/>
              </w:rPr>
            </w:pPr>
            <w:r w:rsidRPr="00BC0C9E">
              <w:rPr>
                <w:rFonts w:eastAsiaTheme="minorEastAsia"/>
                <w:b/>
                <w:bCs/>
                <w:lang w:eastAsia="en-AU"/>
              </w:rPr>
              <w:t xml:space="preserve"> 13.8</w:t>
            </w:r>
          </w:p>
        </w:tc>
      </w:tr>
    </w:tbl>
    <w:p w:rsidR="00F87646" w:rsidRPr="00BC0C9E" w:rsidRDefault="00F87646" w:rsidP="00882D47">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Pr="00BC0C9E" w:rsidRDefault="00F87646" w:rsidP="00A264AB">
      <w:pPr>
        <w:pStyle w:val="Heading5"/>
      </w:pPr>
      <w:r w:rsidRPr="00BC0C9E">
        <w:t>Maintaining Victoria</w:t>
      </w:r>
      <w:r>
        <w:t>’</w:t>
      </w:r>
      <w:r w:rsidRPr="00BC0C9E">
        <w:t>s arts facilities</w:t>
      </w:r>
    </w:p>
    <w:p w:rsidR="00F87646" w:rsidRPr="00BC0C9E" w:rsidRDefault="00F87646" w:rsidP="00A264AB">
      <w:r w:rsidRPr="00BC0C9E">
        <w:t>Funding is provided to the Arts and Cultural Facilities Maintenance Fund to support essential maintenance works at arts facilities. These arts facilitates are used to house government and non</w:t>
      </w:r>
      <w:r>
        <w:noBreakHyphen/>
      </w:r>
      <w:r w:rsidRPr="00BC0C9E">
        <w:t xml:space="preserve">government arts organisations. </w:t>
      </w:r>
    </w:p>
    <w:p w:rsidR="00F87646" w:rsidRPr="00BC0C9E" w:rsidRDefault="00F87646" w:rsidP="00A264AB">
      <w:r w:rsidRPr="00BC0C9E">
        <w:t>This initiative contributes the Department of Premier and Cabinet</w:t>
      </w:r>
      <w:r>
        <w:t>’</w:t>
      </w:r>
      <w:r w:rsidRPr="00BC0C9E">
        <w:t xml:space="preserve">s Cultural Infrastructure and Facilities output. </w:t>
      </w:r>
    </w:p>
    <w:p w:rsidR="00F87646" w:rsidRPr="00BC0C9E" w:rsidRDefault="00F87646" w:rsidP="00882D47">
      <w:pPr>
        <w:pStyle w:val="Heading5"/>
      </w:pPr>
      <w:r w:rsidRPr="00BC0C9E">
        <w:t>Museum Victoria Energy Efficiency project</w:t>
      </w:r>
    </w:p>
    <w:p w:rsidR="00F87646" w:rsidRPr="00BC0C9E" w:rsidRDefault="00F87646" w:rsidP="00882D47">
      <w:r w:rsidRPr="00BC0C9E">
        <w:t>Funding is provided to implement an energy performance project across Museum Victoria facilities to reduce energy and water usage.</w:t>
      </w:r>
    </w:p>
    <w:p w:rsidR="00F87646" w:rsidRPr="00BC0C9E" w:rsidRDefault="00F87646" w:rsidP="00882D47">
      <w:r w:rsidRPr="00BC0C9E">
        <w:t>This initiative contributes to the Department of Premier and Cabinet</w:t>
      </w:r>
      <w:r>
        <w:t>’</w:t>
      </w:r>
      <w:r w:rsidRPr="00BC0C9E">
        <w:t>s Cultural Infrastructure and Facilities output.</w:t>
      </w:r>
    </w:p>
    <w:p w:rsidR="00F87646" w:rsidRDefault="00F87646">
      <w:pPr>
        <w:spacing w:after="0"/>
        <w:rPr>
          <w:rFonts w:ascii="Calibri" w:hAnsi="Calibri"/>
          <w:b/>
          <w:caps/>
          <w:sz w:val="26"/>
          <w:szCs w:val="22"/>
        </w:rPr>
      </w:pPr>
      <w:r>
        <w:br w:type="page"/>
      </w:r>
    </w:p>
    <w:p w:rsidR="00F87646" w:rsidRPr="00BC0C9E" w:rsidRDefault="00F87646" w:rsidP="005E0593">
      <w:pPr>
        <w:pStyle w:val="Heading1"/>
      </w:pPr>
      <w:bookmarkStart w:id="98" w:name="_Toc403386705"/>
      <w:r w:rsidRPr="00BC0C9E">
        <w:lastRenderedPageBreak/>
        <w:t>Department of State Development, business and innovation</w:t>
      </w:r>
      <w:bookmarkEnd w:id="98"/>
      <w:r w:rsidRPr="00BC0C9E">
        <w:t xml:space="preserve"> </w:t>
      </w:r>
    </w:p>
    <w:p w:rsidR="00F87646" w:rsidRPr="00BC0C9E" w:rsidRDefault="00F87646" w:rsidP="005E0593">
      <w:pPr>
        <w:pStyle w:val="Heading3"/>
      </w:pPr>
      <w:r w:rsidRPr="00BC0C9E">
        <w:t>Output initiatives</w:t>
      </w:r>
    </w:p>
    <w:p w:rsidR="00F87646" w:rsidRPr="00BC0C9E" w:rsidRDefault="00F87646" w:rsidP="00A241D2">
      <w:pPr>
        <w:pStyle w:val="Tableheading"/>
      </w:pPr>
      <w:r w:rsidRPr="00BC0C9E">
        <w:t>Table A.14:</w:t>
      </w:r>
      <w:r w:rsidRPr="00BC0C9E">
        <w:tab/>
        <w:t>Output initiatives – State Development, Business and Innovation</w:t>
      </w:r>
    </w:p>
    <w:p w:rsidR="00F87646" w:rsidRPr="00BC0C9E" w:rsidRDefault="00F87646" w:rsidP="00F305DF">
      <w:pPr>
        <w:pStyle w:val="million"/>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BC0C9E" w:rsidTr="00F305DF">
        <w:trPr>
          <w:cantSplit/>
        </w:trPr>
        <w:tc>
          <w:tcPr>
            <w:tcW w:w="3803" w:type="dxa"/>
            <w:tcBorders>
              <w:top w:val="single" w:sz="6" w:space="0" w:color="auto"/>
              <w:left w:val="single" w:sz="4" w:space="0" w:color="auto"/>
              <w:bottom w:val="single" w:sz="4" w:space="0" w:color="auto"/>
              <w:right w:val="nil"/>
            </w:tcBorders>
            <w:shd w:val="clear" w:color="auto" w:fill="000000"/>
          </w:tcPr>
          <w:p w:rsidR="00F87646" w:rsidRPr="00BC0C9E" w:rsidRDefault="00F87646" w:rsidP="00F305DF">
            <w:pPr>
              <w:pStyle w:val="Tabletext"/>
              <w:rPr>
                <w:rFonts w:eastAsiaTheme="minorEastAsia"/>
                <w:lang w:eastAsia="en-AU"/>
              </w:rPr>
            </w:pPr>
          </w:p>
        </w:tc>
        <w:tc>
          <w:tcPr>
            <w:tcW w:w="994" w:type="dxa"/>
            <w:tcBorders>
              <w:top w:val="single" w:sz="6" w:space="0" w:color="auto"/>
              <w:left w:val="nil"/>
              <w:bottom w:val="single" w:sz="4" w:space="0" w:color="auto"/>
              <w:right w:val="nil"/>
            </w:tcBorders>
            <w:shd w:val="clear" w:color="auto" w:fill="000000"/>
          </w:tcPr>
          <w:p w:rsidR="00F87646" w:rsidRPr="00BC0C9E" w:rsidRDefault="00F87646" w:rsidP="00F305DF">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F305DF">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F305DF">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auto"/>
              <w:left w:val="nil"/>
              <w:bottom w:val="single" w:sz="4" w:space="0" w:color="auto"/>
              <w:right w:val="single" w:sz="4" w:space="0" w:color="auto"/>
            </w:tcBorders>
            <w:shd w:val="clear" w:color="auto" w:fill="000000"/>
          </w:tcPr>
          <w:p w:rsidR="00F87646" w:rsidRPr="00BC0C9E" w:rsidRDefault="00F87646" w:rsidP="00F305DF">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F305DF">
        <w:trPr>
          <w:cantSplit/>
        </w:trPr>
        <w:tc>
          <w:tcPr>
            <w:tcW w:w="3803" w:type="dxa"/>
            <w:tcBorders>
              <w:top w:val="single" w:sz="4" w:space="0" w:color="auto"/>
              <w:left w:val="nil"/>
              <w:bottom w:val="nil"/>
              <w:right w:val="nil"/>
            </w:tcBorders>
          </w:tcPr>
          <w:p w:rsidR="00F87646" w:rsidRPr="00BC0C9E" w:rsidRDefault="00F87646" w:rsidP="00F305DF">
            <w:pPr>
              <w:pStyle w:val="Tabletext"/>
              <w:rPr>
                <w:rFonts w:eastAsiaTheme="minorEastAsia"/>
                <w:lang w:eastAsia="en-AU"/>
              </w:rPr>
            </w:pPr>
            <w:r w:rsidRPr="00BC0C9E">
              <w:rPr>
                <w:rFonts w:eastAsiaTheme="minorEastAsia"/>
                <w:lang w:eastAsia="en-AU"/>
              </w:rPr>
              <w:t>Ex gratia payment to Latrobe City Council – Piggery Road</w:t>
            </w:r>
          </w:p>
        </w:tc>
        <w:tc>
          <w:tcPr>
            <w:tcW w:w="994" w:type="dxa"/>
            <w:tcBorders>
              <w:top w:val="single" w:sz="4" w:space="0" w:color="auto"/>
              <w:left w:val="nil"/>
              <w:bottom w:val="nil"/>
              <w:right w:val="nil"/>
            </w:tcBorders>
          </w:tcPr>
          <w:p w:rsidR="00F87646" w:rsidRPr="00BC0C9E" w:rsidRDefault="00F87646" w:rsidP="00F305DF">
            <w:pPr>
              <w:pStyle w:val="TableofFigures"/>
              <w:rPr>
                <w:rFonts w:eastAsiaTheme="minorEastAsia"/>
                <w:lang w:eastAsia="en-AU"/>
              </w:rPr>
            </w:pPr>
            <w:r w:rsidRPr="00BC0C9E">
              <w:rPr>
                <w:rFonts w:eastAsiaTheme="minorEastAsia"/>
                <w:lang w:eastAsia="en-AU"/>
              </w:rPr>
              <w:t xml:space="preserve"> 0.6</w:t>
            </w:r>
          </w:p>
        </w:tc>
        <w:tc>
          <w:tcPr>
            <w:tcW w:w="993" w:type="dxa"/>
            <w:tcBorders>
              <w:top w:val="single" w:sz="4" w:space="0" w:color="auto"/>
              <w:left w:val="nil"/>
              <w:bottom w:val="nil"/>
              <w:right w:val="nil"/>
            </w:tcBorders>
          </w:tcPr>
          <w:p w:rsidR="00F87646" w:rsidRPr="00BC0C9E" w:rsidRDefault="00F87646" w:rsidP="00F305DF">
            <w:pPr>
              <w:pStyle w:val="TableofFigures"/>
              <w:rPr>
                <w:rFonts w:eastAsiaTheme="minorEastAsia"/>
                <w:lang w:eastAsia="en-AU"/>
              </w:rPr>
            </w:pPr>
            <w:r w:rsidRPr="00BC0C9E">
              <w:rPr>
                <w:rFonts w:eastAsiaTheme="minorEastAsia"/>
                <w:lang w:eastAsia="en-AU"/>
              </w:rPr>
              <w:t>..</w:t>
            </w:r>
          </w:p>
        </w:tc>
        <w:tc>
          <w:tcPr>
            <w:tcW w:w="993" w:type="dxa"/>
            <w:tcBorders>
              <w:top w:val="single" w:sz="4" w:space="0" w:color="auto"/>
              <w:left w:val="nil"/>
              <w:bottom w:val="nil"/>
              <w:right w:val="nil"/>
            </w:tcBorders>
          </w:tcPr>
          <w:p w:rsidR="00F87646" w:rsidRPr="00BC0C9E" w:rsidRDefault="00F87646" w:rsidP="00F305DF">
            <w:pPr>
              <w:pStyle w:val="TableofFigures"/>
              <w:rPr>
                <w:rFonts w:eastAsiaTheme="minorEastAsia"/>
                <w:lang w:eastAsia="en-AU"/>
              </w:rPr>
            </w:pPr>
            <w:r w:rsidRPr="00BC0C9E">
              <w:rPr>
                <w:rFonts w:eastAsiaTheme="minorEastAsia"/>
                <w:lang w:eastAsia="en-AU"/>
              </w:rPr>
              <w:t>..</w:t>
            </w:r>
          </w:p>
        </w:tc>
        <w:tc>
          <w:tcPr>
            <w:tcW w:w="993" w:type="dxa"/>
            <w:tcBorders>
              <w:top w:val="single" w:sz="4" w:space="0" w:color="auto"/>
              <w:left w:val="nil"/>
              <w:bottom w:val="nil"/>
              <w:right w:val="nil"/>
            </w:tcBorders>
          </w:tcPr>
          <w:p w:rsidR="00F87646" w:rsidRPr="00BC0C9E" w:rsidRDefault="00F87646" w:rsidP="00F305DF">
            <w:pPr>
              <w:pStyle w:val="TableofFigures"/>
              <w:rPr>
                <w:rFonts w:eastAsiaTheme="minorEastAsia"/>
                <w:lang w:eastAsia="en-AU"/>
              </w:rPr>
            </w:pPr>
            <w:r w:rsidRPr="00BC0C9E">
              <w:rPr>
                <w:rFonts w:eastAsiaTheme="minorEastAsia"/>
                <w:lang w:eastAsia="en-AU"/>
              </w:rPr>
              <w:t>..</w:t>
            </w:r>
          </w:p>
        </w:tc>
      </w:tr>
      <w:tr w:rsidR="00F87646" w:rsidRPr="00BC0C9E" w:rsidTr="00F305DF">
        <w:trPr>
          <w:cantSplit/>
        </w:trPr>
        <w:tc>
          <w:tcPr>
            <w:tcW w:w="3803" w:type="dxa"/>
            <w:tcBorders>
              <w:top w:val="single" w:sz="6" w:space="0" w:color="auto"/>
              <w:left w:val="nil"/>
              <w:bottom w:val="single" w:sz="12" w:space="0" w:color="auto"/>
              <w:right w:val="nil"/>
            </w:tcBorders>
          </w:tcPr>
          <w:p w:rsidR="00F87646" w:rsidRPr="00BC0C9E" w:rsidRDefault="00F87646" w:rsidP="00F305DF">
            <w:pPr>
              <w:pStyle w:val="Tabletext"/>
              <w:rPr>
                <w:rFonts w:eastAsiaTheme="minorEastAsia"/>
                <w:b/>
                <w:bCs/>
                <w:lang w:eastAsia="en-AU"/>
              </w:rPr>
            </w:pPr>
            <w:r w:rsidRPr="00BC0C9E">
              <w:rPr>
                <w:rFonts w:eastAsiaTheme="minorEastAsia"/>
                <w:b/>
                <w:bCs/>
                <w:lang w:eastAsia="en-AU"/>
              </w:rPr>
              <w:t>Total output initiatives</w:t>
            </w:r>
          </w:p>
        </w:tc>
        <w:tc>
          <w:tcPr>
            <w:tcW w:w="994" w:type="dxa"/>
            <w:tcBorders>
              <w:top w:val="single" w:sz="6" w:space="0" w:color="auto"/>
              <w:left w:val="nil"/>
              <w:bottom w:val="single" w:sz="12" w:space="0" w:color="auto"/>
              <w:right w:val="nil"/>
            </w:tcBorders>
          </w:tcPr>
          <w:p w:rsidR="00F87646" w:rsidRPr="00BC0C9E" w:rsidRDefault="00F87646" w:rsidP="00F305DF">
            <w:pPr>
              <w:pStyle w:val="TableofFigures"/>
              <w:rPr>
                <w:rFonts w:eastAsiaTheme="minorEastAsia"/>
                <w:b/>
                <w:bCs/>
                <w:lang w:eastAsia="en-AU"/>
              </w:rPr>
            </w:pPr>
            <w:r w:rsidRPr="00BC0C9E">
              <w:rPr>
                <w:rFonts w:eastAsiaTheme="minorEastAsia"/>
                <w:b/>
                <w:bCs/>
                <w:lang w:eastAsia="en-AU"/>
              </w:rPr>
              <w:t xml:space="preserve"> 0.6</w:t>
            </w:r>
          </w:p>
        </w:tc>
        <w:tc>
          <w:tcPr>
            <w:tcW w:w="993" w:type="dxa"/>
            <w:tcBorders>
              <w:top w:val="single" w:sz="6" w:space="0" w:color="auto"/>
              <w:left w:val="nil"/>
              <w:bottom w:val="single" w:sz="12" w:space="0" w:color="auto"/>
              <w:right w:val="nil"/>
            </w:tcBorders>
          </w:tcPr>
          <w:p w:rsidR="00F87646" w:rsidRPr="00BC0C9E" w:rsidRDefault="00F87646" w:rsidP="00F305DF">
            <w:pPr>
              <w:pStyle w:val="TableofFigures"/>
              <w:rPr>
                <w:rFonts w:eastAsiaTheme="minorEastAsia"/>
                <w:b/>
                <w:bCs/>
                <w:lang w:eastAsia="en-AU"/>
              </w:rPr>
            </w:pPr>
            <w:r w:rsidRPr="00BC0C9E">
              <w:rPr>
                <w:rFonts w:eastAsiaTheme="minorEastAsia"/>
                <w:b/>
                <w:bCs/>
                <w:lang w:eastAsia="en-AU"/>
              </w:rPr>
              <w:t>..</w:t>
            </w:r>
          </w:p>
        </w:tc>
        <w:tc>
          <w:tcPr>
            <w:tcW w:w="993" w:type="dxa"/>
            <w:tcBorders>
              <w:top w:val="single" w:sz="6" w:space="0" w:color="auto"/>
              <w:left w:val="nil"/>
              <w:bottom w:val="single" w:sz="12" w:space="0" w:color="auto"/>
              <w:right w:val="nil"/>
            </w:tcBorders>
          </w:tcPr>
          <w:p w:rsidR="00F87646" w:rsidRPr="00BC0C9E" w:rsidRDefault="00F87646" w:rsidP="00F305DF">
            <w:pPr>
              <w:pStyle w:val="TableofFigures"/>
              <w:rPr>
                <w:rFonts w:eastAsiaTheme="minorEastAsia"/>
                <w:b/>
                <w:bCs/>
                <w:lang w:eastAsia="en-AU"/>
              </w:rPr>
            </w:pPr>
            <w:r w:rsidRPr="00BC0C9E">
              <w:rPr>
                <w:rFonts w:eastAsiaTheme="minorEastAsia"/>
                <w:b/>
                <w:bCs/>
                <w:lang w:eastAsia="en-AU"/>
              </w:rPr>
              <w:t>..</w:t>
            </w:r>
          </w:p>
        </w:tc>
        <w:tc>
          <w:tcPr>
            <w:tcW w:w="993" w:type="dxa"/>
            <w:tcBorders>
              <w:top w:val="single" w:sz="6" w:space="0" w:color="auto"/>
              <w:left w:val="nil"/>
              <w:bottom w:val="single" w:sz="12" w:space="0" w:color="auto"/>
              <w:right w:val="nil"/>
            </w:tcBorders>
          </w:tcPr>
          <w:p w:rsidR="00F87646" w:rsidRPr="00BC0C9E" w:rsidRDefault="00F87646" w:rsidP="00F305DF">
            <w:pPr>
              <w:pStyle w:val="TableofFigures"/>
              <w:rPr>
                <w:rFonts w:eastAsiaTheme="minorEastAsia"/>
                <w:b/>
                <w:bCs/>
                <w:lang w:eastAsia="en-AU"/>
              </w:rPr>
            </w:pPr>
            <w:r w:rsidRPr="00BC0C9E">
              <w:rPr>
                <w:rFonts w:eastAsiaTheme="minorEastAsia"/>
                <w:b/>
                <w:bCs/>
                <w:lang w:eastAsia="en-AU"/>
              </w:rPr>
              <w:t>..</w:t>
            </w:r>
          </w:p>
        </w:tc>
      </w:tr>
    </w:tbl>
    <w:p w:rsidR="00F87646" w:rsidRDefault="00F87646" w:rsidP="00232EA5">
      <w:pPr>
        <w:pStyle w:val="Source"/>
        <w:rPr>
          <w:rStyle w:val="PageNumber"/>
          <w:sz w:val="15"/>
        </w:rPr>
      </w:pPr>
      <w:r w:rsidRPr="00BC0C9E">
        <w:rPr>
          <w:rStyle w:val="PageNumber"/>
          <w:sz w:val="15"/>
        </w:rPr>
        <w:t>Source: Department of Treasury and Finance</w:t>
      </w:r>
    </w:p>
    <w:p w:rsidR="00F87646" w:rsidRPr="00232EA5" w:rsidRDefault="00F87646" w:rsidP="00232EA5">
      <w:pPr>
        <w:pStyle w:val="Source"/>
      </w:pPr>
    </w:p>
    <w:p w:rsidR="00F87646" w:rsidRPr="00BC0C9E" w:rsidRDefault="00F87646" w:rsidP="00F305DF">
      <w:pPr>
        <w:pStyle w:val="Heading5"/>
      </w:pPr>
      <w:r w:rsidRPr="00BC0C9E">
        <w:t>Ex gratia payment to Latrobe City Council – Piggery Road</w:t>
      </w:r>
    </w:p>
    <w:p w:rsidR="00F87646" w:rsidRPr="00BC0C9E" w:rsidRDefault="00F87646" w:rsidP="005E0593">
      <w:r w:rsidRPr="00BC0C9E">
        <w:t>The Latrobe City Council will be provided with a one</w:t>
      </w:r>
      <w:r>
        <w:noBreakHyphen/>
      </w:r>
      <w:r w:rsidRPr="00BC0C9E">
        <w:t xml:space="preserve">off payment of up to $550 000 to support the remediation of Piggery Road, Boolarra following a natural disaster. </w:t>
      </w:r>
    </w:p>
    <w:p w:rsidR="00F87646" w:rsidRPr="00BC0C9E" w:rsidRDefault="00F87646" w:rsidP="005E0593">
      <w:r w:rsidRPr="00BC0C9E">
        <w:t>This initiative contributes to the Department of State Development, Business and Innovation</w:t>
      </w:r>
      <w:r>
        <w:t>’</w:t>
      </w:r>
      <w:r w:rsidRPr="00BC0C9E">
        <w:t xml:space="preserve">s Regional Development and Regional Cities output. </w:t>
      </w:r>
    </w:p>
    <w:p w:rsidR="00F87646" w:rsidRPr="00BC0C9E" w:rsidRDefault="00F87646" w:rsidP="00882D47">
      <w:pPr>
        <w:pStyle w:val="Heading1"/>
      </w:pPr>
      <w:bookmarkStart w:id="99" w:name="_Toc403386706"/>
      <w:r w:rsidRPr="00BC0C9E">
        <w:t>Department of Transport, Planning and Local Infrastructure</w:t>
      </w:r>
      <w:bookmarkEnd w:id="99"/>
    </w:p>
    <w:p w:rsidR="00F87646" w:rsidRPr="00BC0C9E" w:rsidRDefault="00F87646" w:rsidP="00882D47">
      <w:pPr>
        <w:pStyle w:val="Heading3"/>
      </w:pPr>
      <w:r w:rsidRPr="00BC0C9E">
        <w:t>Output initiatives</w:t>
      </w:r>
    </w:p>
    <w:p w:rsidR="00F87646" w:rsidRPr="00BC0C9E" w:rsidRDefault="00F87646" w:rsidP="00882D47">
      <w:pPr>
        <w:pStyle w:val="Tableheading"/>
      </w:pPr>
      <w:r w:rsidRPr="00BC0C9E">
        <w:t>Table A.15:</w:t>
      </w:r>
      <w:r w:rsidRPr="00BC0C9E">
        <w:tab/>
        <w:t>Output initiatives – Transport, Planning and Local Infrastructure</w:t>
      </w:r>
    </w:p>
    <w:p w:rsidR="00F87646" w:rsidRPr="00BC0C9E" w:rsidRDefault="00F87646" w:rsidP="00BC5882">
      <w:pPr>
        <w:pStyle w:val="million"/>
        <w:rPr>
          <w:rFonts w:ascii="Times New Roman" w:hAnsi="Times New Roman"/>
          <w:i w:val="0"/>
          <w:sz w:val="20"/>
          <w:szCs w:val="20"/>
          <w:lang w:eastAsia="en-AU"/>
        </w:rPr>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BC0C9E" w:rsidTr="00BC5882">
        <w:tc>
          <w:tcPr>
            <w:tcW w:w="3803" w:type="dxa"/>
            <w:tcBorders>
              <w:top w:val="single" w:sz="6" w:space="0" w:color="auto"/>
              <w:left w:val="single" w:sz="4" w:space="0" w:color="auto"/>
              <w:bottom w:val="single" w:sz="4" w:space="0" w:color="auto"/>
              <w:right w:val="nil"/>
            </w:tcBorders>
            <w:shd w:val="clear" w:color="auto" w:fill="000000"/>
          </w:tcPr>
          <w:p w:rsidR="00F87646" w:rsidRPr="00BC0C9E" w:rsidRDefault="00F87646" w:rsidP="00BC5882">
            <w:pPr>
              <w:pStyle w:val="Tabletext"/>
              <w:rPr>
                <w:rFonts w:eastAsiaTheme="minorEastAsia"/>
                <w:lang w:eastAsia="en-AU"/>
              </w:rPr>
            </w:pPr>
            <w:r w:rsidRPr="00BC0C9E">
              <w:rPr>
                <w:rFonts w:eastAsiaTheme="minorEastAsia"/>
                <w:lang w:eastAsia="en-AU"/>
              </w:rPr>
              <w:t xml:space="preserve"> </w:t>
            </w:r>
          </w:p>
        </w:tc>
        <w:tc>
          <w:tcPr>
            <w:tcW w:w="994" w:type="dxa"/>
            <w:tcBorders>
              <w:top w:val="single" w:sz="6" w:space="0" w:color="auto"/>
              <w:left w:val="nil"/>
              <w:bottom w:val="single" w:sz="4"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3" w:type="dxa"/>
            <w:tcBorders>
              <w:top w:val="single" w:sz="6" w:space="0" w:color="auto"/>
              <w:left w:val="nil"/>
              <w:bottom w:val="single" w:sz="4" w:space="0" w:color="auto"/>
              <w:right w:val="single" w:sz="4" w:space="0" w:color="auto"/>
            </w:tcBorders>
            <w:shd w:val="clear" w:color="auto" w:fill="000000"/>
          </w:tcPr>
          <w:p w:rsidR="00F87646" w:rsidRPr="00BC0C9E" w:rsidRDefault="00F87646" w:rsidP="00BC5882">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BC5882">
        <w:tc>
          <w:tcPr>
            <w:tcW w:w="3803" w:type="dxa"/>
            <w:tcBorders>
              <w:top w:val="single" w:sz="4" w:space="0" w:color="auto"/>
              <w:left w:val="nil"/>
              <w:bottom w:val="nil"/>
              <w:right w:val="nil"/>
            </w:tcBorders>
          </w:tcPr>
          <w:p w:rsidR="00F87646" w:rsidRPr="00BC0C9E" w:rsidRDefault="00F87646" w:rsidP="00BC5882">
            <w:pPr>
              <w:pStyle w:val="Tabletext"/>
              <w:rPr>
                <w:rFonts w:eastAsiaTheme="minorEastAsia"/>
                <w:color w:val="000000"/>
                <w:lang w:eastAsia="en-AU"/>
              </w:rPr>
            </w:pPr>
            <w:r w:rsidRPr="00BC0C9E">
              <w:rPr>
                <w:rFonts w:eastAsiaTheme="minorEastAsia"/>
                <w:color w:val="000000"/>
                <w:lang w:eastAsia="en-AU"/>
              </w:rPr>
              <w:t>Baw Baw Shire Council flood repairs</w:t>
            </w:r>
          </w:p>
        </w:tc>
        <w:tc>
          <w:tcPr>
            <w:tcW w:w="994" w:type="dxa"/>
            <w:tcBorders>
              <w:top w:val="single" w:sz="4" w:space="0" w:color="auto"/>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0.7</w:t>
            </w:r>
          </w:p>
        </w:tc>
        <w:tc>
          <w:tcPr>
            <w:tcW w:w="993" w:type="dxa"/>
            <w:tcBorders>
              <w:top w:val="single" w:sz="4" w:space="0" w:color="auto"/>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c>
          <w:tcPr>
            <w:tcW w:w="993" w:type="dxa"/>
            <w:tcBorders>
              <w:top w:val="single" w:sz="4" w:space="0" w:color="auto"/>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c>
          <w:tcPr>
            <w:tcW w:w="993" w:type="dxa"/>
            <w:tcBorders>
              <w:top w:val="single" w:sz="4" w:space="0" w:color="auto"/>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r>
      <w:tr w:rsidR="00F87646" w:rsidRPr="00BC0C9E" w:rsidTr="00BC5882">
        <w:tc>
          <w:tcPr>
            <w:tcW w:w="3803" w:type="dxa"/>
            <w:tcBorders>
              <w:top w:val="nil"/>
              <w:left w:val="nil"/>
              <w:bottom w:val="nil"/>
              <w:right w:val="nil"/>
            </w:tcBorders>
          </w:tcPr>
          <w:p w:rsidR="00F87646" w:rsidRPr="00BC0C9E" w:rsidRDefault="00F87646" w:rsidP="00BC5882">
            <w:pPr>
              <w:pStyle w:val="Tabletext"/>
              <w:rPr>
                <w:rFonts w:eastAsiaTheme="minorEastAsia"/>
                <w:color w:val="000000"/>
                <w:lang w:eastAsia="en-AU"/>
              </w:rPr>
            </w:pPr>
            <w:r w:rsidRPr="00BC0C9E">
              <w:rPr>
                <w:rFonts w:eastAsiaTheme="minorEastAsia"/>
                <w:color w:val="000000"/>
                <w:lang w:eastAsia="en-AU"/>
              </w:rPr>
              <w:t>On</w:t>
            </w:r>
            <w:r>
              <w:rPr>
                <w:rFonts w:eastAsiaTheme="minorEastAsia"/>
                <w:color w:val="000000"/>
                <w:lang w:eastAsia="en-AU"/>
              </w:rPr>
              <w:noBreakHyphen/>
            </w:r>
            <w:r w:rsidRPr="00BC0C9E">
              <w:rPr>
                <w:rFonts w:eastAsiaTheme="minorEastAsia"/>
                <w:color w:val="000000"/>
                <w:lang w:eastAsia="en-AU"/>
              </w:rPr>
              <w:t>the</w:t>
            </w:r>
            <w:r>
              <w:rPr>
                <w:rFonts w:eastAsiaTheme="minorEastAsia"/>
                <w:color w:val="000000"/>
                <w:lang w:eastAsia="en-AU"/>
              </w:rPr>
              <w:noBreakHyphen/>
            </w:r>
            <w:r w:rsidRPr="00BC0C9E">
              <w:rPr>
                <w:rFonts w:eastAsiaTheme="minorEastAsia"/>
                <w:color w:val="000000"/>
                <w:lang w:eastAsia="en-AU"/>
              </w:rPr>
              <w:t>spot penalty fares</w:t>
            </w:r>
          </w:p>
        </w:tc>
        <w:tc>
          <w:tcPr>
            <w:tcW w:w="994"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1.5</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1.5</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1.6</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1.6</w:t>
            </w:r>
          </w:p>
        </w:tc>
      </w:tr>
      <w:tr w:rsidR="00F87646" w:rsidRPr="00BC0C9E" w:rsidTr="00BC5882">
        <w:tc>
          <w:tcPr>
            <w:tcW w:w="3803" w:type="dxa"/>
            <w:tcBorders>
              <w:top w:val="nil"/>
              <w:left w:val="nil"/>
              <w:bottom w:val="nil"/>
              <w:right w:val="nil"/>
            </w:tcBorders>
          </w:tcPr>
          <w:p w:rsidR="00F87646" w:rsidRPr="00BC0C9E" w:rsidRDefault="00F87646" w:rsidP="00BC5882">
            <w:pPr>
              <w:pStyle w:val="Tabletext"/>
              <w:rPr>
                <w:rFonts w:eastAsiaTheme="minorEastAsia"/>
                <w:color w:val="000000"/>
                <w:lang w:eastAsia="en-AU"/>
              </w:rPr>
            </w:pPr>
            <w:r w:rsidRPr="00BC0C9E">
              <w:rPr>
                <w:rFonts w:eastAsiaTheme="minorEastAsia"/>
                <w:color w:val="000000"/>
                <w:lang w:eastAsia="en-AU"/>
              </w:rPr>
              <w:t>Protective Services Officers – station facilities</w:t>
            </w:r>
          </w:p>
        </w:tc>
        <w:tc>
          <w:tcPr>
            <w:tcW w:w="994"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0.3</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0.6</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0.7</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0.7</w:t>
            </w:r>
          </w:p>
        </w:tc>
      </w:tr>
      <w:tr w:rsidR="00F87646" w:rsidRPr="00BC0C9E" w:rsidTr="00BC5882">
        <w:tc>
          <w:tcPr>
            <w:tcW w:w="3803" w:type="dxa"/>
            <w:tcBorders>
              <w:top w:val="nil"/>
              <w:left w:val="nil"/>
              <w:bottom w:val="nil"/>
              <w:right w:val="nil"/>
            </w:tcBorders>
          </w:tcPr>
          <w:p w:rsidR="00F87646" w:rsidRPr="00BC0C9E" w:rsidRDefault="00F87646" w:rsidP="00BC5882">
            <w:pPr>
              <w:pStyle w:val="Tabletext"/>
              <w:rPr>
                <w:rFonts w:eastAsiaTheme="minorEastAsia" w:cs="Calibri"/>
                <w:color w:val="000000"/>
                <w:lang w:eastAsia="en-AU"/>
              </w:rPr>
            </w:pPr>
            <w:r w:rsidRPr="00BC0C9E">
              <w:rPr>
                <w:rFonts w:eastAsiaTheme="minorEastAsia"/>
                <w:color w:val="000000"/>
                <w:lang w:eastAsia="en-AU"/>
              </w:rPr>
              <w:t xml:space="preserve">Rio Olympic and </w:t>
            </w:r>
            <w:r w:rsidRPr="00BC0C9E">
              <w:rPr>
                <w:rFonts w:eastAsiaTheme="minorEastAsia" w:cs="Calibri"/>
                <w:color w:val="000000"/>
                <w:lang w:eastAsia="en-AU"/>
              </w:rPr>
              <w:t>Paralympic Games</w:t>
            </w:r>
          </w:p>
        </w:tc>
        <w:tc>
          <w:tcPr>
            <w:tcW w:w="994"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0.8</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r>
      <w:tr w:rsidR="00F87646" w:rsidRPr="00BC0C9E" w:rsidTr="00BC5882">
        <w:tc>
          <w:tcPr>
            <w:tcW w:w="3803" w:type="dxa"/>
            <w:tcBorders>
              <w:top w:val="nil"/>
              <w:left w:val="nil"/>
              <w:bottom w:val="nil"/>
              <w:right w:val="nil"/>
            </w:tcBorders>
          </w:tcPr>
          <w:p w:rsidR="00F87646" w:rsidRPr="00BC0C9E" w:rsidRDefault="00F87646" w:rsidP="00BC5882">
            <w:pPr>
              <w:pStyle w:val="Tabletext"/>
              <w:rPr>
                <w:rFonts w:eastAsiaTheme="minorEastAsia"/>
                <w:color w:val="000000"/>
                <w:lang w:eastAsia="en-AU"/>
              </w:rPr>
            </w:pPr>
            <w:r w:rsidRPr="00BC0C9E">
              <w:rPr>
                <w:rFonts w:eastAsiaTheme="minorEastAsia"/>
                <w:color w:val="000000"/>
                <w:lang w:eastAsia="en-AU"/>
              </w:rPr>
              <w:t>Shooting Sports Grants Program</w:t>
            </w:r>
          </w:p>
        </w:tc>
        <w:tc>
          <w:tcPr>
            <w:tcW w:w="994"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3.0</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4.0</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5.8</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r>
      <w:tr w:rsidR="00F87646" w:rsidRPr="00BC0C9E" w:rsidTr="00BC5882">
        <w:tc>
          <w:tcPr>
            <w:tcW w:w="3803" w:type="dxa"/>
            <w:tcBorders>
              <w:top w:val="nil"/>
              <w:left w:val="nil"/>
              <w:bottom w:val="nil"/>
              <w:right w:val="nil"/>
            </w:tcBorders>
          </w:tcPr>
          <w:p w:rsidR="00F87646" w:rsidRPr="00BC0C9E" w:rsidRDefault="00F87646" w:rsidP="00BC5882">
            <w:pPr>
              <w:pStyle w:val="Tabletext"/>
              <w:rPr>
                <w:rFonts w:eastAsiaTheme="minorEastAsia"/>
                <w:color w:val="000000"/>
                <w:lang w:eastAsia="en-AU"/>
              </w:rPr>
            </w:pPr>
            <w:r w:rsidRPr="00BC0C9E">
              <w:rPr>
                <w:rFonts w:eastAsiaTheme="minorEastAsia"/>
                <w:color w:val="000000"/>
                <w:lang w:eastAsia="en-AU"/>
              </w:rPr>
              <w:t>Simonds Stadium</w:t>
            </w:r>
          </w:p>
        </w:tc>
        <w:tc>
          <w:tcPr>
            <w:tcW w:w="994"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 xml:space="preserve"> 5.0</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c>
          <w:tcPr>
            <w:tcW w:w="993" w:type="dxa"/>
            <w:tcBorders>
              <w:top w:val="nil"/>
              <w:left w:val="nil"/>
              <w:bottom w:val="nil"/>
              <w:right w:val="nil"/>
            </w:tcBorders>
          </w:tcPr>
          <w:p w:rsidR="00F87646" w:rsidRPr="00BC0C9E" w:rsidRDefault="00F87646" w:rsidP="00BC5882">
            <w:pPr>
              <w:pStyle w:val="TableofFigures"/>
              <w:rPr>
                <w:rFonts w:eastAsiaTheme="minorEastAsia"/>
                <w:color w:val="000000"/>
                <w:lang w:eastAsia="en-AU"/>
              </w:rPr>
            </w:pPr>
            <w:r w:rsidRPr="00BC0C9E">
              <w:rPr>
                <w:rFonts w:eastAsiaTheme="minorEastAsia"/>
                <w:color w:val="000000"/>
                <w:lang w:eastAsia="en-AU"/>
              </w:rPr>
              <w:t>..</w:t>
            </w:r>
          </w:p>
        </w:tc>
      </w:tr>
      <w:tr w:rsidR="00F87646" w:rsidRPr="00BC0C9E" w:rsidTr="00BC5882">
        <w:tc>
          <w:tcPr>
            <w:tcW w:w="3803" w:type="dxa"/>
            <w:tcBorders>
              <w:top w:val="single" w:sz="6" w:space="0" w:color="auto"/>
              <w:left w:val="nil"/>
              <w:bottom w:val="single" w:sz="12" w:space="0" w:color="auto"/>
              <w:right w:val="nil"/>
            </w:tcBorders>
          </w:tcPr>
          <w:p w:rsidR="00F87646" w:rsidRPr="00BC0C9E" w:rsidRDefault="00F87646" w:rsidP="00BC5882">
            <w:pPr>
              <w:pStyle w:val="Tabletext"/>
              <w:rPr>
                <w:rFonts w:eastAsiaTheme="minorEastAsia"/>
                <w:b/>
                <w:bCs/>
                <w:color w:val="000000"/>
                <w:lang w:eastAsia="en-AU"/>
              </w:rPr>
            </w:pPr>
            <w:r w:rsidRPr="00BC0C9E">
              <w:rPr>
                <w:rFonts w:eastAsiaTheme="minorEastAsia"/>
                <w:b/>
                <w:bCs/>
                <w:color w:val="000000"/>
                <w:lang w:eastAsia="en-AU"/>
              </w:rPr>
              <w:t>Total output initiatives</w:t>
            </w:r>
          </w:p>
        </w:tc>
        <w:tc>
          <w:tcPr>
            <w:tcW w:w="994"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color w:val="000000"/>
                <w:lang w:eastAsia="en-AU"/>
              </w:rPr>
            </w:pPr>
            <w:r w:rsidRPr="00BC0C9E">
              <w:rPr>
                <w:rFonts w:eastAsiaTheme="minorEastAsia"/>
                <w:b/>
                <w:bCs/>
                <w:color w:val="000000"/>
                <w:lang w:eastAsia="en-AU"/>
              </w:rPr>
              <w:t xml:space="preserve"> 10.5</w:t>
            </w:r>
          </w:p>
        </w:tc>
        <w:tc>
          <w:tcPr>
            <w:tcW w:w="993"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color w:val="000000"/>
                <w:lang w:eastAsia="en-AU"/>
              </w:rPr>
            </w:pPr>
            <w:r w:rsidRPr="00BC0C9E">
              <w:rPr>
                <w:rFonts w:eastAsiaTheme="minorEastAsia"/>
                <w:b/>
                <w:bCs/>
                <w:color w:val="000000"/>
                <w:lang w:eastAsia="en-AU"/>
              </w:rPr>
              <w:t xml:space="preserve"> 6.9</w:t>
            </w:r>
          </w:p>
        </w:tc>
        <w:tc>
          <w:tcPr>
            <w:tcW w:w="993"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color w:val="000000"/>
                <w:lang w:eastAsia="en-AU"/>
              </w:rPr>
            </w:pPr>
            <w:r w:rsidRPr="00BC0C9E">
              <w:rPr>
                <w:rFonts w:eastAsiaTheme="minorEastAsia"/>
                <w:b/>
                <w:bCs/>
                <w:color w:val="000000"/>
                <w:lang w:eastAsia="en-AU"/>
              </w:rPr>
              <w:t xml:space="preserve"> 8.1</w:t>
            </w:r>
          </w:p>
        </w:tc>
        <w:tc>
          <w:tcPr>
            <w:tcW w:w="993" w:type="dxa"/>
            <w:tcBorders>
              <w:top w:val="single" w:sz="6" w:space="0" w:color="auto"/>
              <w:left w:val="nil"/>
              <w:bottom w:val="single" w:sz="12" w:space="0" w:color="auto"/>
              <w:right w:val="nil"/>
            </w:tcBorders>
          </w:tcPr>
          <w:p w:rsidR="00F87646" w:rsidRPr="00BC0C9E" w:rsidRDefault="00F87646" w:rsidP="00BC5882">
            <w:pPr>
              <w:pStyle w:val="TableofFigures"/>
              <w:rPr>
                <w:rFonts w:eastAsiaTheme="minorEastAsia"/>
                <w:b/>
                <w:bCs/>
                <w:color w:val="000000"/>
                <w:lang w:eastAsia="en-AU"/>
              </w:rPr>
            </w:pPr>
            <w:r w:rsidRPr="00BC0C9E">
              <w:rPr>
                <w:rFonts w:eastAsiaTheme="minorEastAsia"/>
                <w:b/>
                <w:bCs/>
                <w:color w:val="000000"/>
                <w:lang w:eastAsia="en-AU"/>
              </w:rPr>
              <w:t xml:space="preserve"> 2.3</w:t>
            </w:r>
          </w:p>
        </w:tc>
      </w:tr>
    </w:tbl>
    <w:p w:rsidR="00F87646" w:rsidRPr="00BC0C9E" w:rsidRDefault="00F87646" w:rsidP="00E93438">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Default="00F87646">
      <w:pPr>
        <w:spacing w:after="0"/>
        <w:rPr>
          <w:rFonts w:ascii="Calibri" w:hAnsi="Calibri"/>
          <w:b/>
        </w:rPr>
      </w:pPr>
      <w:r>
        <w:br w:type="page"/>
      </w:r>
    </w:p>
    <w:p w:rsidR="00F87646" w:rsidRPr="00BC0C9E" w:rsidRDefault="00F87646" w:rsidP="00566BAF">
      <w:pPr>
        <w:pStyle w:val="Heading5"/>
      </w:pPr>
      <w:r w:rsidRPr="00BC0C9E">
        <w:lastRenderedPageBreak/>
        <w:t>Baw Baw Shire Council flood repair</w:t>
      </w:r>
    </w:p>
    <w:p w:rsidR="00F87646" w:rsidRPr="00BC0C9E" w:rsidRDefault="00F87646" w:rsidP="00566BAF">
      <w:r w:rsidRPr="00BC0C9E">
        <w:t xml:space="preserve">Funding is provided to Baw Baw Shire Council for essential public infrastructure including the North Canal Road and surrounding local road network, which has sustained significant flood damage. </w:t>
      </w:r>
    </w:p>
    <w:p w:rsidR="00F87646" w:rsidRPr="00BC0C9E" w:rsidRDefault="00F87646" w:rsidP="00566BAF">
      <w:r w:rsidRPr="00BC0C9E">
        <w:t>This initiative contributes to the Department of Transport, Planning and Local Infrastructure</w:t>
      </w:r>
      <w:r>
        <w:t>’</w:t>
      </w:r>
      <w:r w:rsidRPr="00BC0C9E">
        <w:t>s Road Network Improvements output.</w:t>
      </w:r>
    </w:p>
    <w:p w:rsidR="00F87646" w:rsidRPr="00BC0C9E" w:rsidRDefault="00F87646" w:rsidP="00882D47">
      <w:pPr>
        <w:pStyle w:val="Heading5"/>
      </w:pPr>
      <w:r w:rsidRPr="00BC0C9E">
        <w:t>On</w:t>
      </w:r>
      <w:r>
        <w:noBreakHyphen/>
      </w:r>
      <w:r w:rsidRPr="00BC0C9E">
        <w:t>the</w:t>
      </w:r>
      <w:r>
        <w:noBreakHyphen/>
      </w:r>
      <w:r w:rsidRPr="00BC0C9E">
        <w:t>spot penalty fares</w:t>
      </w:r>
    </w:p>
    <w:p w:rsidR="00F87646" w:rsidRPr="00BC0C9E" w:rsidRDefault="00F87646" w:rsidP="00882D47">
      <w:r w:rsidRPr="00BC0C9E">
        <w:t>Public transport passengers who travel without a valid ticket can now pay on</w:t>
      </w:r>
      <w:r>
        <w:noBreakHyphen/>
      </w:r>
      <w:r w:rsidRPr="00BC0C9E">
        <w:t>the</w:t>
      </w:r>
      <w:r>
        <w:noBreakHyphen/>
      </w:r>
      <w:r w:rsidRPr="00BC0C9E">
        <w:t>spot penalty fares, providing an efficient alternative to existing penalty payment arrangements with the aim of reducing fare evasion. This initiative provides funding for the initial set</w:t>
      </w:r>
      <w:r>
        <w:noBreakHyphen/>
      </w:r>
      <w:r w:rsidRPr="00BC0C9E">
        <w:t>up and operation of on</w:t>
      </w:r>
      <w:r>
        <w:noBreakHyphen/>
      </w:r>
      <w:r w:rsidRPr="00BC0C9E">
        <w:t>the</w:t>
      </w:r>
      <w:r>
        <w:noBreakHyphen/>
      </w:r>
      <w:r w:rsidRPr="00BC0C9E">
        <w:t>spot penalty fares.</w:t>
      </w:r>
    </w:p>
    <w:p w:rsidR="00F87646" w:rsidRPr="00BC0C9E" w:rsidRDefault="00F87646" w:rsidP="00232EA5">
      <w:pPr>
        <w:rPr>
          <w:rFonts w:ascii="Calibri" w:hAnsi="Calibri"/>
          <w:b/>
        </w:rPr>
      </w:pPr>
      <w:r w:rsidRPr="00BC0C9E">
        <w:t>This initiative contributes to the Department of Transport, Planning and Local Infrastructure</w:t>
      </w:r>
      <w:r>
        <w:t>’</w:t>
      </w:r>
      <w:r w:rsidRPr="00BC0C9E">
        <w:t>s Metropolitan Transport Services output.</w:t>
      </w:r>
    </w:p>
    <w:p w:rsidR="00F87646" w:rsidRPr="00BC0C9E" w:rsidRDefault="00F87646" w:rsidP="00882D47">
      <w:pPr>
        <w:pStyle w:val="Heading5"/>
      </w:pPr>
      <w:r w:rsidRPr="00BC0C9E">
        <w:t>Protective Services Officers – station facilities</w:t>
      </w:r>
    </w:p>
    <w:p w:rsidR="00F87646" w:rsidRPr="00BC0C9E" w:rsidRDefault="00F87646" w:rsidP="00882D47">
      <w:r w:rsidRPr="00BC0C9E">
        <w:t>Additional facilities will be constructed and maintained at 45 railway stations for PSOs across Victoria, supporting the additional PSOs that will be deployed to enable a permanent presence at metropolitan and major regional stations.</w:t>
      </w:r>
    </w:p>
    <w:p w:rsidR="00F87646" w:rsidRPr="00BC0C9E" w:rsidRDefault="00F87646" w:rsidP="00882D47">
      <w:r w:rsidRPr="00BC0C9E">
        <w:t>This initiative contributes to the Department of Transport, Planning and Local Infrastructure</w:t>
      </w:r>
      <w:r>
        <w:t>’</w:t>
      </w:r>
      <w:r w:rsidRPr="00BC0C9E">
        <w:t>s Public Transport Network Improvements and Maintenance output.</w:t>
      </w:r>
    </w:p>
    <w:p w:rsidR="00F87646" w:rsidRPr="00BC0C9E" w:rsidRDefault="00F87646" w:rsidP="00882D47">
      <w:pPr>
        <w:pStyle w:val="Heading5"/>
      </w:pPr>
      <w:r w:rsidRPr="00BC0C9E">
        <w:t>Rio Olympic and Paralympic Games</w:t>
      </w:r>
    </w:p>
    <w:p w:rsidR="00F87646" w:rsidRPr="00BC0C9E" w:rsidRDefault="00F87646" w:rsidP="00B548E2">
      <w:r w:rsidRPr="00BC0C9E">
        <w:t>Funding will be provided to support the preparation and travel of the Victorian members of the Australian Olympic and Paralympic team attending the 2016 Rio Olympic Games.</w:t>
      </w:r>
    </w:p>
    <w:p w:rsidR="00F87646" w:rsidRPr="00BC0C9E" w:rsidRDefault="00F87646" w:rsidP="00B548E2">
      <w:r w:rsidRPr="00BC0C9E">
        <w:t>This initiative contributes to the Department of Transport, Planning and Local Infrastructure</w:t>
      </w:r>
      <w:r>
        <w:t>’</w:t>
      </w:r>
      <w:r w:rsidRPr="00BC0C9E">
        <w:t>s Sport and Recreation output.</w:t>
      </w:r>
    </w:p>
    <w:p w:rsidR="00F87646" w:rsidRPr="00BC0C9E" w:rsidRDefault="00F87646" w:rsidP="00882D47">
      <w:pPr>
        <w:pStyle w:val="Heading5"/>
      </w:pPr>
      <w:r w:rsidRPr="00BC0C9E">
        <w:t>Shooting Sports Grants Program</w:t>
      </w:r>
    </w:p>
    <w:p w:rsidR="00F87646" w:rsidRPr="00BC0C9E" w:rsidRDefault="00F87646" w:rsidP="00882D47">
      <w:r w:rsidRPr="00BC0C9E">
        <w:t xml:space="preserve">A grants program will be established to assist shooting clubs to purchase additional land or invest in capital infrastructure to build event </w:t>
      </w:r>
      <w:r>
        <w:t>capacity</w:t>
      </w:r>
      <w:r w:rsidRPr="00BC0C9E">
        <w:t>.</w:t>
      </w:r>
    </w:p>
    <w:p w:rsidR="00F87646" w:rsidRPr="00BC0C9E" w:rsidRDefault="00F87646" w:rsidP="00882D47">
      <w:r w:rsidRPr="00BC0C9E">
        <w:t>This initiative contributes to the Department of Transport, Planning and Local Infrastructure</w:t>
      </w:r>
      <w:r>
        <w:t>’</w:t>
      </w:r>
      <w:r w:rsidRPr="00BC0C9E">
        <w:t>s Sport and Recreation output.</w:t>
      </w:r>
    </w:p>
    <w:p w:rsidR="00F87646" w:rsidRPr="00BC0C9E" w:rsidRDefault="00F87646" w:rsidP="00882D47">
      <w:pPr>
        <w:pStyle w:val="Heading5"/>
      </w:pPr>
      <w:r w:rsidRPr="00BC0C9E">
        <w:t>Simonds Stadium</w:t>
      </w:r>
    </w:p>
    <w:p w:rsidR="00F87646" w:rsidRPr="00BC0C9E" w:rsidRDefault="00F87646" w:rsidP="00882D47">
      <w:r w:rsidRPr="00BC0C9E">
        <w:t>Funding will be provided for the next stage of the Simonds Stadium redevelopment in Geelong, including the development of a full business case and detailed design work.</w:t>
      </w:r>
    </w:p>
    <w:p w:rsidR="00F87646" w:rsidRPr="00BC0C9E" w:rsidRDefault="00F87646" w:rsidP="00882D47">
      <w:r w:rsidRPr="00BC0C9E">
        <w:t>This initiative contributes to the Department of Transport, Planning and Local Infrastructure</w:t>
      </w:r>
      <w:r>
        <w:t>’</w:t>
      </w:r>
      <w:r w:rsidRPr="00BC0C9E">
        <w:t>s Sport and Recreation output.</w:t>
      </w:r>
    </w:p>
    <w:p w:rsidR="00F87646" w:rsidRPr="00BC0C9E" w:rsidRDefault="00F87646">
      <w:pPr>
        <w:spacing w:after="0"/>
        <w:rPr>
          <w:rFonts w:ascii="Calibri" w:hAnsi="Calibri"/>
          <w:b/>
          <w:i/>
          <w:kern w:val="28"/>
          <w:sz w:val="24"/>
          <w:szCs w:val="22"/>
        </w:rPr>
      </w:pPr>
      <w:r w:rsidRPr="00BC0C9E">
        <w:br w:type="page"/>
      </w:r>
    </w:p>
    <w:p w:rsidR="00F87646" w:rsidRPr="00BC0C9E" w:rsidRDefault="00F87646" w:rsidP="00882D47">
      <w:pPr>
        <w:pStyle w:val="Heading3"/>
      </w:pPr>
      <w:r w:rsidRPr="00BC0C9E">
        <w:lastRenderedPageBreak/>
        <w:t>Asset initiatives</w:t>
      </w:r>
    </w:p>
    <w:p w:rsidR="00F87646" w:rsidRPr="00BC0C9E" w:rsidRDefault="00F87646" w:rsidP="00882D47">
      <w:pPr>
        <w:pStyle w:val="Tableheading"/>
      </w:pPr>
      <w:r w:rsidRPr="00BC0C9E">
        <w:t>Table A.16:</w:t>
      </w:r>
      <w:r w:rsidRPr="00BC0C9E">
        <w:tab/>
        <w:t>Asset initiatives – Transport, Planning and Local Infrastructure</w:t>
      </w:r>
    </w:p>
    <w:p w:rsidR="00F87646" w:rsidRPr="009D4F44" w:rsidRDefault="00F87646" w:rsidP="009D4F44">
      <w:pPr>
        <w:pStyle w:val="million"/>
        <w:tabs>
          <w:tab w:val="center" w:pos="3851"/>
          <w:tab w:val="left" w:pos="4729"/>
        </w:tabs>
      </w:pPr>
      <w:r w:rsidRPr="00BC0C9E">
        <w:t>($</w:t>
      </w:r>
      <w:r>
        <w:t> million</w:t>
      </w:r>
      <w:r w:rsidRPr="00BC0C9E">
        <w:t>)</w:t>
      </w:r>
    </w:p>
    <w:tbl>
      <w:tblPr>
        <w:tblW w:w="7776" w:type="dxa"/>
        <w:tblInd w:w="29" w:type="dxa"/>
        <w:tblLayout w:type="fixed"/>
        <w:tblCellMar>
          <w:left w:w="43" w:type="dxa"/>
          <w:right w:w="43" w:type="dxa"/>
        </w:tblCellMar>
        <w:tblLook w:val="0000" w:firstRow="0" w:lastRow="0" w:firstColumn="0" w:lastColumn="0" w:noHBand="0" w:noVBand="0"/>
      </w:tblPr>
      <w:tblGrid>
        <w:gridCol w:w="3416"/>
        <w:gridCol w:w="872"/>
        <w:gridCol w:w="872"/>
        <w:gridCol w:w="872"/>
        <w:gridCol w:w="872"/>
        <w:gridCol w:w="872"/>
      </w:tblGrid>
      <w:tr w:rsidR="00F87646" w:rsidRPr="009D4F44" w:rsidTr="009D4F44">
        <w:tc>
          <w:tcPr>
            <w:tcW w:w="3416" w:type="dxa"/>
            <w:tcBorders>
              <w:top w:val="single" w:sz="6" w:space="0" w:color="auto"/>
              <w:left w:val="single" w:sz="4" w:space="0" w:color="auto"/>
              <w:bottom w:val="single" w:sz="4" w:space="0" w:color="auto"/>
              <w:right w:val="nil"/>
            </w:tcBorders>
            <w:shd w:val="clear" w:color="auto" w:fill="000000"/>
          </w:tcPr>
          <w:p w:rsidR="00F87646" w:rsidRPr="009D4F44" w:rsidRDefault="00F87646" w:rsidP="009D4F44">
            <w:pPr>
              <w:pStyle w:val="Tabletext"/>
              <w:rPr>
                <w:rFonts w:eastAsiaTheme="minorEastAsia"/>
                <w:lang w:eastAsia="en-AU"/>
              </w:rPr>
            </w:pPr>
          </w:p>
        </w:tc>
        <w:tc>
          <w:tcPr>
            <w:tcW w:w="872" w:type="dxa"/>
            <w:tcBorders>
              <w:top w:val="single" w:sz="6" w:space="0" w:color="auto"/>
              <w:left w:val="nil"/>
              <w:bottom w:val="single" w:sz="4" w:space="0" w:color="auto"/>
              <w:right w:val="nil"/>
            </w:tcBorders>
            <w:shd w:val="clear" w:color="auto" w:fill="000000"/>
          </w:tcPr>
          <w:p w:rsidR="00F87646" w:rsidRPr="009D4F44" w:rsidRDefault="00F87646" w:rsidP="009D4F44">
            <w:pPr>
              <w:pStyle w:val="Tabletextheading"/>
              <w:rPr>
                <w:rFonts w:eastAsiaTheme="minorEastAsia"/>
                <w:lang w:eastAsia="en-AU"/>
              </w:rPr>
            </w:pPr>
            <w:r w:rsidRPr="009D4F44">
              <w:rPr>
                <w:rFonts w:eastAsiaTheme="minorEastAsia"/>
                <w:lang w:eastAsia="en-AU"/>
              </w:rPr>
              <w:t>2014-15</w:t>
            </w:r>
          </w:p>
        </w:tc>
        <w:tc>
          <w:tcPr>
            <w:tcW w:w="872" w:type="dxa"/>
            <w:tcBorders>
              <w:top w:val="single" w:sz="6" w:space="0" w:color="auto"/>
              <w:left w:val="nil"/>
              <w:bottom w:val="single" w:sz="4" w:space="0" w:color="auto"/>
              <w:right w:val="nil"/>
            </w:tcBorders>
            <w:shd w:val="clear" w:color="auto" w:fill="000000"/>
          </w:tcPr>
          <w:p w:rsidR="00F87646" w:rsidRPr="009D4F44" w:rsidRDefault="00F87646" w:rsidP="009D4F44">
            <w:pPr>
              <w:pStyle w:val="Tabletextheading"/>
              <w:rPr>
                <w:rFonts w:eastAsiaTheme="minorEastAsia"/>
                <w:lang w:eastAsia="en-AU"/>
              </w:rPr>
            </w:pPr>
            <w:r w:rsidRPr="009D4F44">
              <w:rPr>
                <w:rFonts w:eastAsiaTheme="minorEastAsia"/>
                <w:lang w:eastAsia="en-AU"/>
              </w:rPr>
              <w:t>2015-16</w:t>
            </w:r>
          </w:p>
        </w:tc>
        <w:tc>
          <w:tcPr>
            <w:tcW w:w="872" w:type="dxa"/>
            <w:tcBorders>
              <w:top w:val="single" w:sz="6" w:space="0" w:color="auto"/>
              <w:left w:val="nil"/>
              <w:bottom w:val="single" w:sz="4" w:space="0" w:color="auto"/>
              <w:right w:val="nil"/>
            </w:tcBorders>
            <w:shd w:val="clear" w:color="auto" w:fill="000000"/>
          </w:tcPr>
          <w:p w:rsidR="00F87646" w:rsidRPr="009D4F44" w:rsidRDefault="00F87646" w:rsidP="009D4F44">
            <w:pPr>
              <w:pStyle w:val="Tabletextheading"/>
              <w:rPr>
                <w:rFonts w:eastAsiaTheme="minorEastAsia"/>
                <w:lang w:eastAsia="en-AU"/>
              </w:rPr>
            </w:pPr>
            <w:r w:rsidRPr="009D4F44">
              <w:rPr>
                <w:rFonts w:eastAsiaTheme="minorEastAsia"/>
                <w:lang w:eastAsia="en-AU"/>
              </w:rPr>
              <w:t>2016-17</w:t>
            </w:r>
          </w:p>
        </w:tc>
        <w:tc>
          <w:tcPr>
            <w:tcW w:w="872" w:type="dxa"/>
            <w:tcBorders>
              <w:top w:val="single" w:sz="6" w:space="0" w:color="auto"/>
              <w:left w:val="nil"/>
              <w:bottom w:val="single" w:sz="4" w:space="0" w:color="auto"/>
              <w:right w:val="nil"/>
            </w:tcBorders>
            <w:shd w:val="clear" w:color="auto" w:fill="000000"/>
          </w:tcPr>
          <w:p w:rsidR="00F87646" w:rsidRPr="009D4F44" w:rsidRDefault="00F87646" w:rsidP="009D4F44">
            <w:pPr>
              <w:pStyle w:val="Tabletextheading"/>
              <w:rPr>
                <w:rFonts w:eastAsiaTheme="minorEastAsia"/>
                <w:lang w:eastAsia="en-AU"/>
              </w:rPr>
            </w:pPr>
            <w:r w:rsidRPr="009D4F44">
              <w:rPr>
                <w:rFonts w:eastAsiaTheme="minorEastAsia"/>
                <w:lang w:eastAsia="en-AU"/>
              </w:rPr>
              <w:t>2017-18</w:t>
            </w:r>
          </w:p>
        </w:tc>
        <w:tc>
          <w:tcPr>
            <w:tcW w:w="872" w:type="dxa"/>
            <w:tcBorders>
              <w:top w:val="single" w:sz="6" w:space="0" w:color="auto"/>
              <w:left w:val="nil"/>
              <w:bottom w:val="single" w:sz="4" w:space="0" w:color="auto"/>
              <w:right w:val="single" w:sz="4" w:space="0" w:color="auto"/>
            </w:tcBorders>
            <w:shd w:val="clear" w:color="auto" w:fill="000000"/>
          </w:tcPr>
          <w:p w:rsidR="00F87646" w:rsidRPr="009D4F44" w:rsidRDefault="00F87646" w:rsidP="009D4F44">
            <w:pPr>
              <w:pStyle w:val="Tabletextheading"/>
              <w:rPr>
                <w:rFonts w:eastAsiaTheme="minorEastAsia"/>
                <w:lang w:eastAsia="en-AU"/>
              </w:rPr>
            </w:pPr>
            <w:r w:rsidRPr="009D4F44">
              <w:rPr>
                <w:rFonts w:eastAsiaTheme="minorEastAsia"/>
                <w:lang w:eastAsia="en-AU"/>
              </w:rPr>
              <w:t>TEI</w:t>
            </w:r>
          </w:p>
        </w:tc>
      </w:tr>
      <w:tr w:rsidR="00F87646" w:rsidRPr="009D4F44" w:rsidTr="009D4F44">
        <w:tc>
          <w:tcPr>
            <w:tcW w:w="3416" w:type="dxa"/>
            <w:tcBorders>
              <w:top w:val="single" w:sz="4" w:space="0" w:color="auto"/>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Bellbrae tourism precinct infrastructure</w:t>
            </w:r>
          </w:p>
        </w:tc>
        <w:tc>
          <w:tcPr>
            <w:tcW w:w="872" w:type="dxa"/>
            <w:tcBorders>
              <w:top w:val="single" w:sz="4" w:space="0" w:color="auto"/>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1.0</w:t>
            </w:r>
          </w:p>
        </w:tc>
        <w:tc>
          <w:tcPr>
            <w:tcW w:w="872" w:type="dxa"/>
            <w:tcBorders>
              <w:top w:val="single" w:sz="4" w:space="0" w:color="auto"/>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1.5</w:t>
            </w:r>
          </w:p>
        </w:tc>
        <w:tc>
          <w:tcPr>
            <w:tcW w:w="872" w:type="dxa"/>
            <w:tcBorders>
              <w:top w:val="single" w:sz="4" w:space="0" w:color="auto"/>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single" w:sz="4" w:space="0" w:color="auto"/>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single" w:sz="4" w:space="0" w:color="auto"/>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2.5</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Bittern pedestrian crossing</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0.2</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0.2</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Canterbury Road and Armstrong Road, Heathmont intersection upgrade</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0.1</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3.4</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3.5</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Cardinia Road upgrade</w:t>
            </w:r>
            <w:r w:rsidRPr="009D4F44">
              <w:rPr>
                <w:rFonts w:eastAsiaTheme="minorEastAsia"/>
                <w:vertAlign w:val="superscript"/>
                <w:lang w:eastAsia="en-AU"/>
              </w:rPr>
              <w:t>(a)</w:t>
            </w:r>
            <w:r w:rsidRPr="009D4F44">
              <w:rPr>
                <w:rFonts w:eastAsiaTheme="minorEastAsia"/>
                <w:lang w:eastAsia="en-AU"/>
              </w:rPr>
              <w:t xml:space="preserve"> – stage 2</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9.4</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9.4</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Echuca-Moama Bridge</w:t>
            </w:r>
            <w:r w:rsidRPr="009D4F44">
              <w:rPr>
                <w:rFonts w:eastAsiaTheme="minorEastAsia"/>
                <w:vertAlign w:val="superscript"/>
                <w:lang w:eastAsia="en-AU"/>
              </w:rPr>
              <w:t>(b)</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0.5</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4.5</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20.7</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32.2</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96.0</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cs="Calibri"/>
                <w:color w:val="000000"/>
                <w:lang w:eastAsia="en-AU"/>
              </w:rPr>
            </w:pPr>
            <w:r w:rsidRPr="009D4F44">
              <w:rPr>
                <w:rFonts w:eastAsiaTheme="minorEastAsia"/>
                <w:lang w:eastAsia="en-AU"/>
              </w:rPr>
              <w:t xml:space="preserve">Fixing congestion on </w:t>
            </w:r>
            <w:r w:rsidRPr="009D4F44">
              <w:rPr>
                <w:rFonts w:eastAsiaTheme="minorEastAsia" w:cs="Calibri"/>
                <w:color w:val="000000"/>
                <w:lang w:eastAsia="en-AU"/>
              </w:rPr>
              <w:t>Punt Road</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0.5</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0.5</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On-the-spot penalty fares</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1.2</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1.2</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Pedestrian crossing upgrade</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1.5</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0.3</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1.7</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Pedestrian underpass at Great Ocean Road, Fairhaven</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3.5</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cs="Calibri"/>
                <w:color w:val="000000"/>
                <w:lang w:eastAsia="en-AU"/>
              </w:rPr>
            </w:pPr>
            <w:r w:rsidRPr="009D4F44">
              <w:rPr>
                <w:rFonts w:eastAsiaTheme="minorEastAsia"/>
                <w:lang w:eastAsia="en-AU"/>
              </w:rPr>
              <w:t>.</w:t>
            </w:r>
            <w:r w:rsidRPr="009D4F44">
              <w:rPr>
                <w:rFonts w:eastAsiaTheme="minorEastAsia" w:cs="Calibri"/>
                <w:color w:val="000000"/>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3.5</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cs="Calibri"/>
                <w:color w:val="000000"/>
                <w:vertAlign w:val="superscript"/>
                <w:lang w:eastAsia="en-AU"/>
              </w:rPr>
            </w:pPr>
            <w:r w:rsidRPr="009D4F44">
              <w:rPr>
                <w:rFonts w:eastAsiaTheme="minorEastAsia"/>
                <w:lang w:eastAsia="en-AU"/>
              </w:rPr>
              <w:t xml:space="preserve">Princes Highway East duplication – Traralgon </w:t>
            </w:r>
            <w:r w:rsidRPr="009D4F44">
              <w:rPr>
                <w:rFonts w:eastAsiaTheme="minorEastAsia" w:cs="Calibri"/>
                <w:color w:val="000000"/>
                <w:lang w:eastAsia="en-AU"/>
              </w:rPr>
              <w:t>to Sale</w:t>
            </w:r>
            <w:r w:rsidRPr="009D4F44">
              <w:rPr>
                <w:rFonts w:eastAsiaTheme="minorEastAsia" w:cs="Calibri"/>
                <w:color w:val="000000"/>
                <w:vertAlign w:val="superscript"/>
                <w:lang w:eastAsia="en-AU"/>
              </w:rPr>
              <w:t>(c)</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85.0</w:t>
            </w:r>
          </w:p>
        </w:tc>
        <w:tc>
          <w:tcPr>
            <w:tcW w:w="872" w:type="dxa"/>
            <w:tcBorders>
              <w:top w:val="nil"/>
              <w:left w:val="nil"/>
              <w:bottom w:val="nil"/>
              <w:right w:val="nil"/>
            </w:tcBorders>
          </w:tcPr>
          <w:p w:rsidR="00F87646" w:rsidRPr="009D4F44" w:rsidRDefault="00F87646" w:rsidP="009D4F44">
            <w:pPr>
              <w:pStyle w:val="TableofFigures"/>
              <w:rPr>
                <w:rFonts w:eastAsiaTheme="minorEastAsia" w:cs="Calibri"/>
                <w:color w:val="000000"/>
                <w:lang w:eastAsia="en-AU"/>
              </w:rPr>
            </w:pPr>
            <w:r w:rsidRPr="009D4F44">
              <w:rPr>
                <w:rFonts w:eastAsiaTheme="minorEastAsia"/>
                <w:lang w:eastAsia="en-AU"/>
              </w:rPr>
              <w:t>.</w:t>
            </w:r>
            <w:r w:rsidRPr="009D4F44">
              <w:rPr>
                <w:rFonts w:eastAsiaTheme="minorEastAsia" w:cs="Calibri"/>
                <w:color w:val="000000"/>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85.0</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cs="Calibri"/>
                <w:color w:val="000000"/>
                <w:lang w:eastAsia="en-AU"/>
              </w:rPr>
            </w:pPr>
            <w:r w:rsidRPr="009D4F44">
              <w:rPr>
                <w:rFonts w:eastAsiaTheme="minorEastAsia"/>
                <w:lang w:eastAsia="en-AU"/>
              </w:rPr>
              <w:t>Protective Services Officers –</w:t>
            </w:r>
            <w:r w:rsidRPr="009D4F44">
              <w:rPr>
                <w:rFonts w:eastAsiaTheme="minorEastAsia"/>
                <w:vertAlign w:val="superscript"/>
                <w:lang w:eastAsia="en-AU"/>
              </w:rPr>
              <w:t xml:space="preserve"> </w:t>
            </w:r>
            <w:r w:rsidRPr="009D4F44">
              <w:rPr>
                <w:rFonts w:eastAsiaTheme="minorEastAsia"/>
                <w:lang w:eastAsia="en-AU"/>
              </w:rPr>
              <w:t>station facilities</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11.0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5.0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16.0</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lang w:eastAsia="en-AU"/>
              </w:rPr>
            </w:pPr>
            <w:r w:rsidRPr="009D4F44">
              <w:rPr>
                <w:rFonts w:eastAsiaTheme="minorEastAsia"/>
                <w:lang w:eastAsia="en-AU"/>
              </w:rPr>
              <w:t>Safer access to schools</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0.6</w:t>
            </w:r>
          </w:p>
        </w:tc>
        <w:tc>
          <w:tcPr>
            <w:tcW w:w="872" w:type="dxa"/>
            <w:tcBorders>
              <w:top w:val="nil"/>
              <w:left w:val="nil"/>
              <w:bottom w:val="nil"/>
              <w:right w:val="nil"/>
            </w:tcBorders>
          </w:tcPr>
          <w:p w:rsidR="00F87646" w:rsidRPr="009D4F44" w:rsidRDefault="00F87646" w:rsidP="009D4F44">
            <w:pPr>
              <w:pStyle w:val="TableofFigures"/>
              <w:rPr>
                <w:rFonts w:eastAsiaTheme="minorEastAsia" w:cs="Calibri"/>
                <w:color w:val="000000"/>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cs="Calibri"/>
                <w:color w:val="000000"/>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cs="Calibri"/>
                <w:color w:val="000000"/>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0.6</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vertAlign w:val="superscript"/>
                <w:lang w:eastAsia="en-AU"/>
              </w:rPr>
            </w:pPr>
            <w:r w:rsidRPr="009D4F44">
              <w:rPr>
                <w:rFonts w:eastAsiaTheme="minorEastAsia"/>
                <w:lang w:eastAsia="en-AU"/>
              </w:rPr>
              <w:t>Tullamarine Freeway widening – Melrose Drive to the Airport</w:t>
            </w:r>
            <w:r w:rsidRPr="009D4F44">
              <w:rPr>
                <w:rFonts w:eastAsiaTheme="minorEastAsia"/>
                <w:vertAlign w:val="superscript"/>
                <w:lang w:eastAsia="en-AU"/>
              </w:rPr>
              <w:t>(d)</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20.0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90.0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103.0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250.0</w:t>
            </w:r>
          </w:p>
        </w:tc>
      </w:tr>
      <w:tr w:rsidR="00F87646" w:rsidRPr="009D4F44" w:rsidTr="009D4F44">
        <w:tc>
          <w:tcPr>
            <w:tcW w:w="3416" w:type="dxa"/>
            <w:tcBorders>
              <w:top w:val="nil"/>
              <w:left w:val="nil"/>
              <w:bottom w:val="nil"/>
              <w:right w:val="nil"/>
            </w:tcBorders>
          </w:tcPr>
          <w:p w:rsidR="00F87646" w:rsidRPr="009D4F44" w:rsidRDefault="00F87646" w:rsidP="009D4F44">
            <w:pPr>
              <w:pStyle w:val="Tabletext"/>
              <w:rPr>
                <w:rFonts w:eastAsiaTheme="minorEastAsia"/>
                <w:vertAlign w:val="superscript"/>
                <w:lang w:eastAsia="en-AU"/>
              </w:rPr>
            </w:pPr>
            <w:r w:rsidRPr="009D4F44">
              <w:rPr>
                <w:rFonts w:eastAsiaTheme="minorEastAsia"/>
                <w:lang w:eastAsia="en-AU"/>
              </w:rPr>
              <w:t>Western Highway duplication – Buangor to Ararat</w:t>
            </w:r>
            <w:r w:rsidRPr="009D4F44">
              <w:rPr>
                <w:rFonts w:eastAsiaTheme="minorEastAsia"/>
                <w:vertAlign w:val="superscript"/>
                <w:lang w:eastAsia="en-AU"/>
              </w:rPr>
              <w:t>(e)</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15.0</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77.7</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64.5</w:t>
            </w:r>
          </w:p>
        </w:tc>
        <w:tc>
          <w:tcPr>
            <w:tcW w:w="872" w:type="dxa"/>
            <w:tcBorders>
              <w:top w:val="nil"/>
              <w:left w:val="nil"/>
              <w:bottom w:val="nil"/>
              <w:right w:val="nil"/>
            </w:tcBorders>
          </w:tcPr>
          <w:p w:rsidR="00F87646" w:rsidRPr="009D4F44" w:rsidRDefault="00F87646" w:rsidP="009D4F44">
            <w:pPr>
              <w:pStyle w:val="TableofFigures"/>
              <w:rPr>
                <w:rFonts w:eastAsiaTheme="minorEastAsia"/>
                <w:lang w:eastAsia="en-AU"/>
              </w:rPr>
            </w:pPr>
            <w:r w:rsidRPr="009D4F44">
              <w:rPr>
                <w:rFonts w:eastAsiaTheme="minorEastAsia"/>
                <w:lang w:eastAsia="en-AU"/>
              </w:rPr>
              <w:t xml:space="preserve"> 157.3</w:t>
            </w:r>
          </w:p>
        </w:tc>
      </w:tr>
      <w:tr w:rsidR="00F87646" w:rsidRPr="009D4F44" w:rsidTr="009D4F44">
        <w:tc>
          <w:tcPr>
            <w:tcW w:w="3416" w:type="dxa"/>
            <w:tcBorders>
              <w:top w:val="single" w:sz="6" w:space="0" w:color="auto"/>
              <w:left w:val="nil"/>
              <w:bottom w:val="single" w:sz="12" w:space="0" w:color="auto"/>
              <w:right w:val="nil"/>
            </w:tcBorders>
          </w:tcPr>
          <w:p w:rsidR="00F87646" w:rsidRPr="009D4F44" w:rsidRDefault="00F87646" w:rsidP="009D4F44">
            <w:pPr>
              <w:pStyle w:val="Tabletext"/>
              <w:rPr>
                <w:rFonts w:eastAsiaTheme="minorEastAsia"/>
                <w:b/>
                <w:bCs/>
                <w:lang w:eastAsia="en-AU"/>
              </w:rPr>
            </w:pPr>
            <w:r w:rsidRPr="009D4F44">
              <w:rPr>
                <w:rFonts w:eastAsiaTheme="minorEastAsia"/>
                <w:b/>
                <w:bCs/>
                <w:lang w:eastAsia="en-AU"/>
              </w:rPr>
              <w:t>Total asset initiatives</w:t>
            </w:r>
          </w:p>
        </w:tc>
        <w:tc>
          <w:tcPr>
            <w:tcW w:w="872" w:type="dxa"/>
            <w:tcBorders>
              <w:top w:val="single" w:sz="6" w:space="0" w:color="auto"/>
              <w:left w:val="nil"/>
              <w:bottom w:val="single" w:sz="12" w:space="0" w:color="auto"/>
              <w:right w:val="nil"/>
            </w:tcBorders>
          </w:tcPr>
          <w:p w:rsidR="00F87646" w:rsidRPr="009D4F44" w:rsidRDefault="00F87646" w:rsidP="009D4F44">
            <w:pPr>
              <w:pStyle w:val="TableofFigures"/>
              <w:rPr>
                <w:rFonts w:eastAsiaTheme="minorEastAsia"/>
                <w:b/>
                <w:bCs/>
                <w:lang w:eastAsia="en-AU"/>
              </w:rPr>
            </w:pPr>
            <w:r w:rsidRPr="009D4F44">
              <w:rPr>
                <w:rFonts w:eastAsiaTheme="minorEastAsia"/>
                <w:b/>
                <w:bCs/>
                <w:lang w:eastAsia="en-AU"/>
              </w:rPr>
              <w:t xml:space="preserve"> 19.9</w:t>
            </w:r>
          </w:p>
        </w:tc>
        <w:tc>
          <w:tcPr>
            <w:tcW w:w="872" w:type="dxa"/>
            <w:tcBorders>
              <w:top w:val="single" w:sz="6" w:space="0" w:color="auto"/>
              <w:left w:val="nil"/>
              <w:bottom w:val="single" w:sz="12" w:space="0" w:color="auto"/>
              <w:right w:val="nil"/>
            </w:tcBorders>
          </w:tcPr>
          <w:p w:rsidR="00F87646" w:rsidRPr="009D4F44" w:rsidRDefault="00F87646" w:rsidP="009D4F44">
            <w:pPr>
              <w:pStyle w:val="TableofFigures"/>
              <w:rPr>
                <w:rFonts w:eastAsiaTheme="minorEastAsia"/>
                <w:b/>
                <w:bCs/>
                <w:lang w:eastAsia="en-AU"/>
              </w:rPr>
            </w:pPr>
            <w:r w:rsidRPr="009D4F44">
              <w:rPr>
                <w:rFonts w:eastAsiaTheme="minorEastAsia"/>
                <w:b/>
                <w:bCs/>
                <w:lang w:eastAsia="en-AU"/>
              </w:rPr>
              <w:t xml:space="preserve"> 59.2</w:t>
            </w:r>
          </w:p>
        </w:tc>
        <w:tc>
          <w:tcPr>
            <w:tcW w:w="872" w:type="dxa"/>
            <w:tcBorders>
              <w:top w:val="single" w:sz="6" w:space="0" w:color="auto"/>
              <w:left w:val="nil"/>
              <w:bottom w:val="single" w:sz="12" w:space="0" w:color="auto"/>
              <w:right w:val="nil"/>
            </w:tcBorders>
          </w:tcPr>
          <w:p w:rsidR="00F87646" w:rsidRPr="009D4F44" w:rsidRDefault="00F87646" w:rsidP="009D4F44">
            <w:pPr>
              <w:pStyle w:val="TableofFigures"/>
              <w:rPr>
                <w:rFonts w:eastAsiaTheme="minorEastAsia"/>
                <w:b/>
                <w:bCs/>
                <w:lang w:eastAsia="en-AU"/>
              </w:rPr>
            </w:pPr>
            <w:r w:rsidRPr="009D4F44">
              <w:rPr>
                <w:rFonts w:eastAsiaTheme="minorEastAsia"/>
                <w:b/>
                <w:bCs/>
                <w:lang w:eastAsia="en-AU"/>
              </w:rPr>
              <w:t xml:space="preserve"> 273.4</w:t>
            </w:r>
          </w:p>
        </w:tc>
        <w:tc>
          <w:tcPr>
            <w:tcW w:w="872" w:type="dxa"/>
            <w:tcBorders>
              <w:top w:val="single" w:sz="6" w:space="0" w:color="auto"/>
              <w:left w:val="nil"/>
              <w:bottom w:val="single" w:sz="12" w:space="0" w:color="auto"/>
              <w:right w:val="nil"/>
            </w:tcBorders>
          </w:tcPr>
          <w:p w:rsidR="00F87646" w:rsidRPr="009D4F44" w:rsidRDefault="00F87646" w:rsidP="009D4F44">
            <w:pPr>
              <w:pStyle w:val="TableofFigures"/>
              <w:rPr>
                <w:rFonts w:eastAsiaTheme="minorEastAsia"/>
                <w:b/>
                <w:bCs/>
                <w:lang w:eastAsia="en-AU"/>
              </w:rPr>
            </w:pPr>
            <w:r w:rsidRPr="009D4F44">
              <w:rPr>
                <w:rFonts w:eastAsiaTheme="minorEastAsia"/>
                <w:b/>
                <w:bCs/>
                <w:lang w:eastAsia="en-AU"/>
              </w:rPr>
              <w:t xml:space="preserve"> 199.7</w:t>
            </w:r>
          </w:p>
        </w:tc>
        <w:tc>
          <w:tcPr>
            <w:tcW w:w="872" w:type="dxa"/>
            <w:tcBorders>
              <w:top w:val="single" w:sz="6" w:space="0" w:color="auto"/>
              <w:left w:val="nil"/>
              <w:bottom w:val="single" w:sz="12" w:space="0" w:color="auto"/>
              <w:right w:val="nil"/>
            </w:tcBorders>
          </w:tcPr>
          <w:p w:rsidR="00F87646" w:rsidRPr="009D4F44" w:rsidRDefault="00F87646" w:rsidP="009D4F44">
            <w:pPr>
              <w:pStyle w:val="TableofFigures"/>
              <w:rPr>
                <w:rFonts w:eastAsiaTheme="minorEastAsia"/>
                <w:b/>
                <w:bCs/>
                <w:lang w:eastAsia="en-AU"/>
              </w:rPr>
            </w:pPr>
            <w:r w:rsidRPr="009D4F44">
              <w:rPr>
                <w:rFonts w:eastAsiaTheme="minorEastAsia"/>
                <w:b/>
                <w:bCs/>
                <w:lang w:eastAsia="en-AU"/>
              </w:rPr>
              <w:t xml:space="preserve"> 627.4</w:t>
            </w:r>
          </w:p>
        </w:tc>
      </w:tr>
    </w:tbl>
    <w:p w:rsidR="00F87646" w:rsidRPr="00BC0C9E" w:rsidRDefault="00F87646" w:rsidP="00E51FA4">
      <w:pPr>
        <w:pStyle w:val="Source"/>
        <w:rPr>
          <w:rStyle w:val="PageNumber"/>
          <w:sz w:val="15"/>
        </w:rPr>
      </w:pPr>
      <w:r w:rsidRPr="00BC0C9E">
        <w:rPr>
          <w:rStyle w:val="PageNumber"/>
          <w:sz w:val="15"/>
        </w:rPr>
        <w:t>Source: Department of Treasury and Finance</w:t>
      </w:r>
    </w:p>
    <w:p w:rsidR="00F87646" w:rsidRPr="00BC0C9E" w:rsidRDefault="00F87646" w:rsidP="0046020A">
      <w:pPr>
        <w:pStyle w:val="Notes"/>
      </w:pPr>
      <w:r w:rsidRPr="00BC0C9E">
        <w:t>Notes:</w:t>
      </w:r>
    </w:p>
    <w:p w:rsidR="00F87646" w:rsidRPr="00BC0C9E" w:rsidRDefault="00F87646" w:rsidP="0075535F">
      <w:pPr>
        <w:pStyle w:val="Notes"/>
      </w:pPr>
      <w:r w:rsidRPr="00BC0C9E">
        <w:t>(a)</w:t>
      </w:r>
      <w:r w:rsidRPr="00BC0C9E">
        <w:tab/>
        <w:t>The TEI Includes developer contribution</w:t>
      </w:r>
      <w:r>
        <w:t>.</w:t>
      </w:r>
    </w:p>
    <w:p w:rsidR="00F87646" w:rsidRPr="00BC0C9E" w:rsidRDefault="00F87646" w:rsidP="0075535F">
      <w:pPr>
        <w:pStyle w:val="Notes"/>
      </w:pPr>
      <w:r w:rsidRPr="00BC0C9E">
        <w:t>(b)</w:t>
      </w:r>
      <w:r w:rsidRPr="00BC0C9E">
        <w:tab/>
        <w:t>The TEI includes funding beyond 2017</w:t>
      </w:r>
      <w:r>
        <w:noBreakHyphen/>
      </w:r>
      <w:r w:rsidRPr="00BC0C9E">
        <w:t>18.</w:t>
      </w:r>
    </w:p>
    <w:p w:rsidR="00F87646" w:rsidRPr="00BC0C9E" w:rsidRDefault="00F87646" w:rsidP="0075535F">
      <w:pPr>
        <w:pStyle w:val="Notes"/>
      </w:pPr>
      <w:r w:rsidRPr="00BC0C9E">
        <w:t>(c)</w:t>
      </w:r>
      <w:r w:rsidRPr="00BC0C9E">
        <w:tab/>
        <w:t>The TEI includes anticipated Commonwealth funding of $70.0</w:t>
      </w:r>
      <w:r>
        <w:t> million.</w:t>
      </w:r>
    </w:p>
    <w:p w:rsidR="00F87646" w:rsidRPr="00BC0C9E" w:rsidRDefault="00F87646" w:rsidP="0075535F">
      <w:pPr>
        <w:pStyle w:val="Notes"/>
      </w:pPr>
      <w:r w:rsidRPr="00BC0C9E">
        <w:t>(d)</w:t>
      </w:r>
      <w:r w:rsidRPr="00BC0C9E">
        <w:tab/>
        <w:t>The TEI includes anticipated Commonwealth funding of $200</w:t>
      </w:r>
      <w:r>
        <w:t> million</w:t>
      </w:r>
      <w:r w:rsidRPr="00BC0C9E">
        <w:t xml:space="preserve"> and includes funding beyond 2017</w:t>
      </w:r>
      <w:r>
        <w:noBreakHyphen/>
      </w:r>
      <w:r w:rsidRPr="00BC0C9E">
        <w:t>18</w:t>
      </w:r>
      <w:r>
        <w:t>.</w:t>
      </w:r>
    </w:p>
    <w:p w:rsidR="00F87646" w:rsidRPr="00BC0C9E" w:rsidRDefault="00F87646" w:rsidP="0075535F">
      <w:pPr>
        <w:pStyle w:val="Notes"/>
      </w:pPr>
      <w:r w:rsidRPr="00BC0C9E">
        <w:t>(e)</w:t>
      </w:r>
      <w:r w:rsidRPr="00BC0C9E">
        <w:tab/>
        <w:t>The TEI includes anticipated Commonwealth funding of $97.3</w:t>
      </w:r>
      <w:r>
        <w:t> million.</w:t>
      </w:r>
    </w:p>
    <w:p w:rsidR="00F87646" w:rsidRPr="00BC0C9E" w:rsidRDefault="00F87646" w:rsidP="00E664D1">
      <w:pPr>
        <w:pStyle w:val="Notes"/>
      </w:pPr>
    </w:p>
    <w:p w:rsidR="00F87646" w:rsidRPr="00BC0C9E" w:rsidRDefault="00F87646" w:rsidP="00E664D1">
      <w:pPr>
        <w:pStyle w:val="Notes"/>
      </w:pPr>
    </w:p>
    <w:p w:rsidR="00F87646" w:rsidRPr="00BC0C9E" w:rsidRDefault="00F87646" w:rsidP="00E664D1">
      <w:pPr>
        <w:pStyle w:val="Heading5"/>
      </w:pPr>
      <w:r w:rsidRPr="00BC0C9E">
        <w:t>Bellbrae tourism precinct infrastructure</w:t>
      </w:r>
    </w:p>
    <w:p w:rsidR="00F87646" w:rsidRPr="00BC0C9E" w:rsidRDefault="00F87646" w:rsidP="00E560AF">
      <w:r w:rsidRPr="00BC0C9E">
        <w:t>A package of road infrastructure works will be delivered in the Bellbrae tourism precinct, including a new roundabout, service road upgrade and turning lanes on Elkington Road, Forest Road and the Great Ocean Road. The package aims to assist Bellbrae become a major tourism precinct and will be funded from the reallocation of Better Roads Victoria project savings.</w:t>
      </w:r>
    </w:p>
    <w:p w:rsidR="00F87646" w:rsidRPr="00BC0C9E" w:rsidRDefault="00F87646" w:rsidP="00E560AF">
      <w:r w:rsidRPr="00BC0C9E">
        <w:t>The initiative contributes to the Department of Transport, Planning and Local Infrastructure</w:t>
      </w:r>
      <w:r>
        <w:t>’</w:t>
      </w:r>
      <w:r w:rsidRPr="00BC0C9E">
        <w:t>s Road Network Improvements output.</w:t>
      </w:r>
    </w:p>
    <w:p w:rsidR="00F87646" w:rsidRPr="00BC0C9E" w:rsidRDefault="00F87646">
      <w:pPr>
        <w:spacing w:after="0"/>
        <w:rPr>
          <w:rFonts w:ascii="Calibri" w:hAnsi="Calibri"/>
          <w:b/>
        </w:rPr>
      </w:pPr>
      <w:r w:rsidRPr="00BC0C9E">
        <w:br w:type="page"/>
      </w:r>
    </w:p>
    <w:p w:rsidR="00F87646" w:rsidRPr="00BC0C9E" w:rsidRDefault="00F87646" w:rsidP="00882D47">
      <w:pPr>
        <w:pStyle w:val="Heading5"/>
      </w:pPr>
      <w:r w:rsidRPr="00BC0C9E">
        <w:lastRenderedPageBreak/>
        <w:t>Bittern pedestrian crossing</w:t>
      </w:r>
    </w:p>
    <w:p w:rsidR="00F87646" w:rsidRPr="00BC0C9E" w:rsidRDefault="00F87646" w:rsidP="00207B55">
      <w:r w:rsidRPr="00BC0C9E">
        <w:t>Pedestrian operated signals will be installed on Frankston</w:t>
      </w:r>
      <w:r>
        <w:noBreakHyphen/>
      </w:r>
      <w:r w:rsidRPr="00BC0C9E">
        <w:t>Flinders Road in Bittern, near the Bittern railway station to improve road and pedestrian safety. This will be funded from the reallocation of Better Roads Victoria project savings.</w:t>
      </w:r>
    </w:p>
    <w:p w:rsidR="00F87646" w:rsidRPr="00BC0C9E" w:rsidRDefault="00F87646" w:rsidP="00207B55">
      <w:r w:rsidRPr="00BC0C9E">
        <w:t>The initiative contributes to the Department of Transport, Planning and Local Infrastructure</w:t>
      </w:r>
      <w:r>
        <w:t>’</w:t>
      </w:r>
      <w:r w:rsidRPr="00BC0C9E">
        <w:t>s Road Network Improvements output.</w:t>
      </w:r>
    </w:p>
    <w:p w:rsidR="00F87646" w:rsidRPr="00BC0C9E" w:rsidRDefault="00F87646" w:rsidP="0064547C">
      <w:pPr>
        <w:pStyle w:val="Heading5"/>
      </w:pPr>
      <w:r w:rsidRPr="00BC0C9E">
        <w:t>Canterbury Road and Armstrong Road, Heathmont intersection upgrade</w:t>
      </w:r>
    </w:p>
    <w:p w:rsidR="00F87646" w:rsidRPr="00BC0C9E" w:rsidRDefault="00F87646" w:rsidP="00676337">
      <w:r w:rsidRPr="00BC0C9E">
        <w:t>Funding will be provided to upgrade the intersection of Canterbury Road and Armstrong Road, Heathmont, reducing traffic congestion and improving road safety. This project will be funded from the reallocation of Better Roads Victoria project savings.</w:t>
      </w:r>
    </w:p>
    <w:p w:rsidR="00F87646" w:rsidRPr="00BC0C9E" w:rsidRDefault="00F87646" w:rsidP="00676337">
      <w:r w:rsidRPr="00BC0C9E">
        <w:t>The initiative contributes to the Department of Transport</w:t>
      </w:r>
      <w:r>
        <w:t>’</w:t>
      </w:r>
      <w:r w:rsidRPr="00BC0C9E">
        <w:t>s Road Network Improvements output.</w:t>
      </w:r>
    </w:p>
    <w:p w:rsidR="00F87646" w:rsidRPr="00BC0C9E" w:rsidRDefault="00F87646" w:rsidP="0064547C">
      <w:pPr>
        <w:rPr>
          <w:rFonts w:ascii="Calibri" w:hAnsi="Calibri"/>
          <w:b/>
        </w:rPr>
      </w:pPr>
      <w:r w:rsidRPr="00BC0C9E">
        <w:rPr>
          <w:rFonts w:ascii="Calibri" w:hAnsi="Calibri"/>
          <w:b/>
        </w:rPr>
        <w:t>Cardinia Road upgrade – stage 2</w:t>
      </w:r>
    </w:p>
    <w:p w:rsidR="00F87646" w:rsidRPr="00BC0C9E" w:rsidRDefault="00F87646" w:rsidP="00676337">
      <w:r w:rsidRPr="00BC0C9E">
        <w:t xml:space="preserve">Cardinia Road stage 2 works incorporate </w:t>
      </w:r>
      <w:r>
        <w:t>road</w:t>
      </w:r>
      <w:r w:rsidRPr="00BC0C9E">
        <w:t xml:space="preserve"> widening to the railway line, and the section between Henry Road and the northern roundabout of the Pakenham Bypass including extending the duplication across the Pakenham rail line crossing. The works will reduce traffic congestion and improve road safety. This will be funded from the reallocation of Better Roads Victoria project savings.</w:t>
      </w:r>
    </w:p>
    <w:p w:rsidR="00F87646" w:rsidRPr="00BC0C9E" w:rsidRDefault="00F87646" w:rsidP="00676337">
      <w:r w:rsidRPr="00BC0C9E">
        <w:t>The initiative contributes to the Department of Transport, Planning and Local Infrastructure</w:t>
      </w:r>
      <w:r>
        <w:t>’</w:t>
      </w:r>
      <w:r w:rsidRPr="00BC0C9E">
        <w:t>s Road Network Improvements output.</w:t>
      </w:r>
    </w:p>
    <w:p w:rsidR="00F87646" w:rsidRPr="00BC0C9E" w:rsidRDefault="00F87646" w:rsidP="000950DC">
      <w:pPr>
        <w:pStyle w:val="Heading5"/>
      </w:pPr>
      <w:r w:rsidRPr="00BC0C9E">
        <w:t>Echuca</w:t>
      </w:r>
      <w:r>
        <w:noBreakHyphen/>
      </w:r>
      <w:r w:rsidRPr="00BC0C9E">
        <w:t>Moama Bridge</w:t>
      </w:r>
    </w:p>
    <w:p w:rsidR="00F87646" w:rsidRPr="00BC0C9E" w:rsidRDefault="00F87646" w:rsidP="000950DC">
      <w:r>
        <w:t xml:space="preserve">The Victorian Government will make a </w:t>
      </w:r>
      <w:r w:rsidRPr="00BC0C9E">
        <w:t>contribution towards a second bridge crossing the Murray River, connecting Echuca in Victoria and Moama in New South Wales, including connections to the local road network. This is subject to co</w:t>
      </w:r>
      <w:r>
        <w:noBreakHyphen/>
      </w:r>
      <w:r w:rsidRPr="00BC0C9E">
        <w:t>contributions to fund the required works from the Commonwealth and New South Wales Governments. Construction of the bridge will improve amenity in and around the principal road network, increase transport network efficiency and improve connections in the region. The Victorian Government contribution is for $96</w:t>
      </w:r>
      <w:r>
        <w:t> million</w:t>
      </w:r>
      <w:r w:rsidRPr="00BC0C9E">
        <w:t>, including $38.1</w:t>
      </w:r>
      <w:r>
        <w:t> million</w:t>
      </w:r>
      <w:r w:rsidRPr="00BC0C9E">
        <w:t xml:space="preserve"> in 2018</w:t>
      </w:r>
      <w:r>
        <w:noBreakHyphen/>
      </w:r>
      <w:r w:rsidRPr="00BC0C9E">
        <w:t>19.</w:t>
      </w:r>
    </w:p>
    <w:p w:rsidR="00F87646" w:rsidRPr="00BC0C9E" w:rsidRDefault="00F87646" w:rsidP="000950DC">
      <w:r w:rsidRPr="00BC0C9E">
        <w:t>This initiative contributes to the Department of Transport, Planning and Local Infrastructure</w:t>
      </w:r>
      <w:r>
        <w:t>’</w:t>
      </w:r>
      <w:r w:rsidRPr="00BC0C9E">
        <w:t>s Road Network Improvements output.</w:t>
      </w:r>
    </w:p>
    <w:p w:rsidR="00F87646" w:rsidRPr="00BC0C9E" w:rsidRDefault="00F87646" w:rsidP="0064547C">
      <w:pPr>
        <w:rPr>
          <w:rFonts w:ascii="Calibri" w:hAnsi="Calibri"/>
          <w:b/>
        </w:rPr>
      </w:pPr>
      <w:r w:rsidRPr="00BC0C9E">
        <w:rPr>
          <w:rFonts w:ascii="Calibri" w:hAnsi="Calibri"/>
          <w:b/>
        </w:rPr>
        <w:t>Fixing congestion on Punt Road</w:t>
      </w:r>
    </w:p>
    <w:p w:rsidR="00F87646" w:rsidRPr="00BC0C9E" w:rsidRDefault="00F87646" w:rsidP="001B1B45">
      <w:r w:rsidRPr="00BC0C9E">
        <w:t>Funding is provided for initial car park construction and community consultation to enable a 24</w:t>
      </w:r>
      <w:r>
        <w:noBreakHyphen/>
      </w:r>
      <w:r w:rsidRPr="00BC0C9E">
        <w:t>hour clearway to be introduced on Punt Road south of Alexandra Avenue. This will be funded from the reallocation of Better Roads Victoria project savings.</w:t>
      </w:r>
    </w:p>
    <w:p w:rsidR="00F87646" w:rsidRPr="00BC0C9E" w:rsidRDefault="00F87646" w:rsidP="00676337">
      <w:r w:rsidRPr="00BC0C9E">
        <w:t>The initiative contributes to the Department of Transport, Planning and Local Infrastructure</w:t>
      </w:r>
      <w:r>
        <w:t>’</w:t>
      </w:r>
      <w:r w:rsidRPr="00BC0C9E">
        <w:t>s Road Network Improvements output.</w:t>
      </w:r>
    </w:p>
    <w:p w:rsidR="00F87646" w:rsidRPr="00BC0C9E" w:rsidRDefault="00F87646">
      <w:pPr>
        <w:spacing w:after="0"/>
        <w:rPr>
          <w:rFonts w:ascii="Calibri" w:hAnsi="Calibri"/>
          <w:b/>
        </w:rPr>
      </w:pPr>
      <w:r w:rsidRPr="00BC0C9E">
        <w:br w:type="page"/>
      </w:r>
    </w:p>
    <w:p w:rsidR="00F87646" w:rsidRPr="00BC0C9E" w:rsidRDefault="00F87646" w:rsidP="00882D47">
      <w:pPr>
        <w:pStyle w:val="Heading5"/>
      </w:pPr>
      <w:r w:rsidRPr="00BC0C9E">
        <w:lastRenderedPageBreak/>
        <w:t>On</w:t>
      </w:r>
      <w:r>
        <w:noBreakHyphen/>
      </w:r>
      <w:r w:rsidRPr="00BC0C9E">
        <w:t>the</w:t>
      </w:r>
      <w:r>
        <w:noBreakHyphen/>
      </w:r>
      <w:r w:rsidRPr="00BC0C9E">
        <w:t>spot penalty fares</w:t>
      </w:r>
    </w:p>
    <w:p w:rsidR="00F87646" w:rsidRPr="00BC0C9E" w:rsidRDefault="00F87646" w:rsidP="00882D47">
      <w:r w:rsidRPr="00BC0C9E">
        <w:t>Refer to the output initiative for a description of this initiative.</w:t>
      </w:r>
    </w:p>
    <w:p w:rsidR="00F87646" w:rsidRPr="00BC0C9E" w:rsidRDefault="00F87646" w:rsidP="00566BAF">
      <w:pPr>
        <w:rPr>
          <w:rFonts w:ascii="Calibri" w:hAnsi="Calibri"/>
          <w:b/>
        </w:rPr>
      </w:pPr>
      <w:r w:rsidRPr="00BC0C9E">
        <w:rPr>
          <w:rFonts w:ascii="Calibri" w:hAnsi="Calibri"/>
          <w:b/>
        </w:rPr>
        <w:t>Pedestrian crossing upgrade</w:t>
      </w:r>
    </w:p>
    <w:p w:rsidR="00F87646" w:rsidRPr="00BC0C9E" w:rsidRDefault="00F87646" w:rsidP="00566BAF">
      <w:r w:rsidRPr="00BC0C9E">
        <w:t xml:space="preserve">A number of pedestrian operated signals will be installed and crossings upgraded to improve road and pedestrian safety. This includes the intersection of Tooronga Road and Milton Parade in Malvern, and the Nepean Highway in Edithvale, near Denman Avenue. </w:t>
      </w:r>
    </w:p>
    <w:p w:rsidR="00F87646" w:rsidRPr="00BC0C9E" w:rsidRDefault="00F87646" w:rsidP="00566BAF">
      <w:r w:rsidRPr="00BC0C9E">
        <w:t>This initiative contributes to the Department of Transport, Planning and Local Infrastructure</w:t>
      </w:r>
      <w:r>
        <w:t>’</w:t>
      </w:r>
      <w:r w:rsidRPr="00BC0C9E">
        <w:t>s Road Network Improvements output.</w:t>
      </w:r>
    </w:p>
    <w:p w:rsidR="00F87646" w:rsidRPr="00BC0C9E" w:rsidRDefault="00F87646" w:rsidP="00207B55">
      <w:pPr>
        <w:rPr>
          <w:rFonts w:ascii="Calibri" w:hAnsi="Calibri"/>
          <w:b/>
        </w:rPr>
      </w:pPr>
      <w:r w:rsidRPr="00BC0C9E">
        <w:rPr>
          <w:rFonts w:ascii="Calibri" w:hAnsi="Calibri"/>
          <w:b/>
        </w:rPr>
        <w:t>Pedestrian underpass at Great Ocean Road, Fairhaven</w:t>
      </w:r>
    </w:p>
    <w:p w:rsidR="00F87646" w:rsidRPr="00BC0C9E" w:rsidRDefault="00F87646" w:rsidP="000E598C">
      <w:r w:rsidRPr="00BC0C9E">
        <w:t>A pedestrian underpass will be installed on the Great Ocean Road adjacent to the Fairhaven Surf Life Saving Club, linking the car park on the north of the Great Ocean Road and the Fairhaven community to the Fairhaven beach and Surf Life Saving Club. The works will improve road and pedestrian safety for Fairhaven Club patrons. This will be funded from the reallocation of Better Roads Victoria project savings.</w:t>
      </w:r>
    </w:p>
    <w:p w:rsidR="00F87646" w:rsidRPr="00BC0C9E" w:rsidRDefault="00F87646" w:rsidP="00207B55">
      <w:r w:rsidRPr="00BC0C9E">
        <w:t>The initiative contributes to the Department of Transport, Planning and Local Infrastructure</w:t>
      </w:r>
      <w:r>
        <w:t>’</w:t>
      </w:r>
      <w:r w:rsidRPr="00BC0C9E">
        <w:t>s Road Network Improvements output.</w:t>
      </w:r>
    </w:p>
    <w:p w:rsidR="00F87646" w:rsidRPr="00BC0C9E" w:rsidRDefault="00F87646" w:rsidP="00207B55">
      <w:pPr>
        <w:rPr>
          <w:rFonts w:ascii="Calibri" w:hAnsi="Calibri"/>
          <w:b/>
        </w:rPr>
      </w:pPr>
      <w:r w:rsidRPr="00BC0C9E">
        <w:rPr>
          <w:rFonts w:ascii="Calibri" w:hAnsi="Calibri"/>
          <w:b/>
        </w:rPr>
        <w:t>Princes Highway East duplication – Traralgon to Sale</w:t>
      </w:r>
    </w:p>
    <w:p w:rsidR="00F87646" w:rsidRPr="00BC0C9E" w:rsidRDefault="00F87646" w:rsidP="00207B55">
      <w:r w:rsidRPr="00BC0C9E">
        <w:t>The duplication of three new sections of the Princes Highway East from Traralgon to Sale will be funded from a reallocation of savings from the Regional Rail Link project. This includes 1.5 kilometres from Minniedale Road towards Rosedale, a 3 kilometre section from Sale</w:t>
      </w:r>
      <w:r>
        <w:noBreakHyphen/>
      </w:r>
      <w:r w:rsidRPr="00BC0C9E">
        <w:t>Heyfield Road to Cowwarr Road and a 3 kilometre section from Nambrok to east of Rosedale</w:t>
      </w:r>
      <w:r>
        <w:noBreakHyphen/>
      </w:r>
      <w:r w:rsidRPr="00BC0C9E">
        <w:t>Maffra Road. The three sections will improve safety and capacity of the Highway.</w:t>
      </w:r>
    </w:p>
    <w:p w:rsidR="00F87646" w:rsidRPr="00BC0C9E" w:rsidRDefault="00F87646" w:rsidP="00207B55">
      <w:r w:rsidRPr="00BC0C9E">
        <w:t>The initiative contributes to the Department of Transport, Planning and Local Infrastructure</w:t>
      </w:r>
      <w:r>
        <w:t>’</w:t>
      </w:r>
      <w:r w:rsidRPr="00BC0C9E">
        <w:t>s Road Network Improvements output.</w:t>
      </w:r>
    </w:p>
    <w:p w:rsidR="00F87646" w:rsidRPr="00BC0C9E" w:rsidRDefault="00F87646" w:rsidP="00882D47">
      <w:pPr>
        <w:pStyle w:val="Heading5"/>
      </w:pPr>
      <w:r w:rsidRPr="00BC0C9E">
        <w:t>Protective Services Officers – station facilities</w:t>
      </w:r>
    </w:p>
    <w:p w:rsidR="00F87646" w:rsidRPr="00BC0C9E" w:rsidRDefault="00F87646" w:rsidP="00882D47">
      <w:r w:rsidRPr="00BC0C9E">
        <w:t>Refer to the output initiative for a description of this initiative.</w:t>
      </w:r>
    </w:p>
    <w:p w:rsidR="00F87646" w:rsidRPr="00BC0C9E" w:rsidRDefault="00F87646" w:rsidP="00566BAF">
      <w:pPr>
        <w:pStyle w:val="Heading5"/>
      </w:pPr>
      <w:bookmarkStart w:id="100" w:name="_Toc401147508"/>
      <w:r w:rsidRPr="00BC0C9E">
        <w:t>Safer access to schools</w:t>
      </w:r>
    </w:p>
    <w:p w:rsidR="00F87646" w:rsidRPr="00BC0C9E" w:rsidRDefault="00F87646" w:rsidP="00566BAF">
      <w:r w:rsidRPr="00BC0C9E">
        <w:t>Electronic variable school speed signs will be installed to provide safer access to a number of schools across Victoria, including Rowville Secondary College, Mountain Gate Primary School and Bentleigh West Primary School. This will improve pedestrian and road safety.</w:t>
      </w:r>
    </w:p>
    <w:p w:rsidR="00F87646" w:rsidRPr="00BC0C9E" w:rsidRDefault="00F87646" w:rsidP="00566BAF">
      <w:r w:rsidRPr="00BC0C9E">
        <w:t>This initiative contributes to the Department of Transport, Planning and Local Infrastructure</w:t>
      </w:r>
      <w:r>
        <w:t>’</w:t>
      </w:r>
      <w:r w:rsidRPr="00BC0C9E">
        <w:t>s Road Network Improvements output.</w:t>
      </w:r>
    </w:p>
    <w:p w:rsidR="00F87646" w:rsidRPr="00BC0C9E" w:rsidRDefault="00F87646">
      <w:pPr>
        <w:spacing w:after="0"/>
        <w:rPr>
          <w:rFonts w:ascii="Calibri" w:hAnsi="Calibri"/>
          <w:b/>
        </w:rPr>
      </w:pPr>
      <w:r w:rsidRPr="00BC0C9E">
        <w:br w:type="page"/>
      </w:r>
    </w:p>
    <w:p w:rsidR="00F87646" w:rsidRPr="00BC0C9E" w:rsidRDefault="00F87646" w:rsidP="00D8251B">
      <w:pPr>
        <w:pStyle w:val="Heading5"/>
      </w:pPr>
      <w:r w:rsidRPr="00BC0C9E">
        <w:lastRenderedPageBreak/>
        <w:t>Tu</w:t>
      </w:r>
      <w:r>
        <w:t>llamarine Freeway w</w:t>
      </w:r>
      <w:r w:rsidRPr="00BC0C9E">
        <w:t xml:space="preserve">idening </w:t>
      </w:r>
      <w:r>
        <w:t>– Melrose Drive to the Airport</w:t>
      </w:r>
    </w:p>
    <w:p w:rsidR="00F87646" w:rsidRPr="00BC0C9E" w:rsidRDefault="00F87646" w:rsidP="00D8251B">
      <w:r w:rsidRPr="00BC0C9E">
        <w:t xml:space="preserve">The Tullamarine Freeway will be widened to add a new lane in each direction from Melrose Drive to the Melbourne Airport and the addition of a Freeway Management System. As part of the broader CityLink – Tulla widening, the project will reduce congestion and airport related travel times. This will be jointly funded by the Commonwealth and the State. This completes the widening of the Tullamarine Freeway and CityLink as previously announced in the </w:t>
      </w:r>
      <w:r w:rsidRPr="00BC0C9E">
        <w:rPr>
          <w:i/>
        </w:rPr>
        <w:t>2014</w:t>
      </w:r>
      <w:r>
        <w:rPr>
          <w:i/>
        </w:rPr>
        <w:noBreakHyphen/>
      </w:r>
      <w:r w:rsidRPr="00BC0C9E">
        <w:rPr>
          <w:i/>
        </w:rPr>
        <w:t>15 Budget</w:t>
      </w:r>
      <w:r w:rsidRPr="00BC0C9E">
        <w:t>.</w:t>
      </w:r>
    </w:p>
    <w:p w:rsidR="00F87646" w:rsidRPr="00BC0C9E" w:rsidRDefault="00F87646" w:rsidP="00D8251B">
      <w:r w:rsidRPr="00BC0C9E">
        <w:t>This initiative contributes to the Department of Transport, Planning and Local Infrastructure</w:t>
      </w:r>
      <w:r>
        <w:t>’</w:t>
      </w:r>
      <w:r w:rsidRPr="00BC0C9E">
        <w:t>s Road Network Improvements output.</w:t>
      </w:r>
    </w:p>
    <w:p w:rsidR="00F87646" w:rsidRPr="00BC0C9E" w:rsidRDefault="00F87646" w:rsidP="00207B55">
      <w:pPr>
        <w:rPr>
          <w:rFonts w:ascii="Calibri" w:hAnsi="Calibri"/>
          <w:b/>
        </w:rPr>
      </w:pPr>
      <w:r w:rsidRPr="00BC0C9E">
        <w:rPr>
          <w:rFonts w:ascii="Calibri" w:hAnsi="Calibri"/>
          <w:b/>
        </w:rPr>
        <w:t>Western Highway duplication – Buangor to Ararat</w:t>
      </w:r>
    </w:p>
    <w:p w:rsidR="00F87646" w:rsidRPr="00BC0C9E" w:rsidRDefault="00F87646" w:rsidP="00207B55">
      <w:r w:rsidRPr="00BC0C9E">
        <w:t>A 12 kilometre duplication between Buangor and Ararat will be funded from a reallocation of savings from the Regional Rail Link project, completing the full duplication of the Western Highway between Ballarat and Ararat. The final stage will improve safety and capacity of the highway.</w:t>
      </w:r>
    </w:p>
    <w:p w:rsidR="00F87646" w:rsidRPr="00BC0C9E" w:rsidRDefault="00F87646" w:rsidP="00207B55">
      <w:r w:rsidRPr="00BC0C9E">
        <w:t>The initiative contributes to the Department of Transport, Planning and Local Infrastructure</w:t>
      </w:r>
      <w:r>
        <w:t>’</w:t>
      </w:r>
      <w:r w:rsidRPr="00BC0C9E">
        <w:t>s Road Network Improvements output.</w:t>
      </w:r>
    </w:p>
    <w:p w:rsidR="00F87646" w:rsidRPr="00BC0C9E" w:rsidRDefault="00F87646" w:rsidP="00882D47">
      <w:pPr>
        <w:pStyle w:val="Heading1"/>
      </w:pPr>
      <w:bookmarkStart w:id="101" w:name="_Toc403386707"/>
      <w:r w:rsidRPr="00BC0C9E">
        <w:t>Department of Treasury and Finance</w:t>
      </w:r>
      <w:bookmarkEnd w:id="100"/>
      <w:bookmarkEnd w:id="101"/>
    </w:p>
    <w:p w:rsidR="00F87646" w:rsidRPr="00BC0C9E" w:rsidRDefault="00F87646" w:rsidP="00882D47">
      <w:pPr>
        <w:pStyle w:val="Heading3"/>
      </w:pPr>
      <w:r w:rsidRPr="00BC0C9E">
        <w:t>Output initiatives</w:t>
      </w:r>
    </w:p>
    <w:p w:rsidR="00F87646" w:rsidRPr="00BC0C9E" w:rsidRDefault="00F87646" w:rsidP="00882D47">
      <w:pPr>
        <w:pStyle w:val="Tableheading"/>
      </w:pPr>
      <w:r w:rsidRPr="00BC0C9E">
        <w:t>Table A.17:</w:t>
      </w:r>
      <w:r w:rsidRPr="00BC0C9E">
        <w:tab/>
        <w:t>Output initiatives – Treasury and Finance</w:t>
      </w:r>
    </w:p>
    <w:p w:rsidR="00F87646" w:rsidRPr="00BC0C9E" w:rsidRDefault="00F87646" w:rsidP="00E86542">
      <w:pPr>
        <w:pStyle w:val="million"/>
        <w:rPr>
          <w:rStyle w:val="PageNumber"/>
          <w:sz w:val="15"/>
        </w:rPr>
      </w:pPr>
      <w:r w:rsidRPr="00BC0C9E">
        <w:t>($</w:t>
      </w:r>
      <w:r>
        <w:t> million</w:t>
      </w:r>
      <w:r w:rsidRPr="00BC0C9E">
        <w:t>)</w:t>
      </w:r>
    </w:p>
    <w:tbl>
      <w:tblPr>
        <w:tblW w:w="7770" w:type="dxa"/>
        <w:tblInd w:w="35" w:type="dxa"/>
        <w:tblLayout w:type="fixed"/>
        <w:tblCellMar>
          <w:left w:w="43" w:type="dxa"/>
          <w:right w:w="43" w:type="dxa"/>
        </w:tblCellMar>
        <w:tblLook w:val="0000" w:firstRow="0" w:lastRow="0" w:firstColumn="0" w:lastColumn="0" w:noHBand="0" w:noVBand="0"/>
      </w:tblPr>
      <w:tblGrid>
        <w:gridCol w:w="3801"/>
        <w:gridCol w:w="993"/>
        <w:gridCol w:w="992"/>
        <w:gridCol w:w="992"/>
        <w:gridCol w:w="992"/>
      </w:tblGrid>
      <w:tr w:rsidR="00F87646" w:rsidRPr="00BC0C9E" w:rsidTr="00B606DF">
        <w:tc>
          <w:tcPr>
            <w:tcW w:w="3801" w:type="dxa"/>
            <w:tcBorders>
              <w:top w:val="single" w:sz="6" w:space="0" w:color="000000" w:themeColor="text1"/>
              <w:left w:val="single" w:sz="6" w:space="0" w:color="000000" w:themeColor="text1"/>
              <w:bottom w:val="single" w:sz="6" w:space="0" w:color="auto"/>
              <w:right w:val="nil"/>
            </w:tcBorders>
            <w:shd w:val="clear" w:color="auto" w:fill="000000"/>
          </w:tcPr>
          <w:p w:rsidR="00F87646" w:rsidRPr="00BC0C9E" w:rsidRDefault="00F87646" w:rsidP="00E86542">
            <w:pPr>
              <w:pStyle w:val="Tabletext"/>
              <w:rPr>
                <w:rFonts w:eastAsiaTheme="minorEastAsia"/>
                <w:lang w:eastAsia="en-AU"/>
              </w:rPr>
            </w:pPr>
          </w:p>
        </w:tc>
        <w:tc>
          <w:tcPr>
            <w:tcW w:w="993" w:type="dxa"/>
            <w:tcBorders>
              <w:top w:val="single" w:sz="6" w:space="0" w:color="000000" w:themeColor="text1"/>
              <w:left w:val="nil"/>
              <w:bottom w:val="single" w:sz="6" w:space="0" w:color="auto"/>
              <w:right w:val="nil"/>
            </w:tcBorders>
            <w:shd w:val="clear" w:color="auto" w:fill="000000"/>
          </w:tcPr>
          <w:p w:rsidR="00F87646" w:rsidRPr="00BC0C9E" w:rsidRDefault="00F87646" w:rsidP="00E86542">
            <w:pPr>
              <w:pStyle w:val="Tabletextheading"/>
              <w:rPr>
                <w:rFonts w:eastAsiaTheme="minorEastAsia"/>
                <w:lang w:eastAsia="en-AU"/>
              </w:rPr>
            </w:pPr>
            <w:r w:rsidRPr="00BC0C9E">
              <w:rPr>
                <w:rFonts w:eastAsiaTheme="minorEastAsia"/>
                <w:lang w:eastAsia="en-AU"/>
              </w:rPr>
              <w:t>2014</w:t>
            </w:r>
            <w:r>
              <w:rPr>
                <w:rFonts w:eastAsiaTheme="minorEastAsia"/>
                <w:lang w:eastAsia="en-AU"/>
              </w:rPr>
              <w:noBreakHyphen/>
            </w:r>
            <w:r w:rsidRPr="00BC0C9E">
              <w:rPr>
                <w:rFonts w:eastAsiaTheme="minorEastAsia"/>
                <w:lang w:eastAsia="en-AU"/>
              </w:rPr>
              <w:t>15</w:t>
            </w:r>
          </w:p>
        </w:tc>
        <w:tc>
          <w:tcPr>
            <w:tcW w:w="992" w:type="dxa"/>
            <w:tcBorders>
              <w:top w:val="single" w:sz="6" w:space="0" w:color="000000" w:themeColor="text1"/>
              <w:left w:val="nil"/>
              <w:bottom w:val="single" w:sz="6" w:space="0" w:color="auto"/>
              <w:right w:val="nil"/>
            </w:tcBorders>
            <w:shd w:val="clear" w:color="auto" w:fill="000000"/>
          </w:tcPr>
          <w:p w:rsidR="00F87646" w:rsidRPr="00BC0C9E" w:rsidRDefault="00F87646" w:rsidP="00E86542">
            <w:pPr>
              <w:pStyle w:val="Tabletextheading"/>
              <w:rPr>
                <w:rFonts w:eastAsiaTheme="minorEastAsia"/>
                <w:lang w:eastAsia="en-AU"/>
              </w:rPr>
            </w:pPr>
            <w:r w:rsidRPr="00BC0C9E">
              <w:rPr>
                <w:rFonts w:eastAsiaTheme="minorEastAsia"/>
                <w:lang w:eastAsia="en-AU"/>
              </w:rPr>
              <w:t>2015</w:t>
            </w:r>
            <w:r>
              <w:rPr>
                <w:rFonts w:eastAsiaTheme="minorEastAsia"/>
                <w:lang w:eastAsia="en-AU"/>
              </w:rPr>
              <w:noBreakHyphen/>
            </w:r>
            <w:r w:rsidRPr="00BC0C9E">
              <w:rPr>
                <w:rFonts w:eastAsiaTheme="minorEastAsia"/>
                <w:lang w:eastAsia="en-AU"/>
              </w:rPr>
              <w:t>16</w:t>
            </w:r>
          </w:p>
        </w:tc>
        <w:tc>
          <w:tcPr>
            <w:tcW w:w="992" w:type="dxa"/>
            <w:tcBorders>
              <w:top w:val="single" w:sz="6" w:space="0" w:color="000000" w:themeColor="text1"/>
              <w:left w:val="nil"/>
              <w:bottom w:val="single" w:sz="6" w:space="0" w:color="auto"/>
              <w:right w:val="nil"/>
            </w:tcBorders>
            <w:shd w:val="clear" w:color="auto" w:fill="000000"/>
          </w:tcPr>
          <w:p w:rsidR="00F87646" w:rsidRPr="00BC0C9E" w:rsidRDefault="00F87646" w:rsidP="00E86542">
            <w:pPr>
              <w:pStyle w:val="Tabletextheading"/>
              <w:rPr>
                <w:rFonts w:eastAsiaTheme="minorEastAsia"/>
                <w:lang w:eastAsia="en-AU"/>
              </w:rPr>
            </w:pPr>
            <w:r w:rsidRPr="00BC0C9E">
              <w:rPr>
                <w:rFonts w:eastAsiaTheme="minorEastAsia"/>
                <w:lang w:eastAsia="en-AU"/>
              </w:rPr>
              <w:t>2016</w:t>
            </w:r>
            <w:r>
              <w:rPr>
                <w:rFonts w:eastAsiaTheme="minorEastAsia"/>
                <w:lang w:eastAsia="en-AU"/>
              </w:rPr>
              <w:noBreakHyphen/>
            </w:r>
            <w:r w:rsidRPr="00BC0C9E">
              <w:rPr>
                <w:rFonts w:eastAsiaTheme="minorEastAsia"/>
                <w:lang w:eastAsia="en-AU"/>
              </w:rPr>
              <w:t>17</w:t>
            </w:r>
          </w:p>
        </w:tc>
        <w:tc>
          <w:tcPr>
            <w:tcW w:w="992" w:type="dxa"/>
            <w:tcBorders>
              <w:top w:val="single" w:sz="6" w:space="0" w:color="000000" w:themeColor="text1"/>
              <w:left w:val="nil"/>
              <w:bottom w:val="single" w:sz="6" w:space="0" w:color="auto"/>
              <w:right w:val="single" w:sz="6" w:space="0" w:color="000000" w:themeColor="text1"/>
            </w:tcBorders>
            <w:shd w:val="clear" w:color="auto" w:fill="000000"/>
          </w:tcPr>
          <w:p w:rsidR="00F87646" w:rsidRPr="00BC0C9E" w:rsidRDefault="00F87646" w:rsidP="00E86542">
            <w:pPr>
              <w:pStyle w:val="Tabletextheading"/>
              <w:rPr>
                <w:rFonts w:eastAsiaTheme="minorEastAsia"/>
                <w:lang w:eastAsia="en-AU"/>
              </w:rPr>
            </w:pPr>
            <w:r w:rsidRPr="00BC0C9E">
              <w:rPr>
                <w:rFonts w:eastAsiaTheme="minorEastAsia"/>
                <w:lang w:eastAsia="en-AU"/>
              </w:rPr>
              <w:t>2017</w:t>
            </w:r>
            <w:r>
              <w:rPr>
                <w:rFonts w:eastAsiaTheme="minorEastAsia"/>
                <w:lang w:eastAsia="en-AU"/>
              </w:rPr>
              <w:noBreakHyphen/>
            </w:r>
            <w:r w:rsidRPr="00BC0C9E">
              <w:rPr>
                <w:rFonts w:eastAsiaTheme="minorEastAsia"/>
                <w:lang w:eastAsia="en-AU"/>
              </w:rPr>
              <w:t>18</w:t>
            </w:r>
          </w:p>
        </w:tc>
      </w:tr>
      <w:tr w:rsidR="00F87646" w:rsidRPr="00BC0C9E" w:rsidTr="00B606DF">
        <w:tc>
          <w:tcPr>
            <w:tcW w:w="3801" w:type="dxa"/>
            <w:tcBorders>
              <w:top w:val="single" w:sz="6" w:space="0" w:color="000000" w:themeColor="text1"/>
              <w:left w:val="nil"/>
              <w:bottom w:val="nil"/>
              <w:right w:val="nil"/>
            </w:tcBorders>
          </w:tcPr>
          <w:p w:rsidR="00F87646" w:rsidRPr="00BC0C9E" w:rsidRDefault="00F87646" w:rsidP="00E86542">
            <w:pPr>
              <w:pStyle w:val="Tabletext"/>
              <w:rPr>
                <w:rFonts w:eastAsiaTheme="minorEastAsia"/>
                <w:lang w:eastAsia="en-AU"/>
              </w:rPr>
            </w:pPr>
            <w:r w:rsidRPr="00BC0C9E">
              <w:rPr>
                <w:rFonts w:eastAsiaTheme="minorEastAsia"/>
                <w:lang w:eastAsia="en-AU"/>
              </w:rPr>
              <w:t>State Revenue Office – assessment and compliance</w:t>
            </w:r>
          </w:p>
        </w:tc>
        <w:tc>
          <w:tcPr>
            <w:tcW w:w="993" w:type="dxa"/>
            <w:tcBorders>
              <w:top w:val="single" w:sz="6" w:space="0" w:color="000000" w:themeColor="text1"/>
              <w:left w:val="nil"/>
              <w:bottom w:val="nil"/>
              <w:right w:val="nil"/>
            </w:tcBorders>
          </w:tcPr>
          <w:p w:rsidR="00F87646" w:rsidRPr="00BC0C9E" w:rsidRDefault="00F87646" w:rsidP="00E86542">
            <w:pPr>
              <w:pStyle w:val="TableofFigures"/>
              <w:rPr>
                <w:rFonts w:eastAsiaTheme="minorEastAsia"/>
                <w:lang w:eastAsia="en-AU"/>
              </w:rPr>
            </w:pPr>
            <w:r w:rsidRPr="00BC0C9E">
              <w:rPr>
                <w:rFonts w:eastAsiaTheme="minorEastAsia"/>
                <w:lang w:eastAsia="en-AU"/>
              </w:rPr>
              <w:t xml:space="preserve"> 2.5</w:t>
            </w:r>
          </w:p>
        </w:tc>
        <w:tc>
          <w:tcPr>
            <w:tcW w:w="992" w:type="dxa"/>
            <w:tcBorders>
              <w:top w:val="single" w:sz="6" w:space="0" w:color="000000" w:themeColor="text1"/>
              <w:left w:val="nil"/>
              <w:bottom w:val="nil"/>
              <w:right w:val="nil"/>
            </w:tcBorders>
          </w:tcPr>
          <w:p w:rsidR="00F87646" w:rsidRPr="00BC0C9E" w:rsidRDefault="00F87646" w:rsidP="00E86542">
            <w:pPr>
              <w:pStyle w:val="TableofFigures"/>
              <w:rPr>
                <w:rFonts w:eastAsiaTheme="minorEastAsia"/>
                <w:lang w:eastAsia="en-AU"/>
              </w:rPr>
            </w:pPr>
            <w:r w:rsidRPr="00BC0C9E">
              <w:rPr>
                <w:rFonts w:eastAsiaTheme="minorEastAsia"/>
                <w:lang w:eastAsia="en-AU"/>
              </w:rPr>
              <w:t xml:space="preserve"> 8.1</w:t>
            </w:r>
          </w:p>
        </w:tc>
        <w:tc>
          <w:tcPr>
            <w:tcW w:w="992" w:type="dxa"/>
            <w:tcBorders>
              <w:top w:val="single" w:sz="6" w:space="0" w:color="000000" w:themeColor="text1"/>
              <w:left w:val="nil"/>
              <w:bottom w:val="nil"/>
              <w:right w:val="nil"/>
            </w:tcBorders>
          </w:tcPr>
          <w:p w:rsidR="00F87646" w:rsidRPr="00BC0C9E" w:rsidRDefault="00F87646" w:rsidP="00E86542">
            <w:pPr>
              <w:pStyle w:val="TableofFigures"/>
              <w:rPr>
                <w:rFonts w:eastAsiaTheme="minorEastAsia"/>
                <w:lang w:eastAsia="en-AU"/>
              </w:rPr>
            </w:pPr>
            <w:r w:rsidRPr="00BC0C9E">
              <w:rPr>
                <w:rFonts w:eastAsiaTheme="minorEastAsia"/>
                <w:lang w:eastAsia="en-AU"/>
              </w:rPr>
              <w:t xml:space="preserve"> 11.6</w:t>
            </w:r>
          </w:p>
        </w:tc>
        <w:tc>
          <w:tcPr>
            <w:tcW w:w="992" w:type="dxa"/>
            <w:tcBorders>
              <w:top w:val="single" w:sz="6" w:space="0" w:color="000000" w:themeColor="text1"/>
              <w:left w:val="nil"/>
              <w:bottom w:val="nil"/>
              <w:right w:val="nil"/>
            </w:tcBorders>
          </w:tcPr>
          <w:p w:rsidR="00F87646" w:rsidRPr="00BC0C9E" w:rsidRDefault="00F87646" w:rsidP="00E86542">
            <w:pPr>
              <w:pStyle w:val="TableofFigures"/>
              <w:rPr>
                <w:rFonts w:eastAsiaTheme="minorEastAsia"/>
                <w:lang w:eastAsia="en-AU"/>
              </w:rPr>
            </w:pPr>
            <w:r w:rsidRPr="00BC0C9E">
              <w:rPr>
                <w:rFonts w:eastAsiaTheme="minorEastAsia"/>
                <w:lang w:eastAsia="en-AU"/>
              </w:rPr>
              <w:t xml:space="preserve"> 12.1</w:t>
            </w:r>
          </w:p>
        </w:tc>
      </w:tr>
      <w:tr w:rsidR="00F87646" w:rsidRPr="00BC0C9E" w:rsidTr="00B606DF">
        <w:tc>
          <w:tcPr>
            <w:tcW w:w="3801" w:type="dxa"/>
            <w:tcBorders>
              <w:top w:val="single" w:sz="6" w:space="0" w:color="auto"/>
              <w:left w:val="nil"/>
              <w:bottom w:val="single" w:sz="12" w:space="0" w:color="auto"/>
              <w:right w:val="nil"/>
            </w:tcBorders>
          </w:tcPr>
          <w:p w:rsidR="00F87646" w:rsidRPr="00BC0C9E" w:rsidRDefault="00F87646" w:rsidP="00E86542">
            <w:pPr>
              <w:pStyle w:val="Tabletext"/>
              <w:rPr>
                <w:rFonts w:eastAsiaTheme="minorEastAsia"/>
                <w:b/>
                <w:bCs/>
                <w:lang w:eastAsia="en-AU"/>
              </w:rPr>
            </w:pPr>
            <w:r w:rsidRPr="00BC0C9E">
              <w:rPr>
                <w:rFonts w:eastAsiaTheme="minorEastAsia"/>
                <w:b/>
                <w:bCs/>
                <w:lang w:eastAsia="en-AU"/>
              </w:rPr>
              <w:t>Total output initiatives</w:t>
            </w:r>
          </w:p>
        </w:tc>
        <w:tc>
          <w:tcPr>
            <w:tcW w:w="993" w:type="dxa"/>
            <w:tcBorders>
              <w:top w:val="single" w:sz="6" w:space="0" w:color="auto"/>
              <w:left w:val="nil"/>
              <w:bottom w:val="single" w:sz="12" w:space="0" w:color="auto"/>
              <w:right w:val="nil"/>
            </w:tcBorders>
          </w:tcPr>
          <w:p w:rsidR="00F87646" w:rsidRPr="00BC0C9E" w:rsidRDefault="00F87646" w:rsidP="00E86542">
            <w:pPr>
              <w:pStyle w:val="TableofFigures"/>
              <w:rPr>
                <w:rFonts w:eastAsiaTheme="minorEastAsia"/>
                <w:b/>
                <w:bCs/>
                <w:lang w:eastAsia="en-AU"/>
              </w:rPr>
            </w:pPr>
            <w:r w:rsidRPr="00BC0C9E">
              <w:rPr>
                <w:rFonts w:eastAsiaTheme="minorEastAsia"/>
                <w:b/>
                <w:bCs/>
                <w:lang w:eastAsia="en-AU"/>
              </w:rPr>
              <w:t xml:space="preserve"> 2.5</w:t>
            </w:r>
          </w:p>
        </w:tc>
        <w:tc>
          <w:tcPr>
            <w:tcW w:w="992" w:type="dxa"/>
            <w:tcBorders>
              <w:top w:val="single" w:sz="6" w:space="0" w:color="auto"/>
              <w:left w:val="nil"/>
              <w:bottom w:val="single" w:sz="12" w:space="0" w:color="auto"/>
              <w:right w:val="nil"/>
            </w:tcBorders>
          </w:tcPr>
          <w:p w:rsidR="00F87646" w:rsidRPr="00BC0C9E" w:rsidRDefault="00F87646" w:rsidP="00E86542">
            <w:pPr>
              <w:pStyle w:val="TableofFigures"/>
              <w:rPr>
                <w:rFonts w:eastAsiaTheme="minorEastAsia"/>
                <w:b/>
                <w:bCs/>
                <w:lang w:eastAsia="en-AU"/>
              </w:rPr>
            </w:pPr>
            <w:r w:rsidRPr="00BC0C9E">
              <w:rPr>
                <w:rFonts w:eastAsiaTheme="minorEastAsia"/>
                <w:b/>
                <w:bCs/>
                <w:lang w:eastAsia="en-AU"/>
              </w:rPr>
              <w:t xml:space="preserve"> 8.1</w:t>
            </w:r>
          </w:p>
        </w:tc>
        <w:tc>
          <w:tcPr>
            <w:tcW w:w="992" w:type="dxa"/>
            <w:tcBorders>
              <w:top w:val="single" w:sz="6" w:space="0" w:color="auto"/>
              <w:left w:val="nil"/>
              <w:bottom w:val="single" w:sz="12" w:space="0" w:color="auto"/>
              <w:right w:val="nil"/>
            </w:tcBorders>
          </w:tcPr>
          <w:p w:rsidR="00F87646" w:rsidRPr="00BC0C9E" w:rsidRDefault="00F87646" w:rsidP="00E86542">
            <w:pPr>
              <w:pStyle w:val="TableofFigures"/>
              <w:rPr>
                <w:rFonts w:eastAsiaTheme="minorEastAsia"/>
                <w:b/>
                <w:bCs/>
                <w:lang w:eastAsia="en-AU"/>
              </w:rPr>
            </w:pPr>
            <w:r w:rsidRPr="00BC0C9E">
              <w:rPr>
                <w:rFonts w:eastAsiaTheme="minorEastAsia"/>
                <w:b/>
                <w:bCs/>
                <w:lang w:eastAsia="en-AU"/>
              </w:rPr>
              <w:t xml:space="preserve"> 11.6</w:t>
            </w:r>
          </w:p>
        </w:tc>
        <w:tc>
          <w:tcPr>
            <w:tcW w:w="992" w:type="dxa"/>
            <w:tcBorders>
              <w:top w:val="single" w:sz="6" w:space="0" w:color="auto"/>
              <w:left w:val="nil"/>
              <w:bottom w:val="single" w:sz="12" w:space="0" w:color="auto"/>
              <w:right w:val="nil"/>
            </w:tcBorders>
          </w:tcPr>
          <w:p w:rsidR="00F87646" w:rsidRPr="00BC0C9E" w:rsidRDefault="00F87646" w:rsidP="00E86542">
            <w:pPr>
              <w:pStyle w:val="TableofFigures"/>
              <w:rPr>
                <w:rFonts w:eastAsiaTheme="minorEastAsia"/>
                <w:b/>
                <w:bCs/>
                <w:lang w:eastAsia="en-AU"/>
              </w:rPr>
            </w:pPr>
            <w:r w:rsidRPr="00BC0C9E">
              <w:rPr>
                <w:rFonts w:eastAsiaTheme="minorEastAsia"/>
                <w:b/>
                <w:bCs/>
                <w:lang w:eastAsia="en-AU"/>
              </w:rPr>
              <w:t xml:space="preserve"> 12.1</w:t>
            </w:r>
          </w:p>
        </w:tc>
      </w:tr>
    </w:tbl>
    <w:p w:rsidR="00F87646" w:rsidRPr="00BC0C9E" w:rsidRDefault="00F87646" w:rsidP="00CB35C8">
      <w:pPr>
        <w:pStyle w:val="Source"/>
        <w:rPr>
          <w:rStyle w:val="PageNumber"/>
          <w:sz w:val="15"/>
        </w:rPr>
      </w:pPr>
      <w:r w:rsidRPr="00BC0C9E">
        <w:rPr>
          <w:rStyle w:val="PageNumber"/>
          <w:sz w:val="15"/>
        </w:rPr>
        <w:t>Source: Department of Treasury and Finance</w:t>
      </w:r>
    </w:p>
    <w:p w:rsidR="00F87646" w:rsidRPr="00BC0C9E" w:rsidRDefault="00F87646" w:rsidP="00E664D1">
      <w:pPr>
        <w:pStyle w:val="Notes"/>
      </w:pPr>
    </w:p>
    <w:p w:rsidR="00F87646" w:rsidRPr="00BC0C9E" w:rsidRDefault="00F87646" w:rsidP="00882D47">
      <w:pPr>
        <w:pStyle w:val="Heading5"/>
      </w:pPr>
      <w:r w:rsidRPr="00BC0C9E">
        <w:t>State Revenue Office – assessment and compliance</w:t>
      </w:r>
    </w:p>
    <w:p w:rsidR="00F87646" w:rsidRPr="00BC0C9E" w:rsidRDefault="00F87646" w:rsidP="00882D47">
      <w:r w:rsidRPr="00BC0C9E">
        <w:t>The State Revenue Office will enhance its compliance activities, primarily in relation to land tax, landholder and land rich duties, and payroll tax. These activities include greater investigation of reported land ownership, utilising new technology and data, and accelerating the resolution of duty assessments.</w:t>
      </w:r>
    </w:p>
    <w:p w:rsidR="00F87646" w:rsidRDefault="00F87646" w:rsidP="00232EA5">
      <w:r w:rsidRPr="00BC0C9E">
        <w:t>This initiative contributes to the Department of Treasury and Finance</w:t>
      </w:r>
      <w:r>
        <w:t>’</w:t>
      </w:r>
      <w:r w:rsidRPr="00BC0C9E">
        <w:t>s Revenue Management Services output.</w:t>
      </w:r>
    </w:p>
    <w:p w:rsidR="00F87646" w:rsidRDefault="00F87646" w:rsidP="004D349D"/>
    <w:p w:rsidR="00F87646" w:rsidRDefault="00F87646" w:rsidP="00986765">
      <w:pPr>
        <w:sectPr w:rsidR="00F87646" w:rsidSect="002869F8">
          <w:footerReference w:type="even" r:id="rId28"/>
          <w:footerReference w:type="default" r:id="rId29"/>
          <w:pgSz w:w="9979" w:h="14181" w:code="138"/>
          <w:pgMar w:top="1138" w:right="1138" w:bottom="1138" w:left="1138" w:header="720" w:footer="432" w:gutter="0"/>
          <w:cols w:space="708"/>
          <w:docGrid w:linePitch="360"/>
        </w:sectPr>
      </w:pPr>
    </w:p>
    <w:p w:rsidR="00F87646" w:rsidRDefault="00F87646" w:rsidP="00B50C70">
      <w:pPr>
        <w:pStyle w:val="ChapterHeading"/>
      </w:pPr>
      <w:bookmarkStart w:id="102" w:name="_Toc403386708"/>
      <w:r>
        <w:lastRenderedPageBreak/>
        <w:t>Appendix B – Sensitivity analysis table</w:t>
      </w:r>
      <w:bookmarkEnd w:id="102"/>
    </w:p>
    <w:p w:rsidR="00F87646" w:rsidRDefault="00F87646" w:rsidP="00D220D2">
      <w:r>
        <w:t xml:space="preserve">The economic forecasts and assumptions underpinning the </w:t>
      </w:r>
      <w:r w:rsidRPr="000704CA">
        <w:rPr>
          <w:i/>
        </w:rPr>
        <w:t xml:space="preserve">2014 </w:t>
      </w:r>
      <w:r>
        <w:rPr>
          <w:i/>
        </w:rPr>
        <w:t xml:space="preserve">Victorian </w:t>
      </w:r>
      <w:r w:rsidRPr="000704CA">
        <w:rPr>
          <w:i/>
        </w:rPr>
        <w:t>Pre</w:t>
      </w:r>
      <w:r>
        <w:rPr>
          <w:i/>
        </w:rPr>
        <w:noBreakHyphen/>
      </w:r>
      <w:r w:rsidRPr="000704CA">
        <w:rPr>
          <w:i/>
        </w:rPr>
        <w:t>Election Budget Update</w:t>
      </w:r>
      <w:r>
        <w:rPr>
          <w:i/>
        </w:rPr>
        <w:t xml:space="preserve"> </w:t>
      </w:r>
      <w:r>
        <w:t>are subject to variation. This section analyses the impact of variations in these parameters on key fiscal aggregates of the general government sector.</w:t>
      </w:r>
    </w:p>
    <w:p w:rsidR="00F87646" w:rsidRPr="006C69B2" w:rsidRDefault="00F87646" w:rsidP="00D220D2">
      <w:r>
        <w:t xml:space="preserve">Two types of sensitivity analysis are presented. First, the fiscal impact of independent variations in key economic variables is considered. Such analysis may be useful, for example, in considering the impact of a forecast error in any individual economic parameter on fiscal aggregates. Second, the simultaneous impact of variations in a number of economic variables is considered with reference to recent historical examples. Such analysis attempts to capture some, though not all, of the interrelationships between economic variables. This is likely to provide a better understanding of the fiscal impact </w:t>
      </w:r>
      <w:r w:rsidRPr="006C69B2">
        <w:t>where the general economic environment is materially different from forecast.</w:t>
      </w:r>
    </w:p>
    <w:p w:rsidR="00F87646" w:rsidRPr="00B124B5" w:rsidRDefault="00F87646" w:rsidP="00D220D2">
      <w:r>
        <w:t>While sensitivity analysis provides a useful indication of the fiscal impact of variations in economic conditions, care should be exercised in using these results. The relationships between economic and fiscal aggregates are complex, and typically depend on the specific characteristics of the economic shock. For example, a property</w:t>
      </w:r>
      <w:r>
        <w:noBreakHyphen/>
        <w:t xml:space="preserve">led economic downturn is </w:t>
      </w:r>
      <w:r w:rsidRPr="00B124B5">
        <w:t xml:space="preserve">likely to have a very different fiscal impact to one concentrated in the retail sector, even if the overall impact on gross state product (GSP) and employment is similar. In addition, there is often an immediate budget management response to economic shocks. </w:t>
      </w:r>
    </w:p>
    <w:p w:rsidR="00F87646" w:rsidRPr="00B124B5" w:rsidRDefault="00F87646" w:rsidP="00B273B1">
      <w:pPr>
        <w:pStyle w:val="Heading1"/>
      </w:pPr>
      <w:bookmarkStart w:id="103" w:name="_Toc401056879"/>
      <w:bookmarkStart w:id="104" w:name="_Toc401147510"/>
      <w:bookmarkStart w:id="105" w:name="_Toc403386709"/>
      <w:r w:rsidRPr="00B124B5">
        <w:t>Sensitivity to independent variations in major economic parameters</w:t>
      </w:r>
      <w:bookmarkEnd w:id="103"/>
      <w:bookmarkEnd w:id="104"/>
      <w:bookmarkEnd w:id="105"/>
    </w:p>
    <w:p w:rsidR="00F87646" w:rsidRPr="00B124B5" w:rsidRDefault="00F87646" w:rsidP="00D220D2">
      <w:r w:rsidRPr="00B124B5">
        <w:t>The major economic variables that affect Victoria</w:t>
      </w:r>
      <w:r>
        <w:t>’</w:t>
      </w:r>
      <w:r w:rsidRPr="00B124B5">
        <w:t>s net result from transactions and net debt are economic activity, employment, consumer prices, wages, enterprise agreements, domestic and overseas share prices, property prices and volumes and interest rates.</w:t>
      </w:r>
    </w:p>
    <w:p w:rsidR="00F87646" w:rsidRDefault="00F87646" w:rsidP="00D220D2">
      <w:r w:rsidRPr="00B124B5">
        <w:t>Table B.1 presents the sensitivity of the net result from transactions, the net result (where relevant) and net debt to a 1</w:t>
      </w:r>
      <w:r>
        <w:t> per cent</w:t>
      </w:r>
      <w:r w:rsidRPr="00B124B5">
        <w:t xml:space="preserve"> in</w:t>
      </w:r>
      <w:r>
        <w:t>crease in each variable (or a 1 </w:t>
      </w:r>
      <w:r w:rsidRPr="00B124B5">
        <w:t>percentage point</w:t>
      </w:r>
      <w:r>
        <w:t xml:space="preserve"> increase for interest</w:t>
      </w:r>
      <w:r w:rsidRPr="00B124B5">
        <w:t xml:space="preserve"> rates) in isolation from any other changes. The impacts shown in the table are broadly symmetrical. That is, in most cases, the estimated fiscal impact would apply equally in the opposite direction if a 1</w:t>
      </w:r>
      <w:r>
        <w:t> per cent</w:t>
      </w:r>
      <w:r w:rsidRPr="00B124B5">
        <w:t xml:space="preserve"> de</w:t>
      </w:r>
      <w:r>
        <w:t>crease in each variable (or a 1 </w:t>
      </w:r>
      <w:r w:rsidRPr="00B124B5">
        <w:t xml:space="preserve">percentage point decrease for </w:t>
      </w:r>
      <w:r>
        <w:t>interest</w:t>
      </w:r>
      <w:r w:rsidRPr="00B124B5">
        <w:t xml:space="preserve"> rates) were considered.</w:t>
      </w:r>
    </w:p>
    <w:p w:rsidR="00F87646" w:rsidRDefault="00F87646">
      <w:pPr>
        <w:spacing w:after="0"/>
        <w:rPr>
          <w:rFonts w:ascii="Calibri" w:hAnsi="Calibri"/>
          <w:b/>
        </w:rPr>
      </w:pPr>
      <w:r>
        <w:br w:type="page"/>
      </w:r>
    </w:p>
    <w:p w:rsidR="00F87646" w:rsidRDefault="00F87646" w:rsidP="00D220D2">
      <w:pPr>
        <w:pStyle w:val="Tableheading"/>
        <w:rPr>
          <w:vertAlign w:val="superscript"/>
        </w:rPr>
      </w:pPr>
      <w:r w:rsidRPr="004F7D6B">
        <w:lastRenderedPageBreak/>
        <w:t xml:space="preserve">Table </w:t>
      </w:r>
      <w:r>
        <w:t>B</w:t>
      </w:r>
      <w:r w:rsidRPr="004F7D6B">
        <w:t>.1:</w:t>
      </w:r>
      <w:r w:rsidRPr="004F7D6B">
        <w:tab/>
      </w:r>
      <w:r w:rsidRPr="00FA77F3">
        <w:t xml:space="preserve">Sensitivity of key </w:t>
      </w:r>
      <w:r w:rsidRPr="002B36D5">
        <w:t>fiscal</w:t>
      </w:r>
      <w:r w:rsidRPr="00FA77F3">
        <w:t xml:space="preserve"> aggregates to selected economic indicators being 1</w:t>
      </w:r>
      <w:r>
        <w:t> per cent</w:t>
      </w:r>
      <w:r w:rsidRPr="00FA77F3">
        <w:t xml:space="preserve"> higher than expected from 2014</w:t>
      </w:r>
      <w:r>
        <w:noBreakHyphen/>
      </w:r>
      <w:r w:rsidRPr="00FA77F3">
        <w:t>15</w:t>
      </w:r>
      <w:r w:rsidRPr="002B36D5">
        <w:rPr>
          <w:vertAlign w:val="superscript"/>
        </w:rPr>
        <w:t>(</w:t>
      </w:r>
      <w:r w:rsidRPr="000943E5">
        <w:rPr>
          <w:vertAlign w:val="superscript"/>
        </w:rPr>
        <w:t>a)(b)(c)(d)</w:t>
      </w:r>
    </w:p>
    <w:p w:rsidR="00F87646" w:rsidRPr="00050D42" w:rsidRDefault="00F87646" w:rsidP="00050D42">
      <w:pPr>
        <w:pStyle w:val="million"/>
      </w:pPr>
      <w:r w:rsidRPr="000943E5">
        <w:t>($</w:t>
      </w:r>
      <w:r>
        <w:t> million</w:t>
      </w:r>
      <w:r w:rsidRPr="000943E5">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87646" w:rsidRPr="00050D42" w:rsidTr="00050D42">
        <w:trPr>
          <w:tblHeader/>
        </w:trPr>
        <w:tc>
          <w:tcPr>
            <w:tcW w:w="3801" w:type="dxa"/>
            <w:tcBorders>
              <w:top w:val="single" w:sz="6" w:space="0" w:color="auto"/>
              <w:left w:val="single" w:sz="6" w:space="0" w:color="auto"/>
              <w:right w:val="nil"/>
            </w:tcBorders>
            <w:shd w:val="clear" w:color="auto" w:fill="000000"/>
          </w:tcPr>
          <w:p w:rsidR="00F87646" w:rsidRPr="00050D42" w:rsidRDefault="00F87646" w:rsidP="00050D42">
            <w:pPr>
              <w:pStyle w:val="Tabletext"/>
              <w:rPr>
                <w:rFonts w:eastAsiaTheme="minorEastAsia"/>
                <w:lang w:eastAsia="en-AU"/>
              </w:rPr>
            </w:pPr>
          </w:p>
        </w:tc>
        <w:tc>
          <w:tcPr>
            <w:tcW w:w="993" w:type="dxa"/>
            <w:tcBorders>
              <w:top w:val="single" w:sz="6" w:space="0" w:color="auto"/>
              <w:left w:val="nil"/>
              <w:right w:val="nil"/>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2014</w:t>
            </w:r>
            <w:r>
              <w:rPr>
                <w:rFonts w:eastAsiaTheme="minorEastAsia"/>
                <w:lang w:eastAsia="en-AU"/>
              </w:rPr>
              <w:noBreakHyphen/>
            </w:r>
            <w:r w:rsidRPr="00050D42">
              <w:rPr>
                <w:rFonts w:eastAsiaTheme="minorEastAsia"/>
                <w:lang w:eastAsia="en-AU"/>
              </w:rPr>
              <w:t>15</w:t>
            </w:r>
          </w:p>
        </w:tc>
        <w:tc>
          <w:tcPr>
            <w:tcW w:w="993" w:type="dxa"/>
            <w:tcBorders>
              <w:top w:val="single" w:sz="6" w:space="0" w:color="auto"/>
              <w:left w:val="nil"/>
              <w:right w:val="nil"/>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2015</w:t>
            </w:r>
            <w:r>
              <w:rPr>
                <w:rFonts w:eastAsiaTheme="minorEastAsia"/>
                <w:lang w:eastAsia="en-AU"/>
              </w:rPr>
              <w:noBreakHyphen/>
            </w:r>
            <w:r w:rsidRPr="00050D42">
              <w:rPr>
                <w:rFonts w:eastAsiaTheme="minorEastAsia"/>
                <w:lang w:eastAsia="en-AU"/>
              </w:rPr>
              <w:t>16</w:t>
            </w:r>
          </w:p>
        </w:tc>
        <w:tc>
          <w:tcPr>
            <w:tcW w:w="993" w:type="dxa"/>
            <w:tcBorders>
              <w:top w:val="single" w:sz="6" w:space="0" w:color="auto"/>
              <w:left w:val="nil"/>
              <w:right w:val="nil"/>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2016</w:t>
            </w:r>
            <w:r>
              <w:rPr>
                <w:rFonts w:eastAsiaTheme="minorEastAsia"/>
                <w:lang w:eastAsia="en-AU"/>
              </w:rPr>
              <w:noBreakHyphen/>
            </w:r>
            <w:r w:rsidRPr="00050D42">
              <w:rPr>
                <w:rFonts w:eastAsiaTheme="minorEastAsia"/>
                <w:lang w:eastAsia="en-AU"/>
              </w:rPr>
              <w:t>17</w:t>
            </w:r>
          </w:p>
        </w:tc>
        <w:tc>
          <w:tcPr>
            <w:tcW w:w="993" w:type="dxa"/>
            <w:tcBorders>
              <w:top w:val="single" w:sz="6" w:space="0" w:color="auto"/>
              <w:left w:val="nil"/>
              <w:right w:val="single" w:sz="6" w:space="0" w:color="auto"/>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2017</w:t>
            </w:r>
            <w:r>
              <w:rPr>
                <w:rFonts w:eastAsiaTheme="minorEastAsia"/>
                <w:lang w:eastAsia="en-AU"/>
              </w:rPr>
              <w:noBreakHyphen/>
            </w:r>
            <w:r w:rsidRPr="00050D42">
              <w:rPr>
                <w:rFonts w:eastAsiaTheme="minorEastAsia"/>
                <w:lang w:eastAsia="en-AU"/>
              </w:rPr>
              <w:t>18</w:t>
            </w:r>
          </w:p>
        </w:tc>
      </w:tr>
      <w:tr w:rsidR="00F87646" w:rsidRPr="00050D42" w:rsidTr="00050D42">
        <w:trPr>
          <w:tblHeader/>
        </w:trPr>
        <w:tc>
          <w:tcPr>
            <w:tcW w:w="3801" w:type="dxa"/>
            <w:tcBorders>
              <w:left w:val="single" w:sz="6" w:space="0" w:color="auto"/>
              <w:bottom w:val="single" w:sz="6" w:space="0" w:color="auto"/>
              <w:right w:val="nil"/>
            </w:tcBorders>
            <w:shd w:val="clear" w:color="auto" w:fill="000000"/>
          </w:tcPr>
          <w:p w:rsidR="00F87646" w:rsidRPr="00050D42" w:rsidRDefault="00F87646" w:rsidP="00050D42">
            <w:pPr>
              <w:pStyle w:val="Tabletext"/>
              <w:rPr>
                <w:rFonts w:eastAsiaTheme="minorEastAsia"/>
                <w:lang w:eastAsia="en-AU"/>
              </w:rPr>
            </w:pPr>
          </w:p>
        </w:tc>
        <w:tc>
          <w:tcPr>
            <w:tcW w:w="993" w:type="dxa"/>
            <w:tcBorders>
              <w:left w:val="nil"/>
              <w:bottom w:val="single" w:sz="6" w:space="0" w:color="auto"/>
              <w:right w:val="nil"/>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estimate</w:t>
            </w:r>
          </w:p>
        </w:tc>
        <w:tc>
          <w:tcPr>
            <w:tcW w:w="993" w:type="dxa"/>
            <w:tcBorders>
              <w:left w:val="nil"/>
              <w:bottom w:val="single" w:sz="6" w:space="0" w:color="auto"/>
              <w:right w:val="nil"/>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estimate</w:t>
            </w:r>
          </w:p>
        </w:tc>
        <w:tc>
          <w:tcPr>
            <w:tcW w:w="993" w:type="dxa"/>
            <w:tcBorders>
              <w:left w:val="nil"/>
              <w:bottom w:val="single" w:sz="6" w:space="0" w:color="auto"/>
              <w:right w:val="nil"/>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estimate</w:t>
            </w:r>
          </w:p>
        </w:tc>
        <w:tc>
          <w:tcPr>
            <w:tcW w:w="993" w:type="dxa"/>
            <w:tcBorders>
              <w:left w:val="nil"/>
              <w:bottom w:val="single" w:sz="6" w:space="0" w:color="auto"/>
              <w:right w:val="single" w:sz="6" w:space="0" w:color="auto"/>
            </w:tcBorders>
            <w:shd w:val="clear" w:color="auto" w:fill="000000"/>
          </w:tcPr>
          <w:p w:rsidR="00F87646" w:rsidRPr="00050D42" w:rsidRDefault="00F87646" w:rsidP="00050D42">
            <w:pPr>
              <w:pStyle w:val="Tabletextheading"/>
              <w:rPr>
                <w:rFonts w:eastAsiaTheme="minorEastAsia"/>
                <w:lang w:eastAsia="en-AU"/>
              </w:rPr>
            </w:pPr>
            <w:r w:rsidRPr="00050D42">
              <w:rPr>
                <w:rFonts w:eastAsiaTheme="minorEastAsia"/>
                <w:lang w:eastAsia="en-AU"/>
              </w:rPr>
              <w:t>estimate</w:t>
            </w:r>
          </w:p>
        </w:tc>
      </w:tr>
      <w:tr w:rsidR="00F87646" w:rsidRPr="00050D42" w:rsidTr="00050D42">
        <w:tc>
          <w:tcPr>
            <w:tcW w:w="3801" w:type="dxa"/>
            <w:tcBorders>
              <w:top w:val="single" w:sz="6" w:space="0" w:color="auto"/>
              <w:left w:val="nil"/>
              <w:bottom w:val="nil"/>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GSP</w:t>
            </w:r>
          </w:p>
        </w:tc>
        <w:tc>
          <w:tcPr>
            <w:tcW w:w="993" w:type="dxa"/>
            <w:tcBorders>
              <w:top w:val="single" w:sz="6" w:space="0" w:color="auto"/>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single" w:sz="6" w:space="0" w:color="auto"/>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single" w:sz="6" w:space="0" w:color="auto"/>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single" w:sz="6" w:space="0" w:color="auto"/>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157</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164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174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192</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7</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( 9)</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( 19)</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150</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164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184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210</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150</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315</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498</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709</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Employment</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71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97</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( 6)</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( 16)</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73</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99</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103</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114</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73</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173</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276</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390</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vertAlign w:val="superscript"/>
                <w:lang w:eastAsia="en-AU"/>
              </w:rPr>
            </w:pPr>
            <w:r w:rsidRPr="00050D42">
              <w:rPr>
                <w:rFonts w:eastAsiaTheme="minorEastAsia"/>
                <w:b/>
                <w:bCs/>
                <w:lang w:eastAsia="en-AU"/>
              </w:rPr>
              <w:t xml:space="preserve">Consumer prices </w:t>
            </w:r>
            <w:r w:rsidRPr="00050D42">
              <w:rPr>
                <w:rFonts w:eastAsiaTheme="minorEastAsia"/>
                <w:b/>
                <w:bCs/>
                <w:vertAlign w:val="superscript"/>
                <w:lang w:eastAsia="en-AU"/>
              </w:rPr>
              <w:t>(e)</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300</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214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291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329</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66</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65</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57</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45</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234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149</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233</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284</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Other economic flows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235</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150</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234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284</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235</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385</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619</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904</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 xml:space="preserve">Average weekly earnings </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83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( 83)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( 8)</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6</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7</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76</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( 90)</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( 8)</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( 17)</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76</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( 13)</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( 22)</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( 38)</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vertAlign w:val="superscript"/>
                <w:lang w:eastAsia="en-AU"/>
              </w:rPr>
            </w:pPr>
            <w:r w:rsidRPr="00050D42">
              <w:rPr>
                <w:rFonts w:eastAsiaTheme="minorEastAsia"/>
                <w:b/>
                <w:bCs/>
                <w:lang w:eastAsia="en-AU"/>
              </w:rPr>
              <w:t xml:space="preserve">Enterprise agreements </w:t>
            </w:r>
            <w:r w:rsidRPr="00050D42">
              <w:rPr>
                <w:rFonts w:eastAsiaTheme="minorEastAsia"/>
                <w:b/>
                <w:bCs/>
                <w:vertAlign w:val="superscript"/>
                <w:lang w:eastAsia="en-AU"/>
              </w:rPr>
              <w:t>(f)</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29</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30</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30</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30</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198</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246</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264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283</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( 169)</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( 217)</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( 234)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( 253)</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( 169)</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( 370)</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( 588)</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( 824)</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 xml:space="preserve">Domestic share prices </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6</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( 3)</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5</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3</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8</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5</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8</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16</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 xml:space="preserve">Overseas share prices </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18</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18</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( 4)</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21</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7</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21</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22</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28</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50</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pageBreakBefore/>
              <w:ind w:left="187" w:hanging="187"/>
              <w:rPr>
                <w:rFonts w:eastAsiaTheme="minorEastAsia"/>
                <w:b/>
                <w:bCs/>
                <w:lang w:eastAsia="en-AU"/>
              </w:rPr>
            </w:pPr>
            <w:r w:rsidRPr="00050D42">
              <w:rPr>
                <w:rFonts w:eastAsiaTheme="minorEastAsia"/>
                <w:b/>
                <w:bCs/>
                <w:lang w:eastAsia="en-AU"/>
              </w:rPr>
              <w:lastRenderedPageBreak/>
              <w:t>Property prices</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80</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83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90</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94</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( 7)</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( 17)</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82</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90</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102</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111</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Other economic flows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3</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84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92</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105</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113</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84</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176</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281</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394</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Property volumes</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46</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49</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51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54</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( 1)</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( 6)</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( 9)</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47</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52</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58</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63</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47</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99</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157</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220</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b/>
                <w:bCs/>
                <w:vertAlign w:val="superscript"/>
                <w:lang w:eastAsia="en-AU"/>
              </w:rPr>
            </w:pPr>
            <w:r w:rsidRPr="00050D42">
              <w:rPr>
                <w:rFonts w:eastAsiaTheme="minorEastAsia"/>
                <w:b/>
                <w:bCs/>
                <w:lang w:eastAsia="en-AU"/>
              </w:rPr>
              <w:t xml:space="preserve">Interest rates </w:t>
            </w:r>
            <w:r w:rsidRPr="00050D42">
              <w:rPr>
                <w:rFonts w:eastAsiaTheme="minorEastAsia"/>
                <w:b/>
                <w:bCs/>
                <w:vertAlign w:val="superscript"/>
                <w:lang w:eastAsia="en-AU"/>
              </w:rPr>
              <w:t>(g)</w:t>
            </w: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c>
          <w:tcPr>
            <w:tcW w:w="993" w:type="dxa"/>
            <w:tcBorders>
              <w:top w:val="nil"/>
              <w:left w:val="nil"/>
              <w:bottom w:val="nil"/>
              <w:right w:val="nil"/>
            </w:tcBorders>
          </w:tcPr>
          <w:p w:rsidR="00F87646" w:rsidRPr="00050D42" w:rsidRDefault="00F87646" w:rsidP="00050D42">
            <w:pPr>
              <w:pStyle w:val="TableofFigures"/>
              <w:rPr>
                <w:rFonts w:eastAsiaTheme="minorEastAsia"/>
                <w:lang w:eastAsia="en-AU"/>
              </w:rPr>
            </w:pP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Income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178</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202</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264</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129</w:t>
            </w:r>
          </w:p>
        </w:tc>
      </w:tr>
      <w:tr w:rsidR="00F87646" w:rsidRPr="00050D42" w:rsidTr="00050D42">
        <w:tc>
          <w:tcPr>
            <w:tcW w:w="3801" w:type="dxa"/>
            <w:tcBorders>
              <w:top w:val="nil"/>
              <w:left w:val="nil"/>
              <w:bottom w:val="nil"/>
              <w:right w:val="nil"/>
            </w:tcBorders>
          </w:tcPr>
          <w:p w:rsidR="00F87646" w:rsidRPr="00050D42" w:rsidRDefault="00F87646" w:rsidP="00050D42">
            <w:pPr>
              <w:pStyle w:val="Tabletext"/>
              <w:rPr>
                <w:rFonts w:eastAsiaTheme="minorEastAsia"/>
                <w:lang w:eastAsia="en-AU"/>
              </w:rPr>
            </w:pPr>
            <w:r w:rsidRPr="00050D42">
              <w:rPr>
                <w:rFonts w:eastAsiaTheme="minorEastAsia"/>
                <w:lang w:eastAsia="en-AU"/>
              </w:rPr>
              <w:t>Expenses from transactions</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5</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177</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170</w:t>
            </w:r>
          </w:p>
        </w:tc>
        <w:tc>
          <w:tcPr>
            <w:tcW w:w="993" w:type="dxa"/>
            <w:tcBorders>
              <w:top w:val="nil"/>
              <w:left w:val="nil"/>
              <w:bottom w:val="nil"/>
              <w:right w:val="nil"/>
            </w:tcBorders>
            <w:shd w:val="solid" w:color="FFFFFF" w:fill="auto"/>
          </w:tcPr>
          <w:p w:rsidR="00F87646" w:rsidRPr="00050D42" w:rsidRDefault="00F87646" w:rsidP="00050D42">
            <w:pPr>
              <w:pStyle w:val="TableofFigures"/>
              <w:rPr>
                <w:rFonts w:eastAsiaTheme="minorEastAsia"/>
                <w:lang w:eastAsia="en-AU"/>
              </w:rPr>
            </w:pPr>
            <w:r w:rsidRPr="00050D42">
              <w:rPr>
                <w:rFonts w:eastAsiaTheme="minorEastAsia"/>
                <w:lang w:eastAsia="en-AU"/>
              </w:rPr>
              <w:t xml:space="preserve"> 186</w:t>
            </w:r>
          </w:p>
        </w:tc>
      </w:tr>
      <w:tr w:rsidR="00F87646" w:rsidRPr="00050D42" w:rsidTr="00050D42">
        <w:tc>
          <w:tcPr>
            <w:tcW w:w="3801" w:type="dxa"/>
            <w:tcBorders>
              <w:top w:val="single" w:sz="6" w:space="0" w:color="auto"/>
              <w:left w:val="nil"/>
              <w:bottom w:val="single" w:sz="6"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result from transactions</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173</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25</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94</w:t>
            </w:r>
          </w:p>
        </w:tc>
        <w:tc>
          <w:tcPr>
            <w:tcW w:w="993" w:type="dxa"/>
            <w:tcBorders>
              <w:top w:val="single" w:sz="6" w:space="0" w:color="auto"/>
              <w:left w:val="nil"/>
              <w:bottom w:val="single" w:sz="6"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( 57)</w:t>
            </w:r>
          </w:p>
        </w:tc>
      </w:tr>
      <w:tr w:rsidR="00F87646" w:rsidRPr="00050D42" w:rsidTr="00050D42">
        <w:tc>
          <w:tcPr>
            <w:tcW w:w="3801" w:type="dxa"/>
            <w:tcBorders>
              <w:top w:val="single" w:sz="6" w:space="0" w:color="auto"/>
              <w:left w:val="nil"/>
              <w:bottom w:val="single" w:sz="12" w:space="0" w:color="auto"/>
              <w:right w:val="nil"/>
            </w:tcBorders>
          </w:tcPr>
          <w:p w:rsidR="00F87646" w:rsidRPr="00050D42" w:rsidRDefault="00F87646" w:rsidP="00050D42">
            <w:pPr>
              <w:pStyle w:val="Tabletext"/>
              <w:rPr>
                <w:rFonts w:eastAsiaTheme="minorEastAsia"/>
                <w:b/>
                <w:bCs/>
                <w:lang w:eastAsia="en-AU"/>
              </w:rPr>
            </w:pPr>
            <w:r w:rsidRPr="00050D42">
              <w:rPr>
                <w:rFonts w:eastAsiaTheme="minorEastAsia"/>
                <w:b/>
                <w:bCs/>
                <w:lang w:eastAsia="en-AU"/>
              </w:rPr>
              <w:t>Net debt</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173</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198</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292</w:t>
            </w:r>
          </w:p>
        </w:tc>
        <w:tc>
          <w:tcPr>
            <w:tcW w:w="993" w:type="dxa"/>
            <w:tcBorders>
              <w:top w:val="single" w:sz="6" w:space="0" w:color="auto"/>
              <w:left w:val="nil"/>
              <w:bottom w:val="single" w:sz="12" w:space="0" w:color="auto"/>
              <w:right w:val="nil"/>
            </w:tcBorders>
            <w:shd w:val="solid" w:color="FFFFFF" w:fill="auto"/>
          </w:tcPr>
          <w:p w:rsidR="00F87646" w:rsidRPr="00050D42" w:rsidRDefault="00F87646" w:rsidP="00050D42">
            <w:pPr>
              <w:pStyle w:val="TableofFigures"/>
              <w:rPr>
                <w:rFonts w:eastAsiaTheme="minorEastAsia"/>
                <w:b/>
                <w:bCs/>
                <w:lang w:eastAsia="en-AU"/>
              </w:rPr>
            </w:pPr>
            <w:r w:rsidRPr="00050D42">
              <w:rPr>
                <w:rFonts w:eastAsiaTheme="minorEastAsia"/>
                <w:b/>
                <w:bCs/>
                <w:lang w:eastAsia="en-AU"/>
              </w:rPr>
              <w:t xml:space="preserve"> 235</w:t>
            </w:r>
          </w:p>
        </w:tc>
      </w:tr>
    </w:tbl>
    <w:p w:rsidR="00F87646" w:rsidRPr="00B9553A" w:rsidRDefault="00F87646" w:rsidP="00424FB6">
      <w:pPr>
        <w:pStyle w:val="Source"/>
      </w:pPr>
      <w:r w:rsidRPr="00B9553A">
        <w:t>Source: Department of Treasury and Finance</w:t>
      </w:r>
    </w:p>
    <w:p w:rsidR="00F87646" w:rsidRPr="00B9553A" w:rsidRDefault="00F87646" w:rsidP="00D220D2">
      <w:pPr>
        <w:pStyle w:val="Notes"/>
      </w:pPr>
      <w:r w:rsidRPr="00B9553A">
        <w:t>Notes:</w:t>
      </w:r>
    </w:p>
    <w:p w:rsidR="00F87646" w:rsidRPr="00B9553A" w:rsidRDefault="00F87646" w:rsidP="00D220D2">
      <w:pPr>
        <w:pStyle w:val="Notes"/>
      </w:pPr>
      <w:r w:rsidRPr="00B9553A">
        <w:t>(a)</w:t>
      </w:r>
      <w:r w:rsidRPr="00B9553A">
        <w:tab/>
        <w:t>Variations are applied to the economic variables in 2014</w:t>
      </w:r>
      <w:r>
        <w:noBreakHyphen/>
      </w:r>
      <w:r w:rsidRPr="00B9553A">
        <w:t>15. For the out years it is assumed that variables</w:t>
      </w:r>
      <w:r>
        <w:t>’</w:t>
      </w:r>
      <w:r w:rsidRPr="00B9553A">
        <w:t xml:space="preserve"> growth rates match those under a no</w:t>
      </w:r>
      <w:r>
        <w:noBreakHyphen/>
      </w:r>
      <w:r w:rsidRPr="00B9553A">
        <w:t>variation scenario. This implies that economic variables are 1</w:t>
      </w:r>
      <w:r>
        <w:t> per cent</w:t>
      </w:r>
      <w:r w:rsidRPr="00B9553A">
        <w:t xml:space="preserve"> higher across the budget and forward years compared with a no</w:t>
      </w:r>
      <w:r>
        <w:noBreakHyphen/>
      </w:r>
      <w:r w:rsidRPr="00B9553A">
        <w:t>variation scenario.</w:t>
      </w:r>
    </w:p>
    <w:p w:rsidR="00F87646" w:rsidRPr="00B9553A" w:rsidRDefault="00F87646" w:rsidP="00D220D2">
      <w:pPr>
        <w:pStyle w:val="Notes"/>
      </w:pPr>
      <w:r w:rsidRPr="00B9553A">
        <w:t>(b)</w:t>
      </w:r>
      <w:r w:rsidRPr="00B9553A">
        <w:tab/>
        <w:t xml:space="preserve">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w:t>
      </w:r>
      <w:r>
        <w:t>a gain</w:t>
      </w:r>
      <w:r w:rsidRPr="00B9553A">
        <w:t>. A positive number for the net result from transactions and net result denotes a higher surplus or lower deficit. A positive number for net debt denotes a lower level of net debt in the relevant year compared with a no</w:t>
      </w:r>
      <w:r>
        <w:noBreakHyphen/>
      </w:r>
      <w:r w:rsidRPr="00B9553A">
        <w:t>variation scenario. A decrease in net debt is consistent with the Government</w:t>
      </w:r>
      <w:r>
        <w:t>’</w:t>
      </w:r>
      <w:r w:rsidRPr="00B9553A">
        <w:t>s medium</w:t>
      </w:r>
      <w:r>
        <w:noBreakHyphen/>
      </w:r>
      <w:r w:rsidRPr="00B9553A">
        <w:t xml:space="preserve">term fiscal parameter of a reduction in net debt as a </w:t>
      </w:r>
      <w:r>
        <w:t>share of GSP over the decade to </w:t>
      </w:r>
      <w:r w:rsidRPr="00B9553A">
        <w:t>2022. Numbers may not balance due to rounding.</w:t>
      </w:r>
    </w:p>
    <w:p w:rsidR="00F87646" w:rsidRPr="00B9553A" w:rsidRDefault="00F87646" w:rsidP="00D220D2">
      <w:pPr>
        <w:pStyle w:val="Notes"/>
      </w:pPr>
      <w:r w:rsidRPr="00B9553A">
        <w:t>(c)</w:t>
      </w:r>
      <w:r w:rsidRPr="00B9553A">
        <w:tab/>
        <w:t>The impact of a 1</w:t>
      </w:r>
      <w:r>
        <w:t> per cent</w:t>
      </w:r>
      <w:r w:rsidRPr="00B9553A">
        <w:t xml:space="preserve"> lower than expected outcome for an economic variable would, in most instances, simply be the opposite of the impact shown in the table.</w:t>
      </w:r>
    </w:p>
    <w:p w:rsidR="00F87646" w:rsidRPr="00B9553A" w:rsidRDefault="00F87646" w:rsidP="00D220D2">
      <w:pPr>
        <w:pStyle w:val="Notes"/>
      </w:pPr>
      <w:r w:rsidRPr="00B9553A">
        <w:t>(d)</w:t>
      </w:r>
      <w:r w:rsidRPr="00B9553A">
        <w:tab/>
        <w:t>Only reasonably quantifiable impacts have been included in the analysis.</w:t>
      </w:r>
    </w:p>
    <w:p w:rsidR="00F87646" w:rsidRPr="00B9553A" w:rsidRDefault="00F87646" w:rsidP="00D220D2">
      <w:pPr>
        <w:pStyle w:val="Notes"/>
      </w:pPr>
      <w:r w:rsidRPr="00B9553A">
        <w:t>(e)</w:t>
      </w:r>
      <w:r w:rsidRPr="00B9553A">
        <w:tab/>
        <w:t xml:space="preserve">Incorporates the impact of the departmental funding model arrangements. It is assumed that an increase in consumer prices within the budget year does not affect employee entitlements. </w:t>
      </w:r>
    </w:p>
    <w:p w:rsidR="00F87646" w:rsidRPr="00B9553A" w:rsidRDefault="00F87646" w:rsidP="00D220D2">
      <w:pPr>
        <w:pStyle w:val="Notes"/>
      </w:pPr>
      <w:r w:rsidRPr="00B9553A">
        <w:t>(f)</w:t>
      </w:r>
      <w:r w:rsidRPr="00B9553A">
        <w:tab/>
        <w:t>Represents a 1</w:t>
      </w:r>
      <w:r>
        <w:t> per cent</w:t>
      </w:r>
      <w:r w:rsidRPr="00B9553A">
        <w:t xml:space="preserve"> increase in all government enterprise agreements.</w:t>
      </w:r>
    </w:p>
    <w:p w:rsidR="00F87646" w:rsidRDefault="00F87646" w:rsidP="00D220D2">
      <w:pPr>
        <w:pStyle w:val="Notes"/>
      </w:pPr>
      <w:r w:rsidRPr="00B9553A">
        <w:t>(g)</w:t>
      </w:r>
      <w:r w:rsidRPr="00B9553A">
        <w:tab/>
        <w:t>Assumes interest rates are 1 percentage point higher across the entire term structure, i.e. short and long</w:t>
      </w:r>
      <w:r>
        <w:noBreakHyphen/>
      </w:r>
      <w:r w:rsidRPr="00B9553A">
        <w:t>term rates, over the budget and forward estimates period.</w:t>
      </w:r>
    </w:p>
    <w:p w:rsidR="00F87646" w:rsidRDefault="00F87646" w:rsidP="00D220D2">
      <w:pPr>
        <w:pStyle w:val="Notes"/>
        <w:ind w:left="0" w:firstLine="0"/>
      </w:pPr>
    </w:p>
    <w:p w:rsidR="00F87646" w:rsidRDefault="00F87646" w:rsidP="00D220D2">
      <w:pPr>
        <w:pStyle w:val="Heading2"/>
      </w:pPr>
      <w:r>
        <w:t>Sensitivity to economic activity</w:t>
      </w:r>
    </w:p>
    <w:p w:rsidR="00F87646" w:rsidRDefault="00F87646" w:rsidP="00D220D2">
      <w:r>
        <w:t xml:space="preserve">Higher than expected GSP is associated with higher household consumption, leading to </w:t>
      </w:r>
      <w:r w:rsidRPr="00B124B5">
        <w:t>higher goods and services tax (GST) grants revenue and own</w:t>
      </w:r>
      <w:r>
        <w:noBreakHyphen/>
      </w:r>
      <w:r w:rsidRPr="00B124B5">
        <w:t>source taxation revenue</w:t>
      </w:r>
      <w:r>
        <w:t>, and</w:t>
      </w:r>
      <w:r w:rsidRPr="00B124B5">
        <w:t xml:space="preserve"> reduced borrowing costs as a result of </w:t>
      </w:r>
      <w:r>
        <w:t xml:space="preserve">the </w:t>
      </w:r>
      <w:r w:rsidRPr="00B124B5">
        <w:t>change in cash surplus. This</w:t>
      </w:r>
      <w:r>
        <w:t xml:space="preserve"> increases the net result from transactions and reduces net debt. The reductions in net debt each year are of the same magnitude as the increases in the net result from transactions. As net debt is a stock variable, the impacts in each year accumulate over the forward estimates. </w:t>
      </w:r>
    </w:p>
    <w:p w:rsidR="00F87646" w:rsidRDefault="00F87646" w:rsidP="00D220D2">
      <w:pPr>
        <w:pStyle w:val="Heading2"/>
      </w:pPr>
      <w:r>
        <w:lastRenderedPageBreak/>
        <w:t>Sensitivity to employment</w:t>
      </w:r>
    </w:p>
    <w:p w:rsidR="00F87646" w:rsidRDefault="00F87646" w:rsidP="00D220D2">
      <w:r>
        <w:t xml:space="preserve">Higher than expected employment results in additional payroll tax revenue. An increase in the remuneration base also results in additional premium revenue for the Victorian WorkCover Authority (VWA) and higher dividends and income tax equivalents (ITEs) payable to the State. </w:t>
      </w:r>
      <w:r w:rsidRPr="005253BD">
        <w:t xml:space="preserve">The </w:t>
      </w:r>
      <w:r>
        <w:t>higher dividends and ITEs increase</w:t>
      </w:r>
      <w:r w:rsidRPr="005253BD">
        <w:t xml:space="preserve"> the net result from transactions.</w:t>
      </w:r>
    </w:p>
    <w:p w:rsidR="00F87646" w:rsidRDefault="00F87646" w:rsidP="00D220D2">
      <w:pPr>
        <w:pStyle w:val="Heading2"/>
      </w:pPr>
      <w:r>
        <w:t>Sensitivity to consumer prices</w:t>
      </w:r>
    </w:p>
    <w:p w:rsidR="00F87646" w:rsidRDefault="00F87646" w:rsidP="00D220D2">
      <w:r>
        <w:t>Higher consumer prices lead to higher Commonwealth</w:t>
      </w:r>
      <w:r>
        <w:noBreakHyphen/>
        <w:t>sourced revenue (due to indexation), and higher GST and own</w:t>
      </w:r>
      <w:r>
        <w:noBreakHyphen/>
        <w:t>source taxation revenue, as the values of tax bases rise in nominal terms.</w:t>
      </w:r>
    </w:p>
    <w:p w:rsidR="00F87646" w:rsidRDefault="00F87646" w:rsidP="00D220D2">
      <w:r w:rsidRPr="007E09A2">
        <w:t xml:space="preserve">There is no impact on dividends payable by VWA in the budget year </w:t>
      </w:r>
      <w:r w:rsidRPr="005253BD">
        <w:t>as dividends are based on performance from insurance operations, which excludes the initial impact of CPI movements. However,</w:t>
      </w:r>
      <w:r w:rsidRPr="007E09A2">
        <w:t xml:space="preserve"> the increase in consumer prices results in lower dividends and ITEs in the out years due mainly to increased claims expenses.</w:t>
      </w:r>
    </w:p>
    <w:p w:rsidR="00F87646" w:rsidRDefault="00F87646" w:rsidP="00D220D2">
      <w:r w:rsidRPr="00C81E59">
        <w:t xml:space="preserve">Higher prices increase the net result of the Transport Accident Commission (TAC) </w:t>
      </w:r>
      <w:r>
        <w:t>from 2015</w:t>
      </w:r>
      <w:r>
        <w:noBreakHyphen/>
        <w:t xml:space="preserve">16 </w:t>
      </w:r>
      <w:r w:rsidRPr="00C81E59">
        <w:t>through higher insurance premium income, partially offset by an increase in claims expenses. This increases the dividends and ITEs payable to the State.</w:t>
      </w:r>
      <w:r>
        <w:t xml:space="preserve"> </w:t>
      </w:r>
    </w:p>
    <w:p w:rsidR="00F87646" w:rsidRDefault="00F87646" w:rsidP="00D220D2">
      <w:r>
        <w:t>Government expenses are affected through the higher cost of supplies and services and some increases in outlays on grants and transfers. An increase in consumer prices also increases the superannuation expense in the out years.</w:t>
      </w:r>
    </w:p>
    <w:p w:rsidR="00F87646" w:rsidRDefault="00F87646" w:rsidP="00D220D2">
      <w:r>
        <w:t xml:space="preserve">Reflecting the operation of departmental funding arrangements, the impact of the increase in expenses is limited to the extent that departments can fund it from increased revenue from specific purpose grants and sales of goods and services. </w:t>
      </w:r>
    </w:p>
    <w:p w:rsidR="00F87646" w:rsidRDefault="00F87646" w:rsidP="00D220D2">
      <w:r>
        <w:t>Overall, there is a positive impact on the net result and the net result from transactions, and a cumulative reduction in net debt over the budget and forward estimates.</w:t>
      </w:r>
    </w:p>
    <w:p w:rsidR="00F87646" w:rsidRDefault="00F87646" w:rsidP="00D220D2">
      <w:pPr>
        <w:pStyle w:val="Heading2"/>
      </w:pPr>
      <w:r>
        <w:t>Sensitivity to average weekly earnings</w:t>
      </w:r>
    </w:p>
    <w:p w:rsidR="00F87646" w:rsidRDefault="00F87646" w:rsidP="00D220D2">
      <w:r>
        <w:t>A rise in the level of economy</w:t>
      </w:r>
      <w:r>
        <w:noBreakHyphen/>
        <w:t xml:space="preserve">wide wages results in higher payroll tax revenue. It also leads to higher dividends from the VWA in the budget year due to additional premium revenue. </w:t>
      </w:r>
      <w:r w:rsidRPr="006F3F9D">
        <w:t>However, an increase in average weekly earnings results in higher claims expenses and impacts the VWA</w:t>
      </w:r>
      <w:r>
        <w:t>’</w:t>
      </w:r>
      <w:r w:rsidRPr="006F3F9D">
        <w:t>s performance from insurance operations in the out years. This reduces the dividends and ITEs payable to the State.</w:t>
      </w:r>
    </w:p>
    <w:p w:rsidR="00F87646" w:rsidRDefault="00F87646" w:rsidP="00D220D2">
      <w:r>
        <w:t>The net impact of these effects is an increase in the net result from transactions in the budget year and decreases across the forward estimates. This leads to lower net debt in 2014</w:t>
      </w:r>
      <w:r>
        <w:noBreakHyphen/>
        <w:t>15 compared with a no</w:t>
      </w:r>
      <w:r>
        <w:noBreakHyphen/>
        <w:t>variation scenario but higher net debt in the remaining out years.</w:t>
      </w:r>
    </w:p>
    <w:p w:rsidR="00F87646" w:rsidRDefault="00F87646">
      <w:pPr>
        <w:spacing w:after="0"/>
        <w:rPr>
          <w:rFonts w:ascii="Calibri" w:hAnsi="Calibri"/>
          <w:b/>
          <w:kern w:val="28"/>
          <w:sz w:val="26"/>
          <w:szCs w:val="22"/>
        </w:rPr>
      </w:pPr>
      <w:r>
        <w:br w:type="page"/>
      </w:r>
    </w:p>
    <w:p w:rsidR="00F87646" w:rsidRDefault="00F87646" w:rsidP="00D220D2">
      <w:pPr>
        <w:pStyle w:val="Heading2"/>
      </w:pPr>
      <w:r>
        <w:lastRenderedPageBreak/>
        <w:t>Sensitivity to enterprise agreements</w:t>
      </w:r>
    </w:p>
    <w:p w:rsidR="00F87646" w:rsidRDefault="00F87646" w:rsidP="00D220D2">
      <w:r>
        <w:t xml:space="preserve">All government enterprise agreements are assumed to be unchanged over the projection period, but these can pose a substantial risk to Victoria’s budget position. An increase in wages arising from enterprise agreements which exceeds wages policy increases the general government sector’s employee entitlement expenses. </w:t>
      </w:r>
    </w:p>
    <w:p w:rsidR="00F87646" w:rsidRDefault="00F87646" w:rsidP="00D220D2">
      <w:r>
        <w:t>Increased employee entitlements also increase the value of the superannuation liability and flow through to a greater superannuation expense in the out years. These impacts result in a decline in the net result from transactions and cumulatively higher net debt over the budget and forward estimates.</w:t>
      </w:r>
    </w:p>
    <w:p w:rsidR="00F87646" w:rsidRDefault="00F87646" w:rsidP="00D220D2">
      <w:r>
        <w:t>Entities are required to fund enterprise agreements in accordance with wages policy. In addition, enterprise agreements are not negotiated concurrently, therefore a one</w:t>
      </w:r>
      <w:r>
        <w:noBreakHyphen/>
        <w:t>off impact is unlikely.</w:t>
      </w:r>
    </w:p>
    <w:p w:rsidR="00F87646" w:rsidRDefault="00F87646" w:rsidP="00D220D2">
      <w:pPr>
        <w:pStyle w:val="Heading2"/>
      </w:pPr>
      <w:r>
        <w:t>Sensitivity to domestic and overseas share prices</w:t>
      </w:r>
    </w:p>
    <w:p w:rsidR="00F87646" w:rsidRDefault="00F87646" w:rsidP="00D220D2">
      <w:r w:rsidRPr="006F3F9D">
        <w:t>A rise in share prices increases the net results of the TAC and VWA. This leads to an increase in the ITEs payable to the State; ho</w:t>
      </w:r>
      <w:r>
        <w:t>wever the availability of carry</w:t>
      </w:r>
      <w:r>
        <w:noBreakHyphen/>
      </w:r>
      <w:r w:rsidRPr="006F3F9D">
        <w:t xml:space="preserve">forward tax losses means there is </w:t>
      </w:r>
      <w:r>
        <w:t xml:space="preserve">little or </w:t>
      </w:r>
      <w:r w:rsidRPr="006F3F9D">
        <w:t>no impact on</w:t>
      </w:r>
      <w:r>
        <w:t xml:space="preserve"> total </w:t>
      </w:r>
      <w:r w:rsidRPr="006F3F9D">
        <w:t>ITEs in the budget year.</w:t>
      </w:r>
      <w:r>
        <w:t xml:space="preserve"> </w:t>
      </w:r>
      <w:r w:rsidRPr="006F3F9D">
        <w:t>There is no significant impact on dividends payable to the State as these are based on the agencies</w:t>
      </w:r>
      <w:r>
        <w:t>’ performance from insurance operations, which excludes the impact of investment returns being higher than the agencies’ budgeted long</w:t>
      </w:r>
      <w:r>
        <w:noBreakHyphen/>
        <w:t>term rates of return.</w:t>
      </w:r>
    </w:p>
    <w:p w:rsidR="00F87646" w:rsidRDefault="00F87646" w:rsidP="00D220D2">
      <w:r>
        <w:t>An increase in domestic and international share prices also reduces the value of the superannuation liability due to the associated increase in superannuation fund assets. This then reduces the superannuation interest expense beyond the budget year, thereby improving the net result from transactions in these years and reducing net debt.</w:t>
      </w:r>
    </w:p>
    <w:p w:rsidR="00F87646" w:rsidRDefault="00F87646" w:rsidP="00D220D2">
      <w:pPr>
        <w:pStyle w:val="Heading2"/>
      </w:pPr>
      <w:r>
        <w:t>Sensitivity to property prices and volumes</w:t>
      </w:r>
    </w:p>
    <w:p w:rsidR="00F87646" w:rsidRDefault="00F87646" w:rsidP="00D220D2">
      <w: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 investment portfolios. In later years, higher property prices continue to raise land transfer duty and land tax revenues, while the previous reduction in the superannuation liability reduces ongoing superannuation expenses. Each of these factors increase the net result from transactions and lower net debt.</w:t>
      </w:r>
    </w:p>
    <w:p w:rsidR="00F87646" w:rsidRDefault="00F87646" w:rsidP="00D220D2">
      <w:r>
        <w:t>Higher property transaction volumes increase land transfer duty receipts, leading to a rise in the net result from transactions and a reduction in net debt.</w:t>
      </w:r>
    </w:p>
    <w:p w:rsidR="00F87646" w:rsidRDefault="00F87646">
      <w:pPr>
        <w:spacing w:after="0"/>
        <w:rPr>
          <w:rFonts w:ascii="Calibri" w:hAnsi="Calibri"/>
          <w:b/>
          <w:kern w:val="28"/>
          <w:sz w:val="26"/>
          <w:szCs w:val="22"/>
        </w:rPr>
      </w:pPr>
      <w:r>
        <w:br w:type="page"/>
      </w:r>
    </w:p>
    <w:p w:rsidR="00F87646" w:rsidRDefault="00F87646" w:rsidP="00D220D2">
      <w:pPr>
        <w:pStyle w:val="Heading2"/>
      </w:pPr>
      <w:r>
        <w:lastRenderedPageBreak/>
        <w:t>Sensitivity to interest rates</w:t>
      </w:r>
    </w:p>
    <w:p w:rsidR="00F87646" w:rsidRDefault="00F87646" w:rsidP="006A12F7">
      <w:r>
        <w:t xml:space="preserve">An increase in interest rates results in a gain on the valuation of insurance liabilities of the public financial corporations, partially offset by a loss on the valuation of investment </w:t>
      </w:r>
      <w:r w:rsidRPr="008872C9">
        <w:t>assets.</w:t>
      </w:r>
    </w:p>
    <w:p w:rsidR="00F87646" w:rsidRDefault="00F87646" w:rsidP="00D220D2">
      <w:r w:rsidRPr="008872C9">
        <w:t>As dividends of the State</w:t>
      </w:r>
      <w:r>
        <w:t>’</w:t>
      </w:r>
      <w:r w:rsidRPr="008872C9">
        <w:t>s insurance agencies are based on performance from insurance operations, which excludes the initial impact of discount rate movements, the increase will have no direct impact on dividends in the budget year. As</w:t>
      </w:r>
      <w:r w:rsidRPr="007E09A2">
        <w:t xml:space="preserve"> ITEs of the insurance agencies are assessed on profit before tax, an increase in interest rates will increase ITEs. </w:t>
      </w:r>
    </w:p>
    <w:p w:rsidR="00F87646" w:rsidRDefault="00F87646" w:rsidP="00D220D2">
      <w:r w:rsidRPr="004B37AF">
        <w:t>Higher borrowing costs lead to re</w:t>
      </w:r>
      <w:r>
        <w:t>duced net results of public non</w:t>
      </w:r>
      <w:r>
        <w:noBreakHyphen/>
      </w:r>
      <w:r w:rsidRPr="004B37AF">
        <w:t>financial corporations, lowering dividends and ITEs payable to the State.</w:t>
      </w:r>
    </w:p>
    <w:p w:rsidR="00F87646" w:rsidRDefault="00F87646" w:rsidP="00D220D2">
      <w:r>
        <w:t xml:space="preserve">An increase in interest rates also increases the superannuation expense over the out years. </w:t>
      </w:r>
    </w:p>
    <w:p w:rsidR="00F87646" w:rsidRDefault="00F87646" w:rsidP="00D220D2">
      <w:pPr>
        <w:pStyle w:val="Heading1"/>
      </w:pPr>
      <w:bookmarkStart w:id="106" w:name="_Toc401056880"/>
      <w:bookmarkStart w:id="107" w:name="_Toc401147511"/>
      <w:bookmarkStart w:id="108" w:name="_Toc403386710"/>
      <w:r w:rsidRPr="00E60305">
        <w:t>Sensitivity</w:t>
      </w:r>
      <w:r>
        <w:t xml:space="preserve"> to variations in the economic outlook</w:t>
      </w:r>
      <w:bookmarkEnd w:id="106"/>
      <w:bookmarkEnd w:id="107"/>
      <w:bookmarkEnd w:id="108"/>
    </w:p>
    <w:p w:rsidR="00F87646" w:rsidRDefault="00F87646" w:rsidP="00D220D2">
      <w:r>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F87646" w:rsidRDefault="00F87646" w:rsidP="00D220D2">
      <w:r>
        <w:t>This section considers two examples where general economic conditions varied significantly from expectations, resulting in the broad sweep of economic parameters being different from forecast. In the first example, in 2006</w:t>
      </w:r>
      <w:r>
        <w:noBreakHyphen/>
        <w:t>07 growth was significantly stronger than anticipated while in the second example, in 2008</w:t>
      </w:r>
      <w:r>
        <w:noBreakHyphen/>
        <w:t>09 the onset of the global financial crisis resulted in most economic and financial variables being lower than initially forecast.</w:t>
      </w:r>
    </w:p>
    <w:p w:rsidR="00F87646" w:rsidRDefault="00F87646" w:rsidP="00D220D2">
      <w:r>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noBreakHyphen/>
        <w:t>related shocks are likely to have the largest impact on the fiscal situation.</w:t>
      </w:r>
    </w:p>
    <w:p w:rsidR="00F87646" w:rsidRDefault="00F87646" w:rsidP="00D220D2">
      <w:r>
        <w:t xml:space="preserve">The State’s fiscal position in any year is the product of economic trends and policy changes in that and previous years. Similarly, an economic shock in a given year will affect fiscal outcomes in that and later years. </w:t>
      </w:r>
    </w:p>
    <w:p w:rsidR="00F87646" w:rsidRDefault="00F87646" w:rsidP="00D220D2">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F87646" w:rsidRDefault="00F87646">
      <w:pPr>
        <w:spacing w:after="0"/>
        <w:rPr>
          <w:rFonts w:ascii="Calibri" w:hAnsi="Calibri"/>
          <w:b/>
          <w:kern w:val="28"/>
          <w:sz w:val="26"/>
          <w:szCs w:val="22"/>
        </w:rPr>
      </w:pPr>
      <w:r>
        <w:br w:type="page"/>
      </w:r>
    </w:p>
    <w:p w:rsidR="00F87646" w:rsidRDefault="00F87646" w:rsidP="00D220D2">
      <w:pPr>
        <w:pStyle w:val="Heading2"/>
      </w:pPr>
      <w:r>
        <w:lastRenderedPageBreak/>
        <w:t>2006</w:t>
      </w:r>
      <w:r>
        <w:noBreakHyphen/>
        <w:t>07 – economic growth exceeding expectations</w:t>
      </w:r>
    </w:p>
    <w:p w:rsidR="00F87646" w:rsidRDefault="00F87646" w:rsidP="00D220D2">
      <w:r>
        <w:t>Table B.2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F87646" w:rsidRPr="004F7D6B" w:rsidRDefault="00F87646" w:rsidP="00DE7000">
      <w:pPr>
        <w:pStyle w:val="Tableheading"/>
      </w:pPr>
      <w:r>
        <w:t>Table B.2</w:t>
      </w:r>
      <w:r w:rsidRPr="004F7D6B">
        <w:t>:</w:t>
      </w:r>
      <w:r w:rsidRPr="004F7D6B">
        <w:tab/>
        <w:t>Actual deviations of growth rates of k</w:t>
      </w:r>
      <w:r>
        <w:t xml:space="preserve">ey economic variables from </w:t>
      </w:r>
      <w:r w:rsidRPr="001E42D6">
        <w:rPr>
          <w:i/>
        </w:rPr>
        <w:t>2006</w:t>
      </w:r>
      <w:r>
        <w:rPr>
          <w:i/>
        </w:rPr>
        <w:noBreakHyphen/>
      </w:r>
      <w:r w:rsidRPr="001E42D6">
        <w:rPr>
          <w:i/>
        </w:rPr>
        <w:t>07 Budget</w:t>
      </w:r>
      <w:r w:rsidRPr="004F7D6B">
        <w:t xml:space="preserve"> forecasts</w:t>
      </w:r>
    </w:p>
    <w:p w:rsidR="00F87646" w:rsidRPr="005A76CF" w:rsidRDefault="00F87646" w:rsidP="005A76CF">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87646" w:rsidRPr="005A76CF" w:rsidTr="005A76CF">
        <w:tc>
          <w:tcPr>
            <w:tcW w:w="4665" w:type="dxa"/>
            <w:tcBorders>
              <w:top w:val="single" w:sz="6" w:space="0" w:color="auto"/>
              <w:left w:val="single" w:sz="6" w:space="0" w:color="auto"/>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top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2006</w:t>
            </w:r>
            <w:r>
              <w:rPr>
                <w:rFonts w:eastAsiaTheme="minorEastAsia"/>
                <w:lang w:eastAsia="en-AU"/>
              </w:rPr>
              <w:noBreakHyphen/>
            </w:r>
            <w:r w:rsidRPr="005A76CF">
              <w:rPr>
                <w:rFonts w:eastAsiaTheme="minorEastAsia"/>
                <w:lang w:eastAsia="en-AU"/>
              </w:rPr>
              <w:t>07</w:t>
            </w:r>
          </w:p>
        </w:tc>
        <w:tc>
          <w:tcPr>
            <w:tcW w:w="1036" w:type="dxa"/>
            <w:tcBorders>
              <w:top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2006</w:t>
            </w:r>
            <w:r>
              <w:rPr>
                <w:rFonts w:eastAsiaTheme="minorEastAsia"/>
                <w:lang w:eastAsia="en-AU"/>
              </w:rPr>
              <w:noBreakHyphen/>
            </w:r>
            <w:r w:rsidRPr="005A76CF">
              <w:rPr>
                <w:rFonts w:eastAsiaTheme="minorEastAsia"/>
                <w:lang w:eastAsia="en-AU"/>
              </w:rPr>
              <w:t>07</w:t>
            </w:r>
          </w:p>
        </w:tc>
        <w:tc>
          <w:tcPr>
            <w:tcW w:w="1036" w:type="dxa"/>
            <w:tcBorders>
              <w:top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Forecast</w:t>
            </w:r>
          </w:p>
        </w:tc>
      </w:tr>
      <w:tr w:rsidR="00F87646" w:rsidRPr="005A76CF" w:rsidTr="005A76CF">
        <w:tc>
          <w:tcPr>
            <w:tcW w:w="4665" w:type="dxa"/>
            <w:tcBorders>
              <w:left w:val="single" w:sz="6" w:space="0" w:color="auto"/>
              <w:bottom w:val="single" w:sz="6" w:space="0" w:color="auto"/>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bottom w:val="single" w:sz="6" w:space="0" w:color="auto"/>
            </w:tcBorders>
            <w:shd w:val="clear" w:color="auto" w:fill="000000"/>
          </w:tcPr>
          <w:p w:rsidR="00F87646" w:rsidRPr="005A76CF" w:rsidRDefault="00F87646" w:rsidP="005A76CF">
            <w:pPr>
              <w:pStyle w:val="Tabletextheading"/>
              <w:rPr>
                <w:rFonts w:eastAsiaTheme="minorEastAsia" w:cs="Calibri"/>
                <w:iCs/>
                <w:color w:val="FFFFFF"/>
                <w:vertAlign w:val="superscript"/>
                <w:lang w:eastAsia="en-AU"/>
              </w:rPr>
            </w:pPr>
            <w:r w:rsidRPr="005A76CF">
              <w:rPr>
                <w:rFonts w:eastAsiaTheme="minorEastAsia" w:cs="Calibri"/>
                <w:iCs/>
                <w:color w:val="FFFFFF"/>
                <w:lang w:eastAsia="en-AU"/>
              </w:rPr>
              <w:t xml:space="preserve">budget </w:t>
            </w:r>
            <w:r w:rsidRPr="005A76CF">
              <w:rPr>
                <w:rFonts w:eastAsiaTheme="minorEastAsia" w:cs="Calibri"/>
                <w:iCs/>
                <w:color w:val="FFFFFF"/>
                <w:vertAlign w:val="superscript"/>
                <w:lang w:eastAsia="en-AU"/>
              </w:rPr>
              <w:t>(a)</w:t>
            </w:r>
          </w:p>
        </w:tc>
        <w:tc>
          <w:tcPr>
            <w:tcW w:w="1036" w:type="dxa"/>
            <w:tcBorders>
              <w:bottom w:val="single" w:sz="6" w:space="0" w:color="auto"/>
            </w:tcBorders>
            <w:shd w:val="clear" w:color="auto" w:fill="000000"/>
          </w:tcPr>
          <w:p w:rsidR="00F87646" w:rsidRPr="005A76CF" w:rsidRDefault="00F87646" w:rsidP="005A76CF">
            <w:pPr>
              <w:pStyle w:val="Tabletextheading"/>
              <w:rPr>
                <w:rFonts w:eastAsiaTheme="minorEastAsia" w:cs="Calibri"/>
                <w:iCs/>
                <w:color w:val="FFFFFF"/>
                <w:lang w:eastAsia="en-AU"/>
              </w:rPr>
            </w:pPr>
            <w:r w:rsidRPr="005A76CF">
              <w:rPr>
                <w:rFonts w:eastAsiaTheme="minorEastAsia" w:cs="Calibri"/>
                <w:iCs/>
                <w:color w:val="FFFFFF"/>
                <w:lang w:eastAsia="en-AU"/>
              </w:rPr>
              <w:t>actual</w:t>
            </w:r>
          </w:p>
        </w:tc>
        <w:tc>
          <w:tcPr>
            <w:tcW w:w="1036" w:type="dxa"/>
            <w:tcBorders>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cs="Calibri"/>
                <w:iCs/>
                <w:color w:val="FFFFFF"/>
                <w:vertAlign w:val="superscript"/>
                <w:lang w:eastAsia="en-AU"/>
              </w:rPr>
            </w:pPr>
            <w:r w:rsidRPr="005A76CF">
              <w:rPr>
                <w:rFonts w:eastAsiaTheme="minorEastAsia" w:cs="Calibri"/>
                <w:iCs/>
                <w:color w:val="FFFFFF"/>
                <w:lang w:eastAsia="en-AU"/>
              </w:rPr>
              <w:t xml:space="preserve">error </w:t>
            </w:r>
            <w:r w:rsidRPr="005A76CF">
              <w:rPr>
                <w:rFonts w:eastAsiaTheme="minorEastAsia" w:cs="Calibri"/>
                <w:iCs/>
                <w:color w:val="FFFFFF"/>
                <w:vertAlign w:val="superscript"/>
                <w:lang w:eastAsia="en-AU"/>
              </w:rPr>
              <w:t>(b)</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Real GSP</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3.3</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3.8</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0.5</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Employment</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1.3</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3.1</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1.9</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Consumer price index</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2.5</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2.6</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0.1</w:t>
            </w:r>
          </w:p>
        </w:tc>
      </w:tr>
      <w:tr w:rsidR="00F87646" w:rsidRPr="005A76CF" w:rsidTr="005A76CF">
        <w:tc>
          <w:tcPr>
            <w:tcW w:w="4665" w:type="dxa"/>
            <w:tcBorders>
              <w:top w:val="nil"/>
              <w:left w:val="nil"/>
              <w:bottom w:val="single" w:sz="12" w:space="0" w:color="auto"/>
              <w:right w:val="nil"/>
            </w:tcBorders>
          </w:tcPr>
          <w:p w:rsidR="00F87646" w:rsidRPr="005A76CF" w:rsidRDefault="00F87646" w:rsidP="005A76CF">
            <w:pPr>
              <w:pStyle w:val="Tabletext"/>
              <w:rPr>
                <w:rFonts w:eastAsiaTheme="minorEastAsia"/>
                <w:vertAlign w:val="superscript"/>
                <w:lang w:eastAsia="en-AU"/>
              </w:rPr>
            </w:pPr>
            <w:r w:rsidRPr="005A76CF">
              <w:rPr>
                <w:rFonts w:eastAsiaTheme="minorEastAsia"/>
                <w:lang w:eastAsia="en-AU"/>
              </w:rPr>
              <w:t xml:space="preserve">Wage price index </w:t>
            </w:r>
            <w:r w:rsidRPr="005A76CF">
              <w:rPr>
                <w:rFonts w:eastAsiaTheme="minorEastAsia"/>
                <w:vertAlign w:val="superscript"/>
                <w:lang w:eastAsia="en-AU"/>
              </w:rPr>
              <w:t>(c)</w:t>
            </w:r>
          </w:p>
        </w:tc>
        <w:tc>
          <w:tcPr>
            <w:tcW w:w="1036" w:type="dxa"/>
            <w:tcBorders>
              <w:top w:val="nil"/>
              <w:left w:val="nil"/>
              <w:bottom w:val="single" w:sz="12" w:space="0" w:color="auto"/>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3.5</w:t>
            </w:r>
          </w:p>
        </w:tc>
        <w:tc>
          <w:tcPr>
            <w:tcW w:w="1036" w:type="dxa"/>
            <w:tcBorders>
              <w:top w:val="nil"/>
              <w:left w:val="nil"/>
              <w:bottom w:val="single" w:sz="12" w:space="0" w:color="auto"/>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3.6</w:t>
            </w:r>
          </w:p>
        </w:tc>
        <w:tc>
          <w:tcPr>
            <w:tcW w:w="1036" w:type="dxa"/>
            <w:tcBorders>
              <w:top w:val="nil"/>
              <w:left w:val="nil"/>
              <w:bottom w:val="single" w:sz="12" w:space="0" w:color="auto"/>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0.1</w:t>
            </w:r>
          </w:p>
        </w:tc>
      </w:tr>
    </w:tbl>
    <w:p w:rsidR="00F87646" w:rsidRDefault="00F87646" w:rsidP="00DE7000">
      <w:pPr>
        <w:pStyle w:val="Source"/>
      </w:pPr>
      <w:r>
        <w:t>Sources: Australian Bureau of Statistics; Department of Treasury and Finance</w:t>
      </w:r>
    </w:p>
    <w:p w:rsidR="00F87646" w:rsidRDefault="00F87646" w:rsidP="00D220D2">
      <w:pPr>
        <w:pStyle w:val="Notes"/>
      </w:pPr>
      <w:r>
        <w:t>Notes:</w:t>
      </w:r>
    </w:p>
    <w:p w:rsidR="00F87646" w:rsidRDefault="00F87646" w:rsidP="00D220D2">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F87646" w:rsidRDefault="00F87646" w:rsidP="00D220D2">
      <w:pPr>
        <w:pStyle w:val="Notes"/>
      </w:pPr>
      <w:r>
        <w:t>(b)</w:t>
      </w:r>
      <w:r>
        <w:tab/>
        <w:t>Percentage point variation.</w:t>
      </w:r>
    </w:p>
    <w:p w:rsidR="00F87646" w:rsidRDefault="00F87646" w:rsidP="00D220D2">
      <w:pPr>
        <w:pStyle w:val="Notes"/>
      </w:pPr>
      <w:r>
        <w:t>(c)</w:t>
      </w:r>
      <w:r>
        <w:tab/>
        <w:t>Total hourly rate excluding bonuses.</w:t>
      </w:r>
    </w:p>
    <w:p w:rsidR="00F87646" w:rsidRDefault="00F87646" w:rsidP="00D220D2"/>
    <w:p w:rsidR="00F87646" w:rsidRDefault="00F87646" w:rsidP="00D220D2">
      <w:r>
        <w:t>The main areas of revenue forecast error in 2006</w:t>
      </w:r>
      <w:r>
        <w:noBreakHyphen/>
        <w:t>07 relate to the underestimation of land transfer duty and of other revenue, while payroll tax was close to forecast (Table B.3). Strong land transfer duty revenues largely reflect the property cycle. As land transfer duty is a transaction</w:t>
      </w:r>
      <w:r>
        <w:noBreakHyphen/>
        <w:t>based tax, with the bulk of revenue collected from the residential property sector, collections are subject to the volatile nature of consumer sentiment. In 2006</w:t>
      </w:r>
      <w:r>
        <w:noBreakHyphen/>
        <w:t>07, both house prices and volumes were in growth phases, and in the second half of the financial year consumer sentiment was well above historical averages.</w:t>
      </w:r>
    </w:p>
    <w:p w:rsidR="00F87646" w:rsidRDefault="00F87646" w:rsidP="00D220D2">
      <w:r>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F87646" w:rsidRDefault="00F87646" w:rsidP="00D220D2">
      <w:r w:rsidRPr="00B124B5">
        <w:t>As payroll tax is levied on the stock of employees, forecast error in growth is unlikely to have a large effect on revenue from this line. This proved to be the case in 2006</w:t>
      </w:r>
      <w:r>
        <w:noBreakHyphen/>
      </w:r>
      <w:r w:rsidRPr="00B124B5">
        <w:t>07. Despite growth in employment being two percentage points higher than anticipated, the 2006</w:t>
      </w:r>
      <w:r>
        <w:noBreakHyphen/>
      </w:r>
      <w:r w:rsidRPr="00B124B5">
        <w:t>07 outcome for payroll tax was largely consistent with budgeted estimates. This suggests a disconnect at that time between Victoria</w:t>
      </w:r>
      <w:r>
        <w:t>’</w:t>
      </w:r>
      <w:r w:rsidRPr="00B124B5">
        <w:t>s labour market performance and payroll tax collections, and may have occurred because payroll tax is levied on a small share of Victorian businesses, which may not necessarily have been the drivers of growth.</w:t>
      </w:r>
    </w:p>
    <w:p w:rsidR="00F87646" w:rsidRDefault="00F87646">
      <w:pPr>
        <w:spacing w:after="0"/>
        <w:rPr>
          <w:rFonts w:ascii="Calibri" w:hAnsi="Calibri"/>
          <w:b/>
        </w:rPr>
      </w:pPr>
      <w:r>
        <w:br w:type="page"/>
      </w:r>
    </w:p>
    <w:p w:rsidR="00F87646" w:rsidRDefault="00F87646" w:rsidP="00DE7000">
      <w:pPr>
        <w:pStyle w:val="Tableheading"/>
      </w:pPr>
      <w:r>
        <w:lastRenderedPageBreak/>
        <w:t>Table B.3:</w:t>
      </w:r>
      <w:r>
        <w:tab/>
        <w:t xml:space="preserve">Actual deviations of key revenue lines from </w:t>
      </w:r>
      <w:r w:rsidRPr="00B96932">
        <w:rPr>
          <w:i/>
        </w:rPr>
        <w:t>2006</w:t>
      </w:r>
      <w:r>
        <w:rPr>
          <w:i/>
        </w:rPr>
        <w:noBreakHyphen/>
      </w:r>
      <w:r w:rsidRPr="00B96932">
        <w:rPr>
          <w:i/>
        </w:rPr>
        <w:t>07 Budget</w:t>
      </w:r>
      <w:r>
        <w:t xml:space="preserve"> forecasts</w:t>
      </w:r>
    </w:p>
    <w:p w:rsidR="00F87646" w:rsidRPr="005A76CF" w:rsidRDefault="00F87646" w:rsidP="005A76CF">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87646" w:rsidRPr="005A76CF" w:rsidTr="005A76CF">
        <w:tc>
          <w:tcPr>
            <w:tcW w:w="4665" w:type="dxa"/>
            <w:tcBorders>
              <w:top w:val="single" w:sz="6" w:space="0" w:color="auto"/>
              <w:left w:val="single" w:sz="6" w:space="0" w:color="auto"/>
              <w:right w:val="nil"/>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top w:val="single" w:sz="6" w:space="0" w:color="auto"/>
              <w:left w:val="nil"/>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2006</w:t>
            </w:r>
            <w:r>
              <w:rPr>
                <w:rFonts w:eastAsiaTheme="minorEastAsia"/>
                <w:lang w:eastAsia="en-AU"/>
              </w:rPr>
              <w:noBreakHyphen/>
            </w:r>
            <w:r w:rsidRPr="005A76CF">
              <w:rPr>
                <w:rFonts w:eastAsiaTheme="minorEastAsia"/>
                <w:lang w:eastAsia="en-AU"/>
              </w:rPr>
              <w:t>07</w:t>
            </w:r>
          </w:p>
        </w:tc>
        <w:tc>
          <w:tcPr>
            <w:tcW w:w="1036" w:type="dxa"/>
            <w:tcBorders>
              <w:top w:val="single" w:sz="6" w:space="0" w:color="auto"/>
              <w:left w:val="nil"/>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2006</w:t>
            </w:r>
            <w:r>
              <w:rPr>
                <w:rFonts w:eastAsiaTheme="minorEastAsia"/>
                <w:lang w:eastAsia="en-AU"/>
              </w:rPr>
              <w:noBreakHyphen/>
            </w:r>
            <w:r w:rsidRPr="005A76CF">
              <w:rPr>
                <w:rFonts w:eastAsiaTheme="minorEastAsia"/>
                <w:lang w:eastAsia="en-AU"/>
              </w:rPr>
              <w:t>07</w:t>
            </w:r>
          </w:p>
        </w:tc>
        <w:tc>
          <w:tcPr>
            <w:tcW w:w="1036" w:type="dxa"/>
            <w:tcBorders>
              <w:top w:val="single" w:sz="6" w:space="0" w:color="auto"/>
              <w:left w:val="nil"/>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Forecast</w:t>
            </w:r>
          </w:p>
        </w:tc>
      </w:tr>
      <w:tr w:rsidR="00F87646" w:rsidRPr="005A76CF" w:rsidTr="005A76CF">
        <w:tc>
          <w:tcPr>
            <w:tcW w:w="4665" w:type="dxa"/>
            <w:tcBorders>
              <w:left w:val="single" w:sz="6" w:space="0" w:color="auto"/>
              <w:bottom w:val="single" w:sz="6" w:space="0" w:color="auto"/>
              <w:right w:val="nil"/>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left w:val="nil"/>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budget</w:t>
            </w:r>
          </w:p>
        </w:tc>
        <w:tc>
          <w:tcPr>
            <w:tcW w:w="1036" w:type="dxa"/>
            <w:tcBorders>
              <w:left w:val="nil"/>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actual</w:t>
            </w:r>
          </w:p>
        </w:tc>
        <w:tc>
          <w:tcPr>
            <w:tcW w:w="1036" w:type="dxa"/>
            <w:tcBorders>
              <w:left w:val="nil"/>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error</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Payroll taxes</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3 418</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3 479</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xml:space="preserve"> 61</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Land transfer duty</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2 424</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2 961</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xml:space="preserve"> 537</w:t>
            </w:r>
          </w:p>
        </w:tc>
      </w:tr>
      <w:tr w:rsidR="00F87646" w:rsidRPr="005A76CF" w:rsidTr="005A76CF">
        <w:tc>
          <w:tcPr>
            <w:tcW w:w="4665" w:type="dxa"/>
            <w:tcBorders>
              <w:top w:val="nil"/>
              <w:left w:val="nil"/>
              <w:bottom w:val="single" w:sz="6" w:space="0" w:color="auto"/>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Other own</w:t>
            </w:r>
            <w:r>
              <w:rPr>
                <w:rFonts w:eastAsiaTheme="minorEastAsia"/>
                <w:lang w:eastAsia="en-AU"/>
              </w:rPr>
              <w:noBreakHyphen/>
            </w:r>
            <w:r w:rsidRPr="005A76CF">
              <w:rPr>
                <w:rFonts w:eastAsiaTheme="minorEastAsia"/>
                <w:lang w:eastAsia="en-AU"/>
              </w:rPr>
              <w:t>sourced revenue</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5 129</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5 262</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xml:space="preserve"> 133</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Taxation revenue</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10 971</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11 702</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 xml:space="preserve"> 731</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Other revenue</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13 002</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14 600</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1 598</w:t>
            </w:r>
          </w:p>
        </w:tc>
      </w:tr>
      <w:tr w:rsidR="00F87646" w:rsidRPr="005A76CF" w:rsidTr="005A76CF">
        <w:tc>
          <w:tcPr>
            <w:tcW w:w="4665" w:type="dxa"/>
            <w:tcBorders>
              <w:top w:val="nil"/>
              <w:left w:val="nil"/>
              <w:bottom w:val="single" w:sz="6" w:space="0" w:color="auto"/>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GST</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8 469</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8 584</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xml:space="preserve"> 114</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Total revenue</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32 442</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34 886</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2 444</w:t>
            </w:r>
          </w:p>
        </w:tc>
      </w:tr>
      <w:tr w:rsidR="00F87646" w:rsidRPr="005A76CF" w:rsidTr="005A76CF">
        <w:tc>
          <w:tcPr>
            <w:tcW w:w="4665" w:type="dxa"/>
            <w:tcBorders>
              <w:top w:val="nil"/>
              <w:left w:val="nil"/>
              <w:bottom w:val="single" w:sz="6" w:space="0" w:color="auto"/>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Total expenses</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32 125</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33 551</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1 426</w:t>
            </w:r>
          </w:p>
        </w:tc>
      </w:tr>
      <w:tr w:rsidR="00F87646" w:rsidRPr="005A76CF" w:rsidTr="005A76CF">
        <w:tc>
          <w:tcPr>
            <w:tcW w:w="4665" w:type="dxa"/>
            <w:tcBorders>
              <w:top w:val="single" w:sz="6" w:space="0" w:color="auto"/>
              <w:left w:val="nil"/>
              <w:bottom w:val="single" w:sz="12" w:space="0" w:color="auto"/>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Net result from transactions</w:t>
            </w:r>
          </w:p>
        </w:tc>
        <w:tc>
          <w:tcPr>
            <w:tcW w:w="1036" w:type="dxa"/>
            <w:tcBorders>
              <w:top w:val="nil"/>
              <w:left w:val="nil"/>
              <w:bottom w:val="single" w:sz="12"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 xml:space="preserve"> 317</w:t>
            </w:r>
          </w:p>
        </w:tc>
        <w:tc>
          <w:tcPr>
            <w:tcW w:w="1036" w:type="dxa"/>
            <w:tcBorders>
              <w:top w:val="nil"/>
              <w:left w:val="nil"/>
              <w:bottom w:val="single" w:sz="12"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1 335</w:t>
            </w:r>
          </w:p>
        </w:tc>
        <w:tc>
          <w:tcPr>
            <w:tcW w:w="1036" w:type="dxa"/>
            <w:tcBorders>
              <w:top w:val="single" w:sz="6" w:space="0" w:color="auto"/>
              <w:left w:val="nil"/>
              <w:bottom w:val="single" w:sz="12" w:space="0" w:color="auto"/>
              <w:right w:val="nil"/>
            </w:tcBorders>
            <w:shd w:val="solid" w:color="FFFFFF" w:fill="auto"/>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1 018</w:t>
            </w:r>
          </w:p>
        </w:tc>
      </w:tr>
    </w:tbl>
    <w:p w:rsidR="00F87646" w:rsidRDefault="00F87646" w:rsidP="00DE7000">
      <w:pPr>
        <w:pStyle w:val="Source"/>
      </w:pPr>
      <w:r>
        <w:t>Source: Department of Treasury and Finance</w:t>
      </w:r>
    </w:p>
    <w:p w:rsidR="00F87646" w:rsidRDefault="00F87646" w:rsidP="00D220D2">
      <w:pPr>
        <w:pStyle w:val="Source"/>
      </w:pPr>
    </w:p>
    <w:p w:rsidR="00F87646" w:rsidRDefault="00F87646" w:rsidP="00D220D2">
      <w:pPr>
        <w:pStyle w:val="Heading2"/>
      </w:pPr>
      <w:r>
        <w:t>2008</w:t>
      </w:r>
      <w:r>
        <w:noBreakHyphen/>
        <w:t>09 – global financial crisis</w:t>
      </w:r>
    </w:p>
    <w:p w:rsidR="00F87646" w:rsidRDefault="00F87646" w:rsidP="00D220D2">
      <w:r>
        <w:t>A situation where economic growth was overestimated is shown in Table B.4. The largest forecast errors occurred in real GSP and consumption. Relatively small errors occurred in employment as employers chose to reduce hours and accept productivity falls rather than lay off staff. Consumer prices and wages were less affected by the global financial crisis and consequently the level of forecast error was much lower for these variables.</w:t>
      </w:r>
    </w:p>
    <w:p w:rsidR="00F87646" w:rsidRDefault="00F87646" w:rsidP="00DE7000">
      <w:pPr>
        <w:pStyle w:val="Tableheading"/>
      </w:pPr>
      <w:r>
        <w:t>Table B.4:</w:t>
      </w:r>
      <w:r>
        <w:tab/>
        <w:t xml:space="preserve">Actual deviations of growth rates of key economic variables from </w:t>
      </w:r>
      <w:r w:rsidRPr="00B96932">
        <w:rPr>
          <w:i/>
        </w:rPr>
        <w:t>2008</w:t>
      </w:r>
      <w:r>
        <w:rPr>
          <w:i/>
        </w:rPr>
        <w:noBreakHyphen/>
      </w:r>
      <w:r w:rsidRPr="00B96932">
        <w:rPr>
          <w:i/>
        </w:rPr>
        <w:t xml:space="preserve">09 Budget </w:t>
      </w:r>
      <w:r>
        <w:t>forecasts</w:t>
      </w:r>
    </w:p>
    <w:p w:rsidR="00F87646" w:rsidRPr="005A76CF" w:rsidRDefault="00F87646" w:rsidP="005A76CF">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87646" w:rsidRPr="005A76CF" w:rsidTr="005A76CF">
        <w:tc>
          <w:tcPr>
            <w:tcW w:w="4665" w:type="dxa"/>
            <w:tcBorders>
              <w:top w:val="single" w:sz="6" w:space="0" w:color="auto"/>
              <w:left w:val="single" w:sz="6" w:space="0" w:color="auto"/>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top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2008</w:t>
            </w:r>
            <w:r>
              <w:rPr>
                <w:rFonts w:eastAsiaTheme="minorEastAsia"/>
                <w:lang w:eastAsia="en-AU"/>
              </w:rPr>
              <w:noBreakHyphen/>
            </w:r>
            <w:r w:rsidRPr="005A76CF">
              <w:rPr>
                <w:rFonts w:eastAsiaTheme="minorEastAsia"/>
                <w:lang w:eastAsia="en-AU"/>
              </w:rPr>
              <w:t>09</w:t>
            </w:r>
          </w:p>
        </w:tc>
        <w:tc>
          <w:tcPr>
            <w:tcW w:w="1036" w:type="dxa"/>
            <w:tcBorders>
              <w:top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2008</w:t>
            </w:r>
            <w:r>
              <w:rPr>
                <w:rFonts w:eastAsiaTheme="minorEastAsia"/>
                <w:lang w:eastAsia="en-AU"/>
              </w:rPr>
              <w:noBreakHyphen/>
            </w:r>
            <w:r w:rsidRPr="005A76CF">
              <w:rPr>
                <w:rFonts w:eastAsiaTheme="minorEastAsia"/>
                <w:lang w:eastAsia="en-AU"/>
              </w:rPr>
              <w:t>09</w:t>
            </w:r>
          </w:p>
        </w:tc>
        <w:tc>
          <w:tcPr>
            <w:tcW w:w="1036" w:type="dxa"/>
            <w:tcBorders>
              <w:top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Forecast</w:t>
            </w:r>
          </w:p>
        </w:tc>
      </w:tr>
      <w:tr w:rsidR="00F87646" w:rsidRPr="005A76CF" w:rsidTr="005A76CF">
        <w:tc>
          <w:tcPr>
            <w:tcW w:w="4665" w:type="dxa"/>
            <w:tcBorders>
              <w:left w:val="single" w:sz="6" w:space="0" w:color="auto"/>
              <w:bottom w:val="single" w:sz="6" w:space="0" w:color="auto"/>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bottom w:val="single" w:sz="6" w:space="0" w:color="auto"/>
            </w:tcBorders>
            <w:shd w:val="clear" w:color="auto" w:fill="000000"/>
          </w:tcPr>
          <w:p w:rsidR="00F87646" w:rsidRPr="005A76CF" w:rsidRDefault="00F87646" w:rsidP="005A76CF">
            <w:pPr>
              <w:pStyle w:val="Tabletextheading"/>
              <w:rPr>
                <w:rFonts w:eastAsiaTheme="minorEastAsia"/>
                <w:vertAlign w:val="superscript"/>
                <w:lang w:eastAsia="en-AU"/>
              </w:rPr>
            </w:pPr>
            <w:r w:rsidRPr="005A76CF">
              <w:rPr>
                <w:rFonts w:eastAsiaTheme="minorEastAsia"/>
                <w:lang w:eastAsia="en-AU"/>
              </w:rPr>
              <w:t xml:space="preserve">budget </w:t>
            </w:r>
            <w:r w:rsidRPr="005A76CF">
              <w:rPr>
                <w:rFonts w:eastAsiaTheme="minorEastAsia"/>
                <w:vertAlign w:val="superscript"/>
                <w:lang w:eastAsia="en-AU"/>
              </w:rPr>
              <w:t>(a)</w:t>
            </w:r>
          </w:p>
        </w:tc>
        <w:tc>
          <w:tcPr>
            <w:tcW w:w="1036" w:type="dxa"/>
            <w:tcBorders>
              <w:bottom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actual</w:t>
            </w:r>
          </w:p>
        </w:tc>
        <w:tc>
          <w:tcPr>
            <w:tcW w:w="1036" w:type="dxa"/>
            <w:tcBorders>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vertAlign w:val="superscript"/>
                <w:lang w:eastAsia="en-AU"/>
              </w:rPr>
            </w:pPr>
            <w:r w:rsidRPr="005A76CF">
              <w:rPr>
                <w:rFonts w:eastAsiaTheme="minorEastAsia"/>
                <w:lang w:eastAsia="en-AU"/>
              </w:rPr>
              <w:t xml:space="preserve">error </w:t>
            </w:r>
            <w:r w:rsidRPr="005A76CF">
              <w:rPr>
                <w:rFonts w:eastAsiaTheme="minorEastAsia"/>
                <w:vertAlign w:val="superscript"/>
                <w:lang w:eastAsia="en-AU"/>
              </w:rPr>
              <w:t>(b)</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Real GSP</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3.0</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1.1</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(1.9)</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Consumption (unpublished)</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2.8</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0.2</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(2.6)</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Employment</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1.5</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0.9</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(0.6)</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Consumer price index</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3.0</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2.8</w:t>
            </w:r>
          </w:p>
        </w:tc>
        <w:tc>
          <w:tcPr>
            <w:tcW w:w="1036" w:type="dxa"/>
            <w:tcBorders>
              <w:top w:val="nil"/>
              <w:left w:val="nil"/>
              <w:bottom w:val="nil"/>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(0.2)</w:t>
            </w:r>
          </w:p>
        </w:tc>
      </w:tr>
      <w:tr w:rsidR="00F87646" w:rsidRPr="005A76CF" w:rsidTr="005A76CF">
        <w:tc>
          <w:tcPr>
            <w:tcW w:w="4665" w:type="dxa"/>
            <w:tcBorders>
              <w:top w:val="nil"/>
              <w:left w:val="nil"/>
              <w:bottom w:val="single" w:sz="12" w:space="0" w:color="auto"/>
              <w:right w:val="nil"/>
            </w:tcBorders>
          </w:tcPr>
          <w:p w:rsidR="00F87646" w:rsidRPr="005A76CF" w:rsidRDefault="00F87646" w:rsidP="005A76CF">
            <w:pPr>
              <w:pStyle w:val="Tabletext"/>
              <w:rPr>
                <w:rFonts w:eastAsiaTheme="minorEastAsia"/>
                <w:vertAlign w:val="superscript"/>
                <w:lang w:eastAsia="en-AU"/>
              </w:rPr>
            </w:pPr>
            <w:r w:rsidRPr="005A76CF">
              <w:rPr>
                <w:rFonts w:eastAsiaTheme="minorEastAsia"/>
                <w:lang w:eastAsia="en-AU"/>
              </w:rPr>
              <w:t xml:space="preserve">Wage price index </w:t>
            </w:r>
            <w:r w:rsidRPr="005A76CF">
              <w:rPr>
                <w:rFonts w:eastAsiaTheme="minorEastAsia"/>
                <w:vertAlign w:val="superscript"/>
                <w:lang w:eastAsia="en-AU"/>
              </w:rPr>
              <w:t>(c)</w:t>
            </w:r>
          </w:p>
        </w:tc>
        <w:tc>
          <w:tcPr>
            <w:tcW w:w="1036" w:type="dxa"/>
            <w:tcBorders>
              <w:top w:val="nil"/>
              <w:left w:val="nil"/>
              <w:bottom w:val="single" w:sz="12" w:space="0" w:color="auto"/>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3.8</w:t>
            </w:r>
          </w:p>
        </w:tc>
        <w:tc>
          <w:tcPr>
            <w:tcW w:w="1036" w:type="dxa"/>
            <w:tcBorders>
              <w:top w:val="nil"/>
              <w:left w:val="nil"/>
              <w:bottom w:val="single" w:sz="12" w:space="0" w:color="auto"/>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4.0</w:t>
            </w:r>
          </w:p>
        </w:tc>
        <w:tc>
          <w:tcPr>
            <w:tcW w:w="1036" w:type="dxa"/>
            <w:tcBorders>
              <w:top w:val="nil"/>
              <w:left w:val="nil"/>
              <w:bottom w:val="single" w:sz="12" w:space="0" w:color="auto"/>
              <w:right w:val="nil"/>
            </w:tcBorders>
            <w:shd w:val="solid" w:color="FFFFFF" w:fill="auto"/>
          </w:tcPr>
          <w:p w:rsidR="00F87646" w:rsidRPr="005A76CF" w:rsidRDefault="00F87646" w:rsidP="005A76CF">
            <w:pPr>
              <w:pStyle w:val="TableofFigures"/>
              <w:rPr>
                <w:rFonts w:eastAsiaTheme="minorEastAsia"/>
                <w:lang w:eastAsia="en-AU"/>
              </w:rPr>
            </w:pPr>
            <w:r w:rsidRPr="005A76CF">
              <w:rPr>
                <w:rFonts w:eastAsiaTheme="minorEastAsia"/>
                <w:lang w:eastAsia="en-AU"/>
              </w:rPr>
              <w:t>0.3</w:t>
            </w:r>
          </w:p>
        </w:tc>
      </w:tr>
    </w:tbl>
    <w:p w:rsidR="00F87646" w:rsidRDefault="00F87646" w:rsidP="00DE7000">
      <w:pPr>
        <w:pStyle w:val="Source"/>
      </w:pPr>
      <w:r>
        <w:t>Sources: Australian Bureau of Statistics; Department of Treasury and Finance</w:t>
      </w:r>
    </w:p>
    <w:p w:rsidR="00F87646" w:rsidRDefault="00F87646" w:rsidP="00D220D2">
      <w:pPr>
        <w:pStyle w:val="Notes"/>
      </w:pPr>
      <w:r>
        <w:t>Notes:</w:t>
      </w:r>
    </w:p>
    <w:p w:rsidR="00F87646" w:rsidRDefault="00F87646" w:rsidP="00D220D2">
      <w:pPr>
        <w:pStyle w:val="Notes"/>
      </w:pPr>
      <w:r>
        <w:t>(a)</w:t>
      </w:r>
      <w:r>
        <w:tab/>
        <w:t xml:space="preserve">Forecast in May 2008 for </w:t>
      </w:r>
      <w:r w:rsidRPr="00BD7638">
        <w:rPr>
          <w:i w:val="0"/>
        </w:rPr>
        <w:t>2008</w:t>
      </w:r>
      <w:r>
        <w:rPr>
          <w:i w:val="0"/>
        </w:rPr>
        <w:noBreakHyphen/>
      </w:r>
      <w:r w:rsidRPr="00BD7638">
        <w:rPr>
          <w:i w:val="0"/>
        </w:rPr>
        <w:t>09 Budget</w:t>
      </w:r>
      <w:r>
        <w:t>.</w:t>
      </w:r>
    </w:p>
    <w:p w:rsidR="00F87646" w:rsidRDefault="00F87646" w:rsidP="00D220D2">
      <w:pPr>
        <w:pStyle w:val="Notes"/>
      </w:pPr>
      <w:r>
        <w:t>(b)</w:t>
      </w:r>
      <w:r>
        <w:tab/>
        <w:t>Percentage point variation.</w:t>
      </w:r>
    </w:p>
    <w:p w:rsidR="00F87646" w:rsidRDefault="00F87646" w:rsidP="00D220D2">
      <w:pPr>
        <w:pStyle w:val="Notes"/>
      </w:pPr>
      <w:r>
        <w:t>(c)</w:t>
      </w:r>
      <w:r>
        <w:tab/>
        <w:t>Total hourly rate excluding bonuses.</w:t>
      </w:r>
    </w:p>
    <w:p w:rsidR="00F87646" w:rsidRDefault="00F87646" w:rsidP="006A12F7">
      <w:pPr>
        <w:pStyle w:val="Source"/>
      </w:pPr>
    </w:p>
    <w:p w:rsidR="00F87646" w:rsidRDefault="00F87646" w:rsidP="00D220D2">
      <w:r>
        <w:t xml:space="preserve">The impact of the global financial crisis on revenue is evident in Table B.5, which shows forecast revenue and expenditure compared with the actual outcome. Both revenue and expenditure were underestimated; however expenditure was underestimated to a greater extent leading to a forecast error of $576 million in the net result from transactions. </w:t>
      </w:r>
    </w:p>
    <w:p w:rsidR="00F87646" w:rsidRDefault="00F87646">
      <w:pPr>
        <w:spacing w:after="0"/>
      </w:pPr>
      <w:r>
        <w:br w:type="page"/>
      </w:r>
    </w:p>
    <w:p w:rsidR="00F87646" w:rsidRDefault="00F87646" w:rsidP="00D220D2">
      <w:r>
        <w:lastRenderedPageBreak/>
        <w:t xml:space="preserve">This increase in expenditure largely reflects the Commonwealth Government’s fiscal stimulus packages, such as </w:t>
      </w:r>
      <w:r w:rsidRPr="00833465">
        <w:rPr>
          <w:i/>
        </w:rPr>
        <w:t>Building the Education Revolution</w:t>
      </w:r>
      <w:r>
        <w:t>, which were mostly distributed by the states.</w:t>
      </w:r>
    </w:p>
    <w:p w:rsidR="00F87646" w:rsidRDefault="00F87646" w:rsidP="005D7FC3">
      <w:r>
        <w:t>Much of the overestimation of revenue can be attributed to the weak performance of the property market, with the land transfer duty forecast being over $900 million higher than the actual outcome. By contrast, the error in the forecast of payroll tax revenue was small and partly reflects the response of employers to hoard labour.</w:t>
      </w:r>
    </w:p>
    <w:p w:rsidR="00F87646" w:rsidRDefault="00F87646" w:rsidP="005D7FC3">
      <w:pPr>
        <w:ind w:right="-37"/>
      </w:pPr>
      <w:r>
        <w:t>The pervading weak consumer sentiment during the global financial crisis led to much weaker consumption growth, and consequently to a sizeable forecast error for GST revenue. The global financial crisis seems to have created a structural shift in the economy, with the impacts felt over a number of years. Households adjusted their behaviour and entered a phase of reducing debt. This hastened the return of the household savings ratio to long</w:t>
      </w:r>
      <w:r>
        <w:noBreakHyphen/>
        <w:t xml:space="preserve">term averages, following a sustained period of near zero savings. </w:t>
      </w:r>
    </w:p>
    <w:p w:rsidR="00F87646" w:rsidRPr="00B124B5" w:rsidRDefault="00F87646" w:rsidP="005D7FC3">
      <w:r w:rsidRPr="00B124B5">
        <w:t>The overestimation of land transfer duty and GST was dwarfed by the underestimation of other revenues. A large share of this was the increased Commonwealth Government disbursements to the states as part of the stimulus package. However, these revenues were partially offset by increased expenditure as the Commonwealth Government</w:t>
      </w:r>
      <w:r>
        <w:t>’</w:t>
      </w:r>
      <w:r w:rsidRPr="00B124B5">
        <w:t>s stimulus payments were spent. Of the $3.2</w:t>
      </w:r>
      <w:r>
        <w:t> billion</w:t>
      </w:r>
      <w:r w:rsidRPr="00B124B5">
        <w:t xml:space="preserve"> forecast error for other revenues, approximately $2.4</w:t>
      </w:r>
      <w:r>
        <w:t> billion</w:t>
      </w:r>
      <w:r w:rsidRPr="00B124B5">
        <w:t xml:space="preserve"> is attributable to grants revenue other than GST.</w:t>
      </w:r>
    </w:p>
    <w:p w:rsidR="00F87646" w:rsidRDefault="00F87646" w:rsidP="005D7FC3">
      <w:r w:rsidRPr="00B124B5">
        <w:t>This analysis reports the contemporaneous</w:t>
      </w:r>
      <w:r>
        <w:t xml:space="preserve"> effect of macroeconomic shocks, whereas in many situations there will be enduring influences. While the national GST pool recovered from the lows of 2009</w:t>
      </w:r>
      <w:r>
        <w:noBreakHyphen/>
        <w:t>10 following the global financial crisis, since then its growth has remained below trend. This is consistent with the changes in household consumption. Similarly, following a temporary recovery in land transfer volumes in 2009</w:t>
      </w:r>
      <w:r>
        <w:noBreakHyphen/>
        <w:t>10, property market turnover was subdued in subsequent years as potential buyers were cautious about entering the market.</w:t>
      </w:r>
    </w:p>
    <w:p w:rsidR="00F87646" w:rsidRDefault="00F87646" w:rsidP="00DE7000">
      <w:pPr>
        <w:pStyle w:val="Tableheading"/>
      </w:pPr>
      <w:r>
        <w:t>Table B.5:</w:t>
      </w:r>
      <w:r>
        <w:tab/>
        <w:t xml:space="preserve">Actual deviations of key revenue lines from </w:t>
      </w:r>
      <w:r w:rsidRPr="00B96932">
        <w:rPr>
          <w:i/>
        </w:rPr>
        <w:t>2008</w:t>
      </w:r>
      <w:r>
        <w:rPr>
          <w:i/>
        </w:rPr>
        <w:noBreakHyphen/>
      </w:r>
      <w:r w:rsidRPr="00B96932">
        <w:rPr>
          <w:i/>
        </w:rPr>
        <w:t>09 Budget</w:t>
      </w:r>
      <w:r>
        <w:t xml:space="preserve"> forecasts</w:t>
      </w:r>
    </w:p>
    <w:p w:rsidR="00F87646" w:rsidRPr="005A76CF" w:rsidRDefault="00F87646" w:rsidP="005A76CF">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F87646" w:rsidRPr="005A76CF" w:rsidTr="005A76CF">
        <w:tc>
          <w:tcPr>
            <w:tcW w:w="4665" w:type="dxa"/>
            <w:tcBorders>
              <w:top w:val="single" w:sz="6" w:space="0" w:color="auto"/>
              <w:left w:val="single" w:sz="6" w:space="0" w:color="auto"/>
              <w:right w:val="nil"/>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top w:val="single" w:sz="6" w:space="0" w:color="auto"/>
              <w:left w:val="nil"/>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2008</w:t>
            </w:r>
            <w:r>
              <w:rPr>
                <w:rFonts w:eastAsiaTheme="minorEastAsia"/>
                <w:lang w:eastAsia="en-AU"/>
              </w:rPr>
              <w:noBreakHyphen/>
            </w:r>
            <w:r w:rsidRPr="005A76CF">
              <w:rPr>
                <w:rFonts w:eastAsiaTheme="minorEastAsia"/>
                <w:lang w:eastAsia="en-AU"/>
              </w:rPr>
              <w:t>09</w:t>
            </w:r>
          </w:p>
        </w:tc>
        <w:tc>
          <w:tcPr>
            <w:tcW w:w="1036" w:type="dxa"/>
            <w:tcBorders>
              <w:top w:val="single" w:sz="6" w:space="0" w:color="auto"/>
              <w:left w:val="nil"/>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2008</w:t>
            </w:r>
            <w:r>
              <w:rPr>
                <w:rFonts w:eastAsiaTheme="minorEastAsia"/>
                <w:lang w:eastAsia="en-AU"/>
              </w:rPr>
              <w:noBreakHyphen/>
            </w:r>
            <w:r w:rsidRPr="005A76CF">
              <w:rPr>
                <w:rFonts w:eastAsiaTheme="minorEastAsia"/>
                <w:lang w:eastAsia="en-AU"/>
              </w:rPr>
              <w:t>09</w:t>
            </w:r>
          </w:p>
        </w:tc>
        <w:tc>
          <w:tcPr>
            <w:tcW w:w="1036" w:type="dxa"/>
            <w:tcBorders>
              <w:top w:val="single" w:sz="6" w:space="0" w:color="auto"/>
              <w:left w:val="nil"/>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Forecast</w:t>
            </w:r>
          </w:p>
        </w:tc>
      </w:tr>
      <w:tr w:rsidR="00F87646" w:rsidRPr="005A76CF" w:rsidTr="005A76CF">
        <w:tc>
          <w:tcPr>
            <w:tcW w:w="4665" w:type="dxa"/>
            <w:tcBorders>
              <w:left w:val="single" w:sz="6" w:space="0" w:color="auto"/>
              <w:bottom w:val="single" w:sz="6" w:space="0" w:color="auto"/>
              <w:right w:val="nil"/>
            </w:tcBorders>
            <w:shd w:val="clear" w:color="auto" w:fill="000000"/>
          </w:tcPr>
          <w:p w:rsidR="00F87646" w:rsidRPr="005A76CF" w:rsidRDefault="00F87646" w:rsidP="005A76CF">
            <w:pPr>
              <w:pStyle w:val="Tabletext"/>
              <w:rPr>
                <w:rFonts w:eastAsiaTheme="minorEastAsia"/>
                <w:lang w:eastAsia="en-AU"/>
              </w:rPr>
            </w:pPr>
            <w:r w:rsidRPr="005A76CF">
              <w:rPr>
                <w:rFonts w:eastAsiaTheme="minorEastAsia"/>
                <w:lang w:eastAsia="en-AU"/>
              </w:rPr>
              <w:t xml:space="preserve"> </w:t>
            </w:r>
          </w:p>
        </w:tc>
        <w:tc>
          <w:tcPr>
            <w:tcW w:w="1036" w:type="dxa"/>
            <w:tcBorders>
              <w:left w:val="nil"/>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budget</w:t>
            </w:r>
          </w:p>
        </w:tc>
        <w:tc>
          <w:tcPr>
            <w:tcW w:w="1036" w:type="dxa"/>
            <w:tcBorders>
              <w:left w:val="nil"/>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actual</w:t>
            </w:r>
          </w:p>
        </w:tc>
        <w:tc>
          <w:tcPr>
            <w:tcW w:w="1036" w:type="dxa"/>
            <w:tcBorders>
              <w:left w:val="nil"/>
              <w:bottom w:val="single" w:sz="6" w:space="0" w:color="auto"/>
              <w:right w:val="single" w:sz="6" w:space="0" w:color="auto"/>
            </w:tcBorders>
            <w:shd w:val="clear" w:color="auto" w:fill="000000"/>
          </w:tcPr>
          <w:p w:rsidR="00F87646" w:rsidRPr="005A76CF" w:rsidRDefault="00F87646" w:rsidP="005A76CF">
            <w:pPr>
              <w:pStyle w:val="Tabletextheading"/>
              <w:rPr>
                <w:rFonts w:eastAsiaTheme="minorEastAsia"/>
                <w:lang w:eastAsia="en-AU"/>
              </w:rPr>
            </w:pPr>
            <w:r w:rsidRPr="005A76CF">
              <w:rPr>
                <w:rFonts w:eastAsiaTheme="minorEastAsia"/>
                <w:lang w:eastAsia="en-AU"/>
              </w:rPr>
              <w:t>error</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Payroll taxes</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3 963</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3 980</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xml:space="preserve"> 17</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Land transfer duty</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3 737</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2 801</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( 936)</w:t>
            </w:r>
          </w:p>
        </w:tc>
      </w:tr>
      <w:tr w:rsidR="00F87646" w:rsidRPr="005A76CF" w:rsidTr="005A76CF">
        <w:tc>
          <w:tcPr>
            <w:tcW w:w="4665" w:type="dxa"/>
            <w:tcBorders>
              <w:top w:val="nil"/>
              <w:left w:val="nil"/>
              <w:bottom w:val="single" w:sz="6" w:space="0" w:color="auto"/>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Other own</w:t>
            </w:r>
            <w:r>
              <w:rPr>
                <w:rFonts w:eastAsiaTheme="minorEastAsia"/>
                <w:lang w:eastAsia="en-AU"/>
              </w:rPr>
              <w:noBreakHyphen/>
            </w:r>
            <w:r w:rsidRPr="005A76CF">
              <w:rPr>
                <w:rFonts w:eastAsiaTheme="minorEastAsia"/>
                <w:lang w:eastAsia="en-AU"/>
              </w:rPr>
              <w:t>sourced revenue</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5 683</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5 846</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xml:space="preserve"> 163</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Taxation revenue</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13 383</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12 627</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( 756)</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Other revenue</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14 146</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17 339</w:t>
            </w:r>
          </w:p>
        </w:tc>
        <w:tc>
          <w:tcPr>
            <w:tcW w:w="1036" w:type="dxa"/>
            <w:tcBorders>
              <w:top w:val="nil"/>
              <w:left w:val="nil"/>
              <w:bottom w:val="nil"/>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3 193</w:t>
            </w:r>
          </w:p>
        </w:tc>
      </w:tr>
      <w:tr w:rsidR="00F87646" w:rsidRPr="005A76CF" w:rsidTr="005A76CF">
        <w:tc>
          <w:tcPr>
            <w:tcW w:w="4665" w:type="dxa"/>
            <w:tcBorders>
              <w:top w:val="nil"/>
              <w:left w:val="nil"/>
              <w:bottom w:val="single" w:sz="6" w:space="0" w:color="auto"/>
              <w:right w:val="nil"/>
            </w:tcBorders>
          </w:tcPr>
          <w:p w:rsidR="00F87646" w:rsidRPr="005A76CF" w:rsidRDefault="00F87646" w:rsidP="005A76CF">
            <w:pPr>
              <w:pStyle w:val="Tabletext"/>
              <w:rPr>
                <w:rFonts w:eastAsiaTheme="minorEastAsia"/>
                <w:lang w:eastAsia="en-AU"/>
              </w:rPr>
            </w:pPr>
            <w:r w:rsidRPr="005A76CF">
              <w:rPr>
                <w:rFonts w:eastAsiaTheme="minorEastAsia"/>
                <w:lang w:eastAsia="en-AU"/>
              </w:rPr>
              <w:t>GST</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10 281</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9 319</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lang w:eastAsia="en-AU"/>
              </w:rPr>
            </w:pPr>
            <w:r w:rsidRPr="005A76CF">
              <w:rPr>
                <w:rFonts w:eastAsiaTheme="minorEastAsia"/>
                <w:lang w:eastAsia="en-AU"/>
              </w:rPr>
              <w:t>( 962)</w:t>
            </w:r>
          </w:p>
        </w:tc>
      </w:tr>
      <w:tr w:rsidR="00F87646" w:rsidRPr="005A76CF" w:rsidTr="005A76CF">
        <w:tc>
          <w:tcPr>
            <w:tcW w:w="4665" w:type="dxa"/>
            <w:tcBorders>
              <w:top w:val="nil"/>
              <w:left w:val="nil"/>
              <w:bottom w:val="nil"/>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Total revenue</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37 810</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39 285</w:t>
            </w:r>
          </w:p>
        </w:tc>
        <w:tc>
          <w:tcPr>
            <w:tcW w:w="1036" w:type="dxa"/>
            <w:tcBorders>
              <w:top w:val="nil"/>
              <w:left w:val="nil"/>
              <w:bottom w:val="nil"/>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1 475</w:t>
            </w:r>
          </w:p>
        </w:tc>
      </w:tr>
      <w:tr w:rsidR="00F87646" w:rsidRPr="005A76CF" w:rsidTr="005A76CF">
        <w:tc>
          <w:tcPr>
            <w:tcW w:w="4665" w:type="dxa"/>
            <w:tcBorders>
              <w:top w:val="nil"/>
              <w:left w:val="nil"/>
              <w:bottom w:val="single" w:sz="6" w:space="0" w:color="auto"/>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Total expenses</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36 982</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39 034</w:t>
            </w:r>
          </w:p>
        </w:tc>
        <w:tc>
          <w:tcPr>
            <w:tcW w:w="1036" w:type="dxa"/>
            <w:tcBorders>
              <w:top w:val="nil"/>
              <w:left w:val="nil"/>
              <w:bottom w:val="single" w:sz="6"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2 051</w:t>
            </w:r>
          </w:p>
        </w:tc>
      </w:tr>
      <w:tr w:rsidR="00F87646" w:rsidRPr="005A76CF" w:rsidTr="005A76CF">
        <w:tc>
          <w:tcPr>
            <w:tcW w:w="4665" w:type="dxa"/>
            <w:tcBorders>
              <w:top w:val="single" w:sz="6" w:space="0" w:color="auto"/>
              <w:left w:val="nil"/>
              <w:bottom w:val="single" w:sz="12" w:space="0" w:color="auto"/>
              <w:right w:val="nil"/>
            </w:tcBorders>
          </w:tcPr>
          <w:p w:rsidR="00F87646" w:rsidRPr="005A76CF" w:rsidRDefault="00F87646" w:rsidP="005A76CF">
            <w:pPr>
              <w:pStyle w:val="Tabletext"/>
              <w:rPr>
                <w:rFonts w:eastAsiaTheme="minorEastAsia"/>
                <w:b/>
                <w:bCs/>
                <w:lang w:eastAsia="en-AU"/>
              </w:rPr>
            </w:pPr>
            <w:r w:rsidRPr="005A76CF">
              <w:rPr>
                <w:rFonts w:eastAsiaTheme="minorEastAsia"/>
                <w:b/>
                <w:bCs/>
                <w:lang w:eastAsia="en-AU"/>
              </w:rPr>
              <w:t>Net result from transactions</w:t>
            </w:r>
          </w:p>
        </w:tc>
        <w:tc>
          <w:tcPr>
            <w:tcW w:w="1036" w:type="dxa"/>
            <w:tcBorders>
              <w:top w:val="nil"/>
              <w:left w:val="nil"/>
              <w:bottom w:val="single" w:sz="12"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 xml:space="preserve"> 828</w:t>
            </w:r>
          </w:p>
        </w:tc>
        <w:tc>
          <w:tcPr>
            <w:tcW w:w="1036" w:type="dxa"/>
            <w:tcBorders>
              <w:top w:val="nil"/>
              <w:left w:val="nil"/>
              <w:bottom w:val="single" w:sz="12" w:space="0" w:color="auto"/>
              <w:right w:val="nil"/>
            </w:tcBorders>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 xml:space="preserve"> 251</w:t>
            </w:r>
          </w:p>
        </w:tc>
        <w:tc>
          <w:tcPr>
            <w:tcW w:w="1036" w:type="dxa"/>
            <w:tcBorders>
              <w:top w:val="single" w:sz="6" w:space="0" w:color="auto"/>
              <w:left w:val="nil"/>
              <w:bottom w:val="single" w:sz="12" w:space="0" w:color="auto"/>
              <w:right w:val="nil"/>
            </w:tcBorders>
            <w:shd w:val="solid" w:color="FFFFFF" w:fill="auto"/>
          </w:tcPr>
          <w:p w:rsidR="00F87646" w:rsidRPr="005A76CF" w:rsidRDefault="00F87646" w:rsidP="005A76CF">
            <w:pPr>
              <w:pStyle w:val="TableofFigures"/>
              <w:rPr>
                <w:rFonts w:eastAsiaTheme="minorEastAsia"/>
                <w:b/>
                <w:bCs/>
                <w:lang w:eastAsia="en-AU"/>
              </w:rPr>
            </w:pPr>
            <w:r w:rsidRPr="005A76CF">
              <w:rPr>
                <w:rFonts w:eastAsiaTheme="minorEastAsia"/>
                <w:b/>
                <w:bCs/>
                <w:lang w:eastAsia="en-AU"/>
              </w:rPr>
              <w:t>( 576)</w:t>
            </w:r>
          </w:p>
        </w:tc>
      </w:tr>
    </w:tbl>
    <w:p w:rsidR="00F87646" w:rsidRDefault="00F87646" w:rsidP="00DE7000">
      <w:pPr>
        <w:pStyle w:val="Source"/>
      </w:pPr>
      <w:r>
        <w:t>Source: Department of Treasury and Finance</w:t>
      </w:r>
    </w:p>
    <w:p w:rsidR="00F87646" w:rsidRDefault="00F87646" w:rsidP="006A12F7"/>
    <w:p w:rsidR="00F87646" w:rsidRDefault="00F87646">
      <w:pPr>
        <w:spacing w:after="0"/>
      </w:pPr>
      <w:r>
        <w:br w:type="page"/>
      </w:r>
    </w:p>
    <w:p w:rsidR="00F87646" w:rsidRPr="006A12F7" w:rsidRDefault="00F87646" w:rsidP="006A12F7"/>
    <w:p w:rsidR="00F87646" w:rsidRDefault="00F87646" w:rsidP="00986765">
      <w:pPr>
        <w:sectPr w:rsidR="00F87646" w:rsidSect="002869F8">
          <w:footerReference w:type="even" r:id="rId30"/>
          <w:footerReference w:type="default" r:id="rId31"/>
          <w:pgSz w:w="9979" w:h="14181" w:code="138"/>
          <w:pgMar w:top="1138" w:right="1138" w:bottom="1138" w:left="1138" w:header="720" w:footer="432" w:gutter="0"/>
          <w:cols w:space="708"/>
          <w:docGrid w:linePitch="360"/>
        </w:sectPr>
      </w:pPr>
    </w:p>
    <w:p w:rsidR="00F87646" w:rsidRPr="00616A9F" w:rsidRDefault="00F87646" w:rsidP="00616A9F">
      <w:pPr>
        <w:pStyle w:val="ChapterHeading"/>
        <w:rPr>
          <w:i/>
        </w:rPr>
      </w:pPr>
      <w:bookmarkStart w:id="109" w:name="_Toc403386711"/>
      <w:r>
        <w:lastRenderedPageBreak/>
        <w:t xml:space="preserve">Appendix C – Requirements of the </w:t>
      </w:r>
      <w:r>
        <w:rPr>
          <w:i/>
        </w:rPr>
        <w:t>Financial Management Act 1994</w:t>
      </w:r>
      <w:bookmarkEnd w:id="109"/>
    </w:p>
    <w:p w:rsidR="00F87646" w:rsidRPr="001F0290" w:rsidRDefault="00F87646" w:rsidP="001F0290">
      <w:r w:rsidRPr="001F0290">
        <w:t xml:space="preserve">The </w:t>
      </w:r>
      <w:r w:rsidRPr="001F0290">
        <w:rPr>
          <w:i/>
        </w:rPr>
        <w:t>Financial Management Act 1994</w:t>
      </w:r>
      <w:r w:rsidRPr="001F0290">
        <w:t xml:space="preserve"> (the Act) requires the Secretary of the Department of Treasury and Finance to prepare a pre</w:t>
      </w:r>
      <w:r>
        <w:noBreakHyphen/>
      </w:r>
      <w:r w:rsidRPr="001F0290">
        <w:t xml:space="preserve">election budget update when a writ is issued for a general election. The provisions of the Act have been complied with in the </w:t>
      </w:r>
      <w:r>
        <w:rPr>
          <w:i/>
        </w:rPr>
        <w:t>2014 </w:t>
      </w:r>
      <w:r w:rsidRPr="00320955">
        <w:rPr>
          <w:i/>
        </w:rPr>
        <w:t>Victorian</w:t>
      </w:r>
      <w:r>
        <w:t xml:space="preserve"> </w:t>
      </w:r>
      <w:r w:rsidRPr="001F0290">
        <w:rPr>
          <w:i/>
        </w:rPr>
        <w:t>Pre</w:t>
      </w:r>
      <w:r>
        <w:rPr>
          <w:i/>
        </w:rPr>
        <w:noBreakHyphen/>
      </w:r>
      <w:r w:rsidRPr="001F0290">
        <w:rPr>
          <w:i/>
        </w:rPr>
        <w:t>Election Budget Update</w:t>
      </w:r>
      <w:r w:rsidRPr="001F0290">
        <w:t xml:space="preserve">. </w:t>
      </w:r>
    </w:p>
    <w:p w:rsidR="00F87646" w:rsidRPr="001F0290" w:rsidRDefault="00F87646" w:rsidP="001F0290">
      <w:r w:rsidRPr="001F0290">
        <w:t>Table C.1 provides details of these requirements together with appropriate references in this document.</w:t>
      </w:r>
    </w:p>
    <w:p w:rsidR="00F87646" w:rsidRPr="001F0290" w:rsidRDefault="00F87646" w:rsidP="001F0290">
      <w:pPr>
        <w:keepNext/>
        <w:spacing w:before="240"/>
        <w:ind w:left="1152" w:hanging="1152"/>
        <w:rPr>
          <w:rFonts w:ascii="AvantGarde Bk BT" w:hAnsi="AvantGarde Bk BT"/>
          <w:b/>
          <w:sz w:val="20"/>
        </w:rPr>
      </w:pPr>
      <w:r w:rsidRPr="001F0290">
        <w:rPr>
          <w:rFonts w:ascii="AvantGarde Bk BT" w:hAnsi="AvantGarde Bk BT"/>
          <w:b/>
          <w:sz w:val="20"/>
        </w:rPr>
        <w:t>Table C.1:</w:t>
      </w:r>
      <w:r w:rsidRPr="001F0290">
        <w:rPr>
          <w:rFonts w:ascii="AvantGarde Bk BT" w:hAnsi="AvantGarde Bk BT"/>
          <w:b/>
          <w:sz w:val="20"/>
        </w:rPr>
        <w:tab/>
        <w:t xml:space="preserve">Statements required by the </w:t>
      </w:r>
      <w:r w:rsidRPr="001F0290">
        <w:rPr>
          <w:rFonts w:ascii="AvantGarde Bk BT" w:hAnsi="AvantGarde Bk BT"/>
          <w:b/>
          <w:i/>
          <w:sz w:val="20"/>
        </w:rPr>
        <w:t>Financial Management Act 1994</w:t>
      </w:r>
      <w:r w:rsidRPr="001F0290">
        <w:rPr>
          <w:rFonts w:ascii="AvantGarde Bk BT" w:hAnsi="AvantGarde Bk BT"/>
          <w:b/>
          <w:sz w:val="20"/>
        </w:rPr>
        <w:t xml:space="preserve"> and their location in the </w:t>
      </w:r>
      <w:r w:rsidRPr="00320955">
        <w:rPr>
          <w:rFonts w:ascii="AvantGarde Bk BT" w:hAnsi="AvantGarde Bk BT"/>
          <w:b/>
          <w:i/>
          <w:sz w:val="20"/>
        </w:rPr>
        <w:t>2014 Victorian</w:t>
      </w:r>
      <w:r w:rsidRPr="00320955">
        <w:rPr>
          <w:rFonts w:ascii="AvantGarde Bk BT" w:hAnsi="AvantGarde Bk BT"/>
          <w:b/>
          <w:sz w:val="20"/>
        </w:rPr>
        <w:t xml:space="preserve"> </w:t>
      </w:r>
      <w:r w:rsidRPr="001F0290">
        <w:rPr>
          <w:rFonts w:ascii="AvantGarde Bk BT" w:hAnsi="AvantGarde Bk BT"/>
          <w:b/>
          <w:i/>
          <w:sz w:val="20"/>
        </w:rPr>
        <w:t>Pre</w:t>
      </w:r>
      <w:r>
        <w:rPr>
          <w:rFonts w:ascii="AvantGarde Bk BT" w:hAnsi="AvantGarde Bk BT"/>
          <w:b/>
          <w:i/>
          <w:sz w:val="20"/>
        </w:rPr>
        <w:noBreakHyphen/>
      </w:r>
      <w:r w:rsidRPr="001F0290">
        <w:rPr>
          <w:rFonts w:ascii="AvantGarde Bk BT" w:hAnsi="AvantGarde Bk BT"/>
          <w:b/>
          <w:i/>
          <w:sz w:val="20"/>
        </w:rPr>
        <w:t>Election Budget Update</w:t>
      </w:r>
    </w:p>
    <w:tbl>
      <w:tblPr>
        <w:tblStyle w:val="TableGrid1"/>
        <w:tblW w:w="0" w:type="auto"/>
        <w:tblCellMar>
          <w:left w:w="43" w:type="dxa"/>
          <w:right w:w="43" w:type="dxa"/>
        </w:tblCellMar>
        <w:tblLook w:val="01E0" w:firstRow="1" w:lastRow="1" w:firstColumn="1" w:lastColumn="1" w:noHBand="0" w:noVBand="0"/>
      </w:tblPr>
      <w:tblGrid>
        <w:gridCol w:w="3904"/>
        <w:gridCol w:w="3885"/>
      </w:tblGrid>
      <w:tr w:rsidR="00F87646" w:rsidRPr="001F0290" w:rsidTr="00C9314F">
        <w:trPr>
          <w:cantSplit/>
          <w:tblHeader/>
        </w:trPr>
        <w:tc>
          <w:tcPr>
            <w:tcW w:w="3904" w:type="dxa"/>
            <w:tcBorders>
              <w:top w:val="single" w:sz="6" w:space="0" w:color="auto"/>
              <w:left w:val="single" w:sz="6" w:space="0" w:color="auto"/>
              <w:bottom w:val="single" w:sz="6" w:space="0" w:color="auto"/>
            </w:tcBorders>
            <w:shd w:val="clear" w:color="auto" w:fill="000000"/>
          </w:tcPr>
          <w:p w:rsidR="00F87646" w:rsidRPr="001F0290" w:rsidRDefault="00F87646" w:rsidP="00774FDA">
            <w:pPr>
              <w:pStyle w:val="Tabletextheadingleft"/>
            </w:pPr>
            <w:r w:rsidRPr="001F0290">
              <w:t xml:space="preserve">Relevant section of the Act and </w:t>
            </w:r>
            <w:r w:rsidRPr="001F0290">
              <w:br/>
              <w:t>corresponding requirement</w:t>
            </w:r>
          </w:p>
        </w:tc>
        <w:tc>
          <w:tcPr>
            <w:tcW w:w="3885" w:type="dxa"/>
            <w:tcBorders>
              <w:top w:val="single" w:sz="6" w:space="0" w:color="auto"/>
              <w:bottom w:val="single" w:sz="6" w:space="0" w:color="auto"/>
              <w:right w:val="single" w:sz="6" w:space="0" w:color="auto"/>
            </w:tcBorders>
            <w:shd w:val="clear" w:color="auto" w:fill="000000"/>
            <w:vAlign w:val="bottom"/>
          </w:tcPr>
          <w:p w:rsidR="00F87646" w:rsidRPr="001F0290" w:rsidRDefault="00F87646" w:rsidP="00774FDA">
            <w:pPr>
              <w:pStyle w:val="Tabletextheadingleft"/>
            </w:pPr>
            <w:r w:rsidRPr="001F0290">
              <w:t>Location</w:t>
            </w:r>
          </w:p>
        </w:tc>
      </w:tr>
      <w:tr w:rsidR="00F87646" w:rsidRPr="001F0290" w:rsidTr="00C9314F">
        <w:trPr>
          <w:cantSplit/>
        </w:trPr>
        <w:tc>
          <w:tcPr>
            <w:tcW w:w="3904" w:type="dxa"/>
            <w:tcBorders>
              <w:top w:val="single" w:sz="6" w:space="0" w:color="auto"/>
            </w:tcBorders>
          </w:tcPr>
          <w:p w:rsidR="00F87646" w:rsidRPr="001F0290" w:rsidRDefault="00F87646" w:rsidP="00774FDA">
            <w:pPr>
              <w:pStyle w:val="Tabletext"/>
            </w:pPr>
            <w:r w:rsidRPr="001F0290">
              <w:t>Section 27B(1)</w:t>
            </w:r>
          </w:p>
          <w:p w:rsidR="00F87646" w:rsidRPr="001F0290" w:rsidRDefault="00F87646" w:rsidP="00774FDA">
            <w:pPr>
              <w:pStyle w:val="Tabletext"/>
            </w:pPr>
            <w:r w:rsidRPr="001F0290">
              <w:t>A pre</w:t>
            </w:r>
            <w:r>
              <w:noBreakHyphen/>
            </w:r>
            <w:r w:rsidRPr="001F0290">
              <w:t>election budget update comprises –</w:t>
            </w:r>
          </w:p>
        </w:tc>
        <w:tc>
          <w:tcPr>
            <w:tcW w:w="3885" w:type="dxa"/>
            <w:tcBorders>
              <w:top w:val="single" w:sz="6" w:space="0" w:color="auto"/>
            </w:tcBorders>
          </w:tcPr>
          <w:p w:rsidR="00F87646" w:rsidRPr="001F0290" w:rsidRDefault="00F87646" w:rsidP="00774FDA">
            <w:pPr>
              <w:pStyle w:val="Tabletext"/>
            </w:pPr>
          </w:p>
        </w:tc>
      </w:tr>
      <w:tr w:rsidR="00F87646" w:rsidRPr="001F0290" w:rsidTr="00636512">
        <w:trPr>
          <w:cantSplit/>
        </w:trPr>
        <w:tc>
          <w:tcPr>
            <w:tcW w:w="3904" w:type="dxa"/>
            <w:tcBorders>
              <w:bottom w:val="single" w:sz="6" w:space="0" w:color="BFBFBF" w:themeColor="background1" w:themeShade="BF"/>
            </w:tcBorders>
          </w:tcPr>
          <w:p w:rsidR="00F87646" w:rsidRPr="001F0290" w:rsidRDefault="00F87646" w:rsidP="00774FDA">
            <w:pPr>
              <w:pStyle w:val="Tabletext"/>
              <w:ind w:left="360" w:hanging="360"/>
            </w:pPr>
            <w:r w:rsidRPr="001F0290">
              <w:t>(a)</w:t>
            </w:r>
            <w:r w:rsidRPr="001F0290">
              <w:tab/>
              <w:t>updated estimated financial statements for the Victorian general government sector for t</w:t>
            </w:r>
            <w:r>
              <w:t>he financial year in respect of </w:t>
            </w:r>
            <w:r w:rsidRPr="001F0290">
              <w:t>which they are prepared and the following 3 financial years;</w:t>
            </w:r>
          </w:p>
        </w:tc>
        <w:tc>
          <w:tcPr>
            <w:tcW w:w="3885" w:type="dxa"/>
            <w:tcBorders>
              <w:bottom w:val="single" w:sz="6" w:space="0" w:color="BFBFBF" w:themeColor="background1" w:themeShade="BF"/>
            </w:tcBorders>
          </w:tcPr>
          <w:p w:rsidR="00F87646" w:rsidRPr="00723C29" w:rsidRDefault="00F87646" w:rsidP="00774FDA">
            <w:pPr>
              <w:pStyle w:val="Tabletext"/>
              <w:ind w:left="0" w:firstLine="0"/>
            </w:pPr>
            <w:r w:rsidRPr="00723C29">
              <w:t xml:space="preserve">Chapter 3, </w:t>
            </w:r>
            <w:r w:rsidRPr="00854278">
              <w:rPr>
                <w:i/>
              </w:rPr>
              <w:t>Estimated Financial Statements and Notes</w:t>
            </w:r>
          </w:p>
        </w:tc>
      </w:tr>
      <w:tr w:rsidR="00F87646" w:rsidRPr="001F0290" w:rsidTr="00C9314F">
        <w:trPr>
          <w:cantSplit/>
        </w:trPr>
        <w:tc>
          <w:tcPr>
            <w:tcW w:w="3904" w:type="dxa"/>
            <w:tcBorders>
              <w:top w:val="single" w:sz="6" w:space="0" w:color="BFBFBF" w:themeColor="background1" w:themeShade="BF"/>
              <w:bottom w:val="single" w:sz="6" w:space="0" w:color="BFBFBF" w:themeColor="background1" w:themeShade="BF"/>
            </w:tcBorders>
          </w:tcPr>
          <w:p w:rsidR="00F87646" w:rsidRPr="001F0290" w:rsidRDefault="00F87646" w:rsidP="00774FDA">
            <w:pPr>
              <w:pStyle w:val="Tabletext"/>
              <w:ind w:left="360" w:hanging="360"/>
            </w:pPr>
            <w:r w:rsidRPr="001F0290">
              <w:t>(b)</w:t>
            </w:r>
            <w:r w:rsidRPr="001F0290">
              <w:tab/>
              <w:t>a statement of the material economic and other assumptions that have been used in preparing the updated statements;</w:t>
            </w:r>
          </w:p>
        </w:tc>
        <w:tc>
          <w:tcPr>
            <w:tcW w:w="3885" w:type="dxa"/>
            <w:tcBorders>
              <w:top w:val="single" w:sz="6" w:space="0" w:color="BFBFBF" w:themeColor="background1" w:themeShade="BF"/>
              <w:bottom w:val="single" w:sz="6" w:space="0" w:color="BFBFBF" w:themeColor="background1" w:themeShade="BF"/>
            </w:tcBorders>
          </w:tcPr>
          <w:p w:rsidR="00F87646" w:rsidRPr="00723C29" w:rsidRDefault="00F87646" w:rsidP="00854278">
            <w:pPr>
              <w:pStyle w:val="Tabletext"/>
              <w:ind w:left="0" w:firstLine="0"/>
            </w:pPr>
            <w:r w:rsidRPr="00723C29">
              <w:t xml:space="preserve">Chapter 1, </w:t>
            </w:r>
            <w:r w:rsidRPr="00723C29">
              <w:rPr>
                <w:i/>
              </w:rPr>
              <w:t xml:space="preserve">Economic conditions and </w:t>
            </w:r>
            <w:r>
              <w:rPr>
                <w:i/>
              </w:rPr>
              <w:t>outlook</w:t>
            </w:r>
            <w:r w:rsidRPr="00723C29">
              <w:t xml:space="preserve"> Chapter 2, </w:t>
            </w:r>
            <w:r w:rsidRPr="00723C29">
              <w:rPr>
                <w:i/>
              </w:rPr>
              <w:t>Budget position and outlook</w:t>
            </w:r>
            <w:r w:rsidRPr="00723C29">
              <w:t xml:space="preserve"> and Chapter 3, </w:t>
            </w:r>
            <w:r w:rsidRPr="00723C29">
              <w:rPr>
                <w:i/>
              </w:rPr>
              <w:t>Estimated Financial Statements and Notes</w:t>
            </w:r>
          </w:p>
        </w:tc>
      </w:tr>
      <w:tr w:rsidR="00F87646" w:rsidRPr="001F0290" w:rsidTr="00C9314F">
        <w:trPr>
          <w:cantSplit/>
        </w:trPr>
        <w:tc>
          <w:tcPr>
            <w:tcW w:w="3904" w:type="dxa"/>
            <w:tcBorders>
              <w:top w:val="single" w:sz="6" w:space="0" w:color="BFBFBF" w:themeColor="background1" w:themeShade="BF"/>
              <w:bottom w:val="single" w:sz="6" w:space="0" w:color="BFBFBF" w:themeColor="background1" w:themeShade="BF"/>
            </w:tcBorders>
          </w:tcPr>
          <w:p w:rsidR="00F87646" w:rsidRPr="001F0290" w:rsidRDefault="00F87646" w:rsidP="00774FDA">
            <w:pPr>
              <w:pStyle w:val="Tabletext"/>
              <w:ind w:left="360" w:hanging="360"/>
            </w:pPr>
            <w:r w:rsidRPr="001F0290">
              <w:t>(c)</w:t>
            </w:r>
            <w:r w:rsidRPr="001F0290">
              <w:tab/>
              <w:t>discussion of the sensitivity of the updated statements to changes in those economic and other assumptions;</w:t>
            </w:r>
          </w:p>
        </w:tc>
        <w:tc>
          <w:tcPr>
            <w:tcW w:w="3885" w:type="dxa"/>
            <w:tcBorders>
              <w:top w:val="single" w:sz="6" w:space="0" w:color="BFBFBF" w:themeColor="background1" w:themeShade="BF"/>
              <w:bottom w:val="single" w:sz="6" w:space="0" w:color="BFBFBF" w:themeColor="background1" w:themeShade="BF"/>
            </w:tcBorders>
          </w:tcPr>
          <w:p w:rsidR="00F87646" w:rsidRPr="00723C29" w:rsidRDefault="00F87646" w:rsidP="00774FDA">
            <w:pPr>
              <w:pStyle w:val="Tabletext"/>
              <w:ind w:left="0" w:firstLine="0"/>
            </w:pPr>
            <w:r w:rsidRPr="00723C29">
              <w:t xml:space="preserve">Appendix B, </w:t>
            </w:r>
            <w:r w:rsidRPr="00723C29">
              <w:rPr>
                <w:i/>
              </w:rPr>
              <w:t>Sensitivity analysis table</w:t>
            </w:r>
          </w:p>
        </w:tc>
      </w:tr>
      <w:tr w:rsidR="00F87646" w:rsidRPr="001F0290" w:rsidTr="00C9314F">
        <w:trPr>
          <w:cantSplit/>
        </w:trPr>
        <w:tc>
          <w:tcPr>
            <w:tcW w:w="3904" w:type="dxa"/>
            <w:tcBorders>
              <w:top w:val="single" w:sz="6" w:space="0" w:color="BFBFBF" w:themeColor="background1" w:themeShade="BF"/>
              <w:bottom w:val="single" w:sz="6" w:space="0" w:color="BFBFBF" w:themeColor="background1" w:themeShade="BF"/>
            </w:tcBorders>
          </w:tcPr>
          <w:p w:rsidR="00F87646" w:rsidRPr="001F0290" w:rsidRDefault="00F87646" w:rsidP="00774FDA">
            <w:pPr>
              <w:pStyle w:val="Tabletext"/>
              <w:ind w:left="360" w:hanging="360"/>
            </w:pPr>
            <w:r w:rsidRPr="001F0290">
              <w:t>(d)</w:t>
            </w:r>
            <w:r w:rsidRPr="001F0290">
              <w:tab/>
              <w:t>a statement of the risks, quantified where feasible, tha</w:t>
            </w:r>
            <w:r>
              <w:t>t may have a material effect on </w:t>
            </w:r>
            <w:r w:rsidRPr="001F0290">
              <w:t>the updated statements, including:</w:t>
            </w:r>
          </w:p>
          <w:p w:rsidR="00F87646" w:rsidRPr="001F0290" w:rsidRDefault="00F87646" w:rsidP="00774FDA">
            <w:pPr>
              <w:pStyle w:val="Tabletextindent"/>
            </w:pPr>
            <w:r w:rsidRPr="001F0290">
              <w:t>(i)</w:t>
            </w:r>
            <w:r w:rsidRPr="001F0290">
              <w:tab/>
              <w:t>contingent liabilities; and</w:t>
            </w:r>
          </w:p>
          <w:p w:rsidR="00F87646" w:rsidRPr="001F0290" w:rsidRDefault="00F87646" w:rsidP="00774FDA">
            <w:pPr>
              <w:pStyle w:val="Tabletextindent"/>
            </w:pPr>
            <w:r w:rsidRPr="001F0290">
              <w:t>(ii)</w:t>
            </w:r>
            <w:r w:rsidRPr="001F0290">
              <w:tab/>
              <w:t>publicly announced Government commitmen</w:t>
            </w:r>
            <w:r>
              <w:t>ts that are not yet included in </w:t>
            </w:r>
            <w:r w:rsidRPr="001F0290">
              <w:t>the updated statements.</w:t>
            </w:r>
          </w:p>
        </w:tc>
        <w:tc>
          <w:tcPr>
            <w:tcW w:w="3885" w:type="dxa"/>
            <w:tcBorders>
              <w:top w:val="single" w:sz="6" w:space="0" w:color="BFBFBF" w:themeColor="background1" w:themeShade="BF"/>
              <w:bottom w:val="single" w:sz="6" w:space="0" w:color="BFBFBF" w:themeColor="background1" w:themeShade="BF"/>
            </w:tcBorders>
          </w:tcPr>
          <w:p w:rsidR="00F87646" w:rsidRPr="00723C29" w:rsidRDefault="00F87646" w:rsidP="00774FDA">
            <w:pPr>
              <w:pStyle w:val="Tabletext"/>
              <w:ind w:left="0" w:firstLine="0"/>
            </w:pPr>
            <w:r w:rsidRPr="00723C29">
              <w:t xml:space="preserve">Foreword, Chapter 1, </w:t>
            </w:r>
            <w:r w:rsidRPr="00723C29">
              <w:rPr>
                <w:i/>
              </w:rPr>
              <w:t>Economic conditions and outlook</w:t>
            </w:r>
            <w:r w:rsidRPr="00723C29">
              <w:t xml:space="preserve">, Chapter 2, </w:t>
            </w:r>
            <w:r w:rsidRPr="00723C29">
              <w:rPr>
                <w:i/>
              </w:rPr>
              <w:t>Budget position and outlook</w:t>
            </w:r>
            <w:r w:rsidRPr="00723C29">
              <w:t xml:space="preserve">, Chapter 3, </w:t>
            </w:r>
            <w:r w:rsidRPr="00723C29">
              <w:rPr>
                <w:i/>
              </w:rPr>
              <w:t>Estimated Financial Statements and Notes</w:t>
            </w:r>
            <w:r w:rsidRPr="00723C29">
              <w:t xml:space="preserve">, Chapter 4, </w:t>
            </w:r>
            <w:r w:rsidRPr="00723C29">
              <w:rPr>
                <w:i/>
              </w:rPr>
              <w:t>Contingent assets and contingent liabilities</w:t>
            </w:r>
          </w:p>
        </w:tc>
      </w:tr>
    </w:tbl>
    <w:p w:rsidR="00F87646" w:rsidRDefault="00F87646">
      <w:r>
        <w:br w:type="page"/>
      </w:r>
    </w:p>
    <w:p w:rsidR="00F87646" w:rsidRDefault="00F87646" w:rsidP="0061183A">
      <w:pPr>
        <w:ind w:left="1440" w:hanging="1440"/>
      </w:pPr>
      <w:r w:rsidRPr="001F0290">
        <w:rPr>
          <w:rFonts w:ascii="AvantGarde Bk BT" w:hAnsi="AvantGarde Bk BT"/>
          <w:b/>
          <w:sz w:val="20"/>
        </w:rPr>
        <w:lastRenderedPageBreak/>
        <w:t>Table C.1:</w:t>
      </w:r>
      <w:r w:rsidRPr="001F0290">
        <w:rPr>
          <w:rFonts w:ascii="AvantGarde Bk BT" w:hAnsi="AvantGarde Bk BT"/>
          <w:b/>
          <w:sz w:val="20"/>
        </w:rPr>
        <w:tab/>
        <w:t xml:space="preserve">Statements required by the </w:t>
      </w:r>
      <w:r w:rsidRPr="001F0290">
        <w:rPr>
          <w:rFonts w:ascii="AvantGarde Bk BT" w:hAnsi="AvantGarde Bk BT"/>
          <w:b/>
          <w:i/>
          <w:sz w:val="20"/>
        </w:rPr>
        <w:t>Financial Management Act 1994</w:t>
      </w:r>
      <w:r w:rsidRPr="001F0290">
        <w:rPr>
          <w:rFonts w:ascii="AvantGarde Bk BT" w:hAnsi="AvantGarde Bk BT"/>
          <w:b/>
          <w:sz w:val="20"/>
        </w:rPr>
        <w:t xml:space="preserve"> and their location in the </w:t>
      </w:r>
      <w:r w:rsidRPr="00320955">
        <w:rPr>
          <w:rFonts w:ascii="AvantGarde Bk BT" w:hAnsi="AvantGarde Bk BT"/>
          <w:b/>
          <w:i/>
          <w:sz w:val="20"/>
        </w:rPr>
        <w:t>2014 Victorian</w:t>
      </w:r>
      <w:r w:rsidRPr="00320955">
        <w:rPr>
          <w:rFonts w:ascii="AvantGarde Bk BT" w:hAnsi="AvantGarde Bk BT"/>
          <w:b/>
          <w:sz w:val="20"/>
        </w:rPr>
        <w:t xml:space="preserve"> </w:t>
      </w:r>
      <w:r w:rsidRPr="001F0290">
        <w:rPr>
          <w:rFonts w:ascii="AvantGarde Bk BT" w:hAnsi="AvantGarde Bk BT"/>
          <w:b/>
          <w:i/>
          <w:sz w:val="20"/>
        </w:rPr>
        <w:t>Pre</w:t>
      </w:r>
      <w:r>
        <w:rPr>
          <w:rFonts w:ascii="AvantGarde Bk BT" w:hAnsi="AvantGarde Bk BT"/>
          <w:b/>
          <w:i/>
          <w:sz w:val="20"/>
        </w:rPr>
        <w:noBreakHyphen/>
      </w:r>
      <w:r w:rsidRPr="001F0290">
        <w:rPr>
          <w:rFonts w:ascii="AvantGarde Bk BT" w:hAnsi="AvantGarde Bk BT"/>
          <w:b/>
          <w:i/>
          <w:sz w:val="20"/>
        </w:rPr>
        <w:t>Election Budget Update</w:t>
      </w:r>
      <w:r>
        <w:rPr>
          <w:rFonts w:ascii="AvantGarde Bk BT" w:hAnsi="AvantGarde Bk BT"/>
          <w:b/>
          <w:i/>
          <w:sz w:val="20"/>
        </w:rPr>
        <w:t xml:space="preserve"> (continued)</w:t>
      </w:r>
    </w:p>
    <w:tbl>
      <w:tblPr>
        <w:tblStyle w:val="TableGrid1"/>
        <w:tblW w:w="0" w:type="auto"/>
        <w:tblCellMar>
          <w:left w:w="43" w:type="dxa"/>
          <w:right w:w="43" w:type="dxa"/>
        </w:tblCellMar>
        <w:tblLook w:val="01E0" w:firstRow="1" w:lastRow="1" w:firstColumn="1" w:lastColumn="1" w:noHBand="0" w:noVBand="0"/>
      </w:tblPr>
      <w:tblGrid>
        <w:gridCol w:w="3904"/>
        <w:gridCol w:w="3885"/>
      </w:tblGrid>
      <w:tr w:rsidR="00F87646" w:rsidRPr="001F0290" w:rsidTr="005820F0">
        <w:trPr>
          <w:cantSplit/>
          <w:tblHeader/>
        </w:trPr>
        <w:tc>
          <w:tcPr>
            <w:tcW w:w="3904" w:type="dxa"/>
            <w:tcBorders>
              <w:top w:val="single" w:sz="6" w:space="0" w:color="auto"/>
              <w:left w:val="single" w:sz="6" w:space="0" w:color="auto"/>
              <w:bottom w:val="single" w:sz="6" w:space="0" w:color="auto"/>
            </w:tcBorders>
            <w:shd w:val="clear" w:color="auto" w:fill="000000"/>
          </w:tcPr>
          <w:p w:rsidR="00F87646" w:rsidRPr="001F0290" w:rsidRDefault="00F87646" w:rsidP="005820F0">
            <w:pPr>
              <w:pStyle w:val="Tabletextheadingleft"/>
            </w:pPr>
            <w:r w:rsidRPr="001F0290">
              <w:t xml:space="preserve">Relevant section of the Act and </w:t>
            </w:r>
            <w:r w:rsidRPr="001F0290">
              <w:br/>
              <w:t>corresponding requirement</w:t>
            </w:r>
          </w:p>
        </w:tc>
        <w:tc>
          <w:tcPr>
            <w:tcW w:w="3885" w:type="dxa"/>
            <w:tcBorders>
              <w:top w:val="single" w:sz="6" w:space="0" w:color="auto"/>
              <w:bottom w:val="single" w:sz="6" w:space="0" w:color="auto"/>
              <w:right w:val="single" w:sz="6" w:space="0" w:color="auto"/>
            </w:tcBorders>
            <w:shd w:val="clear" w:color="auto" w:fill="000000"/>
            <w:vAlign w:val="bottom"/>
          </w:tcPr>
          <w:p w:rsidR="00F87646" w:rsidRPr="001F0290" w:rsidRDefault="00F87646" w:rsidP="005820F0">
            <w:pPr>
              <w:pStyle w:val="Tabletextheadingleft"/>
            </w:pPr>
            <w:r w:rsidRPr="001F0290">
              <w:t>Location</w:t>
            </w:r>
          </w:p>
        </w:tc>
      </w:tr>
      <w:tr w:rsidR="00F87646" w:rsidRPr="001F0290" w:rsidTr="00C9314F">
        <w:trPr>
          <w:cantSplit/>
        </w:trPr>
        <w:tc>
          <w:tcPr>
            <w:tcW w:w="3904" w:type="dxa"/>
            <w:tcBorders>
              <w:top w:val="single" w:sz="6" w:space="0" w:color="BFBFBF" w:themeColor="background1" w:themeShade="BF"/>
              <w:bottom w:val="single" w:sz="6" w:space="0" w:color="BFBFBF" w:themeColor="background1" w:themeShade="BF"/>
            </w:tcBorders>
          </w:tcPr>
          <w:p w:rsidR="00F87646" w:rsidRPr="001F0290" w:rsidRDefault="00F87646" w:rsidP="00774FDA">
            <w:pPr>
              <w:pStyle w:val="Tabletext"/>
            </w:pPr>
            <w:r w:rsidRPr="001F0290">
              <w:t>Section 27B(2)</w:t>
            </w:r>
          </w:p>
          <w:p w:rsidR="00F87646" w:rsidRPr="001F0290" w:rsidRDefault="00F87646" w:rsidP="00774FDA">
            <w:pPr>
              <w:pStyle w:val="Tabletext"/>
              <w:ind w:left="0" w:firstLine="0"/>
            </w:pPr>
            <w:r w:rsidRPr="001F0290">
              <w:t>The information in a pre</w:t>
            </w:r>
            <w:r>
              <w:noBreakHyphen/>
            </w:r>
            <w:r w:rsidRPr="001F0290">
              <w:t>election budget update must take into account, to the fullest extent possible, all Government decisions and all other circumstances that may have a material effect on the estimated financial statements.</w:t>
            </w:r>
          </w:p>
        </w:tc>
        <w:tc>
          <w:tcPr>
            <w:tcW w:w="3885" w:type="dxa"/>
            <w:tcBorders>
              <w:top w:val="single" w:sz="6" w:space="0" w:color="BFBFBF" w:themeColor="background1" w:themeShade="BF"/>
              <w:bottom w:val="single" w:sz="6" w:space="0" w:color="BFBFBF" w:themeColor="background1" w:themeShade="BF"/>
            </w:tcBorders>
          </w:tcPr>
          <w:p w:rsidR="00F87646" w:rsidRPr="001F0290" w:rsidRDefault="00F87646" w:rsidP="00723C29">
            <w:pPr>
              <w:pStyle w:val="Tabletext"/>
              <w:ind w:left="0" w:firstLine="0"/>
            </w:pPr>
            <w:r w:rsidRPr="00723C29">
              <w:t xml:space="preserve">Appendix A, </w:t>
            </w:r>
            <w:r w:rsidRPr="00723C29">
              <w:rPr>
                <w:i/>
              </w:rPr>
              <w:t xml:space="preserve">Specific policy initiatives affecting </w:t>
            </w:r>
            <w:r>
              <w:rPr>
                <w:i/>
              </w:rPr>
              <w:t xml:space="preserve">the </w:t>
            </w:r>
            <w:r w:rsidRPr="00723C29">
              <w:rPr>
                <w:i/>
              </w:rPr>
              <w:t>budget position</w:t>
            </w:r>
          </w:p>
        </w:tc>
      </w:tr>
      <w:tr w:rsidR="00F87646" w:rsidRPr="001F0290" w:rsidTr="00C9314F">
        <w:trPr>
          <w:cantSplit/>
        </w:trPr>
        <w:tc>
          <w:tcPr>
            <w:tcW w:w="3904" w:type="dxa"/>
            <w:tcBorders>
              <w:top w:val="single" w:sz="6" w:space="0" w:color="BFBFBF" w:themeColor="background1" w:themeShade="BF"/>
              <w:bottom w:val="single" w:sz="12" w:space="0" w:color="auto"/>
            </w:tcBorders>
          </w:tcPr>
          <w:p w:rsidR="00F87646" w:rsidRPr="001F0290" w:rsidRDefault="00F87646" w:rsidP="00774FDA">
            <w:pPr>
              <w:pStyle w:val="Tabletext"/>
            </w:pPr>
            <w:r w:rsidRPr="001F0290">
              <w:t>Section 27B(3)</w:t>
            </w:r>
          </w:p>
          <w:p w:rsidR="00F87646" w:rsidRPr="001F0290" w:rsidRDefault="00F87646" w:rsidP="00774FDA">
            <w:pPr>
              <w:pStyle w:val="Tabletext"/>
              <w:ind w:left="0" w:firstLine="0"/>
            </w:pPr>
            <w:r w:rsidRPr="001F0290">
              <w:t>A pre</w:t>
            </w:r>
            <w:r>
              <w:noBreakHyphen/>
            </w:r>
            <w:r w:rsidRPr="001F0290">
              <w:t>election budget update must be prepared on a basis consistent with:</w:t>
            </w:r>
          </w:p>
          <w:p w:rsidR="00F87646" w:rsidRPr="001F0290" w:rsidRDefault="00F87646" w:rsidP="00774FDA">
            <w:pPr>
              <w:pStyle w:val="Tabletext"/>
              <w:ind w:left="360" w:hanging="360"/>
            </w:pPr>
            <w:r w:rsidRPr="001F0290">
              <w:t>(a)</w:t>
            </w:r>
            <w:r w:rsidRPr="001F0290">
              <w:tab/>
              <w:t>the current financial policy objectives and strategies statement; and</w:t>
            </w:r>
          </w:p>
          <w:p w:rsidR="00F87646" w:rsidRPr="001F0290" w:rsidRDefault="00F87646" w:rsidP="00774FDA">
            <w:pPr>
              <w:pStyle w:val="Tabletextindent"/>
              <w:ind w:hanging="360"/>
            </w:pPr>
            <w:r w:rsidRPr="001F0290">
              <w:t>(b)</w:t>
            </w:r>
            <w:r w:rsidRPr="001F0290">
              <w:tab/>
              <w:t>the most recent estimated financial statements or budget update, as applicable.</w:t>
            </w:r>
          </w:p>
        </w:tc>
        <w:tc>
          <w:tcPr>
            <w:tcW w:w="3885" w:type="dxa"/>
            <w:tcBorders>
              <w:top w:val="single" w:sz="6" w:space="0" w:color="BFBFBF" w:themeColor="background1" w:themeShade="BF"/>
              <w:bottom w:val="single" w:sz="12" w:space="0" w:color="auto"/>
            </w:tcBorders>
          </w:tcPr>
          <w:p w:rsidR="00F87646" w:rsidRPr="001F0290" w:rsidRDefault="00F87646" w:rsidP="00854278">
            <w:pPr>
              <w:pStyle w:val="Tabletext"/>
              <w:ind w:left="0" w:firstLine="0"/>
            </w:pPr>
            <w:r w:rsidRPr="00723C29">
              <w:t xml:space="preserve">Chapter 1, </w:t>
            </w:r>
            <w:r w:rsidRPr="00723C29">
              <w:rPr>
                <w:i/>
              </w:rPr>
              <w:t>Economic conditions and outlook</w:t>
            </w:r>
            <w:r w:rsidRPr="00723C29">
              <w:t xml:space="preserve"> Chapter 2, </w:t>
            </w:r>
            <w:r w:rsidRPr="00723C29">
              <w:rPr>
                <w:i/>
              </w:rPr>
              <w:t>Budget position and outlook</w:t>
            </w:r>
            <w:r w:rsidRPr="00723C29">
              <w:t xml:space="preserve"> and Chapter 3, </w:t>
            </w:r>
            <w:r w:rsidRPr="00723C29">
              <w:rPr>
                <w:i/>
              </w:rPr>
              <w:t>Estimated Financial Statements and Notes</w:t>
            </w:r>
          </w:p>
        </w:tc>
      </w:tr>
    </w:tbl>
    <w:p w:rsidR="00F87646" w:rsidRDefault="00F87646" w:rsidP="000A4586"/>
    <w:p w:rsidR="00F87646" w:rsidRDefault="00F87646" w:rsidP="000A4586"/>
    <w:p w:rsidR="00F87646" w:rsidRDefault="00F87646" w:rsidP="00986765">
      <w:pPr>
        <w:sectPr w:rsidR="00F87646" w:rsidSect="002869F8">
          <w:footerReference w:type="even" r:id="rId32"/>
          <w:footerReference w:type="default" r:id="rId33"/>
          <w:pgSz w:w="9979" w:h="14181" w:code="138"/>
          <w:pgMar w:top="1138" w:right="1138" w:bottom="1138" w:left="1138" w:header="720" w:footer="432" w:gutter="0"/>
          <w:cols w:space="708"/>
          <w:docGrid w:linePitch="360"/>
        </w:sectPr>
      </w:pPr>
    </w:p>
    <w:p w:rsidR="00F87646" w:rsidRDefault="00F87646" w:rsidP="00330088">
      <w:pPr>
        <w:pStyle w:val="ChapterHeading"/>
      </w:pPr>
      <w:bookmarkStart w:id="110" w:name="_Toc403386712"/>
      <w:r>
        <w:lastRenderedPageBreak/>
        <w:t>Style conventions</w:t>
      </w:r>
      <w:bookmarkEnd w:id="110"/>
    </w:p>
    <w:p w:rsidR="00F87646" w:rsidRPr="007B2462" w:rsidRDefault="00F87646" w:rsidP="00F819B0">
      <w:r w:rsidRPr="007B2462">
        <w:t>Figures in the tables and in the text have been rounded. Discrepancies in tables between totals and sums of components reflect rounding. Percentage changes in all tables are based on the underlying unrounded amounts.</w:t>
      </w:r>
    </w:p>
    <w:p w:rsidR="00F87646" w:rsidRPr="007B2462" w:rsidRDefault="00F87646" w:rsidP="00F819B0">
      <w:r w:rsidRPr="007B2462">
        <w:t>The notation used in the tables and charts is as follows:</w:t>
      </w:r>
    </w:p>
    <w:p w:rsidR="00F87646" w:rsidRPr="007B2462" w:rsidRDefault="00F87646" w:rsidP="00F819B0">
      <w:pPr>
        <w:tabs>
          <w:tab w:val="left" w:pos="2520"/>
        </w:tabs>
        <w:ind w:left="720"/>
      </w:pPr>
      <w:r w:rsidRPr="007B2462">
        <w:t>..</w:t>
      </w:r>
      <w:r w:rsidRPr="007B2462">
        <w:tab/>
        <w:t>zero, or rounded to zero</w:t>
      </w:r>
    </w:p>
    <w:p w:rsidR="00F87646" w:rsidRPr="007B2462" w:rsidRDefault="00F87646" w:rsidP="00F819B0">
      <w:pPr>
        <w:tabs>
          <w:tab w:val="left" w:pos="2520"/>
        </w:tabs>
        <w:ind w:left="720"/>
      </w:pPr>
      <w:r w:rsidRPr="007B2462">
        <w:t>(xxx.x)</w:t>
      </w:r>
      <w:r w:rsidRPr="007B2462">
        <w:tab/>
        <w:t>negative numbers</w:t>
      </w:r>
    </w:p>
    <w:p w:rsidR="00F87646" w:rsidRPr="007B2462" w:rsidRDefault="00F87646" w:rsidP="00F819B0">
      <w:pPr>
        <w:tabs>
          <w:tab w:val="left" w:pos="2520"/>
        </w:tabs>
        <w:ind w:left="720"/>
      </w:pPr>
      <w:r w:rsidRPr="007B2462">
        <w:t>1</w:t>
      </w:r>
      <w:r>
        <w:t> billion</w:t>
      </w:r>
      <w:r w:rsidRPr="007B2462">
        <w:tab/>
        <w:t>1 000</w:t>
      </w:r>
      <w:r>
        <w:t> million</w:t>
      </w:r>
    </w:p>
    <w:p w:rsidR="00F87646" w:rsidRPr="007B2462" w:rsidRDefault="00F87646" w:rsidP="00F819B0">
      <w:pPr>
        <w:tabs>
          <w:tab w:val="left" w:pos="2520"/>
        </w:tabs>
        <w:ind w:left="720"/>
      </w:pPr>
      <w:r w:rsidRPr="007B2462">
        <w:t>Cat. No.</w:t>
      </w:r>
      <w:r w:rsidRPr="007B2462">
        <w:tab/>
        <w:t>catalogue number</w:t>
      </w:r>
    </w:p>
    <w:p w:rsidR="00F87646" w:rsidRPr="007B2462" w:rsidRDefault="00F87646" w:rsidP="00F819B0">
      <w:pPr>
        <w:tabs>
          <w:tab w:val="left" w:pos="2520"/>
        </w:tabs>
        <w:ind w:left="720"/>
      </w:pPr>
      <w:r w:rsidRPr="007B2462">
        <w:t>LHS</w:t>
      </w:r>
      <w:r w:rsidRPr="007B2462">
        <w:tab/>
        <w:t>left</w:t>
      </w:r>
      <w:r>
        <w:noBreakHyphen/>
      </w:r>
      <w:r w:rsidRPr="007B2462">
        <w:t>hand</w:t>
      </w:r>
      <w:r>
        <w:noBreakHyphen/>
      </w:r>
      <w:r w:rsidRPr="007B2462">
        <w:t>side</w:t>
      </w:r>
    </w:p>
    <w:p w:rsidR="00F87646" w:rsidRDefault="00F87646" w:rsidP="00F819B0">
      <w:pPr>
        <w:tabs>
          <w:tab w:val="left" w:pos="2520"/>
        </w:tabs>
        <w:ind w:left="720"/>
      </w:pPr>
      <w:r w:rsidRPr="007B2462">
        <w:t>RHS</w:t>
      </w:r>
      <w:r w:rsidRPr="007B2462">
        <w:tab/>
        <w:t>right</w:t>
      </w:r>
      <w:r>
        <w:noBreakHyphen/>
      </w:r>
      <w:r w:rsidRPr="007B2462">
        <w:t>hand</w:t>
      </w:r>
      <w:r>
        <w:noBreakHyphen/>
      </w:r>
      <w:r w:rsidRPr="007B2462">
        <w:t>side</w:t>
      </w:r>
    </w:p>
    <w:p w:rsidR="00F87646" w:rsidRPr="007B2462" w:rsidRDefault="00F87646" w:rsidP="00F819B0">
      <w:pPr>
        <w:tabs>
          <w:tab w:val="left" w:pos="2520"/>
        </w:tabs>
        <w:ind w:left="720"/>
      </w:pPr>
      <w:r>
        <w:t>tbc</w:t>
      </w:r>
      <w:r>
        <w:tab/>
        <w:t>to be confirmed</w:t>
      </w:r>
    </w:p>
    <w:p w:rsidR="00F87646" w:rsidRDefault="00F87646" w:rsidP="00EC4C1B"/>
    <w:p w:rsidR="00F87646" w:rsidRDefault="00F87646">
      <w:pPr>
        <w:spacing w:after="0"/>
      </w:pPr>
      <w:r>
        <w:br w:type="page"/>
      </w:r>
    </w:p>
    <w:p w:rsidR="00F87646" w:rsidRDefault="00F87646" w:rsidP="00EC4C1B"/>
    <w:p w:rsidR="00F87646" w:rsidRPr="00EC4C1B" w:rsidRDefault="00F87646" w:rsidP="00EC4C1B"/>
    <w:p w:rsidR="00F87646" w:rsidRPr="00EE4ED1" w:rsidRDefault="00F87646" w:rsidP="00C9314F"/>
    <w:sectPr w:rsidR="00F87646" w:rsidRPr="00EE4ED1" w:rsidSect="00F302FC">
      <w:footerReference w:type="even" r:id="rId34"/>
      <w:footerReference w:type="default" r:id="rId35"/>
      <w:type w:val="oddPage"/>
      <w:pgSz w:w="9979" w:h="14181" w:code="138"/>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4AB">
      <w:pPr>
        <w:spacing w:after="0"/>
      </w:pPr>
      <w:r>
        <w:separator/>
      </w:r>
    </w:p>
  </w:endnote>
  <w:endnote w:type="continuationSeparator" w:id="0">
    <w:p w:rsidR="00000000" w:rsidRDefault="00C41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Pr="00387AF3" w:rsidRDefault="00547E3B" w:rsidP="00387AF3">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10</w:t>
    </w:r>
    <w:r>
      <w:rPr>
        <w:rStyle w:val="PageNumber"/>
      </w:rPr>
      <w:fldChar w:fldCharType="end"/>
    </w:r>
    <w:r>
      <w:tab/>
      <w:t>Chapter 2</w:t>
    </w:r>
    <w:r>
      <w:tab/>
    </w:r>
    <w:r w:rsidR="00F86008">
      <w:rPr>
        <w:rStyle w:val="PageNumber"/>
      </w:rPr>
      <w:t>2014 Victorian Pre</w:t>
    </w:r>
    <w:r w:rsidR="00F86008">
      <w:rPr>
        <w:rStyle w:val="PageNumber"/>
      </w:rPr>
      <w:noBreakHyphen/>
      <w:t>Election Budget Update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2014 Victorian Pre</w:t>
    </w:r>
    <w:r>
      <w:rPr>
        <w:rStyle w:val="PageNumber"/>
      </w:rPr>
      <w:noBreakHyphen/>
      <w:t>Election Budget Update</w:t>
    </w:r>
    <w:r w:rsidR="00986765">
      <w:tab/>
      <w:t>Chapter 2</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21</w:t>
    </w:r>
    <w:r w:rsidR="00986765">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64</w:t>
    </w:r>
    <w:r>
      <w:rPr>
        <w:rStyle w:val="PageNumber"/>
      </w:rPr>
      <w:fldChar w:fldCharType="end"/>
    </w:r>
    <w:r>
      <w:tab/>
      <w:t>Chapter 3</w:t>
    </w:r>
    <w:r>
      <w:tab/>
    </w:r>
    <w:r w:rsidR="00F86008">
      <w:rPr>
        <w:rStyle w:val="PageNumber"/>
      </w:rPr>
      <w:t>2014 Victorian Pre</w:t>
    </w:r>
    <w:r w:rsidR="00F86008">
      <w:rPr>
        <w:rStyle w:val="PageNumber"/>
      </w:rPr>
      <w:noBreakHyphen/>
      <w:t>Election Budget Update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2014 Victorian Pre</w:t>
    </w:r>
    <w:r>
      <w:rPr>
        <w:rStyle w:val="PageNumber"/>
      </w:rPr>
      <w:noBreakHyphen/>
      <w:t>Election Budget Update</w:t>
    </w:r>
    <w:r w:rsidR="00986765">
      <w:tab/>
      <w:t>Chapter 3</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63</w:t>
    </w:r>
    <w:r w:rsidR="00986765">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74</w:t>
    </w:r>
    <w:r>
      <w:rPr>
        <w:rStyle w:val="PageNumber"/>
      </w:rPr>
      <w:fldChar w:fldCharType="end"/>
    </w:r>
    <w:r>
      <w:tab/>
      <w:t>Chapter 4</w:t>
    </w:r>
    <w:r>
      <w:tab/>
    </w:r>
    <w:r w:rsidR="00F86008">
      <w:rPr>
        <w:rStyle w:val="PageNumber"/>
      </w:rPr>
      <w:t>2014 Victorian Pre</w:t>
    </w:r>
    <w:r w:rsidR="00F86008">
      <w:rPr>
        <w:rStyle w:val="PageNumber"/>
      </w:rPr>
      <w:noBreakHyphen/>
      <w:t>Election Budget Update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2014 Victorian Pre</w:t>
    </w:r>
    <w:r>
      <w:rPr>
        <w:rStyle w:val="PageNumber"/>
      </w:rPr>
      <w:noBreakHyphen/>
      <w:t>Election Budget Update</w:t>
    </w:r>
    <w:r w:rsidR="00986765">
      <w:tab/>
      <w:t>Chapter 4</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73</w:t>
    </w:r>
    <w:r w:rsidR="00986765">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104</w:t>
    </w:r>
    <w:r>
      <w:rPr>
        <w:rStyle w:val="PageNumber"/>
      </w:rPr>
      <w:fldChar w:fldCharType="end"/>
    </w:r>
    <w:r>
      <w:tab/>
      <w:t>Appendix A</w:t>
    </w:r>
    <w:r>
      <w:tab/>
    </w:r>
    <w:r w:rsidR="00F86008">
      <w:rPr>
        <w:rStyle w:val="PageNumber"/>
      </w:rPr>
      <w:t xml:space="preserve">2014 </w:t>
    </w:r>
    <w:r w:rsidR="00F9522F">
      <w:t xml:space="preserve">Victorian </w:t>
    </w:r>
    <w:r>
      <w:rPr>
        <w:rStyle w:val="PageNumber"/>
      </w:rPr>
      <w:t>Pre</w:t>
    </w:r>
    <w:r w:rsidR="00D32221">
      <w:rPr>
        <w:rStyle w:val="PageNumber"/>
      </w:rPr>
      <w:noBreakHyphen/>
    </w:r>
    <w:r>
      <w:rPr>
        <w:rStyle w:val="PageNumber"/>
      </w:rPr>
      <w:t>Election Budget Update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 xml:space="preserve">2014 </w:t>
    </w:r>
    <w:r w:rsidR="00F9522F">
      <w:rPr>
        <w:rStyle w:val="PageNumber"/>
      </w:rPr>
      <w:t xml:space="preserve">Victorian </w:t>
    </w:r>
    <w:r w:rsidR="00986765">
      <w:rPr>
        <w:rStyle w:val="PageNumber"/>
      </w:rPr>
      <w:t>Pre</w:t>
    </w:r>
    <w:r w:rsidR="00D32221">
      <w:rPr>
        <w:rStyle w:val="PageNumber"/>
      </w:rPr>
      <w:noBreakHyphen/>
    </w:r>
    <w:r w:rsidR="00986765">
      <w:rPr>
        <w:rStyle w:val="PageNumber"/>
      </w:rPr>
      <w:t>Election Budget Update</w:t>
    </w:r>
    <w:r w:rsidR="00986765">
      <w:tab/>
      <w:t>Appendix A</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103</w:t>
    </w:r>
    <w:r w:rsidR="00986765">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114</w:t>
    </w:r>
    <w:r>
      <w:rPr>
        <w:rStyle w:val="PageNumber"/>
      </w:rPr>
      <w:fldChar w:fldCharType="end"/>
    </w:r>
    <w:r>
      <w:tab/>
      <w:t>Appendix B</w:t>
    </w:r>
    <w:r>
      <w:tab/>
    </w:r>
    <w:r w:rsidR="00F86008">
      <w:rPr>
        <w:rStyle w:val="PageNumber"/>
      </w:rPr>
      <w:t xml:space="preserve">2014 </w:t>
    </w:r>
    <w:r w:rsidR="00F9522F">
      <w:t xml:space="preserve">Victorian </w:t>
    </w:r>
    <w:r>
      <w:rPr>
        <w:rStyle w:val="PageNumber"/>
      </w:rPr>
      <w:t>Pre</w:t>
    </w:r>
    <w:r w:rsidR="00D32221">
      <w:rPr>
        <w:rStyle w:val="PageNumber"/>
      </w:rPr>
      <w:noBreakHyphen/>
    </w:r>
    <w:r>
      <w:rPr>
        <w:rStyle w:val="PageNumber"/>
      </w:rPr>
      <w:t>Election Budget Update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 xml:space="preserve">2014 </w:t>
    </w:r>
    <w:r w:rsidR="00F9522F">
      <w:rPr>
        <w:rStyle w:val="PageNumber"/>
      </w:rPr>
      <w:t xml:space="preserve">Victorian </w:t>
    </w:r>
    <w:r w:rsidR="00986765">
      <w:rPr>
        <w:rStyle w:val="PageNumber"/>
      </w:rPr>
      <w:t>Pre</w:t>
    </w:r>
    <w:r w:rsidR="00D32221">
      <w:rPr>
        <w:rStyle w:val="PageNumber"/>
      </w:rPr>
      <w:noBreakHyphen/>
    </w:r>
    <w:r w:rsidR="00986765">
      <w:rPr>
        <w:rStyle w:val="PageNumber"/>
      </w:rPr>
      <w:t>Election Budget Update</w:t>
    </w:r>
    <w:r w:rsidR="00986765">
      <w:tab/>
      <w:t>Appendix B</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113</w:t>
    </w:r>
    <w:r w:rsidR="0098676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Pr="00387AF3" w:rsidRDefault="00547E3B" w:rsidP="00387AF3">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986765" w:rsidP="000A4586">
    <w:pPr>
      <w:pStyle w:val="Footer"/>
      <w:tabs>
        <w:tab w:val="clear" w:pos="7085"/>
        <w:tab w:val="center" w:pos="252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116</w:t>
    </w:r>
    <w:r>
      <w:rPr>
        <w:rStyle w:val="PageNumber"/>
      </w:rPr>
      <w:fldChar w:fldCharType="end"/>
    </w:r>
    <w:r>
      <w:tab/>
      <w:t>Appendix C</w:t>
    </w:r>
    <w:r>
      <w:tab/>
    </w:r>
    <w:r w:rsidR="00F86008">
      <w:rPr>
        <w:rStyle w:val="PageNumber"/>
      </w:rPr>
      <w:t xml:space="preserve">2014 </w:t>
    </w:r>
    <w:r w:rsidR="00F9522F">
      <w:t xml:space="preserve">Victorian </w:t>
    </w:r>
    <w:r>
      <w:rPr>
        <w:rStyle w:val="PageNumber"/>
      </w:rPr>
      <w:t>Pre</w:t>
    </w:r>
    <w:r w:rsidR="00D32221">
      <w:rPr>
        <w:rStyle w:val="PageNumber"/>
      </w:rPr>
      <w:noBreakHyphen/>
    </w:r>
    <w:r>
      <w:rPr>
        <w:rStyle w:val="PageNumber"/>
      </w:rPr>
      <w:t>Election Budget Update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 xml:space="preserve">2014 </w:t>
    </w:r>
    <w:r w:rsidR="00F9522F">
      <w:rPr>
        <w:rStyle w:val="PageNumber"/>
      </w:rPr>
      <w:t xml:space="preserve">Victorian </w:t>
    </w:r>
    <w:r w:rsidR="00986765">
      <w:rPr>
        <w:rStyle w:val="PageNumber"/>
      </w:rPr>
      <w:t>Pre</w:t>
    </w:r>
    <w:r w:rsidR="00D32221">
      <w:rPr>
        <w:rStyle w:val="PageNumber"/>
      </w:rPr>
      <w:noBreakHyphen/>
    </w:r>
    <w:r w:rsidR="00986765">
      <w:rPr>
        <w:rStyle w:val="PageNumber"/>
      </w:rPr>
      <w:t>Election Budget Update</w:t>
    </w:r>
    <w:r w:rsidR="00986765">
      <w:tab/>
      <w:t>Appendix C</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115</w:t>
    </w:r>
    <w:r w:rsidR="00986765">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0A4586">
    <w:pPr>
      <w:pStyle w:val="Footer"/>
      <w:tabs>
        <w:tab w:val="clear" w:pos="7085"/>
        <w:tab w:val="center" w:pos="252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118</w:t>
    </w:r>
    <w:r>
      <w:rPr>
        <w:rStyle w:val="PageNumber"/>
      </w:rPr>
      <w:fldChar w:fldCharType="end"/>
    </w:r>
    <w:r w:rsidR="00302037">
      <w:tab/>
      <w:t>Style conventions</w:t>
    </w:r>
    <w:r>
      <w:tab/>
    </w:r>
    <w:r w:rsidR="00302037">
      <w:t xml:space="preserve">2014 Victorian </w:t>
    </w:r>
    <w:r w:rsidR="00302037">
      <w:rPr>
        <w:rStyle w:val="PageNumber"/>
      </w:rPr>
      <w:t>Pre-Election Budget Update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302037" w:rsidP="000A4586">
    <w:pPr>
      <w:pStyle w:val="Footer"/>
      <w:tabs>
        <w:tab w:val="clear" w:pos="7085"/>
        <w:tab w:val="center" w:pos="5220"/>
        <w:tab w:val="right" w:pos="7655"/>
      </w:tabs>
      <w:spacing w:after="0"/>
      <w:rPr>
        <w:rStyle w:val="PageNumber"/>
      </w:rPr>
    </w:pPr>
    <w:r>
      <w:rPr>
        <w:rStyle w:val="PageNumber"/>
      </w:rPr>
      <w:t xml:space="preserve">2014 Victorian </w:t>
    </w:r>
    <w:r w:rsidR="000A4586">
      <w:rPr>
        <w:rStyle w:val="PageNumber"/>
      </w:rPr>
      <w:t>Pre-Election Budget Update</w:t>
    </w:r>
    <w:r>
      <w:tab/>
      <w:t>Style conventions</w:t>
    </w:r>
    <w:r w:rsidR="00547E3B">
      <w:tab/>
    </w:r>
    <w:r w:rsidR="00547E3B">
      <w:rPr>
        <w:rStyle w:val="PageNumber"/>
      </w:rPr>
      <w:fldChar w:fldCharType="begin"/>
    </w:r>
    <w:r w:rsidR="00547E3B">
      <w:rPr>
        <w:rStyle w:val="PageNumber"/>
      </w:rPr>
      <w:instrText xml:space="preserve"> PAGE </w:instrText>
    </w:r>
    <w:r w:rsidR="00547E3B">
      <w:rPr>
        <w:rStyle w:val="PageNumber"/>
      </w:rPr>
      <w:fldChar w:fldCharType="separate"/>
    </w:r>
    <w:r w:rsidR="00C414AB">
      <w:rPr>
        <w:rStyle w:val="PageNumber"/>
        <w:noProof/>
      </w:rPr>
      <w:t>117</w:t>
    </w:r>
    <w:r w:rsidR="00547E3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F3" w:rsidRDefault="00387AF3" w:rsidP="00387AF3">
    <w:pPr>
      <w:pStyle w:val="Footer"/>
      <w:pBdr>
        <w:top w:val="none" w:sz="0" w:space="0" w:color="auto"/>
      </w:pBdr>
      <w:tabs>
        <w:tab w:val="clear" w:pos="7085"/>
        <w:tab w:val="center" w:pos="252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F3" w:rsidRDefault="00387AF3" w:rsidP="00387AF3">
    <w:pPr>
      <w:pStyle w:val="Footer"/>
      <w:pBdr>
        <w:top w:val="none" w:sz="0" w:space="0" w:color="auto"/>
      </w:pBdr>
      <w:tabs>
        <w:tab w:val="clear" w:pos="7085"/>
        <w:tab w:val="center" w:pos="5220"/>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C414AB">
      <w:rPr>
        <w:rStyle w:val="PageNumber"/>
        <w:noProof/>
      </w:rPr>
      <w:t>2</w:t>
    </w:r>
    <w:r>
      <w:rPr>
        <w:rStyle w:val="PageNumber"/>
      </w:rPr>
      <w:fldChar w:fldCharType="end"/>
    </w:r>
    <w:r>
      <w:tab/>
      <w:t>Foreword</w:t>
    </w:r>
    <w:r>
      <w:tab/>
    </w:r>
    <w:bookmarkStart w:id="2" w:name="OLE_LINK2"/>
    <w:bookmarkStart w:id="3" w:name="OLE_LINK3"/>
    <w:bookmarkStart w:id="4" w:name="_Hlk403056392"/>
    <w:bookmarkEnd w:id="2"/>
    <w:bookmarkEnd w:id="3"/>
    <w:bookmarkEnd w:id="4"/>
    <w:r w:rsidR="00F86008">
      <w:rPr>
        <w:rStyle w:val="PageNumber"/>
      </w:rPr>
      <w:t>2014 Victorian Pre</w:t>
    </w:r>
    <w:r w:rsidR="00F86008">
      <w:rPr>
        <w:rStyle w:val="PageNumber"/>
      </w:rPr>
      <w:noBreakHyphen/>
      <w:t>Election Budget Update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F86008" w:rsidP="00F9522F">
    <w:pPr>
      <w:pStyle w:val="Footer"/>
      <w:tabs>
        <w:tab w:val="clear" w:pos="7085"/>
        <w:tab w:val="center" w:pos="5670"/>
        <w:tab w:val="right" w:pos="7655"/>
      </w:tabs>
      <w:spacing w:after="0"/>
      <w:rPr>
        <w:rStyle w:val="PageNumber"/>
      </w:rPr>
    </w:pPr>
    <w:r>
      <w:rPr>
        <w:rStyle w:val="PageNumber"/>
      </w:rPr>
      <w:t>2014 Victorian Pre</w:t>
    </w:r>
    <w:r>
      <w:rPr>
        <w:rStyle w:val="PageNumber"/>
      </w:rPr>
      <w:noBreakHyphen/>
      <w:t>Election Budget Update</w:t>
    </w:r>
    <w:r w:rsidR="00986765">
      <w:tab/>
      <w:t>Foreword</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1</w:t>
    </w:r>
    <w:r w:rsidR="00986765">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98676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986765" w:rsidP="00F9522F">
    <w:pPr>
      <w:pStyle w:val="Footer"/>
      <w:tabs>
        <w:tab w:val="clear" w:pos="7085"/>
        <w:tab w:val="center" w:pos="2070"/>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1B1C9E">
      <w:rPr>
        <w:rStyle w:val="PageNumber"/>
        <w:noProof/>
      </w:rPr>
      <w:t>8</w:t>
    </w:r>
    <w:r>
      <w:rPr>
        <w:rStyle w:val="PageNumber"/>
      </w:rPr>
      <w:fldChar w:fldCharType="end"/>
    </w:r>
    <w:r>
      <w:tab/>
      <w:t>Chapter 1</w:t>
    </w:r>
    <w:r>
      <w:tab/>
    </w:r>
    <w:r w:rsidR="00F86008">
      <w:rPr>
        <w:rStyle w:val="PageNumber"/>
      </w:rPr>
      <w:t>2014 Victorian Pre</w:t>
    </w:r>
    <w:r w:rsidR="00F86008">
      <w:rPr>
        <w:rStyle w:val="PageNumber"/>
      </w:rPr>
      <w:noBreakHyphen/>
      <w:t>Election Budget Update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2F" w:rsidRDefault="00F86008" w:rsidP="00F9522F">
    <w:pPr>
      <w:pStyle w:val="Footer"/>
      <w:tabs>
        <w:tab w:val="clear" w:pos="7085"/>
        <w:tab w:val="center" w:pos="5670"/>
        <w:tab w:val="right" w:pos="7655"/>
      </w:tabs>
      <w:spacing w:after="0"/>
      <w:rPr>
        <w:rStyle w:val="PageNumber"/>
      </w:rPr>
    </w:pPr>
    <w:r>
      <w:rPr>
        <w:rStyle w:val="PageNumber"/>
      </w:rPr>
      <w:t>2014 Victorian Pre</w:t>
    </w:r>
    <w:r>
      <w:rPr>
        <w:rStyle w:val="PageNumber"/>
      </w:rPr>
      <w:noBreakHyphen/>
      <w:t>Election Budget Update</w:t>
    </w:r>
    <w:r w:rsidR="00986765">
      <w:tab/>
      <w:t>Chapter 1</w:t>
    </w:r>
    <w:r w:rsidR="00986765">
      <w:tab/>
    </w:r>
    <w:r w:rsidR="00986765">
      <w:rPr>
        <w:rStyle w:val="PageNumber"/>
      </w:rPr>
      <w:fldChar w:fldCharType="begin"/>
    </w:r>
    <w:r w:rsidR="00986765">
      <w:rPr>
        <w:rStyle w:val="PageNumber"/>
      </w:rPr>
      <w:instrText xml:space="preserve"> PAGE </w:instrText>
    </w:r>
    <w:r w:rsidR="00986765">
      <w:rPr>
        <w:rStyle w:val="PageNumber"/>
      </w:rPr>
      <w:fldChar w:fldCharType="separate"/>
    </w:r>
    <w:r w:rsidR="00C414AB">
      <w:rPr>
        <w:rStyle w:val="PageNumber"/>
        <w:noProof/>
      </w:rPr>
      <w:t>5</w:t>
    </w:r>
    <w:r w:rsidR="0098676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4AB">
      <w:pPr>
        <w:spacing w:after="0"/>
      </w:pPr>
      <w:r>
        <w:separator/>
      </w:r>
    </w:p>
  </w:footnote>
  <w:footnote w:type="continuationSeparator" w:id="0">
    <w:p w:rsidR="00000000" w:rsidRDefault="00C414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986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986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5" w:rsidRDefault="00986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2C86E75"/>
    <w:multiLevelType w:val="hybridMultilevel"/>
    <w:tmpl w:val="31A03CF4"/>
    <w:lvl w:ilvl="0" w:tplc="9BD00B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2">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BD93B6E"/>
    <w:multiLevelType w:val="hybridMultilevel"/>
    <w:tmpl w:val="684CB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C455DBA"/>
    <w:multiLevelType w:val="hybridMultilevel"/>
    <w:tmpl w:val="FD2A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84A10EC"/>
    <w:multiLevelType w:val="hybridMultilevel"/>
    <w:tmpl w:val="BC66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BD03A69"/>
    <w:multiLevelType w:val="hybridMultilevel"/>
    <w:tmpl w:val="AD46C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12832B1"/>
    <w:multiLevelType w:val="hybridMultilevel"/>
    <w:tmpl w:val="D328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6">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30584C08"/>
    <w:multiLevelType w:val="hybridMultilevel"/>
    <w:tmpl w:val="F0CC6B5E"/>
    <w:lvl w:ilvl="0" w:tplc="297835B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1304395"/>
    <w:multiLevelType w:val="hybridMultilevel"/>
    <w:tmpl w:val="2BBEA7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9FB22DF"/>
    <w:multiLevelType w:val="hybridMultilevel"/>
    <w:tmpl w:val="EF70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E975C33"/>
    <w:multiLevelType w:val="hybridMultilevel"/>
    <w:tmpl w:val="CD164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3153117"/>
    <w:multiLevelType w:val="hybridMultilevel"/>
    <w:tmpl w:val="1778B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7EF4CE8"/>
    <w:multiLevelType w:val="hybridMultilevel"/>
    <w:tmpl w:val="66DED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1">
    <w:nsid w:val="62C26F78"/>
    <w:multiLevelType w:val="hybridMultilevel"/>
    <w:tmpl w:val="34087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9C3B5B"/>
    <w:multiLevelType w:val="hybridMultilevel"/>
    <w:tmpl w:val="B21EB6C6"/>
    <w:lvl w:ilvl="0" w:tplc="30E074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9AF1E7B"/>
    <w:multiLevelType w:val="hybridMultilevel"/>
    <w:tmpl w:val="D30E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5">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25"/>
  </w:num>
  <w:num w:numId="2">
    <w:abstractNumId w:val="48"/>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0"/>
  </w:num>
  <w:num w:numId="16">
    <w:abstractNumId w:val="40"/>
  </w:num>
  <w:num w:numId="17">
    <w:abstractNumId w:val="38"/>
  </w:num>
  <w:num w:numId="18">
    <w:abstractNumId w:val="12"/>
  </w:num>
  <w:num w:numId="19">
    <w:abstractNumId w:val="45"/>
  </w:num>
  <w:num w:numId="20">
    <w:abstractNumId w:val="23"/>
  </w:num>
  <w:num w:numId="21">
    <w:abstractNumId w:val="46"/>
  </w:num>
  <w:num w:numId="22">
    <w:abstractNumId w:val="15"/>
  </w:num>
  <w:num w:numId="23">
    <w:abstractNumId w:val="47"/>
  </w:num>
  <w:num w:numId="24">
    <w:abstractNumId w:val="24"/>
  </w:num>
  <w:num w:numId="25">
    <w:abstractNumId w:val="27"/>
  </w:num>
  <w:num w:numId="26">
    <w:abstractNumId w:val="22"/>
  </w:num>
  <w:num w:numId="27">
    <w:abstractNumId w:val="35"/>
  </w:num>
  <w:num w:numId="28">
    <w:abstractNumId w:val="16"/>
  </w:num>
  <w:num w:numId="29">
    <w:abstractNumId w:val="32"/>
  </w:num>
  <w:num w:numId="30">
    <w:abstractNumId w:val="26"/>
  </w:num>
  <w:num w:numId="31">
    <w:abstractNumId w:val="37"/>
  </w:num>
  <w:num w:numId="32">
    <w:abstractNumId w:val="39"/>
  </w:num>
  <w:num w:numId="33">
    <w:abstractNumId w:val="30"/>
  </w:num>
  <w:num w:numId="34">
    <w:abstractNumId w:val="18"/>
  </w:num>
  <w:num w:numId="35">
    <w:abstractNumId w:val="31"/>
  </w:num>
  <w:num w:numId="36">
    <w:abstractNumId w:val="29"/>
  </w:num>
  <w:num w:numId="37">
    <w:abstractNumId w:val="34"/>
  </w:num>
  <w:num w:numId="38">
    <w:abstractNumId w:val="36"/>
  </w:num>
  <w:num w:numId="39">
    <w:abstractNumId w:val="43"/>
  </w:num>
  <w:num w:numId="40">
    <w:abstractNumId w:val="10"/>
  </w:num>
  <w:num w:numId="41">
    <w:abstractNumId w:val="21"/>
  </w:num>
  <w:num w:numId="42">
    <w:abstractNumId w:val="41"/>
  </w:num>
  <w:num w:numId="43">
    <w:abstractNumId w:val="19"/>
  </w:num>
  <w:num w:numId="44">
    <w:abstractNumId w:val="17"/>
  </w:num>
  <w:num w:numId="45">
    <w:abstractNumId w:val="14"/>
  </w:num>
  <w:num w:numId="46">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33"/>
  </w:num>
  <w:num w:numId="49">
    <w:abstractNumId w:val="1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86"/>
    <w:rsid w:val="00006F06"/>
    <w:rsid w:val="00020E91"/>
    <w:rsid w:val="00021CE5"/>
    <w:rsid w:val="000221B3"/>
    <w:rsid w:val="00030FDA"/>
    <w:rsid w:val="00031488"/>
    <w:rsid w:val="00035734"/>
    <w:rsid w:val="000362EA"/>
    <w:rsid w:val="00041292"/>
    <w:rsid w:val="00043F9F"/>
    <w:rsid w:val="000451B1"/>
    <w:rsid w:val="00050885"/>
    <w:rsid w:val="00052F9E"/>
    <w:rsid w:val="00055351"/>
    <w:rsid w:val="00056F1F"/>
    <w:rsid w:val="00060942"/>
    <w:rsid w:val="00061F50"/>
    <w:rsid w:val="00064FD8"/>
    <w:rsid w:val="000771C1"/>
    <w:rsid w:val="000804F8"/>
    <w:rsid w:val="000868E5"/>
    <w:rsid w:val="000925EA"/>
    <w:rsid w:val="00093898"/>
    <w:rsid w:val="000A0AA4"/>
    <w:rsid w:val="000A4586"/>
    <w:rsid w:val="000A5321"/>
    <w:rsid w:val="000B1105"/>
    <w:rsid w:val="000B12EE"/>
    <w:rsid w:val="000B1B53"/>
    <w:rsid w:val="000B2529"/>
    <w:rsid w:val="000B2895"/>
    <w:rsid w:val="000C1027"/>
    <w:rsid w:val="000C18E1"/>
    <w:rsid w:val="000C334A"/>
    <w:rsid w:val="000D652A"/>
    <w:rsid w:val="000E725D"/>
    <w:rsid w:val="00100FCC"/>
    <w:rsid w:val="001173A1"/>
    <w:rsid w:val="00130570"/>
    <w:rsid w:val="001368DE"/>
    <w:rsid w:val="00140C5B"/>
    <w:rsid w:val="00150C34"/>
    <w:rsid w:val="00154535"/>
    <w:rsid w:val="0015668D"/>
    <w:rsid w:val="0016104C"/>
    <w:rsid w:val="0016459F"/>
    <w:rsid w:val="00170A52"/>
    <w:rsid w:val="00171E18"/>
    <w:rsid w:val="00176CD6"/>
    <w:rsid w:val="0017767A"/>
    <w:rsid w:val="00185277"/>
    <w:rsid w:val="001856DE"/>
    <w:rsid w:val="001B1C9E"/>
    <w:rsid w:val="001C0D0F"/>
    <w:rsid w:val="001C1EAD"/>
    <w:rsid w:val="001C2F60"/>
    <w:rsid w:val="001C6D0D"/>
    <w:rsid w:val="001D18E7"/>
    <w:rsid w:val="001E15F3"/>
    <w:rsid w:val="001F3DDD"/>
    <w:rsid w:val="001F4F89"/>
    <w:rsid w:val="001F7D3B"/>
    <w:rsid w:val="0020013B"/>
    <w:rsid w:val="00203971"/>
    <w:rsid w:val="00225DCD"/>
    <w:rsid w:val="00232EA5"/>
    <w:rsid w:val="0023358D"/>
    <w:rsid w:val="00240744"/>
    <w:rsid w:val="002411D9"/>
    <w:rsid w:val="00245DCF"/>
    <w:rsid w:val="0025606D"/>
    <w:rsid w:val="002733B3"/>
    <w:rsid w:val="00282839"/>
    <w:rsid w:val="002869F8"/>
    <w:rsid w:val="002B15CD"/>
    <w:rsid w:val="002B5189"/>
    <w:rsid w:val="002C04C2"/>
    <w:rsid w:val="002C1C0D"/>
    <w:rsid w:val="002D0C50"/>
    <w:rsid w:val="002D4189"/>
    <w:rsid w:val="002D7692"/>
    <w:rsid w:val="002E0D69"/>
    <w:rsid w:val="002E31A2"/>
    <w:rsid w:val="002E5C62"/>
    <w:rsid w:val="002F2615"/>
    <w:rsid w:val="002F3CB5"/>
    <w:rsid w:val="003010A2"/>
    <w:rsid w:val="00302037"/>
    <w:rsid w:val="00302525"/>
    <w:rsid w:val="00320955"/>
    <w:rsid w:val="00322573"/>
    <w:rsid w:val="00322DD7"/>
    <w:rsid w:val="003233E0"/>
    <w:rsid w:val="003259E9"/>
    <w:rsid w:val="0032698D"/>
    <w:rsid w:val="0033005B"/>
    <w:rsid w:val="003352CE"/>
    <w:rsid w:val="00341734"/>
    <w:rsid w:val="00341E1B"/>
    <w:rsid w:val="00342ECD"/>
    <w:rsid w:val="00346956"/>
    <w:rsid w:val="00346AFE"/>
    <w:rsid w:val="003511F8"/>
    <w:rsid w:val="003553FF"/>
    <w:rsid w:val="00364C8B"/>
    <w:rsid w:val="0036725D"/>
    <w:rsid w:val="003735C3"/>
    <w:rsid w:val="003819A4"/>
    <w:rsid w:val="00382EC5"/>
    <w:rsid w:val="00387AF3"/>
    <w:rsid w:val="003926C8"/>
    <w:rsid w:val="0039472C"/>
    <w:rsid w:val="0039576F"/>
    <w:rsid w:val="00397F02"/>
    <w:rsid w:val="003A761A"/>
    <w:rsid w:val="003C0422"/>
    <w:rsid w:val="003C26AB"/>
    <w:rsid w:val="003C2F48"/>
    <w:rsid w:val="003C3AAE"/>
    <w:rsid w:val="003E2EE8"/>
    <w:rsid w:val="003E31E5"/>
    <w:rsid w:val="003E46D7"/>
    <w:rsid w:val="003E5374"/>
    <w:rsid w:val="003E5F71"/>
    <w:rsid w:val="003F15E7"/>
    <w:rsid w:val="003F4955"/>
    <w:rsid w:val="003F4A05"/>
    <w:rsid w:val="00402B50"/>
    <w:rsid w:val="004046AE"/>
    <w:rsid w:val="00406F75"/>
    <w:rsid w:val="00411AEE"/>
    <w:rsid w:val="00412BC0"/>
    <w:rsid w:val="00415AB3"/>
    <w:rsid w:val="004274F6"/>
    <w:rsid w:val="00437861"/>
    <w:rsid w:val="00446F20"/>
    <w:rsid w:val="00455F51"/>
    <w:rsid w:val="00465793"/>
    <w:rsid w:val="00465985"/>
    <w:rsid w:val="0046648A"/>
    <w:rsid w:val="0046774A"/>
    <w:rsid w:val="00472150"/>
    <w:rsid w:val="0047243E"/>
    <w:rsid w:val="004766AD"/>
    <w:rsid w:val="00480ADD"/>
    <w:rsid w:val="004828FB"/>
    <w:rsid w:val="004838A2"/>
    <w:rsid w:val="00485CB3"/>
    <w:rsid w:val="00492D93"/>
    <w:rsid w:val="00497606"/>
    <w:rsid w:val="004C002E"/>
    <w:rsid w:val="004C08B1"/>
    <w:rsid w:val="004C3F0D"/>
    <w:rsid w:val="004C654C"/>
    <w:rsid w:val="004C767D"/>
    <w:rsid w:val="004D2300"/>
    <w:rsid w:val="004D392F"/>
    <w:rsid w:val="004D3DE7"/>
    <w:rsid w:val="004F0906"/>
    <w:rsid w:val="004F1592"/>
    <w:rsid w:val="004F6EFF"/>
    <w:rsid w:val="004F779D"/>
    <w:rsid w:val="00503A10"/>
    <w:rsid w:val="005040D7"/>
    <w:rsid w:val="0050487A"/>
    <w:rsid w:val="0050690B"/>
    <w:rsid w:val="0051195C"/>
    <w:rsid w:val="005142C4"/>
    <w:rsid w:val="00515C51"/>
    <w:rsid w:val="00516DF2"/>
    <w:rsid w:val="00522994"/>
    <w:rsid w:val="00531A3D"/>
    <w:rsid w:val="00533108"/>
    <w:rsid w:val="005429ED"/>
    <w:rsid w:val="00545CA0"/>
    <w:rsid w:val="00547E3B"/>
    <w:rsid w:val="005552E0"/>
    <w:rsid w:val="00561253"/>
    <w:rsid w:val="005659B1"/>
    <w:rsid w:val="00571E1E"/>
    <w:rsid w:val="00572DD3"/>
    <w:rsid w:val="00576FDF"/>
    <w:rsid w:val="00595530"/>
    <w:rsid w:val="0059636A"/>
    <w:rsid w:val="00597626"/>
    <w:rsid w:val="005A0574"/>
    <w:rsid w:val="005A2C0C"/>
    <w:rsid w:val="005A44F8"/>
    <w:rsid w:val="005A6362"/>
    <w:rsid w:val="005A6BE2"/>
    <w:rsid w:val="005A6FB4"/>
    <w:rsid w:val="005B2863"/>
    <w:rsid w:val="005B41A8"/>
    <w:rsid w:val="005B54F2"/>
    <w:rsid w:val="005C1363"/>
    <w:rsid w:val="005C361B"/>
    <w:rsid w:val="005C408D"/>
    <w:rsid w:val="005C7712"/>
    <w:rsid w:val="005D3318"/>
    <w:rsid w:val="005D65C9"/>
    <w:rsid w:val="005D67FF"/>
    <w:rsid w:val="005D76F8"/>
    <w:rsid w:val="005D78C9"/>
    <w:rsid w:val="005E0AA3"/>
    <w:rsid w:val="005E17AB"/>
    <w:rsid w:val="005E5FCA"/>
    <w:rsid w:val="00602BE7"/>
    <w:rsid w:val="00605F2A"/>
    <w:rsid w:val="0060685C"/>
    <w:rsid w:val="00606A43"/>
    <w:rsid w:val="0061183A"/>
    <w:rsid w:val="006306E9"/>
    <w:rsid w:val="00635546"/>
    <w:rsid w:val="00636512"/>
    <w:rsid w:val="00641E21"/>
    <w:rsid w:val="00642BF1"/>
    <w:rsid w:val="00643DF9"/>
    <w:rsid w:val="0064483A"/>
    <w:rsid w:val="00654E77"/>
    <w:rsid w:val="006568CD"/>
    <w:rsid w:val="00666CB7"/>
    <w:rsid w:val="00667796"/>
    <w:rsid w:val="00674B54"/>
    <w:rsid w:val="00677E49"/>
    <w:rsid w:val="0068185C"/>
    <w:rsid w:val="006841B2"/>
    <w:rsid w:val="00686543"/>
    <w:rsid w:val="0068681D"/>
    <w:rsid w:val="006A6CEB"/>
    <w:rsid w:val="006A7B84"/>
    <w:rsid w:val="006B4753"/>
    <w:rsid w:val="006C5EC5"/>
    <w:rsid w:val="006D1E53"/>
    <w:rsid w:val="006D617D"/>
    <w:rsid w:val="006F055E"/>
    <w:rsid w:val="006F18DA"/>
    <w:rsid w:val="006F423D"/>
    <w:rsid w:val="00700703"/>
    <w:rsid w:val="00701445"/>
    <w:rsid w:val="00712AF5"/>
    <w:rsid w:val="00715BF1"/>
    <w:rsid w:val="007161C5"/>
    <w:rsid w:val="0071751D"/>
    <w:rsid w:val="00723CCF"/>
    <w:rsid w:val="00730ECC"/>
    <w:rsid w:val="007465D1"/>
    <w:rsid w:val="00754A68"/>
    <w:rsid w:val="0076041D"/>
    <w:rsid w:val="00762943"/>
    <w:rsid w:val="007641DC"/>
    <w:rsid w:val="007703C5"/>
    <w:rsid w:val="00770A05"/>
    <w:rsid w:val="00784E79"/>
    <w:rsid w:val="00784F64"/>
    <w:rsid w:val="00793367"/>
    <w:rsid w:val="007A1057"/>
    <w:rsid w:val="007A38D5"/>
    <w:rsid w:val="007B4258"/>
    <w:rsid w:val="007F39AE"/>
    <w:rsid w:val="008047B2"/>
    <w:rsid w:val="0081669E"/>
    <w:rsid w:val="00817BD7"/>
    <w:rsid w:val="00825389"/>
    <w:rsid w:val="0082652B"/>
    <w:rsid w:val="0084045D"/>
    <w:rsid w:val="0084378E"/>
    <w:rsid w:val="00853954"/>
    <w:rsid w:val="00854278"/>
    <w:rsid w:val="00863D40"/>
    <w:rsid w:val="008659CB"/>
    <w:rsid w:val="00865AEA"/>
    <w:rsid w:val="0086685D"/>
    <w:rsid w:val="00867B50"/>
    <w:rsid w:val="00880B83"/>
    <w:rsid w:val="00881309"/>
    <w:rsid w:val="008827CA"/>
    <w:rsid w:val="00882953"/>
    <w:rsid w:val="008858A3"/>
    <w:rsid w:val="008871F8"/>
    <w:rsid w:val="00887B0B"/>
    <w:rsid w:val="00887F89"/>
    <w:rsid w:val="00891D05"/>
    <w:rsid w:val="008A0DCD"/>
    <w:rsid w:val="008A5FE9"/>
    <w:rsid w:val="008B0FFC"/>
    <w:rsid w:val="008C5612"/>
    <w:rsid w:val="008E20C7"/>
    <w:rsid w:val="008E3CEB"/>
    <w:rsid w:val="008E4C65"/>
    <w:rsid w:val="008E5024"/>
    <w:rsid w:val="008E6929"/>
    <w:rsid w:val="008F0F55"/>
    <w:rsid w:val="008F60AE"/>
    <w:rsid w:val="00902A9D"/>
    <w:rsid w:val="00904A16"/>
    <w:rsid w:val="00910D2B"/>
    <w:rsid w:val="0091115C"/>
    <w:rsid w:val="009200FD"/>
    <w:rsid w:val="009331F3"/>
    <w:rsid w:val="00937B02"/>
    <w:rsid w:val="00946EF0"/>
    <w:rsid w:val="00950D83"/>
    <w:rsid w:val="00957917"/>
    <w:rsid w:val="0096304A"/>
    <w:rsid w:val="0097206F"/>
    <w:rsid w:val="009738E6"/>
    <w:rsid w:val="00973A41"/>
    <w:rsid w:val="0097680B"/>
    <w:rsid w:val="0098552F"/>
    <w:rsid w:val="00986765"/>
    <w:rsid w:val="00992E7A"/>
    <w:rsid w:val="00995570"/>
    <w:rsid w:val="009A2BC2"/>
    <w:rsid w:val="009A3179"/>
    <w:rsid w:val="009B25A6"/>
    <w:rsid w:val="009B7C82"/>
    <w:rsid w:val="009C05DD"/>
    <w:rsid w:val="009C50F8"/>
    <w:rsid w:val="009C5731"/>
    <w:rsid w:val="009D183F"/>
    <w:rsid w:val="009D4F44"/>
    <w:rsid w:val="009E4089"/>
    <w:rsid w:val="009E5D93"/>
    <w:rsid w:val="009F0A3E"/>
    <w:rsid w:val="009F0F12"/>
    <w:rsid w:val="00A02FA8"/>
    <w:rsid w:val="00A108BE"/>
    <w:rsid w:val="00A1268C"/>
    <w:rsid w:val="00A14CAF"/>
    <w:rsid w:val="00A14E0E"/>
    <w:rsid w:val="00A16285"/>
    <w:rsid w:val="00A16406"/>
    <w:rsid w:val="00A21AF5"/>
    <w:rsid w:val="00A2357F"/>
    <w:rsid w:val="00A251B1"/>
    <w:rsid w:val="00A47723"/>
    <w:rsid w:val="00A56CBA"/>
    <w:rsid w:val="00A576F6"/>
    <w:rsid w:val="00A57B48"/>
    <w:rsid w:val="00A63356"/>
    <w:rsid w:val="00A71163"/>
    <w:rsid w:val="00A74AB1"/>
    <w:rsid w:val="00A74D09"/>
    <w:rsid w:val="00A759FE"/>
    <w:rsid w:val="00A805CA"/>
    <w:rsid w:val="00A831CC"/>
    <w:rsid w:val="00A93F82"/>
    <w:rsid w:val="00A96824"/>
    <w:rsid w:val="00AA1AEA"/>
    <w:rsid w:val="00AA5AD3"/>
    <w:rsid w:val="00AB125D"/>
    <w:rsid w:val="00AB2018"/>
    <w:rsid w:val="00AB2CC7"/>
    <w:rsid w:val="00AC5B89"/>
    <w:rsid w:val="00AD1ABC"/>
    <w:rsid w:val="00AD7110"/>
    <w:rsid w:val="00B022A5"/>
    <w:rsid w:val="00B0624D"/>
    <w:rsid w:val="00B11984"/>
    <w:rsid w:val="00B14F51"/>
    <w:rsid w:val="00B15F8F"/>
    <w:rsid w:val="00B21FEB"/>
    <w:rsid w:val="00B27537"/>
    <w:rsid w:val="00B27782"/>
    <w:rsid w:val="00B37863"/>
    <w:rsid w:val="00B527F0"/>
    <w:rsid w:val="00B55816"/>
    <w:rsid w:val="00B562D2"/>
    <w:rsid w:val="00B56AF7"/>
    <w:rsid w:val="00B64A6A"/>
    <w:rsid w:val="00B72182"/>
    <w:rsid w:val="00B72576"/>
    <w:rsid w:val="00B73926"/>
    <w:rsid w:val="00B742AA"/>
    <w:rsid w:val="00B76343"/>
    <w:rsid w:val="00B82D32"/>
    <w:rsid w:val="00B83B9F"/>
    <w:rsid w:val="00B847DA"/>
    <w:rsid w:val="00BA2418"/>
    <w:rsid w:val="00BB534C"/>
    <w:rsid w:val="00BC61E2"/>
    <w:rsid w:val="00BC7C2C"/>
    <w:rsid w:val="00BD0A5C"/>
    <w:rsid w:val="00BD364F"/>
    <w:rsid w:val="00BD3CB4"/>
    <w:rsid w:val="00BD7B65"/>
    <w:rsid w:val="00BE4F6F"/>
    <w:rsid w:val="00BF2190"/>
    <w:rsid w:val="00BF3DAE"/>
    <w:rsid w:val="00BF6AF3"/>
    <w:rsid w:val="00BF7248"/>
    <w:rsid w:val="00C0011A"/>
    <w:rsid w:val="00C02FD1"/>
    <w:rsid w:val="00C04DD7"/>
    <w:rsid w:val="00C05D16"/>
    <w:rsid w:val="00C05DC9"/>
    <w:rsid w:val="00C14A3C"/>
    <w:rsid w:val="00C179B3"/>
    <w:rsid w:val="00C17EB8"/>
    <w:rsid w:val="00C22CB2"/>
    <w:rsid w:val="00C24EC3"/>
    <w:rsid w:val="00C25A06"/>
    <w:rsid w:val="00C278C3"/>
    <w:rsid w:val="00C30146"/>
    <w:rsid w:val="00C35791"/>
    <w:rsid w:val="00C414AB"/>
    <w:rsid w:val="00C419DE"/>
    <w:rsid w:val="00C46316"/>
    <w:rsid w:val="00C46C0C"/>
    <w:rsid w:val="00C4789A"/>
    <w:rsid w:val="00C50E7D"/>
    <w:rsid w:val="00C52998"/>
    <w:rsid w:val="00C529A0"/>
    <w:rsid w:val="00C550BF"/>
    <w:rsid w:val="00C63B4E"/>
    <w:rsid w:val="00C72AF4"/>
    <w:rsid w:val="00C756E9"/>
    <w:rsid w:val="00C75B91"/>
    <w:rsid w:val="00C75D0E"/>
    <w:rsid w:val="00C76603"/>
    <w:rsid w:val="00C7678A"/>
    <w:rsid w:val="00C9314F"/>
    <w:rsid w:val="00C9591C"/>
    <w:rsid w:val="00C97E08"/>
    <w:rsid w:val="00CB3778"/>
    <w:rsid w:val="00CB3C8A"/>
    <w:rsid w:val="00CB74FE"/>
    <w:rsid w:val="00CC2049"/>
    <w:rsid w:val="00CC2E7D"/>
    <w:rsid w:val="00CC3A34"/>
    <w:rsid w:val="00CC69F7"/>
    <w:rsid w:val="00CC73D9"/>
    <w:rsid w:val="00CD0577"/>
    <w:rsid w:val="00CD5DBA"/>
    <w:rsid w:val="00CF0F98"/>
    <w:rsid w:val="00CF132C"/>
    <w:rsid w:val="00CF25B1"/>
    <w:rsid w:val="00CF5FE1"/>
    <w:rsid w:val="00CF6838"/>
    <w:rsid w:val="00CF6AB4"/>
    <w:rsid w:val="00D0607A"/>
    <w:rsid w:val="00D10578"/>
    <w:rsid w:val="00D12B44"/>
    <w:rsid w:val="00D1521C"/>
    <w:rsid w:val="00D24C1E"/>
    <w:rsid w:val="00D24E4D"/>
    <w:rsid w:val="00D2568E"/>
    <w:rsid w:val="00D2588E"/>
    <w:rsid w:val="00D26C08"/>
    <w:rsid w:val="00D32221"/>
    <w:rsid w:val="00D40E44"/>
    <w:rsid w:val="00D5059A"/>
    <w:rsid w:val="00D52B3F"/>
    <w:rsid w:val="00D5615F"/>
    <w:rsid w:val="00D56B84"/>
    <w:rsid w:val="00D646A9"/>
    <w:rsid w:val="00D67950"/>
    <w:rsid w:val="00D900EC"/>
    <w:rsid w:val="00D95D7D"/>
    <w:rsid w:val="00DA0931"/>
    <w:rsid w:val="00DA4D63"/>
    <w:rsid w:val="00DA6CAB"/>
    <w:rsid w:val="00DB33FA"/>
    <w:rsid w:val="00DB3AF6"/>
    <w:rsid w:val="00DB716A"/>
    <w:rsid w:val="00DD79E9"/>
    <w:rsid w:val="00DE1D28"/>
    <w:rsid w:val="00DE3B1B"/>
    <w:rsid w:val="00E01192"/>
    <w:rsid w:val="00E06647"/>
    <w:rsid w:val="00E232F8"/>
    <w:rsid w:val="00E24DAF"/>
    <w:rsid w:val="00E338A0"/>
    <w:rsid w:val="00E35F1A"/>
    <w:rsid w:val="00E37D79"/>
    <w:rsid w:val="00E43FB1"/>
    <w:rsid w:val="00E4642D"/>
    <w:rsid w:val="00E71FDB"/>
    <w:rsid w:val="00E722E8"/>
    <w:rsid w:val="00E7552F"/>
    <w:rsid w:val="00E76C60"/>
    <w:rsid w:val="00E76F2A"/>
    <w:rsid w:val="00E84842"/>
    <w:rsid w:val="00E87460"/>
    <w:rsid w:val="00E927D0"/>
    <w:rsid w:val="00E97B8E"/>
    <w:rsid w:val="00EA3A5B"/>
    <w:rsid w:val="00EB1400"/>
    <w:rsid w:val="00EB1FD8"/>
    <w:rsid w:val="00EB6BA8"/>
    <w:rsid w:val="00EB7A3E"/>
    <w:rsid w:val="00EC2ADF"/>
    <w:rsid w:val="00EC5292"/>
    <w:rsid w:val="00ED0B29"/>
    <w:rsid w:val="00EE4AAB"/>
    <w:rsid w:val="00EE4ED1"/>
    <w:rsid w:val="00EF4C87"/>
    <w:rsid w:val="00EF6BFD"/>
    <w:rsid w:val="00F06BEE"/>
    <w:rsid w:val="00F135C4"/>
    <w:rsid w:val="00F13D93"/>
    <w:rsid w:val="00F14A31"/>
    <w:rsid w:val="00F17676"/>
    <w:rsid w:val="00F2013A"/>
    <w:rsid w:val="00F207E7"/>
    <w:rsid w:val="00F208A1"/>
    <w:rsid w:val="00F21979"/>
    <w:rsid w:val="00F22CBF"/>
    <w:rsid w:val="00F25DFE"/>
    <w:rsid w:val="00F302FC"/>
    <w:rsid w:val="00F312E6"/>
    <w:rsid w:val="00F35817"/>
    <w:rsid w:val="00F3640E"/>
    <w:rsid w:val="00F4248C"/>
    <w:rsid w:val="00F46717"/>
    <w:rsid w:val="00F6397C"/>
    <w:rsid w:val="00F63E44"/>
    <w:rsid w:val="00F640AC"/>
    <w:rsid w:val="00F6691A"/>
    <w:rsid w:val="00F67E7B"/>
    <w:rsid w:val="00F773CE"/>
    <w:rsid w:val="00F80542"/>
    <w:rsid w:val="00F86008"/>
    <w:rsid w:val="00F87345"/>
    <w:rsid w:val="00F87646"/>
    <w:rsid w:val="00F9522F"/>
    <w:rsid w:val="00F96FDC"/>
    <w:rsid w:val="00FA5495"/>
    <w:rsid w:val="00FA5CC9"/>
    <w:rsid w:val="00FB12DC"/>
    <w:rsid w:val="00FB5BB7"/>
    <w:rsid w:val="00FB5CEA"/>
    <w:rsid w:val="00FB6608"/>
    <w:rsid w:val="00FC2781"/>
    <w:rsid w:val="00FC6195"/>
    <w:rsid w:val="00FC62B6"/>
    <w:rsid w:val="00FC72C5"/>
    <w:rsid w:val="00FC7DAC"/>
    <w:rsid w:val="00FD2818"/>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552F"/>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link w:val="Heading2NotesChar"/>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39"/>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link w:val="DashTextChar"/>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TableheadingChar">
    <w:name w:val="Table heading Char"/>
    <w:link w:val="Tableheading"/>
    <w:rsid w:val="005A2C0C"/>
    <w:rPr>
      <w:rFonts w:ascii="Calibri" w:hAnsi="Calibri"/>
      <w:b/>
      <w:sz w:val="22"/>
      <w:lang w:eastAsia="en-US"/>
    </w:rPr>
  </w:style>
  <w:style w:type="character" w:customStyle="1" w:styleId="TabletextChar">
    <w:name w:val="Table text Char"/>
    <w:link w:val="Tabletext"/>
    <w:rsid w:val="005A2C0C"/>
    <w:rPr>
      <w:rFonts w:ascii="Calibri" w:hAnsi="Calibri"/>
      <w:szCs w:val="18"/>
      <w:lang w:eastAsia="en-US"/>
    </w:rPr>
  </w:style>
  <w:style w:type="character" w:customStyle="1" w:styleId="NotesChar">
    <w:name w:val="Notes Char"/>
    <w:link w:val="Notes"/>
    <w:locked/>
    <w:rsid w:val="005A2C0C"/>
    <w:rPr>
      <w:rFonts w:ascii="Calibri" w:hAnsi="Calibri"/>
      <w:i/>
      <w:sz w:val="15"/>
      <w:lang w:eastAsia="en-US"/>
    </w:rPr>
  </w:style>
  <w:style w:type="character" w:customStyle="1" w:styleId="Heading3Char">
    <w:name w:val="Heading 3 Char"/>
    <w:basedOn w:val="DefaultParagraphFont"/>
    <w:link w:val="Heading3"/>
    <w:rsid w:val="005A2C0C"/>
    <w:rPr>
      <w:rFonts w:ascii="Calibri" w:hAnsi="Calibri"/>
      <w:b/>
      <w:i/>
      <w:kern w:val="28"/>
      <w:sz w:val="24"/>
      <w:szCs w:val="22"/>
      <w:lang w:eastAsia="en-US"/>
    </w:rPr>
  </w:style>
  <w:style w:type="character" w:customStyle="1" w:styleId="Heading1Char">
    <w:name w:val="Heading 1 Char"/>
    <w:basedOn w:val="DefaultParagraphFont"/>
    <w:link w:val="Heading1"/>
    <w:rsid w:val="005A2C0C"/>
    <w:rPr>
      <w:rFonts w:ascii="Calibri" w:hAnsi="Calibri"/>
      <w:b/>
      <w:caps/>
      <w:sz w:val="26"/>
      <w:szCs w:val="22"/>
      <w:lang w:eastAsia="en-US"/>
    </w:rPr>
  </w:style>
  <w:style w:type="paragraph" w:styleId="ListParagraph">
    <w:name w:val="List Paragraph"/>
    <w:basedOn w:val="Normal"/>
    <w:uiPriority w:val="34"/>
    <w:qFormat/>
    <w:rsid w:val="00986765"/>
    <w:pPr>
      <w:ind w:left="720"/>
      <w:contextualSpacing/>
    </w:pPr>
  </w:style>
  <w:style w:type="paragraph" w:styleId="BalloonText">
    <w:name w:val="Balloon Text"/>
    <w:basedOn w:val="Normal"/>
    <w:link w:val="BalloonTextChar"/>
    <w:locked/>
    <w:rsid w:val="00986765"/>
    <w:pPr>
      <w:spacing w:after="0"/>
    </w:pPr>
    <w:rPr>
      <w:rFonts w:ascii="Tahoma" w:hAnsi="Tahoma" w:cs="Tahoma"/>
      <w:sz w:val="16"/>
      <w:szCs w:val="16"/>
    </w:rPr>
  </w:style>
  <w:style w:type="character" w:customStyle="1" w:styleId="BalloonTextChar">
    <w:name w:val="Balloon Text Char"/>
    <w:basedOn w:val="DefaultParagraphFont"/>
    <w:link w:val="BalloonText"/>
    <w:rsid w:val="00986765"/>
    <w:rPr>
      <w:rFonts w:ascii="Tahoma" w:hAnsi="Tahoma" w:cs="Tahoma"/>
      <w:sz w:val="16"/>
      <w:szCs w:val="16"/>
      <w:lang w:eastAsia="en-US"/>
    </w:rPr>
  </w:style>
  <w:style w:type="character" w:customStyle="1" w:styleId="Heading4Char">
    <w:name w:val="Heading 4 Char"/>
    <w:basedOn w:val="DefaultParagraphFont"/>
    <w:link w:val="Heading4"/>
    <w:rsid w:val="00986765"/>
    <w:rPr>
      <w:rFonts w:ascii="Calibri" w:hAnsi="Calibri"/>
      <w:i/>
      <w:sz w:val="24"/>
      <w:szCs w:val="22"/>
      <w:lang w:eastAsia="en-US"/>
    </w:rPr>
  </w:style>
  <w:style w:type="character" w:customStyle="1" w:styleId="BulletTextChar">
    <w:name w:val="Bullet Text Char"/>
    <w:link w:val="BulletText"/>
    <w:locked/>
    <w:rsid w:val="00986765"/>
    <w:rPr>
      <w:rFonts w:ascii="Garamond" w:hAnsi="Garamond"/>
      <w:sz w:val="22"/>
      <w:lang w:eastAsia="en-US"/>
    </w:rPr>
  </w:style>
  <w:style w:type="character" w:customStyle="1" w:styleId="DashTextChar">
    <w:name w:val="Dash Text Char"/>
    <w:link w:val="DashText"/>
    <w:rsid w:val="00986765"/>
    <w:rPr>
      <w:rFonts w:ascii="Garamond" w:hAnsi="Garamond"/>
      <w:sz w:val="22"/>
      <w:lang w:eastAsia="en-US"/>
    </w:rPr>
  </w:style>
  <w:style w:type="paragraph" w:customStyle="1" w:styleId="Tabletextnoindent">
    <w:name w:val="Table text no indent"/>
    <w:basedOn w:val="Normal"/>
    <w:qFormat/>
    <w:rsid w:val="00986765"/>
    <w:pPr>
      <w:autoSpaceDE w:val="0"/>
      <w:autoSpaceDN w:val="0"/>
      <w:adjustRightInd w:val="0"/>
      <w:spacing w:after="0"/>
    </w:pPr>
    <w:rPr>
      <w:rFonts w:ascii="Calibri" w:eastAsiaTheme="minorEastAsia" w:hAnsi="Calibri" w:cs="Calibri"/>
      <w:color w:val="000000"/>
      <w:sz w:val="20"/>
      <w:lang w:eastAsia="en-AU"/>
    </w:rPr>
  </w:style>
  <w:style w:type="character" w:customStyle="1" w:styleId="Heading2NotesChar">
    <w:name w:val="Heading 2 Notes Char"/>
    <w:link w:val="Heading2Notes"/>
    <w:locked/>
    <w:rsid w:val="00986765"/>
    <w:rPr>
      <w:rFonts w:ascii="Calibri" w:hAnsi="Calibri"/>
      <w:b/>
      <w:kern w:val="28"/>
      <w:sz w:val="26"/>
      <w:szCs w:val="22"/>
      <w:lang w:eastAsia="en-US"/>
    </w:rPr>
  </w:style>
  <w:style w:type="character" w:customStyle="1" w:styleId="Heading5Char">
    <w:name w:val="Heading 5 Char"/>
    <w:link w:val="Heading5"/>
    <w:rsid w:val="00986765"/>
    <w:rPr>
      <w:rFonts w:ascii="Calibri" w:hAnsi="Calibri"/>
      <w:b/>
      <w:sz w:val="22"/>
      <w:lang w:eastAsia="en-US"/>
    </w:rPr>
  </w:style>
  <w:style w:type="character" w:customStyle="1" w:styleId="Heading2NotesContdChar">
    <w:name w:val="Heading 2 Notes Cont'd Char"/>
    <w:link w:val="Heading2NotesContd"/>
    <w:locked/>
    <w:rsid w:val="00986765"/>
    <w:rPr>
      <w:rFonts w:ascii="Calibri" w:hAnsi="Calibri"/>
      <w:b/>
      <w:kern w:val="28"/>
      <w:sz w:val="26"/>
      <w:szCs w:val="22"/>
      <w:lang w:eastAsia="en-US"/>
    </w:rPr>
  </w:style>
  <w:style w:type="character" w:customStyle="1" w:styleId="Heading3NumberingChar">
    <w:name w:val="Heading 3 Numbering Char"/>
    <w:link w:val="Heading3Numbering"/>
    <w:locked/>
    <w:rsid w:val="00986765"/>
    <w:rPr>
      <w:rFonts w:ascii="Calibri" w:hAnsi="Calibri"/>
      <w:b/>
      <w:i/>
      <w:kern w:val="28"/>
      <w:sz w:val="24"/>
      <w:szCs w:val="22"/>
      <w:lang w:eastAsia="en-US"/>
    </w:rPr>
  </w:style>
  <w:style w:type="character" w:styleId="Hyperlink">
    <w:name w:val="Hyperlink"/>
    <w:basedOn w:val="DefaultParagraphFont"/>
    <w:uiPriority w:val="99"/>
    <w:unhideWhenUsed/>
    <w:locked/>
    <w:rsid w:val="00986765"/>
    <w:rPr>
      <w:color w:val="0000FF" w:themeColor="hyperlink"/>
      <w:u w:val="single"/>
    </w:rPr>
  </w:style>
  <w:style w:type="character" w:styleId="FollowedHyperlink">
    <w:name w:val="FollowedHyperlink"/>
    <w:basedOn w:val="DefaultParagraphFont"/>
    <w:locked/>
    <w:rsid w:val="00986765"/>
    <w:rPr>
      <w:color w:val="800080" w:themeColor="followedHyperlink"/>
      <w:u w:val="single"/>
    </w:rPr>
  </w:style>
  <w:style w:type="character" w:customStyle="1" w:styleId="FooterChar">
    <w:name w:val="Footer Char"/>
    <w:basedOn w:val="DefaultParagraphFont"/>
    <w:link w:val="Footer"/>
    <w:rsid w:val="00986765"/>
    <w:rPr>
      <w:rFonts w:ascii="Calibri" w:hAnsi="Calibri"/>
      <w:szCs w:val="18"/>
      <w:lang w:eastAsia="en-US"/>
    </w:rPr>
  </w:style>
  <w:style w:type="character" w:styleId="PlaceholderText">
    <w:name w:val="Placeholder Text"/>
    <w:basedOn w:val="DefaultParagraphFont"/>
    <w:uiPriority w:val="99"/>
    <w:semiHidden/>
    <w:rsid w:val="00986765"/>
    <w:rPr>
      <w:color w:val="808080"/>
    </w:rPr>
  </w:style>
  <w:style w:type="character" w:styleId="CommentReference">
    <w:name w:val="annotation reference"/>
    <w:basedOn w:val="DefaultParagraphFont"/>
    <w:locked/>
    <w:rsid w:val="00986765"/>
    <w:rPr>
      <w:sz w:val="16"/>
      <w:szCs w:val="16"/>
    </w:rPr>
  </w:style>
  <w:style w:type="paragraph" w:styleId="CommentText">
    <w:name w:val="annotation text"/>
    <w:basedOn w:val="Normal"/>
    <w:link w:val="CommentTextChar"/>
    <w:locked/>
    <w:rsid w:val="00986765"/>
    <w:rPr>
      <w:sz w:val="20"/>
    </w:rPr>
  </w:style>
  <w:style w:type="character" w:customStyle="1" w:styleId="CommentTextChar">
    <w:name w:val="Comment Text Char"/>
    <w:basedOn w:val="DefaultParagraphFont"/>
    <w:link w:val="CommentText"/>
    <w:rsid w:val="00986765"/>
    <w:rPr>
      <w:rFonts w:ascii="Garamond" w:hAnsi="Garamond"/>
      <w:lang w:eastAsia="en-US"/>
    </w:rPr>
  </w:style>
  <w:style w:type="paragraph" w:styleId="CommentSubject">
    <w:name w:val="annotation subject"/>
    <w:basedOn w:val="CommentText"/>
    <w:next w:val="CommentText"/>
    <w:link w:val="CommentSubjectChar"/>
    <w:locked/>
    <w:rsid w:val="00986765"/>
    <w:rPr>
      <w:b/>
      <w:bCs/>
    </w:rPr>
  </w:style>
  <w:style w:type="character" w:customStyle="1" w:styleId="CommentSubjectChar">
    <w:name w:val="Comment Subject Char"/>
    <w:basedOn w:val="CommentTextChar"/>
    <w:link w:val="CommentSubject"/>
    <w:rsid w:val="00986765"/>
    <w:rPr>
      <w:rFonts w:ascii="Garamond" w:hAnsi="Garamond"/>
      <w:b/>
      <w:bCs/>
      <w:lang w:eastAsia="en-US"/>
    </w:rPr>
  </w:style>
  <w:style w:type="table" w:customStyle="1" w:styleId="TableGrid1">
    <w:name w:val="Table Grid1"/>
    <w:basedOn w:val="TableNormal"/>
    <w:next w:val="TableGrid"/>
    <w:semiHidden/>
    <w:locked/>
    <w:rsid w:val="00986765"/>
    <w:pPr>
      <w:spacing w:after="120"/>
      <w:jc w:val="both"/>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552F"/>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link w:val="Heading2NotesChar"/>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39"/>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link w:val="DashTextChar"/>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TableheadingChar">
    <w:name w:val="Table heading Char"/>
    <w:link w:val="Tableheading"/>
    <w:rsid w:val="005A2C0C"/>
    <w:rPr>
      <w:rFonts w:ascii="Calibri" w:hAnsi="Calibri"/>
      <w:b/>
      <w:sz w:val="22"/>
      <w:lang w:eastAsia="en-US"/>
    </w:rPr>
  </w:style>
  <w:style w:type="character" w:customStyle="1" w:styleId="TabletextChar">
    <w:name w:val="Table text Char"/>
    <w:link w:val="Tabletext"/>
    <w:rsid w:val="005A2C0C"/>
    <w:rPr>
      <w:rFonts w:ascii="Calibri" w:hAnsi="Calibri"/>
      <w:szCs w:val="18"/>
      <w:lang w:eastAsia="en-US"/>
    </w:rPr>
  </w:style>
  <w:style w:type="character" w:customStyle="1" w:styleId="NotesChar">
    <w:name w:val="Notes Char"/>
    <w:link w:val="Notes"/>
    <w:locked/>
    <w:rsid w:val="005A2C0C"/>
    <w:rPr>
      <w:rFonts w:ascii="Calibri" w:hAnsi="Calibri"/>
      <w:i/>
      <w:sz w:val="15"/>
      <w:lang w:eastAsia="en-US"/>
    </w:rPr>
  </w:style>
  <w:style w:type="character" w:customStyle="1" w:styleId="Heading3Char">
    <w:name w:val="Heading 3 Char"/>
    <w:basedOn w:val="DefaultParagraphFont"/>
    <w:link w:val="Heading3"/>
    <w:rsid w:val="005A2C0C"/>
    <w:rPr>
      <w:rFonts w:ascii="Calibri" w:hAnsi="Calibri"/>
      <w:b/>
      <w:i/>
      <w:kern w:val="28"/>
      <w:sz w:val="24"/>
      <w:szCs w:val="22"/>
      <w:lang w:eastAsia="en-US"/>
    </w:rPr>
  </w:style>
  <w:style w:type="character" w:customStyle="1" w:styleId="Heading1Char">
    <w:name w:val="Heading 1 Char"/>
    <w:basedOn w:val="DefaultParagraphFont"/>
    <w:link w:val="Heading1"/>
    <w:rsid w:val="005A2C0C"/>
    <w:rPr>
      <w:rFonts w:ascii="Calibri" w:hAnsi="Calibri"/>
      <w:b/>
      <w:caps/>
      <w:sz w:val="26"/>
      <w:szCs w:val="22"/>
      <w:lang w:eastAsia="en-US"/>
    </w:rPr>
  </w:style>
  <w:style w:type="paragraph" w:styleId="ListParagraph">
    <w:name w:val="List Paragraph"/>
    <w:basedOn w:val="Normal"/>
    <w:uiPriority w:val="34"/>
    <w:qFormat/>
    <w:rsid w:val="00986765"/>
    <w:pPr>
      <w:ind w:left="720"/>
      <w:contextualSpacing/>
    </w:pPr>
  </w:style>
  <w:style w:type="paragraph" w:styleId="BalloonText">
    <w:name w:val="Balloon Text"/>
    <w:basedOn w:val="Normal"/>
    <w:link w:val="BalloonTextChar"/>
    <w:locked/>
    <w:rsid w:val="00986765"/>
    <w:pPr>
      <w:spacing w:after="0"/>
    </w:pPr>
    <w:rPr>
      <w:rFonts w:ascii="Tahoma" w:hAnsi="Tahoma" w:cs="Tahoma"/>
      <w:sz w:val="16"/>
      <w:szCs w:val="16"/>
    </w:rPr>
  </w:style>
  <w:style w:type="character" w:customStyle="1" w:styleId="BalloonTextChar">
    <w:name w:val="Balloon Text Char"/>
    <w:basedOn w:val="DefaultParagraphFont"/>
    <w:link w:val="BalloonText"/>
    <w:rsid w:val="00986765"/>
    <w:rPr>
      <w:rFonts w:ascii="Tahoma" w:hAnsi="Tahoma" w:cs="Tahoma"/>
      <w:sz w:val="16"/>
      <w:szCs w:val="16"/>
      <w:lang w:eastAsia="en-US"/>
    </w:rPr>
  </w:style>
  <w:style w:type="character" w:customStyle="1" w:styleId="Heading4Char">
    <w:name w:val="Heading 4 Char"/>
    <w:basedOn w:val="DefaultParagraphFont"/>
    <w:link w:val="Heading4"/>
    <w:rsid w:val="00986765"/>
    <w:rPr>
      <w:rFonts w:ascii="Calibri" w:hAnsi="Calibri"/>
      <w:i/>
      <w:sz w:val="24"/>
      <w:szCs w:val="22"/>
      <w:lang w:eastAsia="en-US"/>
    </w:rPr>
  </w:style>
  <w:style w:type="character" w:customStyle="1" w:styleId="BulletTextChar">
    <w:name w:val="Bullet Text Char"/>
    <w:link w:val="BulletText"/>
    <w:locked/>
    <w:rsid w:val="00986765"/>
    <w:rPr>
      <w:rFonts w:ascii="Garamond" w:hAnsi="Garamond"/>
      <w:sz w:val="22"/>
      <w:lang w:eastAsia="en-US"/>
    </w:rPr>
  </w:style>
  <w:style w:type="character" w:customStyle="1" w:styleId="DashTextChar">
    <w:name w:val="Dash Text Char"/>
    <w:link w:val="DashText"/>
    <w:rsid w:val="00986765"/>
    <w:rPr>
      <w:rFonts w:ascii="Garamond" w:hAnsi="Garamond"/>
      <w:sz w:val="22"/>
      <w:lang w:eastAsia="en-US"/>
    </w:rPr>
  </w:style>
  <w:style w:type="paragraph" w:customStyle="1" w:styleId="Tabletextnoindent">
    <w:name w:val="Table text no indent"/>
    <w:basedOn w:val="Normal"/>
    <w:qFormat/>
    <w:rsid w:val="00986765"/>
    <w:pPr>
      <w:autoSpaceDE w:val="0"/>
      <w:autoSpaceDN w:val="0"/>
      <w:adjustRightInd w:val="0"/>
      <w:spacing w:after="0"/>
    </w:pPr>
    <w:rPr>
      <w:rFonts w:ascii="Calibri" w:eastAsiaTheme="minorEastAsia" w:hAnsi="Calibri" w:cs="Calibri"/>
      <w:color w:val="000000"/>
      <w:sz w:val="20"/>
      <w:lang w:eastAsia="en-AU"/>
    </w:rPr>
  </w:style>
  <w:style w:type="character" w:customStyle="1" w:styleId="Heading2NotesChar">
    <w:name w:val="Heading 2 Notes Char"/>
    <w:link w:val="Heading2Notes"/>
    <w:locked/>
    <w:rsid w:val="00986765"/>
    <w:rPr>
      <w:rFonts w:ascii="Calibri" w:hAnsi="Calibri"/>
      <w:b/>
      <w:kern w:val="28"/>
      <w:sz w:val="26"/>
      <w:szCs w:val="22"/>
      <w:lang w:eastAsia="en-US"/>
    </w:rPr>
  </w:style>
  <w:style w:type="character" w:customStyle="1" w:styleId="Heading5Char">
    <w:name w:val="Heading 5 Char"/>
    <w:link w:val="Heading5"/>
    <w:rsid w:val="00986765"/>
    <w:rPr>
      <w:rFonts w:ascii="Calibri" w:hAnsi="Calibri"/>
      <w:b/>
      <w:sz w:val="22"/>
      <w:lang w:eastAsia="en-US"/>
    </w:rPr>
  </w:style>
  <w:style w:type="character" w:customStyle="1" w:styleId="Heading2NotesContdChar">
    <w:name w:val="Heading 2 Notes Cont'd Char"/>
    <w:link w:val="Heading2NotesContd"/>
    <w:locked/>
    <w:rsid w:val="00986765"/>
    <w:rPr>
      <w:rFonts w:ascii="Calibri" w:hAnsi="Calibri"/>
      <w:b/>
      <w:kern w:val="28"/>
      <w:sz w:val="26"/>
      <w:szCs w:val="22"/>
      <w:lang w:eastAsia="en-US"/>
    </w:rPr>
  </w:style>
  <w:style w:type="character" w:customStyle="1" w:styleId="Heading3NumberingChar">
    <w:name w:val="Heading 3 Numbering Char"/>
    <w:link w:val="Heading3Numbering"/>
    <w:locked/>
    <w:rsid w:val="00986765"/>
    <w:rPr>
      <w:rFonts w:ascii="Calibri" w:hAnsi="Calibri"/>
      <w:b/>
      <w:i/>
      <w:kern w:val="28"/>
      <w:sz w:val="24"/>
      <w:szCs w:val="22"/>
      <w:lang w:eastAsia="en-US"/>
    </w:rPr>
  </w:style>
  <w:style w:type="character" w:styleId="Hyperlink">
    <w:name w:val="Hyperlink"/>
    <w:basedOn w:val="DefaultParagraphFont"/>
    <w:uiPriority w:val="99"/>
    <w:unhideWhenUsed/>
    <w:locked/>
    <w:rsid w:val="00986765"/>
    <w:rPr>
      <w:color w:val="0000FF" w:themeColor="hyperlink"/>
      <w:u w:val="single"/>
    </w:rPr>
  </w:style>
  <w:style w:type="character" w:styleId="FollowedHyperlink">
    <w:name w:val="FollowedHyperlink"/>
    <w:basedOn w:val="DefaultParagraphFont"/>
    <w:locked/>
    <w:rsid w:val="00986765"/>
    <w:rPr>
      <w:color w:val="800080" w:themeColor="followedHyperlink"/>
      <w:u w:val="single"/>
    </w:rPr>
  </w:style>
  <w:style w:type="character" w:customStyle="1" w:styleId="FooterChar">
    <w:name w:val="Footer Char"/>
    <w:basedOn w:val="DefaultParagraphFont"/>
    <w:link w:val="Footer"/>
    <w:rsid w:val="00986765"/>
    <w:rPr>
      <w:rFonts w:ascii="Calibri" w:hAnsi="Calibri"/>
      <w:szCs w:val="18"/>
      <w:lang w:eastAsia="en-US"/>
    </w:rPr>
  </w:style>
  <w:style w:type="character" w:styleId="PlaceholderText">
    <w:name w:val="Placeholder Text"/>
    <w:basedOn w:val="DefaultParagraphFont"/>
    <w:uiPriority w:val="99"/>
    <w:semiHidden/>
    <w:rsid w:val="00986765"/>
    <w:rPr>
      <w:color w:val="808080"/>
    </w:rPr>
  </w:style>
  <w:style w:type="character" w:styleId="CommentReference">
    <w:name w:val="annotation reference"/>
    <w:basedOn w:val="DefaultParagraphFont"/>
    <w:locked/>
    <w:rsid w:val="00986765"/>
    <w:rPr>
      <w:sz w:val="16"/>
      <w:szCs w:val="16"/>
    </w:rPr>
  </w:style>
  <w:style w:type="paragraph" w:styleId="CommentText">
    <w:name w:val="annotation text"/>
    <w:basedOn w:val="Normal"/>
    <w:link w:val="CommentTextChar"/>
    <w:locked/>
    <w:rsid w:val="00986765"/>
    <w:rPr>
      <w:sz w:val="20"/>
    </w:rPr>
  </w:style>
  <w:style w:type="character" w:customStyle="1" w:styleId="CommentTextChar">
    <w:name w:val="Comment Text Char"/>
    <w:basedOn w:val="DefaultParagraphFont"/>
    <w:link w:val="CommentText"/>
    <w:rsid w:val="00986765"/>
    <w:rPr>
      <w:rFonts w:ascii="Garamond" w:hAnsi="Garamond"/>
      <w:lang w:eastAsia="en-US"/>
    </w:rPr>
  </w:style>
  <w:style w:type="paragraph" w:styleId="CommentSubject">
    <w:name w:val="annotation subject"/>
    <w:basedOn w:val="CommentText"/>
    <w:next w:val="CommentText"/>
    <w:link w:val="CommentSubjectChar"/>
    <w:locked/>
    <w:rsid w:val="00986765"/>
    <w:rPr>
      <w:b/>
      <w:bCs/>
    </w:rPr>
  </w:style>
  <w:style w:type="character" w:customStyle="1" w:styleId="CommentSubjectChar">
    <w:name w:val="Comment Subject Char"/>
    <w:basedOn w:val="CommentTextChar"/>
    <w:link w:val="CommentSubject"/>
    <w:rsid w:val="00986765"/>
    <w:rPr>
      <w:rFonts w:ascii="Garamond" w:hAnsi="Garamond"/>
      <w:b/>
      <w:bCs/>
      <w:lang w:eastAsia="en-US"/>
    </w:rPr>
  </w:style>
  <w:style w:type="table" w:customStyle="1" w:styleId="TableGrid1">
    <w:name w:val="Table Grid1"/>
    <w:basedOn w:val="TableNormal"/>
    <w:next w:val="TableGrid"/>
    <w:semiHidden/>
    <w:locked/>
    <w:rsid w:val="00986765"/>
    <w:pPr>
      <w:spacing w:after="120"/>
      <w:jc w:val="both"/>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FA7E-BB40-4FEA-A36F-1460A494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2</TotalTime>
  <Pages>122</Pages>
  <Words>33853</Words>
  <Characters>194516</Characters>
  <Application>Microsoft Office Word</Application>
  <DocSecurity>0</DocSecurity>
  <Lines>1620</Lines>
  <Paragraphs>455</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Julie Marsal</cp:lastModifiedBy>
  <cp:revision>3</cp:revision>
  <cp:lastPrinted>2014-11-10T01:05:00Z</cp:lastPrinted>
  <dcterms:created xsi:type="dcterms:W3CDTF">2014-11-10T04:39:00Z</dcterms:created>
  <dcterms:modified xsi:type="dcterms:W3CDTF">2014-11-10T04:40:00Z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