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96" w:rsidRPr="00DF5908" w:rsidRDefault="00063926" w:rsidP="00063926">
      <w:pPr>
        <w:pStyle w:val="Title"/>
        <w:spacing w:before="3840"/>
      </w:pPr>
      <w:bookmarkStart w:id="0" w:name="_Toc442780672"/>
      <w:r w:rsidRPr="00DF5908">
        <w:t xml:space="preserve">Summary of changes applied to the </w:t>
      </w:r>
      <w:r w:rsidR="00DA4121" w:rsidRPr="00DF5908">
        <w:t>2015</w:t>
      </w:r>
      <w:r w:rsidR="00B42DD7" w:rsidRPr="00DF5908">
        <w:noBreakHyphen/>
      </w:r>
      <w:r w:rsidR="00DA4121" w:rsidRPr="00DF5908">
        <w:t>16 </w:t>
      </w:r>
      <w:r w:rsidRPr="00DF5908">
        <w:t>Model Report</w:t>
      </w:r>
    </w:p>
    <w:p w:rsidR="00063926" w:rsidRPr="00DF5908" w:rsidRDefault="00063926" w:rsidP="00063926">
      <w:pPr>
        <w:pStyle w:val="TertiaryTitle"/>
        <w:tabs>
          <w:tab w:val="left" w:pos="2790"/>
          <w:tab w:val="left" w:pos="5040"/>
        </w:tabs>
      </w:pPr>
    </w:p>
    <w:p w:rsidR="00063926" w:rsidRPr="00DF5908" w:rsidRDefault="00063926" w:rsidP="00063926">
      <w:pPr>
        <w:rPr>
          <w:lang w:eastAsia="en-US"/>
        </w:rPr>
      </w:pPr>
    </w:p>
    <w:p w:rsidR="00F4239A" w:rsidRPr="00DF5908" w:rsidRDefault="00F4239A">
      <w:pPr>
        <w:spacing w:before="0" w:after="200"/>
      </w:pPr>
      <w:bookmarkStart w:id="1" w:name="_GoBack"/>
      <w:bookmarkEnd w:id="0"/>
      <w:bookmarkEnd w:id="1"/>
      <w:r w:rsidRPr="00DF5908">
        <w:br w:type="page"/>
      </w:r>
    </w:p>
    <w:p w:rsidR="00222135" w:rsidRPr="00DF5908" w:rsidRDefault="00222135" w:rsidP="00222135">
      <w:pPr>
        <w:pStyle w:val="Heading1"/>
      </w:pPr>
      <w:r w:rsidRPr="00DF5908">
        <w:lastRenderedPageBreak/>
        <w:t>Purpose and overview</w:t>
      </w:r>
    </w:p>
    <w:p w:rsidR="00222135" w:rsidRPr="00DF5908" w:rsidRDefault="00222135" w:rsidP="00222135">
      <w:r w:rsidRPr="00DF5908">
        <w:t xml:space="preserve">The purpose of this document is to provide a summary of significant changes to the </w:t>
      </w:r>
      <w:r w:rsidRPr="003F1C34">
        <w:rPr>
          <w:i/>
        </w:rPr>
        <w:t>2015</w:t>
      </w:r>
      <w:r w:rsidR="00B42DD7" w:rsidRPr="003F1C34">
        <w:rPr>
          <w:i/>
        </w:rPr>
        <w:noBreakHyphen/>
      </w:r>
      <w:r w:rsidRPr="003F1C34">
        <w:rPr>
          <w:i/>
        </w:rPr>
        <w:t>16 Model Report</w:t>
      </w:r>
      <w:r w:rsidRPr="00DF5908">
        <w:t xml:space="preserve">, since the </w:t>
      </w:r>
      <w:r w:rsidRPr="003F1C34">
        <w:rPr>
          <w:i/>
        </w:rPr>
        <w:t>2014</w:t>
      </w:r>
      <w:r w:rsidR="00B42DD7" w:rsidRPr="003F1C34">
        <w:rPr>
          <w:i/>
        </w:rPr>
        <w:noBreakHyphen/>
      </w:r>
      <w:r w:rsidRPr="003F1C34">
        <w:rPr>
          <w:i/>
        </w:rPr>
        <w:t>15 Model Report</w:t>
      </w:r>
      <w:r w:rsidRPr="00DF5908">
        <w:t xml:space="preserve">. </w:t>
      </w:r>
    </w:p>
    <w:p w:rsidR="00222135" w:rsidRPr="00DF5908" w:rsidRDefault="00222135" w:rsidP="00222135">
      <w:r w:rsidRPr="00DF5908">
        <w:t>The changes incorporate a combination of revisions, enhancements and a government endorsed recommendation from the Public Accounts and Estimates Committee (PAEC).</w:t>
      </w:r>
    </w:p>
    <w:p w:rsidR="00222135" w:rsidRPr="00DF5908" w:rsidRDefault="00222135" w:rsidP="00222135">
      <w:r w:rsidRPr="00DF5908">
        <w:t>The main changes include:</w:t>
      </w:r>
    </w:p>
    <w:p w:rsidR="00222135" w:rsidRPr="00DF5908" w:rsidRDefault="00222135" w:rsidP="00222135">
      <w:pPr>
        <w:pStyle w:val="Bullet1"/>
      </w:pPr>
      <w:r w:rsidRPr="00DF5908">
        <w:t xml:space="preserve">Illustrations to reflect the amendments in </w:t>
      </w:r>
      <w:r w:rsidR="00DA4121" w:rsidRPr="00DF5908">
        <w:t>FRD </w:t>
      </w:r>
      <w:r w:rsidRPr="00DF5908">
        <w:t>22G</w:t>
      </w:r>
      <w:r w:rsidRPr="00DF5908">
        <w:rPr>
          <w:i/>
        </w:rPr>
        <w:t xml:space="preserve"> Standard Disclosures in the Report of Operations</w:t>
      </w:r>
      <w:r w:rsidRPr="00DF5908">
        <w:t>, which require the disclosure of Information and Communication Technology (ICT) expenditure and a reduced disclosure threshold for government advertising expenditure from $150 000 to $100 000.</w:t>
      </w:r>
    </w:p>
    <w:p w:rsidR="00222135" w:rsidRPr="00DF5908" w:rsidRDefault="00222135" w:rsidP="00222135">
      <w:pPr>
        <w:pStyle w:val="Bullet1"/>
      </w:pPr>
      <w:r w:rsidRPr="00DF5908">
        <w:t>Implementation of a PAEC recommendation for departments to disclose completed capital projects with a Total Estimated Investment of $10 million or more for the portfolio.</w:t>
      </w:r>
    </w:p>
    <w:p w:rsidR="00222135" w:rsidRPr="00DF5908" w:rsidRDefault="00222135" w:rsidP="00222135">
      <w:pPr>
        <w:pStyle w:val="Bullet1"/>
      </w:pPr>
      <w:r w:rsidRPr="00DF5908">
        <w:t>Integration of the key initiatives and projects disclosure into the departmental outputs section of the Report of Operations to enhance the performance story.</w:t>
      </w:r>
    </w:p>
    <w:p w:rsidR="00236203" w:rsidRPr="00DF5908" w:rsidRDefault="00222135" w:rsidP="00222135">
      <w:r w:rsidRPr="00DF5908">
        <w:t xml:space="preserve">For a comprehensive list of new or revised requirements, please refer to the source reference column of the Model where </w:t>
      </w:r>
      <w:r w:rsidRPr="00DF5908">
        <w:rPr>
          <w:color w:val="FF0000"/>
        </w:rPr>
        <w:t>New</w:t>
      </w:r>
      <w:r w:rsidRPr="00DF5908">
        <w:t xml:space="preserve"> or </w:t>
      </w:r>
      <w:r w:rsidRPr="00DF5908">
        <w:rPr>
          <w:color w:val="FF0000"/>
        </w:rPr>
        <w:t>Revised</w:t>
      </w:r>
      <w:r w:rsidRPr="00DF5908">
        <w:t xml:space="preserve"> is noted.</w:t>
      </w:r>
    </w:p>
    <w:p w:rsidR="005E6AE4" w:rsidRPr="00DF5908" w:rsidRDefault="005E6AE4">
      <w:pPr>
        <w:spacing w:before="0" w:after="200"/>
      </w:pPr>
      <w:r w:rsidRPr="00DF5908">
        <w:br w:type="page"/>
      </w:r>
    </w:p>
    <w:tbl>
      <w:tblPr>
        <w:tblStyle w:val="DTFtexttable"/>
        <w:tblW w:w="5000" w:type="pct"/>
        <w:tblLayout w:type="fixed"/>
        <w:tblLook w:val="04A0" w:firstRow="1" w:lastRow="0" w:firstColumn="1" w:lastColumn="0" w:noHBand="0" w:noVBand="1"/>
      </w:tblPr>
      <w:tblGrid>
        <w:gridCol w:w="1586"/>
        <w:gridCol w:w="1801"/>
        <w:gridCol w:w="4590"/>
        <w:gridCol w:w="1163"/>
      </w:tblGrid>
      <w:tr w:rsidR="005E6AE4" w:rsidRPr="00DF5908" w:rsidTr="003E1F2A">
        <w:trPr>
          <w:cnfStyle w:val="100000000000" w:firstRow="1" w:lastRow="0" w:firstColumn="0" w:lastColumn="0" w:oddVBand="0" w:evenVBand="0" w:oddHBand="0" w:evenHBand="0" w:firstRowFirstColumn="0" w:firstRowLastColumn="0" w:lastRowFirstColumn="0" w:lastRowLastColumn="0"/>
          <w:trHeight w:val="70"/>
          <w:tblHeader/>
        </w:trPr>
        <w:tc>
          <w:tcPr>
            <w:cnfStyle w:val="001000000100" w:firstRow="0" w:lastRow="0" w:firstColumn="1" w:lastColumn="0" w:oddVBand="0" w:evenVBand="0" w:oddHBand="0" w:evenHBand="0" w:firstRowFirstColumn="1" w:firstRowLastColumn="0" w:lastRowFirstColumn="0" w:lastRowLastColumn="0"/>
            <w:tcW w:w="5000" w:type="pct"/>
            <w:gridSpan w:val="4"/>
          </w:tcPr>
          <w:p w:rsidR="005E6AE4" w:rsidRPr="00DF5908" w:rsidRDefault="005E6AE4" w:rsidP="00A21D12">
            <w:pPr>
              <w:pStyle w:val="Tableheader"/>
            </w:pPr>
            <w:r w:rsidRPr="00DF5908">
              <w:lastRenderedPageBreak/>
              <w:t xml:space="preserve">General changes throughout the </w:t>
            </w:r>
            <w:r w:rsidR="00DA4121" w:rsidRPr="003F1C34">
              <w:rPr>
                <w:i/>
              </w:rPr>
              <w:t>2015</w:t>
            </w:r>
            <w:r w:rsidR="00B42DD7" w:rsidRPr="003F1C34">
              <w:rPr>
                <w:i/>
              </w:rPr>
              <w:noBreakHyphen/>
            </w:r>
            <w:r w:rsidR="00DA4121" w:rsidRPr="003F1C34">
              <w:rPr>
                <w:i/>
              </w:rPr>
              <w:t>16 </w:t>
            </w:r>
            <w:r w:rsidRPr="003F1C34">
              <w:rPr>
                <w:i/>
              </w:rPr>
              <w:t>Model Report</w:t>
            </w:r>
            <w:r w:rsidRPr="00DF5908">
              <w:t xml:space="preserve"> </w:t>
            </w:r>
          </w:p>
        </w:tc>
      </w:tr>
      <w:tr w:rsidR="005E6AE4" w:rsidRPr="00DF5908" w:rsidTr="003E1F2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68" w:type="pct"/>
            <w:shd w:val="clear" w:color="auto" w:fill="749CC9" w:themeFill="accent3"/>
          </w:tcPr>
          <w:p w:rsidR="005E6AE4" w:rsidRPr="00DF5908" w:rsidRDefault="005E6AE4" w:rsidP="00A21D12">
            <w:pPr>
              <w:pStyle w:val="Tableheader"/>
              <w:rPr>
                <w:sz w:val="18"/>
                <w:szCs w:val="18"/>
              </w:rPr>
            </w:pPr>
            <w:r w:rsidRPr="00DF5908">
              <w:rPr>
                <w:sz w:val="18"/>
                <w:szCs w:val="18"/>
              </w:rPr>
              <w:t xml:space="preserve">Subject matter </w:t>
            </w:r>
          </w:p>
        </w:tc>
        <w:tc>
          <w:tcPr>
            <w:tcW w:w="985" w:type="pct"/>
            <w:shd w:val="clear" w:color="auto" w:fill="749CC9" w:themeFill="accent3"/>
          </w:tcPr>
          <w:p w:rsidR="005E6AE4" w:rsidRPr="00DF5908" w:rsidRDefault="005E6AE4" w:rsidP="00A21D12">
            <w:pPr>
              <w:pStyle w:val="Tableheader"/>
              <w:cnfStyle w:val="100000000000" w:firstRow="1" w:lastRow="0" w:firstColumn="0" w:lastColumn="0" w:oddVBand="0" w:evenVBand="0" w:oddHBand="0" w:evenHBand="0" w:firstRowFirstColumn="0" w:firstRowLastColumn="0" w:lastRowFirstColumn="0" w:lastRowLastColumn="0"/>
              <w:rPr>
                <w:sz w:val="18"/>
                <w:szCs w:val="18"/>
              </w:rPr>
            </w:pPr>
            <w:r w:rsidRPr="00DF5908">
              <w:rPr>
                <w:sz w:val="18"/>
                <w:szCs w:val="18"/>
              </w:rPr>
              <w:t>Reason</w:t>
            </w:r>
          </w:p>
        </w:tc>
        <w:tc>
          <w:tcPr>
            <w:tcW w:w="2511" w:type="pct"/>
            <w:shd w:val="clear" w:color="auto" w:fill="749CC9" w:themeFill="accent3"/>
          </w:tcPr>
          <w:p w:rsidR="005E6AE4" w:rsidRPr="00DF5908" w:rsidRDefault="005E6AE4" w:rsidP="00A21D12">
            <w:pPr>
              <w:pStyle w:val="Tableheader"/>
              <w:cnfStyle w:val="100000000000" w:firstRow="1" w:lastRow="0" w:firstColumn="0" w:lastColumn="0" w:oddVBand="0" w:evenVBand="0" w:oddHBand="0" w:evenHBand="0" w:firstRowFirstColumn="0" w:firstRowLastColumn="0" w:lastRowFirstColumn="0" w:lastRowLastColumn="0"/>
              <w:rPr>
                <w:sz w:val="18"/>
                <w:szCs w:val="18"/>
              </w:rPr>
            </w:pPr>
            <w:r w:rsidRPr="00DF5908">
              <w:rPr>
                <w:sz w:val="18"/>
                <w:szCs w:val="18"/>
              </w:rPr>
              <w:t xml:space="preserve">Summary of changes throughout the </w:t>
            </w:r>
            <w:r w:rsidR="00DA4121" w:rsidRPr="003F1C34">
              <w:rPr>
                <w:i/>
                <w:sz w:val="18"/>
                <w:szCs w:val="18"/>
              </w:rPr>
              <w:t>2015</w:t>
            </w:r>
            <w:r w:rsidR="00B42DD7" w:rsidRPr="003F1C34">
              <w:rPr>
                <w:i/>
                <w:sz w:val="18"/>
                <w:szCs w:val="18"/>
              </w:rPr>
              <w:noBreakHyphen/>
            </w:r>
            <w:r w:rsidR="00DA4121" w:rsidRPr="003F1C34">
              <w:rPr>
                <w:i/>
                <w:sz w:val="18"/>
                <w:szCs w:val="18"/>
              </w:rPr>
              <w:t>16 </w:t>
            </w:r>
            <w:r w:rsidRPr="003F1C34">
              <w:rPr>
                <w:i/>
                <w:sz w:val="18"/>
                <w:szCs w:val="18"/>
              </w:rPr>
              <w:t>Model Report</w:t>
            </w:r>
          </w:p>
        </w:tc>
        <w:tc>
          <w:tcPr>
            <w:tcW w:w="636" w:type="pct"/>
            <w:shd w:val="clear" w:color="auto" w:fill="749CC9" w:themeFill="accent3"/>
          </w:tcPr>
          <w:p w:rsidR="005E6AE4" w:rsidRPr="00DF5908" w:rsidRDefault="005E6AE4" w:rsidP="001C4C3D">
            <w:pPr>
              <w:pStyle w:val="Tableheader"/>
              <w:jc w:val="center"/>
              <w:cnfStyle w:val="100000000000" w:firstRow="1" w:lastRow="0" w:firstColumn="0" w:lastColumn="0" w:oddVBand="0" w:evenVBand="0" w:oddHBand="0" w:evenHBand="0" w:firstRowFirstColumn="0" w:firstRowLastColumn="0" w:lastRowFirstColumn="0" w:lastRowLastColumn="0"/>
              <w:rPr>
                <w:sz w:val="18"/>
                <w:szCs w:val="18"/>
              </w:rPr>
            </w:pPr>
            <w:r w:rsidRPr="00DF5908">
              <w:rPr>
                <w:sz w:val="18"/>
                <w:szCs w:val="18"/>
              </w:rPr>
              <w:t>Page reference</w:t>
            </w:r>
          </w:p>
        </w:tc>
      </w:tr>
      <w:tr w:rsidR="005E6AE4" w:rsidRPr="00DF5908" w:rsidTr="003E1F2A">
        <w:trPr>
          <w:trHeight w:val="416"/>
        </w:trPr>
        <w:tc>
          <w:tcPr>
            <w:cnfStyle w:val="001000000000" w:firstRow="0" w:lastRow="0" w:firstColumn="1" w:lastColumn="0" w:oddVBand="0" w:evenVBand="0" w:oddHBand="0" w:evenHBand="0" w:firstRowFirstColumn="0" w:firstRowLastColumn="0" w:lastRowFirstColumn="0" w:lastRowLastColumn="0"/>
            <w:tcW w:w="868" w:type="pct"/>
            <w:vMerge w:val="restart"/>
          </w:tcPr>
          <w:p w:rsidR="005E6AE4" w:rsidRPr="00DF5908" w:rsidRDefault="005E6AE4" w:rsidP="001C4C3D">
            <w:pPr>
              <w:pStyle w:val="Tabletext"/>
            </w:pPr>
            <w:r w:rsidRPr="00DF5908">
              <w:t>General improvements to the Model</w:t>
            </w:r>
          </w:p>
        </w:tc>
        <w:tc>
          <w:tcPr>
            <w:tcW w:w="985" w:type="pct"/>
          </w:tcPr>
          <w:p w:rsidR="005E6AE4" w:rsidRPr="00DF5908" w:rsidRDefault="005E6AE4" w:rsidP="005E6AE4">
            <w:pPr>
              <w:pStyle w:val="Tabletext"/>
              <w:cnfStyle w:val="000000000000" w:firstRow="0" w:lastRow="0" w:firstColumn="0" w:lastColumn="0" w:oddVBand="0" w:evenVBand="0" w:oddHBand="0" w:evenHBand="0" w:firstRowFirstColumn="0" w:firstRowLastColumn="0" w:lastRowFirstColumn="0" w:lastRowLastColumn="0"/>
            </w:pPr>
            <w:r w:rsidRPr="00DF5908">
              <w:t>Roll</w:t>
            </w:r>
            <w:r w:rsidR="00B42DD7" w:rsidRPr="00DF5908">
              <w:noBreakHyphen/>
            </w:r>
            <w:r w:rsidRPr="00DF5908">
              <w:t>over dates</w:t>
            </w:r>
          </w:p>
        </w:tc>
        <w:tc>
          <w:tcPr>
            <w:tcW w:w="2511" w:type="pct"/>
          </w:tcPr>
          <w:p w:rsidR="005E6AE4" w:rsidRPr="00DF5908" w:rsidRDefault="005E6AE4" w:rsidP="005E6AE4">
            <w:pPr>
              <w:pStyle w:val="Tabletext"/>
              <w:cnfStyle w:val="000000000000" w:firstRow="0" w:lastRow="0" w:firstColumn="0" w:lastColumn="0" w:oddVBand="0" w:evenVBand="0" w:oddHBand="0" w:evenHBand="0" w:firstRowFirstColumn="0" w:firstRowLastColumn="0" w:lastRowFirstColumn="0" w:lastRowLastColumn="0"/>
            </w:pPr>
            <w:r w:rsidRPr="00DF5908">
              <w:t>All relevant dates and years within the Model have been updated as part of the roll</w:t>
            </w:r>
            <w:r w:rsidR="00B42DD7" w:rsidRPr="00DF5908">
              <w:noBreakHyphen/>
            </w:r>
            <w:r w:rsidRPr="00DF5908">
              <w:t>over process from the previous Model.</w:t>
            </w:r>
          </w:p>
        </w:tc>
        <w:tc>
          <w:tcPr>
            <w:tcW w:w="636" w:type="pct"/>
          </w:tcPr>
          <w:p w:rsidR="005E6AE4" w:rsidRPr="00DF5908" w:rsidRDefault="005E6AE4" w:rsidP="001C4C3D">
            <w:pPr>
              <w:pStyle w:val="Tabletextcentred"/>
              <w:cnfStyle w:val="000000000000" w:firstRow="0" w:lastRow="0" w:firstColumn="0" w:lastColumn="0" w:oddVBand="0" w:evenVBand="0" w:oddHBand="0" w:evenHBand="0" w:firstRowFirstColumn="0" w:firstRowLastColumn="0" w:lastRowFirstColumn="0" w:lastRowLastColumn="0"/>
            </w:pPr>
            <w:r w:rsidRPr="00DF5908">
              <w:t>Whole Model</w:t>
            </w:r>
          </w:p>
        </w:tc>
      </w:tr>
      <w:tr w:rsidR="005E6AE4" w:rsidRPr="00DF5908" w:rsidTr="003E1F2A">
        <w:trPr>
          <w:cnfStyle w:val="000000010000" w:firstRow="0" w:lastRow="0" w:firstColumn="0" w:lastColumn="0" w:oddVBand="0" w:evenVBand="0" w:oddHBand="0" w:evenHBand="1"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868" w:type="pct"/>
            <w:vMerge/>
          </w:tcPr>
          <w:p w:rsidR="005E6AE4" w:rsidRPr="00DF5908" w:rsidRDefault="005E6AE4" w:rsidP="005E6AE4">
            <w:pPr>
              <w:pStyle w:val="Tabletext"/>
            </w:pPr>
          </w:p>
        </w:tc>
        <w:tc>
          <w:tcPr>
            <w:tcW w:w="985" w:type="pct"/>
          </w:tcPr>
          <w:p w:rsidR="005E6AE4" w:rsidRPr="00DF5908" w:rsidRDefault="005E6AE4" w:rsidP="005E6AE4">
            <w:pPr>
              <w:pStyle w:val="Tabletext"/>
              <w:cnfStyle w:val="000000010000" w:firstRow="0" w:lastRow="0" w:firstColumn="0" w:lastColumn="0" w:oddVBand="0" w:evenVBand="0" w:oddHBand="0" w:evenHBand="1" w:firstRowFirstColumn="0" w:firstRowLastColumn="0" w:lastRowFirstColumn="0" w:lastRowLastColumn="0"/>
            </w:pPr>
            <w:r w:rsidRPr="00DF5908">
              <w:t>To improve readability</w:t>
            </w:r>
          </w:p>
        </w:tc>
        <w:tc>
          <w:tcPr>
            <w:tcW w:w="2511" w:type="pct"/>
          </w:tcPr>
          <w:p w:rsidR="005E6AE4" w:rsidRPr="00DF5908" w:rsidRDefault="005E6AE4" w:rsidP="005E6AE4">
            <w:pPr>
              <w:pStyle w:val="Tabletext"/>
              <w:cnfStyle w:val="000000010000" w:firstRow="0" w:lastRow="0" w:firstColumn="0" w:lastColumn="0" w:oddVBand="0" w:evenVBand="0" w:oddHBand="0" w:evenHBand="1" w:firstRowFirstColumn="0" w:firstRowLastColumn="0" w:lastRowFirstColumn="0" w:lastRowLastColumn="0"/>
            </w:pPr>
            <w:r w:rsidRPr="00DF5908">
              <w:t>Minor editorial updates/changes to wordings and placements of sentences/paragraphs.</w:t>
            </w:r>
          </w:p>
        </w:tc>
        <w:tc>
          <w:tcPr>
            <w:tcW w:w="636" w:type="pct"/>
          </w:tcPr>
          <w:p w:rsidR="005E6AE4" w:rsidRPr="00DF5908" w:rsidRDefault="005E6AE4" w:rsidP="001C4C3D">
            <w:pPr>
              <w:pStyle w:val="Tabletextcentred"/>
              <w:cnfStyle w:val="000000010000" w:firstRow="0" w:lastRow="0" w:firstColumn="0" w:lastColumn="0" w:oddVBand="0" w:evenVBand="0" w:oddHBand="0" w:evenHBand="1" w:firstRowFirstColumn="0" w:firstRowLastColumn="0" w:lastRowFirstColumn="0" w:lastRowLastColumn="0"/>
            </w:pPr>
            <w:r w:rsidRPr="00DF5908">
              <w:t>Whole Model</w:t>
            </w:r>
          </w:p>
        </w:tc>
      </w:tr>
      <w:tr w:rsidR="005E6AE4" w:rsidRPr="00DF5908" w:rsidTr="003E1F2A">
        <w:trPr>
          <w:trHeight w:val="910"/>
        </w:trPr>
        <w:tc>
          <w:tcPr>
            <w:cnfStyle w:val="001000000000" w:firstRow="0" w:lastRow="0" w:firstColumn="1" w:lastColumn="0" w:oddVBand="0" w:evenVBand="0" w:oddHBand="0" w:evenHBand="0" w:firstRowFirstColumn="0" w:firstRowLastColumn="0" w:lastRowFirstColumn="0" w:lastRowLastColumn="0"/>
            <w:tcW w:w="868" w:type="pct"/>
          </w:tcPr>
          <w:p w:rsidR="005E6AE4" w:rsidRPr="00DF5908" w:rsidRDefault="005E6AE4" w:rsidP="005E6AE4">
            <w:pPr>
              <w:pStyle w:val="Tabletext"/>
            </w:pPr>
          </w:p>
        </w:tc>
        <w:tc>
          <w:tcPr>
            <w:tcW w:w="985" w:type="pct"/>
          </w:tcPr>
          <w:p w:rsidR="005E6AE4" w:rsidRPr="00DF5908" w:rsidRDefault="005E6AE4" w:rsidP="005E6AE4">
            <w:pPr>
              <w:pStyle w:val="Tabletext"/>
              <w:cnfStyle w:val="000000000000" w:firstRow="0" w:lastRow="0" w:firstColumn="0" w:lastColumn="0" w:oddVBand="0" w:evenVBand="0" w:oddHBand="0" w:evenHBand="0" w:firstRowFirstColumn="0" w:firstRowLastColumn="0" w:lastRowFirstColumn="0" w:lastRowLastColumn="0"/>
            </w:pPr>
            <w:r w:rsidRPr="00DF5908">
              <w:t>To update source references</w:t>
            </w:r>
          </w:p>
        </w:tc>
        <w:tc>
          <w:tcPr>
            <w:tcW w:w="2511" w:type="pct"/>
          </w:tcPr>
          <w:p w:rsidR="005E6AE4" w:rsidRPr="00DF5908" w:rsidRDefault="005E6AE4" w:rsidP="005E6AE4">
            <w:pPr>
              <w:pStyle w:val="Tabletext"/>
              <w:cnfStyle w:val="000000000000" w:firstRow="0" w:lastRow="0" w:firstColumn="0" w:lastColumn="0" w:oddVBand="0" w:evenVBand="0" w:oddHBand="0" w:evenHBand="0" w:firstRowFirstColumn="0" w:firstRowLastColumn="0" w:lastRowFirstColumn="0" w:lastRowLastColumn="0"/>
            </w:pPr>
            <w:r w:rsidRPr="00DF5908">
              <w:t>Changes to source references resulting from changes in reporting requirements effective since 1 July 2015, as well as an overall update of the relevant AASB/FRD source referencing.</w:t>
            </w:r>
          </w:p>
        </w:tc>
        <w:tc>
          <w:tcPr>
            <w:tcW w:w="636" w:type="pct"/>
          </w:tcPr>
          <w:p w:rsidR="005E6AE4" w:rsidRPr="00DF5908" w:rsidRDefault="005E6AE4" w:rsidP="001C4C3D">
            <w:pPr>
              <w:pStyle w:val="Tabletextcentred"/>
              <w:cnfStyle w:val="000000000000" w:firstRow="0" w:lastRow="0" w:firstColumn="0" w:lastColumn="0" w:oddVBand="0" w:evenVBand="0" w:oddHBand="0" w:evenHBand="0" w:firstRowFirstColumn="0" w:firstRowLastColumn="0" w:lastRowFirstColumn="0" w:lastRowLastColumn="0"/>
            </w:pPr>
            <w:r w:rsidRPr="00DF5908">
              <w:t>Whole Model</w:t>
            </w:r>
          </w:p>
        </w:tc>
      </w:tr>
    </w:tbl>
    <w:p w:rsidR="005E6AE4" w:rsidRPr="00DF5908" w:rsidRDefault="005E6AE4" w:rsidP="005E6AE4">
      <w:pPr>
        <w:pStyle w:val="Tabletext"/>
      </w:pPr>
    </w:p>
    <w:p w:rsidR="00DB0E25" w:rsidRPr="00DF5908" w:rsidRDefault="00DB0E25" w:rsidP="005E6AE4">
      <w:pPr>
        <w:pStyle w:val="Tabletext"/>
      </w:pPr>
    </w:p>
    <w:tbl>
      <w:tblPr>
        <w:tblStyle w:val="DTFtexttable"/>
        <w:tblW w:w="5000" w:type="pct"/>
        <w:tblLayout w:type="fixed"/>
        <w:tblLook w:val="01A0" w:firstRow="1" w:lastRow="0" w:firstColumn="1" w:lastColumn="1" w:noHBand="0" w:noVBand="0"/>
      </w:tblPr>
      <w:tblGrid>
        <w:gridCol w:w="1586"/>
        <w:gridCol w:w="1801"/>
        <w:gridCol w:w="4590"/>
        <w:gridCol w:w="1163"/>
      </w:tblGrid>
      <w:tr w:rsidR="00955547" w:rsidRPr="00DF5908" w:rsidTr="00A21D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000" w:type="pct"/>
            <w:gridSpan w:val="4"/>
          </w:tcPr>
          <w:p w:rsidR="00955547" w:rsidRPr="00DF5908" w:rsidRDefault="00955547" w:rsidP="00955547">
            <w:pPr>
              <w:pStyle w:val="Tableheader"/>
            </w:pPr>
            <w:r w:rsidRPr="00DF5908">
              <w:t xml:space="preserve">Summary of changes – Introduction </w:t>
            </w:r>
          </w:p>
        </w:tc>
      </w:tr>
      <w:tr w:rsidR="00955547" w:rsidRPr="00DF5908" w:rsidTr="00A21D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68" w:type="pct"/>
            <w:shd w:val="clear" w:color="auto" w:fill="749CC9" w:themeFill="accent3"/>
          </w:tcPr>
          <w:p w:rsidR="00955547" w:rsidRPr="00DF5908" w:rsidRDefault="00955547" w:rsidP="00955547">
            <w:pPr>
              <w:pStyle w:val="Tableheader"/>
              <w:rPr>
                <w:sz w:val="18"/>
                <w:szCs w:val="18"/>
              </w:rPr>
            </w:pPr>
            <w:r w:rsidRPr="00DF5908">
              <w:rPr>
                <w:sz w:val="18"/>
                <w:szCs w:val="18"/>
              </w:rPr>
              <w:t xml:space="preserve">Subject matter </w:t>
            </w:r>
          </w:p>
        </w:tc>
        <w:tc>
          <w:tcPr>
            <w:cnfStyle w:val="000010000000" w:firstRow="0" w:lastRow="0" w:firstColumn="0" w:lastColumn="0" w:oddVBand="1" w:evenVBand="0" w:oddHBand="0" w:evenHBand="0" w:firstRowFirstColumn="0" w:firstRowLastColumn="0" w:lastRowFirstColumn="0" w:lastRowLastColumn="0"/>
            <w:tcW w:w="985" w:type="pct"/>
            <w:shd w:val="clear" w:color="auto" w:fill="749CC9" w:themeFill="accent3"/>
          </w:tcPr>
          <w:p w:rsidR="00955547" w:rsidRPr="00DF5908" w:rsidRDefault="00955547" w:rsidP="00955547">
            <w:pPr>
              <w:pStyle w:val="Tableheader"/>
              <w:rPr>
                <w:sz w:val="18"/>
                <w:szCs w:val="18"/>
              </w:rPr>
            </w:pPr>
            <w:r w:rsidRPr="00DF5908">
              <w:rPr>
                <w:sz w:val="18"/>
                <w:szCs w:val="18"/>
              </w:rPr>
              <w:t>Reason</w:t>
            </w:r>
          </w:p>
        </w:tc>
        <w:tc>
          <w:tcPr>
            <w:cnfStyle w:val="000001000000" w:firstRow="0" w:lastRow="0" w:firstColumn="0" w:lastColumn="0" w:oddVBand="0" w:evenVBand="1" w:oddHBand="0" w:evenHBand="0" w:firstRowFirstColumn="0" w:firstRowLastColumn="0" w:lastRowFirstColumn="0" w:lastRowLastColumn="0"/>
            <w:tcW w:w="2511" w:type="pct"/>
            <w:shd w:val="clear" w:color="auto" w:fill="749CC9" w:themeFill="accent3"/>
          </w:tcPr>
          <w:p w:rsidR="00955547" w:rsidRPr="00DF5908" w:rsidRDefault="00955547" w:rsidP="007800B3">
            <w:pPr>
              <w:pStyle w:val="Tableheader"/>
              <w:rPr>
                <w:sz w:val="18"/>
                <w:szCs w:val="18"/>
              </w:rPr>
            </w:pPr>
            <w:r w:rsidRPr="00DF5908">
              <w:rPr>
                <w:sz w:val="18"/>
                <w:szCs w:val="18"/>
              </w:rPr>
              <w:t>Summary of changes applied to the relevant sections in the Introduction</w:t>
            </w:r>
          </w:p>
        </w:tc>
        <w:tc>
          <w:tcPr>
            <w:cnfStyle w:val="000100001000" w:firstRow="0" w:lastRow="0" w:firstColumn="0" w:lastColumn="1" w:oddVBand="0" w:evenVBand="0" w:oddHBand="0" w:evenHBand="0" w:firstRowFirstColumn="0" w:firstRowLastColumn="1" w:lastRowFirstColumn="0" w:lastRowLastColumn="0"/>
            <w:tcW w:w="636" w:type="pct"/>
            <w:shd w:val="clear" w:color="auto" w:fill="749CC9" w:themeFill="accent3"/>
          </w:tcPr>
          <w:p w:rsidR="00955547" w:rsidRPr="00DF5908" w:rsidRDefault="00955547" w:rsidP="001C4C3D">
            <w:pPr>
              <w:pStyle w:val="Tableheader"/>
              <w:jc w:val="center"/>
              <w:rPr>
                <w:sz w:val="18"/>
                <w:szCs w:val="18"/>
              </w:rPr>
            </w:pPr>
            <w:r w:rsidRPr="00DF5908">
              <w:rPr>
                <w:sz w:val="18"/>
                <w:szCs w:val="18"/>
              </w:rPr>
              <w:t>Page reference</w:t>
            </w:r>
          </w:p>
        </w:tc>
      </w:tr>
      <w:tr w:rsidR="00955547" w:rsidRPr="00DF5908" w:rsidTr="007800B3">
        <w:tc>
          <w:tcPr>
            <w:cnfStyle w:val="001000000000" w:firstRow="0" w:lastRow="0" w:firstColumn="1" w:lastColumn="0" w:oddVBand="0" w:evenVBand="0" w:oddHBand="0" w:evenHBand="0" w:firstRowFirstColumn="0" w:firstRowLastColumn="0" w:lastRowFirstColumn="0" w:lastRowLastColumn="0"/>
            <w:tcW w:w="868" w:type="pct"/>
          </w:tcPr>
          <w:p w:rsidR="00955547" w:rsidRPr="00DF5908" w:rsidRDefault="00955547" w:rsidP="00955547">
            <w:pPr>
              <w:pStyle w:val="Tabletext"/>
            </w:pPr>
            <w:r w:rsidRPr="00DF5908">
              <w:t>Public sector entity terminology</w:t>
            </w:r>
          </w:p>
        </w:tc>
        <w:tc>
          <w:tcPr>
            <w:cnfStyle w:val="000010000000" w:firstRow="0" w:lastRow="0" w:firstColumn="0" w:lastColumn="0" w:oddVBand="1" w:evenVBand="0" w:oddHBand="0" w:evenHBand="0" w:firstRowFirstColumn="0" w:firstRowLastColumn="0" w:lastRowFirstColumn="0" w:lastRowLastColumn="0"/>
            <w:tcW w:w="985" w:type="pct"/>
          </w:tcPr>
          <w:p w:rsidR="00955547" w:rsidRPr="00DF5908" w:rsidRDefault="00955547" w:rsidP="00955547">
            <w:pPr>
              <w:pStyle w:val="Tabletext"/>
            </w:pPr>
            <w:r w:rsidRPr="00DF5908">
              <w:t>General improvements</w:t>
            </w:r>
          </w:p>
        </w:tc>
        <w:tc>
          <w:tcPr>
            <w:cnfStyle w:val="000001000000" w:firstRow="0" w:lastRow="0" w:firstColumn="0" w:lastColumn="0" w:oddVBand="0" w:evenVBand="1" w:oddHBand="0" w:evenHBand="0" w:firstRowFirstColumn="0" w:firstRowLastColumn="0" w:lastRowFirstColumn="0" w:lastRowLastColumn="0"/>
            <w:tcW w:w="2511" w:type="pct"/>
          </w:tcPr>
          <w:p w:rsidR="00955547" w:rsidRPr="00DF5908" w:rsidRDefault="00955547" w:rsidP="00955547">
            <w:pPr>
              <w:pStyle w:val="Tabletext"/>
            </w:pPr>
            <w:r w:rsidRPr="00DF5908">
              <w:t xml:space="preserve">A note has been included to clarify the terms </w:t>
            </w:r>
            <w:r w:rsidR="006535B0" w:rsidRPr="00DF5908">
              <w:t>‘</w:t>
            </w:r>
            <w:r w:rsidRPr="00DF5908">
              <w:t>department</w:t>
            </w:r>
            <w:r w:rsidR="006535B0" w:rsidRPr="00DF5908">
              <w:t>’</w:t>
            </w:r>
            <w:r w:rsidRPr="00DF5908">
              <w:t xml:space="preserve">, </w:t>
            </w:r>
            <w:r w:rsidR="006535B0" w:rsidRPr="00DF5908">
              <w:t>‘</w:t>
            </w:r>
            <w:r w:rsidRPr="00DF5908">
              <w:t>public body</w:t>
            </w:r>
            <w:r w:rsidR="006535B0" w:rsidRPr="00DF5908">
              <w:t>’</w:t>
            </w:r>
            <w:r w:rsidRPr="00DF5908">
              <w:t xml:space="preserve"> and </w:t>
            </w:r>
            <w:r w:rsidR="006535B0" w:rsidRPr="00DF5908">
              <w:t>‘</w:t>
            </w:r>
            <w:r w:rsidRPr="00DF5908">
              <w:t>public sector agency</w:t>
            </w:r>
            <w:r w:rsidR="006535B0" w:rsidRPr="00DF5908">
              <w:t>’</w:t>
            </w:r>
            <w:r w:rsidRPr="00DF5908">
              <w:t xml:space="preserve"> as defined under the </w:t>
            </w:r>
            <w:r w:rsidR="007800B3" w:rsidRPr="00DF5908">
              <w:rPr>
                <w:i/>
              </w:rPr>
              <w:t>Financial Management Act </w:t>
            </w:r>
            <w:r w:rsidRPr="00DF5908">
              <w:rPr>
                <w:i/>
              </w:rPr>
              <w:t xml:space="preserve">1994 </w:t>
            </w:r>
            <w:r w:rsidRPr="00DF5908">
              <w:t>and Standing Directions.</w:t>
            </w:r>
          </w:p>
        </w:tc>
        <w:tc>
          <w:tcPr>
            <w:cnfStyle w:val="000100000000" w:firstRow="0" w:lastRow="0" w:firstColumn="0" w:lastColumn="1" w:oddVBand="0" w:evenVBand="0" w:oddHBand="0" w:evenHBand="0" w:firstRowFirstColumn="0" w:firstRowLastColumn="0" w:lastRowFirstColumn="0" w:lastRowLastColumn="0"/>
            <w:tcW w:w="636" w:type="pct"/>
          </w:tcPr>
          <w:p w:rsidR="00955547" w:rsidRPr="00DF5908" w:rsidRDefault="00955547" w:rsidP="001C4C3D">
            <w:pPr>
              <w:pStyle w:val="Tabletextcentred"/>
            </w:pPr>
            <w:r w:rsidRPr="00DF5908">
              <w:t>1</w:t>
            </w:r>
          </w:p>
        </w:tc>
      </w:tr>
      <w:tr w:rsidR="00955547" w:rsidRPr="00DF5908" w:rsidTr="00780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955547" w:rsidRPr="00DF5908" w:rsidRDefault="00955547" w:rsidP="00955547">
            <w:pPr>
              <w:pStyle w:val="Tabletext"/>
            </w:pPr>
            <w:r w:rsidRPr="00DF5908">
              <w:t>Standing Directions</w:t>
            </w:r>
          </w:p>
        </w:tc>
        <w:tc>
          <w:tcPr>
            <w:cnfStyle w:val="000010000000" w:firstRow="0" w:lastRow="0" w:firstColumn="0" w:lastColumn="0" w:oddVBand="1" w:evenVBand="0" w:oddHBand="0" w:evenHBand="0" w:firstRowFirstColumn="0" w:firstRowLastColumn="0" w:lastRowFirstColumn="0" w:lastRowLastColumn="0"/>
            <w:tcW w:w="985" w:type="pct"/>
          </w:tcPr>
          <w:p w:rsidR="00955547" w:rsidRPr="00DF5908" w:rsidRDefault="00955547" w:rsidP="00955547">
            <w:pPr>
              <w:pStyle w:val="Tabletext"/>
            </w:pPr>
            <w:r w:rsidRPr="00DF5908">
              <w:t>General update</w:t>
            </w:r>
          </w:p>
        </w:tc>
        <w:tc>
          <w:tcPr>
            <w:cnfStyle w:val="000001000000" w:firstRow="0" w:lastRow="0" w:firstColumn="0" w:lastColumn="0" w:oddVBand="0" w:evenVBand="1" w:oddHBand="0" w:evenHBand="0" w:firstRowFirstColumn="0" w:firstRowLastColumn="0" w:lastRowFirstColumn="0" w:lastRowLastColumn="0"/>
            <w:tcW w:w="2511" w:type="pct"/>
          </w:tcPr>
          <w:p w:rsidR="00955547" w:rsidRPr="00DF5908" w:rsidRDefault="00955547" w:rsidP="00955547">
            <w:pPr>
              <w:pStyle w:val="Tabletext"/>
            </w:pPr>
            <w:r w:rsidRPr="00DF5908">
              <w:t>A note has been included to advise preparers that the revised Standi</w:t>
            </w:r>
            <w:r w:rsidR="001575BE" w:rsidRPr="00DF5908">
              <w:t>ng Directions will apply from 1 </w:t>
            </w:r>
            <w:r w:rsidRPr="00DF5908">
              <w:t>July 2016.</w:t>
            </w:r>
          </w:p>
        </w:tc>
        <w:tc>
          <w:tcPr>
            <w:cnfStyle w:val="000100000000" w:firstRow="0" w:lastRow="0" w:firstColumn="0" w:lastColumn="1" w:oddVBand="0" w:evenVBand="0" w:oddHBand="0" w:evenHBand="0" w:firstRowFirstColumn="0" w:firstRowLastColumn="0" w:lastRowFirstColumn="0" w:lastRowLastColumn="0"/>
            <w:tcW w:w="636" w:type="pct"/>
          </w:tcPr>
          <w:p w:rsidR="00955547" w:rsidRPr="00DF5908" w:rsidRDefault="00267DA4" w:rsidP="001C4C3D">
            <w:pPr>
              <w:pStyle w:val="Tabletextcentred"/>
            </w:pPr>
            <w:r>
              <w:t>2</w:t>
            </w:r>
          </w:p>
        </w:tc>
      </w:tr>
      <w:tr w:rsidR="00955547" w:rsidRPr="00DF5908" w:rsidTr="007800B3">
        <w:tc>
          <w:tcPr>
            <w:cnfStyle w:val="001000000000" w:firstRow="0" w:lastRow="0" w:firstColumn="1" w:lastColumn="0" w:oddVBand="0" w:evenVBand="0" w:oddHBand="0" w:evenHBand="0" w:firstRowFirstColumn="0" w:firstRowLastColumn="0" w:lastRowFirstColumn="0" w:lastRowLastColumn="0"/>
            <w:tcW w:w="868" w:type="pct"/>
          </w:tcPr>
          <w:p w:rsidR="00955547" w:rsidRPr="00DF5908" w:rsidRDefault="00955547" w:rsidP="00955547">
            <w:pPr>
              <w:pStyle w:val="Tabletext"/>
            </w:pPr>
            <w:r w:rsidRPr="00DF5908">
              <w:t xml:space="preserve">Budget and Financial Management </w:t>
            </w:r>
            <w:proofErr w:type="spellStart"/>
            <w:r w:rsidRPr="00DF5908">
              <w:t>Guidances</w:t>
            </w:r>
            <w:proofErr w:type="spellEnd"/>
            <w:r w:rsidRPr="00DF5908">
              <w:t xml:space="preserve"> (BFMGs)</w:t>
            </w:r>
          </w:p>
        </w:tc>
        <w:tc>
          <w:tcPr>
            <w:cnfStyle w:val="000010000000" w:firstRow="0" w:lastRow="0" w:firstColumn="0" w:lastColumn="0" w:oddVBand="1" w:evenVBand="0" w:oddHBand="0" w:evenHBand="0" w:firstRowFirstColumn="0" w:firstRowLastColumn="0" w:lastRowFirstColumn="0" w:lastRowLastColumn="0"/>
            <w:tcW w:w="985" w:type="pct"/>
          </w:tcPr>
          <w:p w:rsidR="00955547" w:rsidRPr="00DF5908" w:rsidRDefault="00955547" w:rsidP="00955547">
            <w:pPr>
              <w:pStyle w:val="Tabletext"/>
            </w:pPr>
            <w:r w:rsidRPr="00DF5908">
              <w:t>General update</w:t>
            </w:r>
          </w:p>
        </w:tc>
        <w:tc>
          <w:tcPr>
            <w:cnfStyle w:val="000001000000" w:firstRow="0" w:lastRow="0" w:firstColumn="0" w:lastColumn="0" w:oddVBand="0" w:evenVBand="1" w:oddHBand="0" w:evenHBand="0" w:firstRowFirstColumn="0" w:firstRowLastColumn="0" w:lastRowFirstColumn="0" w:lastRowLastColumn="0"/>
            <w:tcW w:w="2511" w:type="pct"/>
          </w:tcPr>
          <w:p w:rsidR="00955547" w:rsidRPr="00DF5908" w:rsidRDefault="00955547" w:rsidP="00955547">
            <w:pPr>
              <w:pStyle w:val="Tabletext"/>
            </w:pPr>
            <w:r w:rsidRPr="00DF5908">
              <w:t>A note has been included to advise preparers that the BFMGs will remain operational until 1 July 2016 and will be replaced by the Financial Reporting Operations Framework, Budget Operations Framework and Performance Management Framework documents.</w:t>
            </w:r>
          </w:p>
        </w:tc>
        <w:tc>
          <w:tcPr>
            <w:cnfStyle w:val="000100000000" w:firstRow="0" w:lastRow="0" w:firstColumn="0" w:lastColumn="1" w:oddVBand="0" w:evenVBand="0" w:oddHBand="0" w:evenHBand="0" w:firstRowFirstColumn="0" w:firstRowLastColumn="0" w:lastRowFirstColumn="0" w:lastRowLastColumn="0"/>
            <w:tcW w:w="636" w:type="pct"/>
          </w:tcPr>
          <w:p w:rsidR="00955547" w:rsidRPr="00DF5908" w:rsidRDefault="00267DA4" w:rsidP="001C4C3D">
            <w:pPr>
              <w:pStyle w:val="Tabletextcentred"/>
            </w:pPr>
            <w:r>
              <w:t>2</w:t>
            </w:r>
          </w:p>
        </w:tc>
      </w:tr>
      <w:tr w:rsidR="00955547" w:rsidRPr="00DF5908" w:rsidTr="00780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955547" w:rsidRPr="00DF5908" w:rsidRDefault="001575BE" w:rsidP="00955547">
            <w:pPr>
              <w:pStyle w:val="Tabletext"/>
            </w:pPr>
            <w:r w:rsidRPr="00DF5908">
              <w:t>Diagram </w:t>
            </w:r>
            <w:r w:rsidR="00955547" w:rsidRPr="00DF5908">
              <w:t>3: Publication coverage and project indicative timelines</w:t>
            </w:r>
          </w:p>
        </w:tc>
        <w:tc>
          <w:tcPr>
            <w:cnfStyle w:val="000010000000" w:firstRow="0" w:lastRow="0" w:firstColumn="0" w:lastColumn="0" w:oddVBand="1" w:evenVBand="0" w:oddHBand="0" w:evenHBand="0" w:firstRowFirstColumn="0" w:firstRowLastColumn="0" w:lastRowFirstColumn="0" w:lastRowLastColumn="0"/>
            <w:tcW w:w="985" w:type="pct"/>
          </w:tcPr>
          <w:p w:rsidR="00955547" w:rsidRPr="00DF5908" w:rsidRDefault="00955547" w:rsidP="00955547">
            <w:pPr>
              <w:pStyle w:val="Tabletext"/>
            </w:pPr>
            <w:r w:rsidRPr="00DF5908">
              <w:t>Annual update</w:t>
            </w:r>
          </w:p>
        </w:tc>
        <w:tc>
          <w:tcPr>
            <w:cnfStyle w:val="000001000000" w:firstRow="0" w:lastRow="0" w:firstColumn="0" w:lastColumn="0" w:oddVBand="0" w:evenVBand="1" w:oddHBand="0" w:evenHBand="0" w:firstRowFirstColumn="0" w:firstRowLastColumn="0" w:lastRowFirstColumn="0" w:lastRowLastColumn="0"/>
            <w:tcW w:w="2511" w:type="pct"/>
          </w:tcPr>
          <w:p w:rsidR="00955547" w:rsidRPr="00DF5908" w:rsidRDefault="00955547" w:rsidP="00955547">
            <w:pPr>
              <w:pStyle w:val="Tabletext"/>
            </w:pPr>
            <w:r w:rsidRPr="00DF5908">
              <w:t>Annual update.</w:t>
            </w:r>
          </w:p>
        </w:tc>
        <w:tc>
          <w:tcPr>
            <w:cnfStyle w:val="000100000000" w:firstRow="0" w:lastRow="0" w:firstColumn="0" w:lastColumn="1" w:oddVBand="0" w:evenVBand="0" w:oddHBand="0" w:evenHBand="0" w:firstRowFirstColumn="0" w:firstRowLastColumn="0" w:lastRowFirstColumn="0" w:lastRowLastColumn="0"/>
            <w:tcW w:w="636" w:type="pct"/>
          </w:tcPr>
          <w:p w:rsidR="00955547" w:rsidRPr="00DF5908" w:rsidRDefault="00267DA4" w:rsidP="001C4C3D">
            <w:pPr>
              <w:pStyle w:val="Tabletextcentred"/>
            </w:pPr>
            <w:r>
              <w:t>4</w:t>
            </w:r>
          </w:p>
        </w:tc>
      </w:tr>
    </w:tbl>
    <w:p w:rsidR="00DB0E25" w:rsidRPr="00DF5908" w:rsidRDefault="00DB0E25" w:rsidP="005E6AE4">
      <w:pPr>
        <w:pStyle w:val="Tabletext"/>
      </w:pPr>
    </w:p>
    <w:p w:rsidR="007800B3" w:rsidRPr="00DF5908" w:rsidRDefault="007800B3">
      <w:pPr>
        <w:spacing w:before="0" w:after="200"/>
        <w:rPr>
          <w:sz w:val="17"/>
        </w:rPr>
      </w:pPr>
      <w:r w:rsidRPr="00DF5908">
        <w:br w:type="page"/>
      </w:r>
    </w:p>
    <w:tbl>
      <w:tblPr>
        <w:tblStyle w:val="DTFtexttable"/>
        <w:tblW w:w="5000" w:type="pct"/>
        <w:tblLook w:val="01A0" w:firstRow="1" w:lastRow="0" w:firstColumn="1" w:lastColumn="1" w:noHBand="0" w:noVBand="0"/>
      </w:tblPr>
      <w:tblGrid>
        <w:gridCol w:w="1586"/>
        <w:gridCol w:w="1821"/>
        <w:gridCol w:w="4570"/>
        <w:gridCol w:w="1163"/>
      </w:tblGrid>
      <w:tr w:rsidR="007800B3" w:rsidRPr="00DF5908" w:rsidTr="00A21D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000" w:type="pct"/>
            <w:gridSpan w:val="4"/>
          </w:tcPr>
          <w:p w:rsidR="007800B3" w:rsidRPr="00DF5908" w:rsidRDefault="007800B3" w:rsidP="007800B3">
            <w:pPr>
              <w:pStyle w:val="Tableheader"/>
            </w:pPr>
            <w:r w:rsidRPr="00DF5908">
              <w:lastRenderedPageBreak/>
              <w:t>Summary of changes – Model Report of Operations</w:t>
            </w:r>
          </w:p>
        </w:tc>
      </w:tr>
      <w:tr w:rsidR="007800B3" w:rsidRPr="00DF5908" w:rsidTr="00A21D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68" w:type="pct"/>
            <w:shd w:val="clear" w:color="auto" w:fill="749CC9" w:themeFill="accent3"/>
          </w:tcPr>
          <w:p w:rsidR="007800B3" w:rsidRPr="00DF5908" w:rsidRDefault="007800B3" w:rsidP="007800B3">
            <w:pPr>
              <w:pStyle w:val="Tableheader"/>
              <w:rPr>
                <w:sz w:val="18"/>
                <w:szCs w:val="18"/>
              </w:rPr>
            </w:pPr>
            <w:r w:rsidRPr="00DF5908">
              <w:rPr>
                <w:sz w:val="18"/>
                <w:szCs w:val="18"/>
              </w:rPr>
              <w:t>Subject matter</w:t>
            </w:r>
          </w:p>
        </w:tc>
        <w:tc>
          <w:tcPr>
            <w:cnfStyle w:val="000010000000" w:firstRow="0" w:lastRow="0" w:firstColumn="0" w:lastColumn="0" w:oddVBand="1" w:evenVBand="0" w:oddHBand="0" w:evenHBand="0" w:firstRowFirstColumn="0" w:firstRowLastColumn="0" w:lastRowFirstColumn="0" w:lastRowLastColumn="0"/>
            <w:tcW w:w="996" w:type="pct"/>
            <w:shd w:val="clear" w:color="auto" w:fill="749CC9" w:themeFill="accent3"/>
          </w:tcPr>
          <w:p w:rsidR="007800B3" w:rsidRPr="00DF5908" w:rsidRDefault="007800B3" w:rsidP="007800B3">
            <w:pPr>
              <w:pStyle w:val="Tableheader"/>
              <w:rPr>
                <w:sz w:val="18"/>
                <w:szCs w:val="18"/>
              </w:rPr>
            </w:pPr>
            <w:r w:rsidRPr="00DF5908">
              <w:rPr>
                <w:sz w:val="18"/>
                <w:szCs w:val="18"/>
              </w:rPr>
              <w:t>Source of change</w:t>
            </w:r>
          </w:p>
        </w:tc>
        <w:tc>
          <w:tcPr>
            <w:cnfStyle w:val="000001000000" w:firstRow="0" w:lastRow="0" w:firstColumn="0" w:lastColumn="0" w:oddVBand="0" w:evenVBand="1" w:oddHBand="0" w:evenHBand="0" w:firstRowFirstColumn="0" w:firstRowLastColumn="0" w:lastRowFirstColumn="0" w:lastRowLastColumn="0"/>
            <w:tcW w:w="2500" w:type="pct"/>
            <w:shd w:val="clear" w:color="auto" w:fill="749CC9" w:themeFill="accent3"/>
          </w:tcPr>
          <w:p w:rsidR="007800B3" w:rsidRPr="00DF5908" w:rsidRDefault="007800B3" w:rsidP="007800B3">
            <w:pPr>
              <w:pStyle w:val="Tableheader"/>
              <w:rPr>
                <w:sz w:val="18"/>
                <w:szCs w:val="18"/>
              </w:rPr>
            </w:pPr>
            <w:r w:rsidRPr="00DF5908">
              <w:rPr>
                <w:sz w:val="18"/>
                <w:szCs w:val="18"/>
              </w:rPr>
              <w:t>Summary of changes applied to the relevant sections in the Model Report of Operations</w:t>
            </w:r>
          </w:p>
        </w:tc>
        <w:tc>
          <w:tcPr>
            <w:cnfStyle w:val="000100001000" w:firstRow="0" w:lastRow="0" w:firstColumn="0" w:lastColumn="1" w:oddVBand="0" w:evenVBand="0" w:oddHBand="0" w:evenHBand="0" w:firstRowFirstColumn="0" w:firstRowLastColumn="1" w:lastRowFirstColumn="0" w:lastRowLastColumn="0"/>
            <w:tcW w:w="636" w:type="pct"/>
            <w:shd w:val="clear" w:color="auto" w:fill="749CC9" w:themeFill="accent3"/>
          </w:tcPr>
          <w:p w:rsidR="007800B3" w:rsidRPr="00DF5908" w:rsidRDefault="007800B3" w:rsidP="001C4C3D">
            <w:pPr>
              <w:pStyle w:val="Tableheader"/>
              <w:jc w:val="center"/>
              <w:rPr>
                <w:sz w:val="18"/>
                <w:szCs w:val="18"/>
              </w:rPr>
            </w:pPr>
            <w:r w:rsidRPr="00DF5908">
              <w:rPr>
                <w:sz w:val="18"/>
                <w:szCs w:val="18"/>
              </w:rPr>
              <w:t>Page reference</w:t>
            </w:r>
          </w:p>
        </w:tc>
      </w:tr>
      <w:tr w:rsidR="007800B3" w:rsidRPr="00DF5908" w:rsidTr="007800B3">
        <w:tc>
          <w:tcPr>
            <w:cnfStyle w:val="001000000000" w:firstRow="0" w:lastRow="0" w:firstColumn="1" w:lastColumn="0" w:oddVBand="0" w:evenVBand="0" w:oddHBand="0" w:evenHBand="0" w:firstRowFirstColumn="0" w:firstRowLastColumn="0" w:lastRowFirstColumn="0" w:lastRowLastColumn="0"/>
            <w:tcW w:w="868" w:type="pct"/>
          </w:tcPr>
          <w:p w:rsidR="007800B3" w:rsidRPr="00DF5908" w:rsidRDefault="007800B3" w:rsidP="00B96C9B">
            <w:pPr>
              <w:pStyle w:val="Tabletext"/>
            </w:pPr>
            <w:r w:rsidRPr="00DF5908">
              <w:rPr>
                <w:color w:val="FF0000"/>
              </w:rPr>
              <w:t>[Revised]</w:t>
            </w:r>
            <w:r w:rsidRPr="00DF5908">
              <w:t xml:space="preserve"> Portfolio performance rep</w:t>
            </w:r>
            <w:r w:rsidR="00B96C9B" w:rsidRPr="00DF5908">
              <w:t>orting – Non</w:t>
            </w:r>
            <w:r w:rsidR="00B42DD7" w:rsidRPr="00DF5908">
              <w:noBreakHyphen/>
            </w:r>
            <w:r w:rsidR="00B96C9B" w:rsidRPr="00DF5908">
              <w:t>financial section</w:t>
            </w:r>
          </w:p>
        </w:tc>
        <w:tc>
          <w:tcPr>
            <w:cnfStyle w:val="000010000000" w:firstRow="0" w:lastRow="0" w:firstColumn="0" w:lastColumn="0" w:oddVBand="1" w:evenVBand="0" w:oddHBand="0" w:evenHBand="0" w:firstRowFirstColumn="0" w:firstRowLastColumn="0" w:lastRowFirstColumn="0" w:lastRowLastColumn="0"/>
            <w:tcW w:w="996" w:type="pct"/>
          </w:tcPr>
          <w:p w:rsidR="007800B3" w:rsidRPr="00DF5908" w:rsidDel="000B3FB9" w:rsidRDefault="007800B3" w:rsidP="007800B3">
            <w:pPr>
              <w:pStyle w:val="Tabletext"/>
            </w:pPr>
            <w:r w:rsidRPr="00DF5908">
              <w:t>General improvements</w:t>
            </w:r>
          </w:p>
        </w:tc>
        <w:tc>
          <w:tcPr>
            <w:cnfStyle w:val="000001000000" w:firstRow="0" w:lastRow="0" w:firstColumn="0" w:lastColumn="0" w:oddVBand="0" w:evenVBand="1" w:oddHBand="0" w:evenHBand="0" w:firstRowFirstColumn="0" w:firstRowLastColumn="0" w:lastRowFirstColumn="0" w:lastRowLastColumn="0"/>
            <w:tcW w:w="2500" w:type="pct"/>
          </w:tcPr>
          <w:p w:rsidR="007800B3" w:rsidRPr="00DF5908" w:rsidRDefault="007800B3" w:rsidP="00506E2C">
            <w:pPr>
              <w:pStyle w:val="Tabletext"/>
            </w:pPr>
            <w:r w:rsidRPr="00DF5908">
              <w:t>The key initiatives and projects disclosure has been integrated into the departmental outputs section to enhance the performance story.</w:t>
            </w:r>
            <w:r w:rsidR="00AD5CD5">
              <w:t xml:space="preserve"> In addition, illustrative examples </w:t>
            </w:r>
            <w:r w:rsidR="00AD2403">
              <w:t>of</w:t>
            </w:r>
            <w:r w:rsidR="00AD5CD5">
              <w:t xml:space="preserve"> </w:t>
            </w:r>
            <w:r w:rsidR="00506E2C">
              <w:t xml:space="preserve">presenting performance in a </w:t>
            </w:r>
            <w:r w:rsidR="00AD5CD5">
              <w:t xml:space="preserve">graphical </w:t>
            </w:r>
            <w:r w:rsidR="00506E2C">
              <w:t xml:space="preserve">format </w:t>
            </w:r>
            <w:r w:rsidR="00AD2403">
              <w:t>have been included</w:t>
            </w:r>
            <w:r w:rsidR="00AD5CD5">
              <w:t>.</w:t>
            </w:r>
          </w:p>
        </w:tc>
        <w:tc>
          <w:tcPr>
            <w:cnfStyle w:val="000100000000" w:firstRow="0" w:lastRow="0" w:firstColumn="0" w:lastColumn="1" w:oddVBand="0" w:evenVBand="0" w:oddHBand="0" w:evenHBand="0" w:firstRowFirstColumn="0" w:firstRowLastColumn="0" w:lastRowFirstColumn="0" w:lastRowLastColumn="0"/>
            <w:tcW w:w="636" w:type="pct"/>
          </w:tcPr>
          <w:p w:rsidR="007800B3" w:rsidRPr="00DF5908" w:rsidRDefault="007800B3" w:rsidP="001C4C3D">
            <w:pPr>
              <w:pStyle w:val="Tabletextcentred"/>
            </w:pPr>
            <w:r w:rsidRPr="00DF5908">
              <w:t>15</w:t>
            </w:r>
            <w:r w:rsidR="00B42DD7" w:rsidRPr="00DF5908">
              <w:noBreakHyphen/>
            </w:r>
            <w:r w:rsidRPr="00DF5908">
              <w:t>21</w:t>
            </w:r>
          </w:p>
        </w:tc>
      </w:tr>
      <w:tr w:rsidR="007800B3" w:rsidRPr="00DF5908" w:rsidTr="00780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7800B3" w:rsidRPr="00DF5908" w:rsidRDefault="007800B3" w:rsidP="007800B3">
            <w:pPr>
              <w:pStyle w:val="Tabletext"/>
            </w:pPr>
            <w:r w:rsidRPr="00DF5908">
              <w:rPr>
                <w:color w:val="FF0000"/>
              </w:rPr>
              <w:t xml:space="preserve">[New] </w:t>
            </w:r>
            <w:r w:rsidRPr="00DF5908">
              <w:t>Capital projects/asset investment programs</w:t>
            </w:r>
          </w:p>
        </w:tc>
        <w:tc>
          <w:tcPr>
            <w:cnfStyle w:val="000010000000" w:firstRow="0" w:lastRow="0" w:firstColumn="0" w:lastColumn="0" w:oddVBand="1" w:evenVBand="0" w:oddHBand="0" w:evenHBand="0" w:firstRowFirstColumn="0" w:firstRowLastColumn="0" w:lastRowFirstColumn="0" w:lastRowLastColumn="0"/>
            <w:tcW w:w="996" w:type="pct"/>
          </w:tcPr>
          <w:p w:rsidR="007800B3" w:rsidRPr="00DF5908" w:rsidRDefault="007800B3" w:rsidP="007800B3">
            <w:pPr>
              <w:pStyle w:val="Tabletext"/>
            </w:pPr>
            <w:r w:rsidRPr="00DF5908">
              <w:t>Recommendation 51, PAEC Report 118</w:t>
            </w:r>
          </w:p>
        </w:tc>
        <w:tc>
          <w:tcPr>
            <w:cnfStyle w:val="000001000000" w:firstRow="0" w:lastRow="0" w:firstColumn="0" w:lastColumn="0" w:oddVBand="0" w:evenVBand="1" w:oddHBand="0" w:evenHBand="0" w:firstRowFirstColumn="0" w:firstRowLastColumn="0" w:lastRowFirstColumn="0" w:lastRowLastColumn="0"/>
            <w:tcW w:w="2500" w:type="pct"/>
          </w:tcPr>
          <w:p w:rsidR="007800B3" w:rsidRPr="00DF5908" w:rsidRDefault="007800B3" w:rsidP="007800B3">
            <w:pPr>
              <w:pStyle w:val="Tabletext"/>
            </w:pPr>
            <w:r w:rsidRPr="00DF5908">
              <w:t>Departments are required to disclose information on the completed capital projects with a Total Estimated Investment of $10</w:t>
            </w:r>
            <w:r w:rsidR="00DA4121" w:rsidRPr="00DF5908">
              <w:t> million</w:t>
            </w:r>
            <w:r w:rsidRPr="00DF5908">
              <w:t xml:space="preserve"> or more for the portfolio.</w:t>
            </w:r>
          </w:p>
        </w:tc>
        <w:tc>
          <w:tcPr>
            <w:cnfStyle w:val="000100000000" w:firstRow="0" w:lastRow="0" w:firstColumn="0" w:lastColumn="1" w:oddVBand="0" w:evenVBand="0" w:oddHBand="0" w:evenHBand="0" w:firstRowFirstColumn="0" w:firstRowLastColumn="0" w:lastRowFirstColumn="0" w:lastRowLastColumn="0"/>
            <w:tcW w:w="636" w:type="pct"/>
          </w:tcPr>
          <w:p w:rsidR="007800B3" w:rsidRPr="00DF5908" w:rsidRDefault="007800B3" w:rsidP="001C4C3D">
            <w:pPr>
              <w:pStyle w:val="Tabletextcentred"/>
            </w:pPr>
            <w:r w:rsidRPr="00DF5908">
              <w:t>29</w:t>
            </w:r>
            <w:r w:rsidR="00B42DD7" w:rsidRPr="00DF5908">
              <w:noBreakHyphen/>
            </w:r>
            <w:r w:rsidRPr="00DF5908">
              <w:t>30</w:t>
            </w:r>
          </w:p>
        </w:tc>
      </w:tr>
      <w:tr w:rsidR="007800B3" w:rsidRPr="00DF5908" w:rsidTr="007800B3">
        <w:tc>
          <w:tcPr>
            <w:cnfStyle w:val="001000000000" w:firstRow="0" w:lastRow="0" w:firstColumn="1" w:lastColumn="0" w:oddVBand="0" w:evenVBand="0" w:oddHBand="0" w:evenHBand="0" w:firstRowFirstColumn="0" w:firstRowLastColumn="0" w:lastRowFirstColumn="0" w:lastRowLastColumn="0"/>
            <w:tcW w:w="868" w:type="pct"/>
          </w:tcPr>
          <w:p w:rsidR="007800B3" w:rsidRPr="00DF5908" w:rsidRDefault="007800B3" w:rsidP="00B96C9B">
            <w:pPr>
              <w:pStyle w:val="Tabletext"/>
            </w:pPr>
            <w:r w:rsidRPr="00DF5908">
              <w:rPr>
                <w:color w:val="FF0000"/>
              </w:rPr>
              <w:t>[New]</w:t>
            </w:r>
            <w:r w:rsidRPr="00DF5908">
              <w:t xml:space="preserve"> Commentary – Disclosure of grants and transfer payments</w:t>
            </w:r>
          </w:p>
        </w:tc>
        <w:tc>
          <w:tcPr>
            <w:cnfStyle w:val="000010000000" w:firstRow="0" w:lastRow="0" w:firstColumn="0" w:lastColumn="0" w:oddVBand="1" w:evenVBand="0" w:oddHBand="0" w:evenHBand="0" w:firstRowFirstColumn="0" w:firstRowLastColumn="0" w:lastRowFirstColumn="0" w:lastRowLastColumn="0"/>
            <w:tcW w:w="996" w:type="pct"/>
          </w:tcPr>
          <w:p w:rsidR="007800B3" w:rsidRPr="00DF5908" w:rsidRDefault="007800B3" w:rsidP="007800B3">
            <w:pPr>
              <w:pStyle w:val="Tabletext"/>
            </w:pPr>
            <w:r w:rsidRPr="00DF5908">
              <w:t>General improvements</w:t>
            </w:r>
          </w:p>
        </w:tc>
        <w:tc>
          <w:tcPr>
            <w:cnfStyle w:val="000001000000" w:firstRow="0" w:lastRow="0" w:firstColumn="0" w:lastColumn="0" w:oddVBand="0" w:evenVBand="1" w:oddHBand="0" w:evenHBand="0" w:firstRowFirstColumn="0" w:firstRowLastColumn="0" w:lastRowFirstColumn="0" w:lastRowLastColumn="0"/>
            <w:tcW w:w="2500" w:type="pct"/>
          </w:tcPr>
          <w:p w:rsidR="007800B3" w:rsidRPr="00DF5908" w:rsidRDefault="007800B3" w:rsidP="007800B3">
            <w:pPr>
              <w:pStyle w:val="Tabletext"/>
            </w:pPr>
            <w:r w:rsidRPr="00DF5908">
              <w:t xml:space="preserve">Guidance has been added to clarify that the </w:t>
            </w:r>
            <w:r w:rsidR="00B42DD7" w:rsidRPr="00DF5908">
              <w:t>disclosure</w:t>
            </w:r>
            <w:r w:rsidRPr="00DF5908">
              <w:t xml:space="preserve"> of grants and transfer payments in the event machinery of government changes should reflect the department</w:t>
            </w:r>
            <w:r w:rsidR="006535B0" w:rsidRPr="00DF5908">
              <w:t>’</w:t>
            </w:r>
            <w:r w:rsidRPr="00DF5908">
              <w:t>s responsibility of output delivery at the end of the financial year.</w:t>
            </w:r>
          </w:p>
        </w:tc>
        <w:tc>
          <w:tcPr>
            <w:cnfStyle w:val="000100000000" w:firstRow="0" w:lastRow="0" w:firstColumn="0" w:lastColumn="1" w:oddVBand="0" w:evenVBand="0" w:oddHBand="0" w:evenHBand="0" w:firstRowFirstColumn="0" w:firstRowLastColumn="0" w:lastRowFirstColumn="0" w:lastRowLastColumn="0"/>
            <w:tcW w:w="636" w:type="pct"/>
          </w:tcPr>
          <w:p w:rsidR="007800B3" w:rsidRPr="00DF5908" w:rsidRDefault="007800B3" w:rsidP="001C4C3D">
            <w:pPr>
              <w:pStyle w:val="Tabletextcentred"/>
            </w:pPr>
            <w:r w:rsidRPr="00DF5908">
              <w:t>32</w:t>
            </w:r>
          </w:p>
        </w:tc>
      </w:tr>
      <w:tr w:rsidR="007800B3" w:rsidRPr="00DF5908" w:rsidTr="00780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7800B3" w:rsidRPr="00DF5908" w:rsidRDefault="007800B3" w:rsidP="00B96C9B">
            <w:pPr>
              <w:pStyle w:val="Tabletext"/>
            </w:pPr>
            <w:r w:rsidRPr="00DF5908">
              <w:rPr>
                <w:color w:val="FF0000"/>
              </w:rPr>
              <w:t xml:space="preserve">[Revised] </w:t>
            </w:r>
            <w:r w:rsidRPr="00DF5908">
              <w:t>Government advertising expenditure</w:t>
            </w:r>
          </w:p>
        </w:tc>
        <w:tc>
          <w:tcPr>
            <w:cnfStyle w:val="000010000000" w:firstRow="0" w:lastRow="0" w:firstColumn="0" w:lastColumn="0" w:oddVBand="1" w:evenVBand="0" w:oddHBand="0" w:evenHBand="0" w:firstRowFirstColumn="0" w:firstRowLastColumn="0" w:lastRowFirstColumn="0" w:lastRowLastColumn="0"/>
            <w:tcW w:w="996" w:type="pct"/>
          </w:tcPr>
          <w:p w:rsidR="007800B3" w:rsidRPr="00DF5908" w:rsidDel="000B3FB9" w:rsidRDefault="00DA4121" w:rsidP="007800B3">
            <w:pPr>
              <w:pStyle w:val="Tabletext"/>
            </w:pPr>
            <w:r w:rsidRPr="00DF5908">
              <w:t>FRD </w:t>
            </w:r>
            <w:r w:rsidR="007800B3" w:rsidRPr="00DF5908">
              <w:t>22G</w:t>
            </w:r>
            <w:r w:rsidR="007800B3" w:rsidRPr="00DF5908">
              <w:rPr>
                <w:i/>
              </w:rPr>
              <w:t xml:space="preserve"> Standard Disclosures in the Report of Operations</w:t>
            </w:r>
          </w:p>
        </w:tc>
        <w:tc>
          <w:tcPr>
            <w:cnfStyle w:val="000001000000" w:firstRow="0" w:lastRow="0" w:firstColumn="0" w:lastColumn="0" w:oddVBand="0" w:evenVBand="1" w:oddHBand="0" w:evenHBand="0" w:firstRowFirstColumn="0" w:firstRowLastColumn="0" w:lastRowFirstColumn="0" w:lastRowLastColumn="0"/>
            <w:tcW w:w="2500" w:type="pct"/>
          </w:tcPr>
          <w:p w:rsidR="007800B3" w:rsidRPr="00DF5908" w:rsidRDefault="007800B3" w:rsidP="007800B3">
            <w:pPr>
              <w:pStyle w:val="Tabletext"/>
            </w:pPr>
            <w:r w:rsidRPr="00DF5908">
              <w:t>The disclosure threshold for government advertising expenditure has bee</w:t>
            </w:r>
            <w:r w:rsidR="00DA4121" w:rsidRPr="00DF5908">
              <w:t>n reduced from $150 000 to $100 </w:t>
            </w:r>
            <w:r w:rsidRPr="00DF5908">
              <w:t xml:space="preserve">000 in </w:t>
            </w:r>
            <w:r w:rsidR="00DA4121" w:rsidRPr="00DF5908">
              <w:t>FRD </w:t>
            </w:r>
            <w:r w:rsidRPr="00DF5908">
              <w:t xml:space="preserve">22G and the illustration in the Model has been revised accordingly. </w:t>
            </w:r>
          </w:p>
        </w:tc>
        <w:tc>
          <w:tcPr>
            <w:cnfStyle w:val="000100000000" w:firstRow="0" w:lastRow="0" w:firstColumn="0" w:lastColumn="1" w:oddVBand="0" w:evenVBand="0" w:oddHBand="0" w:evenHBand="0" w:firstRowFirstColumn="0" w:firstRowLastColumn="0" w:lastRowFirstColumn="0" w:lastRowLastColumn="0"/>
            <w:tcW w:w="636" w:type="pct"/>
          </w:tcPr>
          <w:p w:rsidR="007800B3" w:rsidRPr="00DF5908" w:rsidDel="000B3FB9" w:rsidRDefault="007800B3" w:rsidP="001C4C3D">
            <w:pPr>
              <w:pStyle w:val="Tabletextcentred"/>
            </w:pPr>
            <w:r w:rsidRPr="00DF5908">
              <w:t>50</w:t>
            </w:r>
          </w:p>
        </w:tc>
      </w:tr>
      <w:tr w:rsidR="007800B3" w:rsidRPr="00DF5908" w:rsidTr="007800B3">
        <w:tc>
          <w:tcPr>
            <w:cnfStyle w:val="001000000000" w:firstRow="0" w:lastRow="0" w:firstColumn="1" w:lastColumn="0" w:oddVBand="0" w:evenVBand="0" w:oddHBand="0" w:evenHBand="0" w:firstRowFirstColumn="0" w:firstRowLastColumn="0" w:lastRowFirstColumn="0" w:lastRowLastColumn="0"/>
            <w:tcW w:w="868" w:type="pct"/>
          </w:tcPr>
          <w:p w:rsidR="007800B3" w:rsidRPr="00DF5908" w:rsidRDefault="007800B3" w:rsidP="00B96C9B">
            <w:pPr>
              <w:pStyle w:val="Tabletext"/>
            </w:pPr>
            <w:r w:rsidRPr="00DF5908">
              <w:rPr>
                <w:color w:val="FF0000"/>
              </w:rPr>
              <w:t xml:space="preserve">[New] </w:t>
            </w:r>
            <w:r w:rsidRPr="00DF5908">
              <w:t>Commentary – consultancy expenditure disclosure</w:t>
            </w:r>
          </w:p>
        </w:tc>
        <w:tc>
          <w:tcPr>
            <w:cnfStyle w:val="000010000000" w:firstRow="0" w:lastRow="0" w:firstColumn="0" w:lastColumn="0" w:oddVBand="1" w:evenVBand="0" w:oddHBand="0" w:evenHBand="0" w:firstRowFirstColumn="0" w:firstRowLastColumn="0" w:lastRowFirstColumn="0" w:lastRowLastColumn="0"/>
            <w:tcW w:w="996" w:type="pct"/>
          </w:tcPr>
          <w:p w:rsidR="007800B3" w:rsidRPr="00DF5908" w:rsidRDefault="007800B3" w:rsidP="007800B3">
            <w:pPr>
              <w:pStyle w:val="Tabletext"/>
            </w:pPr>
            <w:r w:rsidRPr="00DF5908">
              <w:t>General improvements</w:t>
            </w:r>
          </w:p>
        </w:tc>
        <w:tc>
          <w:tcPr>
            <w:cnfStyle w:val="000001000000" w:firstRow="0" w:lastRow="0" w:firstColumn="0" w:lastColumn="0" w:oddVBand="0" w:evenVBand="1" w:oddHBand="0" w:evenHBand="0" w:firstRowFirstColumn="0" w:firstRowLastColumn="0" w:lastRowFirstColumn="0" w:lastRowLastColumn="0"/>
            <w:tcW w:w="2500" w:type="pct"/>
          </w:tcPr>
          <w:p w:rsidR="007800B3" w:rsidRPr="00DF5908" w:rsidRDefault="007800B3" w:rsidP="007800B3">
            <w:pPr>
              <w:pStyle w:val="Tabletext"/>
            </w:pPr>
            <w:r w:rsidRPr="00DF5908">
              <w:t>Guidance has been added to clarify that the disclosure of consultancy expenditure in the event of machinery of government change should reflect the department</w:t>
            </w:r>
            <w:r w:rsidR="006535B0" w:rsidRPr="00DF5908">
              <w:t>’</w:t>
            </w:r>
            <w:r w:rsidRPr="00DF5908">
              <w:t>s actual spend over the same period as the financial statements.</w:t>
            </w:r>
          </w:p>
        </w:tc>
        <w:tc>
          <w:tcPr>
            <w:cnfStyle w:val="000100000000" w:firstRow="0" w:lastRow="0" w:firstColumn="0" w:lastColumn="1" w:oddVBand="0" w:evenVBand="0" w:oddHBand="0" w:evenHBand="0" w:firstRowFirstColumn="0" w:firstRowLastColumn="0" w:lastRowFirstColumn="0" w:lastRowLastColumn="0"/>
            <w:tcW w:w="636" w:type="pct"/>
          </w:tcPr>
          <w:p w:rsidR="007800B3" w:rsidRPr="00DF5908" w:rsidRDefault="007800B3" w:rsidP="001C4C3D">
            <w:pPr>
              <w:pStyle w:val="Tabletextcentred"/>
            </w:pPr>
            <w:r w:rsidRPr="00DF5908">
              <w:t>51</w:t>
            </w:r>
          </w:p>
        </w:tc>
      </w:tr>
      <w:tr w:rsidR="007800B3" w:rsidRPr="00DF5908" w:rsidTr="00780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7800B3" w:rsidRPr="00DF5908" w:rsidRDefault="007800B3" w:rsidP="00B96C9B">
            <w:pPr>
              <w:pStyle w:val="Tabletext"/>
            </w:pPr>
            <w:r w:rsidRPr="00DF5908">
              <w:rPr>
                <w:color w:val="FF0000"/>
              </w:rPr>
              <w:t xml:space="preserve">[New] </w:t>
            </w:r>
            <w:r w:rsidRPr="00DF5908">
              <w:t>Information and Communication Technology (ICT) expenditure</w:t>
            </w:r>
          </w:p>
        </w:tc>
        <w:tc>
          <w:tcPr>
            <w:cnfStyle w:val="000010000000" w:firstRow="0" w:lastRow="0" w:firstColumn="0" w:lastColumn="0" w:oddVBand="1" w:evenVBand="0" w:oddHBand="0" w:evenHBand="0" w:firstRowFirstColumn="0" w:firstRowLastColumn="0" w:lastRowFirstColumn="0" w:lastRowLastColumn="0"/>
            <w:tcW w:w="996" w:type="pct"/>
          </w:tcPr>
          <w:p w:rsidR="007800B3" w:rsidRPr="00DF5908" w:rsidRDefault="00DA4121" w:rsidP="007800B3">
            <w:pPr>
              <w:pStyle w:val="Tabletext"/>
            </w:pPr>
            <w:r w:rsidRPr="00DF5908">
              <w:t>FRD </w:t>
            </w:r>
            <w:r w:rsidR="007800B3" w:rsidRPr="00DF5908">
              <w:t xml:space="preserve">22G </w:t>
            </w:r>
          </w:p>
        </w:tc>
        <w:tc>
          <w:tcPr>
            <w:cnfStyle w:val="000001000000" w:firstRow="0" w:lastRow="0" w:firstColumn="0" w:lastColumn="0" w:oddVBand="0" w:evenVBand="1" w:oddHBand="0" w:evenHBand="0" w:firstRowFirstColumn="0" w:firstRowLastColumn="0" w:lastRowFirstColumn="0" w:lastRowLastColumn="0"/>
            <w:tcW w:w="2500" w:type="pct"/>
          </w:tcPr>
          <w:p w:rsidR="007800B3" w:rsidRPr="00DF5908" w:rsidRDefault="007800B3" w:rsidP="007800B3">
            <w:pPr>
              <w:pStyle w:val="Tabletext"/>
            </w:pPr>
            <w:r w:rsidRPr="00DF5908">
              <w:t xml:space="preserve">The requirements to disclose ICT expenditure have been included in </w:t>
            </w:r>
            <w:r w:rsidR="00DA4121" w:rsidRPr="00DF5908">
              <w:t>FRD </w:t>
            </w:r>
            <w:r w:rsidRPr="00DF5908">
              <w:t>22G and an illustration has been included in the Model to illustrate the reporting requirements.</w:t>
            </w:r>
          </w:p>
        </w:tc>
        <w:tc>
          <w:tcPr>
            <w:cnfStyle w:val="000100000000" w:firstRow="0" w:lastRow="0" w:firstColumn="0" w:lastColumn="1" w:oddVBand="0" w:evenVBand="0" w:oddHBand="0" w:evenHBand="0" w:firstRowFirstColumn="0" w:firstRowLastColumn="0" w:lastRowFirstColumn="0" w:lastRowLastColumn="0"/>
            <w:tcW w:w="636" w:type="pct"/>
          </w:tcPr>
          <w:p w:rsidR="007800B3" w:rsidRPr="00DF5908" w:rsidRDefault="007800B3" w:rsidP="001C4C3D">
            <w:pPr>
              <w:pStyle w:val="Tabletextcentred"/>
            </w:pPr>
            <w:r w:rsidRPr="00DF5908">
              <w:t>52</w:t>
            </w:r>
            <w:r w:rsidR="00B42DD7" w:rsidRPr="00DF5908">
              <w:noBreakHyphen/>
            </w:r>
            <w:r w:rsidRPr="00DF5908">
              <w:t>53</w:t>
            </w:r>
          </w:p>
        </w:tc>
      </w:tr>
      <w:tr w:rsidR="007800B3" w:rsidRPr="00DF5908" w:rsidTr="007800B3">
        <w:tc>
          <w:tcPr>
            <w:cnfStyle w:val="001000000000" w:firstRow="0" w:lastRow="0" w:firstColumn="1" w:lastColumn="0" w:oddVBand="0" w:evenVBand="0" w:oddHBand="0" w:evenHBand="0" w:firstRowFirstColumn="0" w:firstRowLastColumn="0" w:lastRowFirstColumn="0" w:lastRowLastColumn="0"/>
            <w:tcW w:w="868" w:type="pct"/>
          </w:tcPr>
          <w:p w:rsidR="007800B3" w:rsidRPr="00DF5908" w:rsidRDefault="007800B3" w:rsidP="00B96C9B">
            <w:pPr>
              <w:pStyle w:val="Tabletext"/>
            </w:pPr>
            <w:r w:rsidRPr="00DF5908">
              <w:rPr>
                <w:color w:val="FF0000"/>
              </w:rPr>
              <w:t>[Revised]</w:t>
            </w:r>
            <w:r w:rsidRPr="00DF5908">
              <w:t xml:space="preserve"> Attestation for compliance with </w:t>
            </w:r>
            <w:r w:rsidRPr="00DF5908">
              <w:rPr>
                <w:i/>
              </w:rPr>
              <w:t>Ministerial Standing Direction 4.5.5</w:t>
            </w:r>
          </w:p>
        </w:tc>
        <w:tc>
          <w:tcPr>
            <w:cnfStyle w:val="000010000000" w:firstRow="0" w:lastRow="0" w:firstColumn="0" w:lastColumn="0" w:oddVBand="1" w:evenVBand="0" w:oddHBand="0" w:evenHBand="0" w:firstRowFirstColumn="0" w:firstRowLastColumn="0" w:lastRowFirstColumn="0" w:lastRowLastColumn="0"/>
            <w:tcW w:w="996" w:type="pct"/>
          </w:tcPr>
          <w:p w:rsidR="007800B3" w:rsidRPr="00DF5908" w:rsidDel="000B3FB9" w:rsidRDefault="007800B3" w:rsidP="007800B3">
            <w:pPr>
              <w:pStyle w:val="Tabletext"/>
            </w:pPr>
            <w:r w:rsidRPr="00DF5908">
              <w:rPr>
                <w:i/>
              </w:rPr>
              <w:t>Standing Direction 4.5.5</w:t>
            </w:r>
            <w:r w:rsidRPr="00DF5908">
              <w:t xml:space="preserve"> and the </w:t>
            </w:r>
            <w:r w:rsidRPr="00DF5908">
              <w:rPr>
                <w:i/>
              </w:rPr>
              <w:t>Victorian Government Risk Management Framework</w:t>
            </w:r>
          </w:p>
        </w:tc>
        <w:tc>
          <w:tcPr>
            <w:cnfStyle w:val="000001000000" w:firstRow="0" w:lastRow="0" w:firstColumn="0" w:lastColumn="0" w:oddVBand="0" w:evenVBand="1" w:oddHBand="0" w:evenHBand="0" w:firstRowFirstColumn="0" w:firstRowLastColumn="0" w:lastRowFirstColumn="0" w:lastRowLastColumn="0"/>
            <w:tcW w:w="2500" w:type="pct"/>
          </w:tcPr>
          <w:p w:rsidR="007800B3" w:rsidRPr="00DF5908" w:rsidRDefault="007800B3" w:rsidP="007800B3">
            <w:pPr>
              <w:pStyle w:val="Tabletext"/>
            </w:pPr>
            <w:r w:rsidRPr="00DF5908">
              <w:t xml:space="preserve">The revised </w:t>
            </w:r>
            <w:r w:rsidRPr="00DF5908">
              <w:rPr>
                <w:i/>
              </w:rPr>
              <w:t>Standing Direction 4.5.5</w:t>
            </w:r>
            <w:r w:rsidRPr="00DF5908">
              <w:t xml:space="preserve"> requires entities to comply with the </w:t>
            </w:r>
            <w:r w:rsidRPr="00DF5908">
              <w:rPr>
                <w:i/>
              </w:rPr>
              <w:t>Victorian Government Risk Management Framework</w:t>
            </w:r>
            <w:r w:rsidRPr="00DF5908">
              <w:t>, which now</w:t>
            </w:r>
            <w:r w:rsidRPr="00DF5908">
              <w:rPr>
                <w:i/>
              </w:rPr>
              <w:t xml:space="preserve"> </w:t>
            </w:r>
            <w:r w:rsidRPr="00DF5908">
              <w:t xml:space="preserve">incorporates the risk management and insurance requirements. The guidance and sample attestation of compliance in the Model have been updated accordingly. </w:t>
            </w:r>
          </w:p>
        </w:tc>
        <w:tc>
          <w:tcPr>
            <w:cnfStyle w:val="000100000000" w:firstRow="0" w:lastRow="0" w:firstColumn="0" w:lastColumn="1" w:oddVBand="0" w:evenVBand="0" w:oddHBand="0" w:evenHBand="0" w:firstRowFirstColumn="0" w:firstRowLastColumn="0" w:lastRowFirstColumn="0" w:lastRowLastColumn="0"/>
            <w:tcW w:w="636" w:type="pct"/>
          </w:tcPr>
          <w:p w:rsidR="007800B3" w:rsidRPr="00DF5908" w:rsidDel="000B3FB9" w:rsidRDefault="007800B3" w:rsidP="001C4C3D">
            <w:pPr>
              <w:pStyle w:val="Tabletextcentred"/>
            </w:pPr>
            <w:r w:rsidRPr="00DF5908">
              <w:t>68</w:t>
            </w:r>
            <w:r w:rsidR="00B42DD7" w:rsidRPr="00DF5908">
              <w:noBreakHyphen/>
            </w:r>
            <w:r w:rsidRPr="00DF5908">
              <w:t>69</w:t>
            </w:r>
          </w:p>
        </w:tc>
      </w:tr>
    </w:tbl>
    <w:p w:rsidR="00955547" w:rsidRPr="00DF5908" w:rsidRDefault="00955547" w:rsidP="005E6AE4">
      <w:pPr>
        <w:pStyle w:val="Tabletext"/>
      </w:pPr>
    </w:p>
    <w:p w:rsidR="00F04E7E" w:rsidRPr="00DF5908" w:rsidRDefault="00F04E7E">
      <w:pPr>
        <w:spacing w:before="0" w:after="200"/>
        <w:rPr>
          <w:sz w:val="17"/>
        </w:rPr>
      </w:pPr>
      <w:r w:rsidRPr="00DF5908">
        <w:br w:type="page"/>
      </w:r>
    </w:p>
    <w:tbl>
      <w:tblPr>
        <w:tblStyle w:val="DTFtexttable"/>
        <w:tblW w:w="5000" w:type="pct"/>
        <w:tblLook w:val="01A0" w:firstRow="1" w:lastRow="0" w:firstColumn="1" w:lastColumn="1" w:noHBand="0" w:noVBand="0"/>
      </w:tblPr>
      <w:tblGrid>
        <w:gridCol w:w="1523"/>
        <w:gridCol w:w="1755"/>
        <w:gridCol w:w="4762"/>
        <w:gridCol w:w="1100"/>
      </w:tblGrid>
      <w:tr w:rsidR="00F04E7E" w:rsidRPr="00DF5908" w:rsidTr="00A21D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000" w:type="pct"/>
            <w:gridSpan w:val="4"/>
          </w:tcPr>
          <w:p w:rsidR="00F04E7E" w:rsidRPr="00DF5908" w:rsidRDefault="00F04E7E" w:rsidP="00F04E7E">
            <w:pPr>
              <w:pStyle w:val="Tableheader"/>
            </w:pPr>
            <w:r w:rsidRPr="00DF5908">
              <w:lastRenderedPageBreak/>
              <w:br w:type="page"/>
              <w:t>Summary of changes – Model financial statements</w:t>
            </w:r>
          </w:p>
        </w:tc>
      </w:tr>
      <w:tr w:rsidR="00F04E7E" w:rsidRPr="00DF5908" w:rsidTr="00A21D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68" w:type="pct"/>
            <w:shd w:val="clear" w:color="auto" w:fill="749CC9" w:themeFill="accent3"/>
          </w:tcPr>
          <w:p w:rsidR="00F04E7E" w:rsidRPr="00DF5908" w:rsidRDefault="00F04E7E" w:rsidP="00F04E7E">
            <w:pPr>
              <w:pStyle w:val="Tableheader"/>
              <w:rPr>
                <w:sz w:val="18"/>
                <w:szCs w:val="18"/>
              </w:rPr>
            </w:pPr>
            <w:r w:rsidRPr="00DF5908">
              <w:rPr>
                <w:sz w:val="18"/>
                <w:szCs w:val="18"/>
              </w:rPr>
              <w:t xml:space="preserve">Subject matter </w:t>
            </w:r>
          </w:p>
        </w:tc>
        <w:tc>
          <w:tcPr>
            <w:cnfStyle w:val="000010000000" w:firstRow="0" w:lastRow="0" w:firstColumn="0" w:lastColumn="0" w:oddVBand="1" w:evenVBand="0" w:oddHBand="0" w:evenHBand="0" w:firstRowFirstColumn="0" w:firstRowLastColumn="0" w:lastRowFirstColumn="0" w:lastRowLastColumn="0"/>
            <w:tcW w:w="995" w:type="pct"/>
            <w:shd w:val="clear" w:color="auto" w:fill="749CC9" w:themeFill="accent3"/>
          </w:tcPr>
          <w:p w:rsidR="00F04E7E" w:rsidRPr="00DF5908" w:rsidRDefault="00F04E7E" w:rsidP="00F04E7E">
            <w:pPr>
              <w:pStyle w:val="Tableheader"/>
              <w:rPr>
                <w:sz w:val="18"/>
                <w:szCs w:val="18"/>
              </w:rPr>
            </w:pPr>
            <w:r w:rsidRPr="00DF5908">
              <w:rPr>
                <w:sz w:val="18"/>
                <w:szCs w:val="18"/>
              </w:rPr>
              <w:t>Source of change</w:t>
            </w:r>
          </w:p>
        </w:tc>
        <w:tc>
          <w:tcPr>
            <w:cnfStyle w:val="000001000000" w:firstRow="0" w:lastRow="0" w:firstColumn="0" w:lastColumn="0" w:oddVBand="0" w:evenVBand="1" w:oddHBand="0" w:evenHBand="0" w:firstRowFirstColumn="0" w:firstRowLastColumn="0" w:lastRowFirstColumn="0" w:lastRowLastColumn="0"/>
            <w:tcW w:w="2501" w:type="pct"/>
            <w:shd w:val="clear" w:color="auto" w:fill="749CC9" w:themeFill="accent3"/>
          </w:tcPr>
          <w:p w:rsidR="00F04E7E" w:rsidRPr="00DF5908" w:rsidRDefault="00F04E7E" w:rsidP="00F04E7E">
            <w:pPr>
              <w:pStyle w:val="Tableheader"/>
              <w:rPr>
                <w:sz w:val="18"/>
                <w:szCs w:val="18"/>
              </w:rPr>
            </w:pPr>
            <w:r w:rsidRPr="00DF5908">
              <w:rPr>
                <w:sz w:val="18"/>
                <w:szCs w:val="18"/>
              </w:rPr>
              <w:t>Summary of changes applied to the relevant sections in the Model Financial Statements</w:t>
            </w:r>
          </w:p>
        </w:tc>
        <w:tc>
          <w:tcPr>
            <w:cnfStyle w:val="000100001000" w:firstRow="0" w:lastRow="0" w:firstColumn="0" w:lastColumn="1" w:oddVBand="0" w:evenVBand="0" w:oddHBand="0" w:evenHBand="0" w:firstRowFirstColumn="0" w:firstRowLastColumn="1" w:lastRowFirstColumn="0" w:lastRowLastColumn="0"/>
            <w:tcW w:w="636" w:type="pct"/>
            <w:shd w:val="clear" w:color="auto" w:fill="749CC9" w:themeFill="accent3"/>
          </w:tcPr>
          <w:p w:rsidR="00F04E7E" w:rsidRPr="00DF5908" w:rsidRDefault="00F04E7E" w:rsidP="001C4C3D">
            <w:pPr>
              <w:pStyle w:val="Tableheader"/>
              <w:jc w:val="center"/>
              <w:rPr>
                <w:sz w:val="18"/>
                <w:szCs w:val="18"/>
              </w:rPr>
            </w:pPr>
            <w:r w:rsidRPr="00DF5908">
              <w:rPr>
                <w:sz w:val="18"/>
                <w:szCs w:val="18"/>
              </w:rPr>
              <w:t>Page reference</w:t>
            </w:r>
          </w:p>
        </w:tc>
      </w:tr>
      <w:tr w:rsidR="00F04E7E" w:rsidRPr="00DF5908" w:rsidTr="00F04E7E">
        <w:tc>
          <w:tcPr>
            <w:cnfStyle w:val="001000000000" w:firstRow="0" w:lastRow="0" w:firstColumn="1" w:lastColumn="0" w:oddVBand="0" w:evenVBand="0" w:oddHBand="0" w:evenHBand="0" w:firstRowFirstColumn="0" w:firstRowLastColumn="0" w:lastRowFirstColumn="0" w:lastRowLastColumn="0"/>
            <w:tcW w:w="868" w:type="pct"/>
          </w:tcPr>
          <w:p w:rsidR="00F04E7E" w:rsidRPr="00DF5908" w:rsidRDefault="00F04E7E" w:rsidP="00B96C9B">
            <w:pPr>
              <w:pStyle w:val="Tabletext"/>
            </w:pPr>
            <w:r w:rsidRPr="00DF5908">
              <w:rPr>
                <w:color w:val="FF0000"/>
              </w:rPr>
              <w:t xml:space="preserve">[Revised] </w:t>
            </w:r>
            <w:r w:rsidR="00DA4121" w:rsidRPr="00DF5908">
              <w:t>Note </w:t>
            </w:r>
            <w:r w:rsidRPr="00DF5908">
              <w:t xml:space="preserve">1(F) </w:t>
            </w:r>
            <w:r w:rsidRPr="00DF5908">
              <w:rPr>
                <w:i/>
              </w:rPr>
              <w:t>Changes in accounting policies</w:t>
            </w:r>
          </w:p>
        </w:tc>
        <w:tc>
          <w:tcPr>
            <w:cnfStyle w:val="000010000000" w:firstRow="0" w:lastRow="0" w:firstColumn="0" w:lastColumn="0" w:oddVBand="1" w:evenVBand="0" w:oddHBand="0" w:evenHBand="0" w:firstRowFirstColumn="0" w:firstRowLastColumn="0" w:lastRowFirstColumn="0" w:lastRowLastColumn="0"/>
            <w:tcW w:w="995" w:type="pct"/>
          </w:tcPr>
          <w:p w:rsidR="00F04E7E" w:rsidRPr="00DF5908" w:rsidRDefault="00DA4121" w:rsidP="00F04E7E">
            <w:pPr>
              <w:pStyle w:val="Tabletext"/>
            </w:pPr>
            <w:r w:rsidRPr="00DF5908">
              <w:t>AASB </w:t>
            </w:r>
            <w:r w:rsidR="00F04E7E" w:rsidRPr="00DF5908">
              <w:t xml:space="preserve">10 </w:t>
            </w:r>
            <w:r w:rsidR="00F04E7E" w:rsidRPr="00DF5908">
              <w:rPr>
                <w:i/>
              </w:rPr>
              <w:t>Consolidated Financial Statements</w:t>
            </w:r>
            <w:r w:rsidR="00F04E7E" w:rsidRPr="00DF5908">
              <w:t xml:space="preserve">, </w:t>
            </w:r>
            <w:r w:rsidRPr="00DF5908">
              <w:t>AASB </w:t>
            </w:r>
            <w:r w:rsidR="00F04E7E" w:rsidRPr="00DF5908">
              <w:t xml:space="preserve">11 </w:t>
            </w:r>
            <w:r w:rsidR="00F04E7E" w:rsidRPr="00DF5908">
              <w:rPr>
                <w:i/>
              </w:rPr>
              <w:t>Joint Arrangements</w:t>
            </w:r>
            <w:r w:rsidR="00F04E7E" w:rsidRPr="00DF5908">
              <w:t xml:space="preserve"> and </w:t>
            </w:r>
            <w:r w:rsidRPr="00DF5908">
              <w:t>AASB </w:t>
            </w:r>
            <w:r w:rsidR="00F04E7E" w:rsidRPr="00DF5908">
              <w:t xml:space="preserve">12 </w:t>
            </w:r>
            <w:r w:rsidR="00F04E7E" w:rsidRPr="00DF5908">
              <w:rPr>
                <w:i/>
              </w:rPr>
              <w:t>Disclosure of Interests in Other Entities</w:t>
            </w:r>
          </w:p>
        </w:tc>
        <w:tc>
          <w:tcPr>
            <w:cnfStyle w:val="000001000000" w:firstRow="0" w:lastRow="0" w:firstColumn="0" w:lastColumn="0" w:oddVBand="0" w:evenVBand="1" w:oddHBand="0" w:evenHBand="0" w:firstRowFirstColumn="0" w:firstRowLastColumn="0" w:lastRowFirstColumn="0" w:lastRowLastColumn="0"/>
            <w:tcW w:w="2501" w:type="pct"/>
          </w:tcPr>
          <w:p w:rsidR="00F04E7E" w:rsidRPr="00DF5908" w:rsidRDefault="00F04E7E" w:rsidP="00F04E7E">
            <w:pPr>
              <w:pStyle w:val="Tabletext"/>
            </w:pPr>
            <w:r w:rsidRPr="00DF5908">
              <w:t xml:space="preserve">The transitional illustrative disclosures on </w:t>
            </w:r>
            <w:r w:rsidR="00DA4121" w:rsidRPr="00DF5908">
              <w:t>AASB </w:t>
            </w:r>
            <w:r w:rsidRPr="00DF5908">
              <w:t xml:space="preserve">10, </w:t>
            </w:r>
            <w:r w:rsidR="00DA4121" w:rsidRPr="00DF5908">
              <w:t>AASB </w:t>
            </w:r>
            <w:r w:rsidRPr="00DF5908">
              <w:t xml:space="preserve">11 and </w:t>
            </w:r>
            <w:r w:rsidR="00DA4121" w:rsidRPr="00DF5908">
              <w:t>AASB </w:t>
            </w:r>
            <w:r w:rsidRPr="00DF5908">
              <w:t>12 have been removed because the requirements became operative from the 2014</w:t>
            </w:r>
            <w:r w:rsidR="00B42DD7" w:rsidRPr="00DF5908">
              <w:noBreakHyphen/>
            </w:r>
            <w:r w:rsidRPr="00DF5908">
              <w:t>15 reporting period.</w:t>
            </w:r>
          </w:p>
        </w:tc>
        <w:tc>
          <w:tcPr>
            <w:cnfStyle w:val="000100000000" w:firstRow="0" w:lastRow="0" w:firstColumn="0" w:lastColumn="1" w:oddVBand="0" w:evenVBand="0" w:oddHBand="0" w:evenHBand="0" w:firstRowFirstColumn="0" w:firstRowLastColumn="0" w:lastRowFirstColumn="0" w:lastRowLastColumn="0"/>
            <w:tcW w:w="636" w:type="pct"/>
          </w:tcPr>
          <w:p w:rsidR="00F04E7E" w:rsidRPr="00DF5908" w:rsidRDefault="00F04E7E" w:rsidP="001C4C3D">
            <w:pPr>
              <w:pStyle w:val="Tabletextcentred"/>
            </w:pPr>
            <w:r w:rsidRPr="00DF5908">
              <w:t>108</w:t>
            </w:r>
          </w:p>
        </w:tc>
      </w:tr>
      <w:tr w:rsidR="00F04E7E" w:rsidRPr="00DF5908" w:rsidTr="00F04E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F04E7E" w:rsidRPr="00DF5908" w:rsidRDefault="00F04E7E" w:rsidP="00B96C9B">
            <w:pPr>
              <w:pStyle w:val="Tabletext"/>
            </w:pPr>
            <w:r w:rsidRPr="00DF5908">
              <w:rPr>
                <w:color w:val="FF0000"/>
              </w:rPr>
              <w:t xml:space="preserve">[New] </w:t>
            </w:r>
            <w:r w:rsidRPr="00DF5908">
              <w:t>Commentary</w:t>
            </w:r>
            <w:r w:rsidR="00B42DD7" w:rsidRPr="00DF5908">
              <w:t xml:space="preserve"> – </w:t>
            </w:r>
            <w:r w:rsidR="00DA4121" w:rsidRPr="00DF5908">
              <w:t>Note </w:t>
            </w:r>
            <w:r w:rsidRPr="00DF5908">
              <w:t xml:space="preserve">1 </w:t>
            </w:r>
            <w:r w:rsidRPr="00DF5908">
              <w:rPr>
                <w:i/>
              </w:rPr>
              <w:t>Summary of significant accounting policies</w:t>
            </w:r>
          </w:p>
        </w:tc>
        <w:tc>
          <w:tcPr>
            <w:cnfStyle w:val="000010000000" w:firstRow="0" w:lastRow="0" w:firstColumn="0" w:lastColumn="0" w:oddVBand="1" w:evenVBand="0" w:oddHBand="0" w:evenHBand="0" w:firstRowFirstColumn="0" w:firstRowLastColumn="0" w:lastRowFirstColumn="0" w:lastRowLastColumn="0"/>
            <w:tcW w:w="995" w:type="pct"/>
          </w:tcPr>
          <w:p w:rsidR="00F04E7E" w:rsidRPr="00DF5908" w:rsidRDefault="00F04E7E" w:rsidP="00F04E7E">
            <w:pPr>
              <w:pStyle w:val="Tabletext"/>
            </w:pPr>
            <w:r w:rsidRPr="00DF5908">
              <w:t>VAGO recommendation</w:t>
            </w:r>
          </w:p>
        </w:tc>
        <w:tc>
          <w:tcPr>
            <w:cnfStyle w:val="000001000000" w:firstRow="0" w:lastRow="0" w:firstColumn="0" w:lastColumn="0" w:oddVBand="0" w:evenVBand="1" w:oddHBand="0" w:evenHBand="0" w:firstRowFirstColumn="0" w:firstRowLastColumn="0" w:lastRowFirstColumn="0" w:lastRowLastColumn="0"/>
            <w:tcW w:w="2501" w:type="pct"/>
          </w:tcPr>
          <w:p w:rsidR="00F04E7E" w:rsidRPr="00DF5908" w:rsidRDefault="00F04E7E" w:rsidP="00F04E7E">
            <w:pPr>
              <w:pStyle w:val="Tabletext"/>
            </w:pPr>
            <w:r w:rsidRPr="00DF5908">
              <w:t xml:space="preserve">A sample disclosure has been included for departments that aggregate portfolio entities in their annual report under section 53(1)(b) of the </w:t>
            </w:r>
            <w:r w:rsidRPr="00DF5908">
              <w:rPr>
                <w:i/>
              </w:rPr>
              <w:t>Financial Management Act 1994</w:t>
            </w:r>
            <w:r w:rsidRPr="00DF5908">
              <w:t>.</w:t>
            </w:r>
          </w:p>
        </w:tc>
        <w:tc>
          <w:tcPr>
            <w:cnfStyle w:val="000100000000" w:firstRow="0" w:lastRow="0" w:firstColumn="0" w:lastColumn="1" w:oddVBand="0" w:evenVBand="0" w:oddHBand="0" w:evenHBand="0" w:firstRowFirstColumn="0" w:firstRowLastColumn="0" w:lastRowFirstColumn="0" w:lastRowLastColumn="0"/>
            <w:tcW w:w="636" w:type="pct"/>
          </w:tcPr>
          <w:p w:rsidR="00F04E7E" w:rsidRPr="00DF5908" w:rsidRDefault="00F04E7E" w:rsidP="001C4C3D">
            <w:pPr>
              <w:pStyle w:val="Tabletextcentred"/>
            </w:pPr>
            <w:r w:rsidRPr="00DF5908">
              <w:t>131</w:t>
            </w:r>
          </w:p>
        </w:tc>
      </w:tr>
      <w:tr w:rsidR="00F04E7E" w:rsidRPr="00DF5908" w:rsidTr="00F04E7E">
        <w:tc>
          <w:tcPr>
            <w:cnfStyle w:val="001000000000" w:firstRow="0" w:lastRow="0" w:firstColumn="1" w:lastColumn="0" w:oddVBand="0" w:evenVBand="0" w:oddHBand="0" w:evenHBand="0" w:firstRowFirstColumn="0" w:firstRowLastColumn="0" w:lastRowFirstColumn="0" w:lastRowLastColumn="0"/>
            <w:tcW w:w="868" w:type="pct"/>
          </w:tcPr>
          <w:p w:rsidR="00F04E7E" w:rsidRPr="00DF5908" w:rsidRDefault="00F04E7E" w:rsidP="00B96C9B">
            <w:pPr>
              <w:pStyle w:val="Tabletext"/>
            </w:pPr>
            <w:r w:rsidRPr="00DF5908">
              <w:rPr>
                <w:color w:val="FF0000"/>
              </w:rPr>
              <w:t xml:space="preserve">[New] </w:t>
            </w:r>
            <w:r w:rsidRPr="00DF5908">
              <w:t xml:space="preserve">Commentary – </w:t>
            </w:r>
            <w:r w:rsidR="00DA4121" w:rsidRPr="00DF5908">
              <w:t>Note </w:t>
            </w:r>
            <w:r w:rsidRPr="00DF5908">
              <w:t xml:space="preserve">2  </w:t>
            </w:r>
            <w:r w:rsidRPr="00DF5908">
              <w:rPr>
                <w:i/>
              </w:rPr>
              <w:t>Departmental (controlled) outputs</w:t>
            </w:r>
          </w:p>
        </w:tc>
        <w:tc>
          <w:tcPr>
            <w:cnfStyle w:val="000010000000" w:firstRow="0" w:lastRow="0" w:firstColumn="0" w:lastColumn="0" w:oddVBand="1" w:evenVBand="0" w:oddHBand="0" w:evenHBand="0" w:firstRowFirstColumn="0" w:firstRowLastColumn="0" w:lastRowFirstColumn="0" w:lastRowLastColumn="0"/>
            <w:tcW w:w="995" w:type="pct"/>
          </w:tcPr>
          <w:p w:rsidR="00F04E7E" w:rsidRPr="00DF5908" w:rsidRDefault="00F04E7E" w:rsidP="00F04E7E">
            <w:pPr>
              <w:pStyle w:val="Tabletext"/>
            </w:pPr>
            <w:r w:rsidRPr="00DF5908">
              <w:t>Review of the BFMGs</w:t>
            </w:r>
          </w:p>
        </w:tc>
        <w:tc>
          <w:tcPr>
            <w:cnfStyle w:val="000001000000" w:firstRow="0" w:lastRow="0" w:firstColumn="0" w:lastColumn="0" w:oddVBand="0" w:evenVBand="1" w:oddHBand="0" w:evenHBand="0" w:firstRowFirstColumn="0" w:firstRowLastColumn="0" w:lastRowFirstColumn="0" w:lastRowLastColumn="0"/>
            <w:tcW w:w="2501" w:type="pct"/>
          </w:tcPr>
          <w:p w:rsidR="00F04E7E" w:rsidRPr="00DF5908" w:rsidDel="00802E5F" w:rsidRDefault="00F04E7E" w:rsidP="00F04E7E">
            <w:pPr>
              <w:pStyle w:val="Tabletext"/>
            </w:pPr>
            <w:r w:rsidRPr="00DF5908">
              <w:t xml:space="preserve">Additional guidance has been included on the classification between controlled and administered items. </w:t>
            </w:r>
          </w:p>
        </w:tc>
        <w:tc>
          <w:tcPr>
            <w:cnfStyle w:val="000100000000" w:firstRow="0" w:lastRow="0" w:firstColumn="0" w:lastColumn="1" w:oddVBand="0" w:evenVBand="0" w:oddHBand="0" w:evenHBand="0" w:firstRowFirstColumn="0" w:firstRowLastColumn="0" w:lastRowFirstColumn="0" w:lastRowLastColumn="0"/>
            <w:tcW w:w="636" w:type="pct"/>
          </w:tcPr>
          <w:p w:rsidR="00F04E7E" w:rsidRPr="00DF5908" w:rsidDel="00802E5F" w:rsidRDefault="00F04E7E" w:rsidP="001C4C3D">
            <w:pPr>
              <w:pStyle w:val="Tabletextcentred"/>
            </w:pPr>
            <w:r w:rsidRPr="00DF5908">
              <w:t>142</w:t>
            </w:r>
            <w:r w:rsidR="00B42DD7" w:rsidRPr="00DF5908">
              <w:noBreakHyphen/>
            </w:r>
            <w:r w:rsidRPr="00DF5908">
              <w:t>143</w:t>
            </w:r>
          </w:p>
        </w:tc>
      </w:tr>
      <w:tr w:rsidR="00F04E7E" w:rsidRPr="00DF5908" w:rsidTr="00F04E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F04E7E" w:rsidRPr="00DF5908" w:rsidRDefault="00F04E7E" w:rsidP="00B96C9B">
            <w:pPr>
              <w:pStyle w:val="Tabletext"/>
            </w:pPr>
            <w:r w:rsidRPr="00DF5908">
              <w:rPr>
                <w:color w:val="FF0000"/>
              </w:rPr>
              <w:t>[Revised]</w:t>
            </w:r>
            <w:r w:rsidRPr="00DF5908">
              <w:t xml:space="preserve"> </w:t>
            </w:r>
            <w:r w:rsidR="00DA4121" w:rsidRPr="00DF5908">
              <w:t>Note </w:t>
            </w:r>
            <w:r w:rsidRPr="00DF5908">
              <w:t xml:space="preserve">3 </w:t>
            </w:r>
            <w:r w:rsidRPr="00DF5908">
              <w:rPr>
                <w:i/>
              </w:rPr>
              <w:t>Administered (non</w:t>
            </w:r>
            <w:r w:rsidR="00B42DD7" w:rsidRPr="00DF5908">
              <w:rPr>
                <w:i/>
              </w:rPr>
              <w:noBreakHyphen/>
            </w:r>
            <w:r w:rsidRPr="00DF5908">
              <w:rPr>
                <w:i/>
              </w:rPr>
              <w:t>controlled) items</w:t>
            </w:r>
          </w:p>
        </w:tc>
        <w:tc>
          <w:tcPr>
            <w:cnfStyle w:val="000010000000" w:firstRow="0" w:lastRow="0" w:firstColumn="0" w:lastColumn="0" w:oddVBand="1" w:evenVBand="0" w:oddHBand="0" w:evenHBand="0" w:firstRowFirstColumn="0" w:firstRowLastColumn="0" w:lastRowFirstColumn="0" w:lastRowLastColumn="0"/>
            <w:tcW w:w="995" w:type="pct"/>
          </w:tcPr>
          <w:p w:rsidR="00F04E7E" w:rsidRPr="00DF5908" w:rsidRDefault="00F04E7E" w:rsidP="00F04E7E">
            <w:pPr>
              <w:pStyle w:val="Tabletext"/>
            </w:pPr>
            <w:r w:rsidRPr="00DF5908">
              <w:t>General improvements</w:t>
            </w:r>
          </w:p>
        </w:tc>
        <w:tc>
          <w:tcPr>
            <w:cnfStyle w:val="000001000000" w:firstRow="0" w:lastRow="0" w:firstColumn="0" w:lastColumn="0" w:oddVBand="0" w:evenVBand="1" w:oddHBand="0" w:evenHBand="0" w:firstRowFirstColumn="0" w:firstRowLastColumn="0" w:lastRowFirstColumn="0" w:lastRowLastColumn="0"/>
            <w:tcW w:w="2501" w:type="pct"/>
          </w:tcPr>
          <w:p w:rsidR="00F04E7E" w:rsidRPr="00DF5908" w:rsidRDefault="00F04E7E" w:rsidP="00F04E7E">
            <w:pPr>
              <w:pStyle w:val="Tabletext"/>
            </w:pPr>
            <w:r w:rsidRPr="00DF5908">
              <w:t>The illustration has been amended to align the amounts in the balance sheet with the transfer of the outputs described in the illustration.</w:t>
            </w:r>
          </w:p>
        </w:tc>
        <w:tc>
          <w:tcPr>
            <w:cnfStyle w:val="000100000000" w:firstRow="0" w:lastRow="0" w:firstColumn="0" w:lastColumn="1" w:oddVBand="0" w:evenVBand="0" w:oddHBand="0" w:evenHBand="0" w:firstRowFirstColumn="0" w:firstRowLastColumn="0" w:lastRowFirstColumn="0" w:lastRowLastColumn="0"/>
            <w:tcW w:w="636" w:type="pct"/>
          </w:tcPr>
          <w:p w:rsidR="00F04E7E" w:rsidRPr="00DF5908" w:rsidDel="00802E5F" w:rsidRDefault="00F04E7E" w:rsidP="001C4C3D">
            <w:pPr>
              <w:pStyle w:val="Tabletextcentred"/>
            </w:pPr>
            <w:r w:rsidRPr="00DF5908">
              <w:t>151</w:t>
            </w:r>
          </w:p>
        </w:tc>
      </w:tr>
      <w:tr w:rsidR="00F04E7E" w:rsidRPr="00DF5908" w:rsidTr="00F04E7E">
        <w:tc>
          <w:tcPr>
            <w:cnfStyle w:val="001000000000" w:firstRow="0" w:lastRow="0" w:firstColumn="1" w:lastColumn="0" w:oddVBand="0" w:evenVBand="0" w:oddHBand="0" w:evenHBand="0" w:firstRowFirstColumn="0" w:firstRowLastColumn="0" w:lastRowFirstColumn="0" w:lastRowLastColumn="0"/>
            <w:tcW w:w="868" w:type="pct"/>
          </w:tcPr>
          <w:p w:rsidR="00F04E7E" w:rsidRPr="00DF5908" w:rsidRDefault="00F04E7E" w:rsidP="00B96C9B">
            <w:pPr>
              <w:pStyle w:val="Tabletext"/>
            </w:pPr>
            <w:r w:rsidRPr="00DF5908">
              <w:rPr>
                <w:color w:val="FF0000"/>
              </w:rPr>
              <w:t>[New]</w:t>
            </w:r>
            <w:r w:rsidRPr="00DF5908">
              <w:t xml:space="preserve"> Commentary – </w:t>
            </w:r>
            <w:r w:rsidR="00DA4121" w:rsidRPr="00DF5908">
              <w:t>Note </w:t>
            </w:r>
            <w:r w:rsidRPr="00DF5908">
              <w:t xml:space="preserve">8 </w:t>
            </w:r>
            <w:r w:rsidRPr="00DF5908">
              <w:rPr>
                <w:i/>
              </w:rPr>
              <w:t>Correction of error</w:t>
            </w:r>
          </w:p>
        </w:tc>
        <w:tc>
          <w:tcPr>
            <w:cnfStyle w:val="000010000000" w:firstRow="0" w:lastRow="0" w:firstColumn="0" w:lastColumn="0" w:oddVBand="1" w:evenVBand="0" w:oddHBand="0" w:evenHBand="0" w:firstRowFirstColumn="0" w:firstRowLastColumn="0" w:lastRowFirstColumn="0" w:lastRowLastColumn="0"/>
            <w:tcW w:w="995" w:type="pct"/>
          </w:tcPr>
          <w:p w:rsidR="00F04E7E" w:rsidRPr="00DF5908" w:rsidRDefault="00F04E7E" w:rsidP="00F04E7E">
            <w:pPr>
              <w:pStyle w:val="Tabletext"/>
            </w:pPr>
            <w:r w:rsidRPr="00DF5908">
              <w:t>General improvements</w:t>
            </w:r>
          </w:p>
        </w:tc>
        <w:tc>
          <w:tcPr>
            <w:cnfStyle w:val="000001000000" w:firstRow="0" w:lastRow="0" w:firstColumn="0" w:lastColumn="0" w:oddVBand="0" w:evenVBand="1" w:oddHBand="0" w:evenHBand="0" w:firstRowFirstColumn="0" w:firstRowLastColumn="0" w:lastRowFirstColumn="0" w:lastRowLastColumn="0"/>
            <w:tcW w:w="2501" w:type="pct"/>
          </w:tcPr>
          <w:p w:rsidR="00F04E7E" w:rsidRPr="00DF5908" w:rsidRDefault="00F04E7E" w:rsidP="00F04E7E">
            <w:pPr>
              <w:pStyle w:val="Tabletext"/>
            </w:pPr>
            <w:r w:rsidRPr="00DF5908">
              <w:t>Additional guidance has been included to illustrate restated financial statements.</w:t>
            </w:r>
          </w:p>
        </w:tc>
        <w:tc>
          <w:tcPr>
            <w:cnfStyle w:val="000100000000" w:firstRow="0" w:lastRow="0" w:firstColumn="0" w:lastColumn="1" w:oddVBand="0" w:evenVBand="0" w:oddHBand="0" w:evenHBand="0" w:firstRowFirstColumn="0" w:firstRowLastColumn="0" w:lastRowFirstColumn="0" w:lastRowLastColumn="0"/>
            <w:tcW w:w="636" w:type="pct"/>
          </w:tcPr>
          <w:p w:rsidR="00F04E7E" w:rsidRPr="00DF5908" w:rsidDel="00802E5F" w:rsidRDefault="00F04E7E" w:rsidP="001C4C3D">
            <w:pPr>
              <w:pStyle w:val="Tabletextcentred"/>
            </w:pPr>
            <w:r w:rsidRPr="00DF5908">
              <w:t>162</w:t>
            </w:r>
            <w:r w:rsidR="00B42DD7" w:rsidRPr="00DF5908">
              <w:noBreakHyphen/>
            </w:r>
            <w:r w:rsidRPr="00DF5908">
              <w:t>165</w:t>
            </w:r>
          </w:p>
        </w:tc>
      </w:tr>
      <w:tr w:rsidR="00F04E7E" w:rsidRPr="00DF5908" w:rsidTr="00F04E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F04E7E" w:rsidRPr="00DF5908" w:rsidRDefault="00F04E7E" w:rsidP="00B96C9B">
            <w:pPr>
              <w:pStyle w:val="Tabletext"/>
            </w:pPr>
            <w:r w:rsidRPr="00DF5908">
              <w:rPr>
                <w:color w:val="FF0000"/>
              </w:rPr>
              <w:t xml:space="preserve">[Revised] </w:t>
            </w:r>
            <w:r w:rsidRPr="00DF5908">
              <w:t xml:space="preserve">Commentary – </w:t>
            </w:r>
            <w:r w:rsidR="00DA4121" w:rsidRPr="00DF5908">
              <w:t>Note </w:t>
            </w:r>
            <w:r w:rsidRPr="00DF5908">
              <w:t xml:space="preserve">13 </w:t>
            </w:r>
            <w:r w:rsidRPr="00DF5908">
              <w:rPr>
                <w:i/>
              </w:rPr>
              <w:t>Investments accounted for using the equity method</w:t>
            </w:r>
          </w:p>
        </w:tc>
        <w:tc>
          <w:tcPr>
            <w:cnfStyle w:val="000010000000" w:firstRow="0" w:lastRow="0" w:firstColumn="0" w:lastColumn="0" w:oddVBand="1" w:evenVBand="0" w:oddHBand="0" w:evenHBand="0" w:firstRowFirstColumn="0" w:firstRowLastColumn="0" w:lastRowFirstColumn="0" w:lastRowLastColumn="0"/>
            <w:tcW w:w="995" w:type="pct"/>
          </w:tcPr>
          <w:p w:rsidR="00F04E7E" w:rsidRPr="00DF5908" w:rsidRDefault="00DA4121" w:rsidP="00F04E7E">
            <w:pPr>
              <w:pStyle w:val="Tabletext"/>
            </w:pPr>
            <w:r w:rsidRPr="00DF5908">
              <w:t>AASB </w:t>
            </w:r>
            <w:r w:rsidR="00F04E7E" w:rsidRPr="00DF5908">
              <w:t>11</w:t>
            </w:r>
          </w:p>
        </w:tc>
        <w:tc>
          <w:tcPr>
            <w:cnfStyle w:val="000001000000" w:firstRow="0" w:lastRow="0" w:firstColumn="0" w:lastColumn="0" w:oddVBand="0" w:evenVBand="1" w:oddHBand="0" w:evenHBand="0" w:firstRowFirstColumn="0" w:firstRowLastColumn="0" w:lastRowFirstColumn="0" w:lastRowLastColumn="0"/>
            <w:tcW w:w="2501" w:type="pct"/>
          </w:tcPr>
          <w:p w:rsidR="00F04E7E" w:rsidRPr="00DF5908" w:rsidRDefault="00F04E7E" w:rsidP="00F04E7E">
            <w:pPr>
              <w:pStyle w:val="Tabletext"/>
            </w:pPr>
            <w:r w:rsidRPr="00DF5908">
              <w:t xml:space="preserve">The transition requirements have been removed because </w:t>
            </w:r>
            <w:r w:rsidR="00DA4121" w:rsidRPr="00DF5908">
              <w:t>AASB </w:t>
            </w:r>
            <w:r w:rsidRPr="00DF5908">
              <w:t>11 became operative from the 2014</w:t>
            </w:r>
            <w:r w:rsidR="00B42DD7" w:rsidRPr="00DF5908">
              <w:noBreakHyphen/>
            </w:r>
            <w:r w:rsidRPr="00DF5908">
              <w:t>15 reporting period.</w:t>
            </w:r>
          </w:p>
        </w:tc>
        <w:tc>
          <w:tcPr>
            <w:cnfStyle w:val="000100000000" w:firstRow="0" w:lastRow="0" w:firstColumn="0" w:lastColumn="1" w:oddVBand="0" w:evenVBand="0" w:oddHBand="0" w:evenHBand="0" w:firstRowFirstColumn="0" w:firstRowLastColumn="0" w:lastRowFirstColumn="0" w:lastRowLastColumn="0"/>
            <w:tcW w:w="636" w:type="pct"/>
          </w:tcPr>
          <w:p w:rsidR="00F04E7E" w:rsidRPr="00DF5908" w:rsidDel="00802E5F" w:rsidRDefault="00F04E7E" w:rsidP="001C4C3D">
            <w:pPr>
              <w:pStyle w:val="Tabletextcentred"/>
            </w:pPr>
            <w:r w:rsidRPr="00DF5908">
              <w:t>182</w:t>
            </w:r>
          </w:p>
        </w:tc>
      </w:tr>
      <w:tr w:rsidR="00F04E7E" w:rsidRPr="00DF5908" w:rsidTr="00F04E7E">
        <w:tc>
          <w:tcPr>
            <w:cnfStyle w:val="001000000000" w:firstRow="0" w:lastRow="0" w:firstColumn="1" w:lastColumn="0" w:oddVBand="0" w:evenVBand="0" w:oddHBand="0" w:evenHBand="0" w:firstRowFirstColumn="0" w:firstRowLastColumn="0" w:lastRowFirstColumn="0" w:lastRowLastColumn="0"/>
            <w:tcW w:w="868" w:type="pct"/>
          </w:tcPr>
          <w:p w:rsidR="00F04E7E" w:rsidRPr="00DF5908" w:rsidRDefault="00F04E7E" w:rsidP="00B96C9B">
            <w:pPr>
              <w:pStyle w:val="Tabletext"/>
            </w:pPr>
            <w:r w:rsidRPr="00DF5908">
              <w:rPr>
                <w:color w:val="FF0000"/>
              </w:rPr>
              <w:t>[New]</w:t>
            </w:r>
            <w:r w:rsidRPr="00DF5908">
              <w:t xml:space="preserve"> </w:t>
            </w:r>
            <w:r w:rsidR="00DA4121" w:rsidRPr="00DF5908">
              <w:t>Note </w:t>
            </w:r>
            <w:r w:rsidRPr="00DF5908">
              <w:t xml:space="preserve">15 </w:t>
            </w:r>
            <w:r w:rsidRPr="00DF5908">
              <w:rPr>
                <w:i/>
              </w:rPr>
              <w:t>Non</w:t>
            </w:r>
            <w:r w:rsidR="00B42DD7" w:rsidRPr="00DF5908">
              <w:rPr>
                <w:i/>
              </w:rPr>
              <w:noBreakHyphen/>
            </w:r>
            <w:r w:rsidRPr="00DF5908">
              <w:rPr>
                <w:i/>
              </w:rPr>
              <w:t>financial physical assets classified as held for sale including disposal group and directly associated liabilities</w:t>
            </w:r>
          </w:p>
        </w:tc>
        <w:tc>
          <w:tcPr>
            <w:cnfStyle w:val="000010000000" w:firstRow="0" w:lastRow="0" w:firstColumn="0" w:lastColumn="0" w:oddVBand="1" w:evenVBand="0" w:oddHBand="0" w:evenHBand="0" w:firstRowFirstColumn="0" w:firstRowLastColumn="0" w:lastRowFirstColumn="0" w:lastRowLastColumn="0"/>
            <w:tcW w:w="995" w:type="pct"/>
          </w:tcPr>
          <w:p w:rsidR="00F04E7E" w:rsidRPr="00DF5908" w:rsidRDefault="00F04E7E" w:rsidP="00F04E7E">
            <w:pPr>
              <w:pStyle w:val="Tabletext"/>
            </w:pPr>
            <w:r w:rsidRPr="00DF5908">
              <w:t>General improvements</w:t>
            </w:r>
          </w:p>
        </w:tc>
        <w:tc>
          <w:tcPr>
            <w:cnfStyle w:val="000001000000" w:firstRow="0" w:lastRow="0" w:firstColumn="0" w:lastColumn="0" w:oddVBand="0" w:evenVBand="1" w:oddHBand="0" w:evenHBand="0" w:firstRowFirstColumn="0" w:firstRowLastColumn="0" w:lastRowFirstColumn="0" w:lastRowLastColumn="0"/>
            <w:tcW w:w="2501" w:type="pct"/>
          </w:tcPr>
          <w:p w:rsidR="00F04E7E" w:rsidRPr="00DF5908" w:rsidRDefault="00F04E7E" w:rsidP="00F04E7E">
            <w:pPr>
              <w:pStyle w:val="Tabletext"/>
            </w:pPr>
            <w:r w:rsidRPr="00DF5908">
              <w:t xml:space="preserve">Additional illustrative disclosures have been included on  </w:t>
            </w:r>
            <w:r w:rsidR="006535B0" w:rsidRPr="00DF5908">
              <w:t>‘</w:t>
            </w:r>
            <w:r w:rsidR="005B3B9F" w:rsidRPr="00DF5908">
              <w:t>Fair value measurement of non</w:t>
            </w:r>
            <w:r w:rsidR="00B42DD7" w:rsidRPr="00DF5908">
              <w:noBreakHyphen/>
            </w:r>
            <w:r w:rsidRPr="00DF5908">
              <w:t>financial physical assets held for sale</w:t>
            </w:r>
            <w:r w:rsidR="006535B0" w:rsidRPr="00DF5908">
              <w:t>’</w:t>
            </w:r>
            <w:r w:rsidRPr="00DF5908">
              <w:t xml:space="preserve"> to emphasise that fair value information should be disclosed for the comparative period.</w:t>
            </w:r>
          </w:p>
        </w:tc>
        <w:tc>
          <w:tcPr>
            <w:cnfStyle w:val="000100000000" w:firstRow="0" w:lastRow="0" w:firstColumn="0" w:lastColumn="1" w:oddVBand="0" w:evenVBand="0" w:oddHBand="0" w:evenHBand="0" w:firstRowFirstColumn="0" w:firstRowLastColumn="0" w:lastRowFirstColumn="0" w:lastRowLastColumn="0"/>
            <w:tcW w:w="636" w:type="pct"/>
          </w:tcPr>
          <w:p w:rsidR="00F04E7E" w:rsidRPr="00DF5908" w:rsidRDefault="00F04E7E" w:rsidP="001C4C3D">
            <w:pPr>
              <w:pStyle w:val="Tabletextcentred"/>
            </w:pPr>
            <w:r w:rsidRPr="00DF5908">
              <w:t>189</w:t>
            </w:r>
          </w:p>
        </w:tc>
      </w:tr>
      <w:tr w:rsidR="00F04E7E" w:rsidRPr="00DF5908" w:rsidTr="00F04E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F04E7E" w:rsidRPr="00DF5908" w:rsidRDefault="00F04E7E" w:rsidP="00B96C9B">
            <w:pPr>
              <w:pStyle w:val="Tabletext"/>
            </w:pPr>
            <w:r w:rsidRPr="00DF5908">
              <w:rPr>
                <w:color w:val="FF0000"/>
              </w:rPr>
              <w:t xml:space="preserve">[New] </w:t>
            </w:r>
            <w:r w:rsidR="00DA4121" w:rsidRPr="00DF5908">
              <w:t>Note </w:t>
            </w:r>
            <w:r w:rsidRPr="00DF5908">
              <w:t xml:space="preserve">17 – </w:t>
            </w:r>
            <w:r w:rsidRPr="00DF5908">
              <w:rPr>
                <w:i/>
              </w:rPr>
              <w:t>Property, plant, and equipment</w:t>
            </w:r>
          </w:p>
        </w:tc>
        <w:tc>
          <w:tcPr>
            <w:cnfStyle w:val="000010000000" w:firstRow="0" w:lastRow="0" w:firstColumn="0" w:lastColumn="0" w:oddVBand="1" w:evenVBand="0" w:oddHBand="0" w:evenHBand="0" w:firstRowFirstColumn="0" w:firstRowLastColumn="0" w:lastRowFirstColumn="0" w:lastRowLastColumn="0"/>
            <w:tcW w:w="995" w:type="pct"/>
          </w:tcPr>
          <w:p w:rsidR="00F04E7E" w:rsidRPr="00DF5908" w:rsidRDefault="00F04E7E" w:rsidP="00F04E7E">
            <w:pPr>
              <w:pStyle w:val="Tabletext"/>
            </w:pPr>
            <w:r w:rsidRPr="00DF5908">
              <w:t>General improvements</w:t>
            </w:r>
          </w:p>
        </w:tc>
        <w:tc>
          <w:tcPr>
            <w:cnfStyle w:val="000001000000" w:firstRow="0" w:lastRow="0" w:firstColumn="0" w:lastColumn="0" w:oddVBand="0" w:evenVBand="1" w:oddHBand="0" w:evenHBand="0" w:firstRowFirstColumn="0" w:firstRowLastColumn="0" w:lastRowFirstColumn="0" w:lastRowLastColumn="0"/>
            <w:tcW w:w="2501" w:type="pct"/>
          </w:tcPr>
          <w:p w:rsidR="00F04E7E" w:rsidRPr="00DF5908" w:rsidRDefault="00F04E7E" w:rsidP="00F04E7E">
            <w:pPr>
              <w:pStyle w:val="Tabletext"/>
            </w:pPr>
            <w:r w:rsidRPr="00DF5908">
              <w:t>Additional illustrative disclosures (</w:t>
            </w:r>
            <w:r w:rsidR="006535B0" w:rsidRPr="00DF5908">
              <w:t>Table </w:t>
            </w:r>
            <w:r w:rsidRPr="00DF5908">
              <w:t xml:space="preserve">17.8 and 17.10) have been included to emphasise that fair value information should be disclosed for the comparative period. As comparative information on significant unobservable inputs should be disclosed, the illustration has been amended to state that </w:t>
            </w:r>
            <w:r w:rsidR="006535B0" w:rsidRPr="00DF5908">
              <w:t>Table </w:t>
            </w:r>
            <w:r w:rsidRPr="00DF5908">
              <w:t>17.11 is also relevant to the comparative period.</w:t>
            </w:r>
          </w:p>
        </w:tc>
        <w:tc>
          <w:tcPr>
            <w:cnfStyle w:val="000100000000" w:firstRow="0" w:lastRow="0" w:firstColumn="0" w:lastColumn="1" w:oddVBand="0" w:evenVBand="0" w:oddHBand="0" w:evenHBand="0" w:firstRowFirstColumn="0" w:firstRowLastColumn="0" w:lastRowFirstColumn="0" w:lastRowLastColumn="0"/>
            <w:tcW w:w="636" w:type="pct"/>
          </w:tcPr>
          <w:p w:rsidR="00F04E7E" w:rsidRPr="00DF5908" w:rsidRDefault="00F04E7E" w:rsidP="001C4C3D">
            <w:pPr>
              <w:pStyle w:val="Tabletextcentred"/>
            </w:pPr>
            <w:r w:rsidRPr="00DF5908">
              <w:t>200, 203</w:t>
            </w:r>
            <w:r w:rsidR="00B42DD7" w:rsidRPr="00DF5908">
              <w:noBreakHyphen/>
            </w:r>
            <w:r w:rsidRPr="00DF5908">
              <w:t>204</w:t>
            </w:r>
          </w:p>
        </w:tc>
      </w:tr>
      <w:tr w:rsidR="00F04E7E" w:rsidRPr="00DF5908" w:rsidTr="00F04E7E">
        <w:tc>
          <w:tcPr>
            <w:cnfStyle w:val="001000000000" w:firstRow="0" w:lastRow="0" w:firstColumn="1" w:lastColumn="0" w:oddVBand="0" w:evenVBand="0" w:oddHBand="0" w:evenHBand="0" w:firstRowFirstColumn="0" w:firstRowLastColumn="0" w:lastRowFirstColumn="0" w:lastRowLastColumn="0"/>
            <w:tcW w:w="868" w:type="pct"/>
          </w:tcPr>
          <w:p w:rsidR="00F04E7E" w:rsidRPr="00DF5908" w:rsidRDefault="00F04E7E" w:rsidP="00F04E7E">
            <w:pPr>
              <w:pStyle w:val="Tabletext"/>
            </w:pPr>
            <w:r w:rsidRPr="00DF5908">
              <w:rPr>
                <w:color w:val="FF0000"/>
              </w:rPr>
              <w:lastRenderedPageBreak/>
              <w:t xml:space="preserve">[Revised] </w:t>
            </w:r>
            <w:r w:rsidR="00DA4121" w:rsidRPr="00DF5908">
              <w:t>Note </w:t>
            </w:r>
            <w:r w:rsidRPr="00DF5908">
              <w:t>17</w:t>
            </w:r>
            <w:r w:rsidR="00DD341E" w:rsidRPr="00DF5908">
              <w:t xml:space="preserve"> – </w:t>
            </w:r>
            <w:r w:rsidR="00DD341E" w:rsidRPr="00DF5908">
              <w:rPr>
                <w:i/>
              </w:rPr>
              <w:t>Property, plant, and equipment</w:t>
            </w:r>
          </w:p>
        </w:tc>
        <w:tc>
          <w:tcPr>
            <w:cnfStyle w:val="000010000000" w:firstRow="0" w:lastRow="0" w:firstColumn="0" w:lastColumn="0" w:oddVBand="1" w:evenVBand="0" w:oddHBand="0" w:evenHBand="0" w:firstRowFirstColumn="0" w:firstRowLastColumn="0" w:lastRowFirstColumn="0" w:lastRowLastColumn="0"/>
            <w:tcW w:w="995" w:type="pct"/>
          </w:tcPr>
          <w:p w:rsidR="00F04E7E" w:rsidRPr="00DF5908" w:rsidRDefault="00DA4121" w:rsidP="00F04E7E">
            <w:pPr>
              <w:pStyle w:val="Tabletext"/>
            </w:pPr>
            <w:r w:rsidRPr="00DF5908">
              <w:t>AASB </w:t>
            </w:r>
            <w:r w:rsidR="005B3B9F" w:rsidRPr="00DF5908">
              <w:t>2015</w:t>
            </w:r>
            <w:r w:rsidR="00B42DD7" w:rsidRPr="00DF5908">
              <w:noBreakHyphen/>
            </w:r>
            <w:r w:rsidR="005B3B9F" w:rsidRPr="00DF5908">
              <w:t xml:space="preserve">7 </w:t>
            </w:r>
            <w:r w:rsidR="00F04E7E" w:rsidRPr="00DF5908">
              <w:rPr>
                <w:i/>
              </w:rPr>
              <w:t>Amendments to Australian Accounting Standards – Fair Value Disclosures of Not</w:t>
            </w:r>
            <w:r w:rsidR="00B42DD7" w:rsidRPr="00DF5908">
              <w:rPr>
                <w:i/>
              </w:rPr>
              <w:noBreakHyphen/>
            </w:r>
            <w:r w:rsidR="00F04E7E" w:rsidRPr="00DF5908">
              <w:rPr>
                <w:i/>
              </w:rPr>
              <w:t>for</w:t>
            </w:r>
            <w:r w:rsidR="00B42DD7" w:rsidRPr="00DF5908">
              <w:rPr>
                <w:i/>
              </w:rPr>
              <w:noBreakHyphen/>
            </w:r>
            <w:r w:rsidR="00F04E7E" w:rsidRPr="00DF5908">
              <w:rPr>
                <w:i/>
              </w:rPr>
              <w:t>Profit Public Sector Entities</w:t>
            </w:r>
          </w:p>
        </w:tc>
        <w:tc>
          <w:tcPr>
            <w:cnfStyle w:val="000001000000" w:firstRow="0" w:lastRow="0" w:firstColumn="0" w:lastColumn="0" w:oddVBand="0" w:evenVBand="1" w:oddHBand="0" w:evenHBand="0" w:firstRowFirstColumn="0" w:firstRowLastColumn="0" w:lastRowFirstColumn="0" w:lastRowLastColumn="0"/>
            <w:tcW w:w="2501" w:type="pct"/>
          </w:tcPr>
          <w:p w:rsidR="00F04E7E" w:rsidRPr="00DF5908" w:rsidRDefault="00F04E7E" w:rsidP="00F04E7E">
            <w:pPr>
              <w:pStyle w:val="Tabletext"/>
            </w:pPr>
            <w:r w:rsidRPr="00DF5908">
              <w:t xml:space="preserve">The guidance has been updated to reflect the early adoption of </w:t>
            </w:r>
            <w:r w:rsidR="00DA4121" w:rsidRPr="00DF5908">
              <w:t>AASB </w:t>
            </w:r>
            <w:r w:rsidRPr="00DF5908">
              <w:t>2015</w:t>
            </w:r>
            <w:r w:rsidR="00B42DD7" w:rsidRPr="00DF5908">
              <w:noBreakHyphen/>
            </w:r>
            <w:r w:rsidRPr="00DF5908">
              <w:t>7 by the State for the 2014</w:t>
            </w:r>
            <w:r w:rsidR="00B42DD7" w:rsidRPr="00DF5908">
              <w:noBreakHyphen/>
            </w:r>
            <w:r w:rsidRPr="00DF5908">
              <w:t>15 reporting period. Entities are required to adopt the amending standard for the current reporting period.</w:t>
            </w:r>
          </w:p>
        </w:tc>
        <w:tc>
          <w:tcPr>
            <w:cnfStyle w:val="000100000000" w:firstRow="0" w:lastRow="0" w:firstColumn="0" w:lastColumn="1" w:oddVBand="0" w:evenVBand="0" w:oddHBand="0" w:evenHBand="0" w:firstRowFirstColumn="0" w:firstRowLastColumn="0" w:lastRowFirstColumn="0" w:lastRowLastColumn="0"/>
            <w:tcW w:w="636" w:type="pct"/>
          </w:tcPr>
          <w:p w:rsidR="00F04E7E" w:rsidRPr="00DF5908" w:rsidRDefault="00F04E7E" w:rsidP="001C4C3D">
            <w:pPr>
              <w:pStyle w:val="Tabletextcentred"/>
            </w:pPr>
            <w:r w:rsidRPr="00DF5908">
              <w:t>202, 204, 207</w:t>
            </w:r>
          </w:p>
        </w:tc>
      </w:tr>
      <w:tr w:rsidR="00F04E7E" w:rsidRPr="00DF5908" w:rsidTr="00F04E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CA1FC2" w:rsidRPr="00DF5908" w:rsidRDefault="00F04E7E" w:rsidP="00F04E7E">
            <w:pPr>
              <w:pStyle w:val="Tabletext"/>
            </w:pPr>
            <w:r w:rsidRPr="00DF5908">
              <w:rPr>
                <w:color w:val="FF0000"/>
              </w:rPr>
              <w:t xml:space="preserve">[New] </w:t>
            </w:r>
            <w:r w:rsidR="00DA4121" w:rsidRPr="00DF5908">
              <w:t>Note </w:t>
            </w:r>
            <w:r w:rsidRPr="00DF5908">
              <w:t>18</w:t>
            </w:r>
          </w:p>
          <w:p w:rsidR="00F04E7E" w:rsidRPr="00DF5908" w:rsidRDefault="00CC3B91" w:rsidP="00F04E7E">
            <w:pPr>
              <w:pStyle w:val="Tabletext"/>
              <w:rPr>
                <w:color w:val="FF0000"/>
              </w:rPr>
            </w:pPr>
            <w:r w:rsidRPr="00DF5908">
              <w:t xml:space="preserve">– </w:t>
            </w:r>
            <w:r w:rsidR="00CA1FC2" w:rsidRPr="00DF5908">
              <w:rPr>
                <w:i/>
              </w:rPr>
              <w:t xml:space="preserve">Biological </w:t>
            </w:r>
            <w:r w:rsidRPr="00DF5908">
              <w:rPr>
                <w:i/>
              </w:rPr>
              <w:t>assets</w:t>
            </w:r>
          </w:p>
        </w:tc>
        <w:tc>
          <w:tcPr>
            <w:cnfStyle w:val="000010000000" w:firstRow="0" w:lastRow="0" w:firstColumn="0" w:lastColumn="0" w:oddVBand="1" w:evenVBand="0" w:oddHBand="0" w:evenHBand="0" w:firstRowFirstColumn="0" w:firstRowLastColumn="0" w:lastRowFirstColumn="0" w:lastRowLastColumn="0"/>
            <w:tcW w:w="995" w:type="pct"/>
          </w:tcPr>
          <w:p w:rsidR="00F04E7E" w:rsidRPr="00DF5908" w:rsidRDefault="00F04E7E" w:rsidP="00F04E7E">
            <w:pPr>
              <w:pStyle w:val="Tabletext"/>
            </w:pPr>
            <w:r w:rsidRPr="00DF5908">
              <w:t>General improvements</w:t>
            </w:r>
          </w:p>
        </w:tc>
        <w:tc>
          <w:tcPr>
            <w:cnfStyle w:val="000001000000" w:firstRow="0" w:lastRow="0" w:firstColumn="0" w:lastColumn="0" w:oddVBand="0" w:evenVBand="1" w:oddHBand="0" w:evenHBand="0" w:firstRowFirstColumn="0" w:firstRowLastColumn="0" w:lastRowFirstColumn="0" w:lastRowLastColumn="0"/>
            <w:tcW w:w="2501" w:type="pct"/>
          </w:tcPr>
          <w:p w:rsidR="00F04E7E" w:rsidRPr="00DF5908" w:rsidRDefault="00F04E7E" w:rsidP="00F04E7E">
            <w:pPr>
              <w:pStyle w:val="Tabletext"/>
            </w:pPr>
            <w:r w:rsidRPr="00DF5908">
              <w:t>A note has been included to emphasise that fair value information should be disclosed for the comparative period.</w:t>
            </w:r>
          </w:p>
        </w:tc>
        <w:tc>
          <w:tcPr>
            <w:cnfStyle w:val="000100000000" w:firstRow="0" w:lastRow="0" w:firstColumn="0" w:lastColumn="1" w:oddVBand="0" w:evenVBand="0" w:oddHBand="0" w:evenHBand="0" w:firstRowFirstColumn="0" w:firstRowLastColumn="0" w:lastRowFirstColumn="0" w:lastRowLastColumn="0"/>
            <w:tcW w:w="636" w:type="pct"/>
          </w:tcPr>
          <w:p w:rsidR="00F04E7E" w:rsidRPr="00DF5908" w:rsidRDefault="00F04E7E" w:rsidP="001C4C3D">
            <w:pPr>
              <w:pStyle w:val="Tabletextcentred"/>
            </w:pPr>
            <w:r w:rsidRPr="00DF5908">
              <w:t>212</w:t>
            </w:r>
          </w:p>
        </w:tc>
      </w:tr>
      <w:tr w:rsidR="00F04E7E" w:rsidRPr="00DF5908" w:rsidTr="00F04E7E">
        <w:tc>
          <w:tcPr>
            <w:cnfStyle w:val="001000000000" w:firstRow="0" w:lastRow="0" w:firstColumn="1" w:lastColumn="0" w:oddVBand="0" w:evenVBand="0" w:oddHBand="0" w:evenHBand="0" w:firstRowFirstColumn="0" w:firstRowLastColumn="0" w:lastRowFirstColumn="0" w:lastRowLastColumn="0"/>
            <w:tcW w:w="868" w:type="pct"/>
          </w:tcPr>
          <w:p w:rsidR="00CA1FC2" w:rsidRPr="00DF5908" w:rsidRDefault="00F04E7E" w:rsidP="00F04E7E">
            <w:pPr>
              <w:pStyle w:val="Tabletext"/>
            </w:pPr>
            <w:r w:rsidRPr="00DF5908">
              <w:rPr>
                <w:color w:val="FF0000"/>
              </w:rPr>
              <w:t xml:space="preserve">[New] </w:t>
            </w:r>
            <w:r w:rsidR="00DA4121" w:rsidRPr="00DF5908">
              <w:t>Note </w:t>
            </w:r>
            <w:r w:rsidRPr="00DF5908">
              <w:t>19</w:t>
            </w:r>
          </w:p>
          <w:p w:rsidR="00F04E7E" w:rsidRPr="00DF5908" w:rsidRDefault="00CC3B91" w:rsidP="00F04E7E">
            <w:pPr>
              <w:pStyle w:val="Tabletext"/>
              <w:rPr>
                <w:color w:val="FF0000"/>
              </w:rPr>
            </w:pPr>
            <w:r w:rsidRPr="00DF5908">
              <w:t xml:space="preserve">– </w:t>
            </w:r>
            <w:r w:rsidRPr="00DF5908">
              <w:rPr>
                <w:i/>
              </w:rPr>
              <w:t>Investment properties</w:t>
            </w:r>
          </w:p>
        </w:tc>
        <w:tc>
          <w:tcPr>
            <w:cnfStyle w:val="000010000000" w:firstRow="0" w:lastRow="0" w:firstColumn="0" w:lastColumn="0" w:oddVBand="1" w:evenVBand="0" w:oddHBand="0" w:evenHBand="0" w:firstRowFirstColumn="0" w:firstRowLastColumn="0" w:lastRowFirstColumn="0" w:lastRowLastColumn="0"/>
            <w:tcW w:w="995" w:type="pct"/>
          </w:tcPr>
          <w:p w:rsidR="00F04E7E" w:rsidRPr="00DF5908" w:rsidRDefault="00F04E7E" w:rsidP="00F04E7E">
            <w:pPr>
              <w:pStyle w:val="Tabletext"/>
            </w:pPr>
            <w:r w:rsidRPr="00DF5908">
              <w:t>General improvements</w:t>
            </w:r>
          </w:p>
        </w:tc>
        <w:tc>
          <w:tcPr>
            <w:cnfStyle w:val="000001000000" w:firstRow="0" w:lastRow="0" w:firstColumn="0" w:lastColumn="0" w:oddVBand="0" w:evenVBand="1" w:oddHBand="0" w:evenHBand="0" w:firstRowFirstColumn="0" w:firstRowLastColumn="0" w:lastRowFirstColumn="0" w:lastRowLastColumn="0"/>
            <w:tcW w:w="2501" w:type="pct"/>
          </w:tcPr>
          <w:p w:rsidR="00F04E7E" w:rsidRPr="00DF5908" w:rsidRDefault="00F04E7E" w:rsidP="00F04E7E">
            <w:pPr>
              <w:pStyle w:val="Tabletext"/>
            </w:pPr>
            <w:r w:rsidRPr="00DF5908">
              <w:t>Additional illustrative disclosures have been included (Table 19.3) to emphasise that fair value information should be disclosed for the comparative period.</w:t>
            </w:r>
          </w:p>
        </w:tc>
        <w:tc>
          <w:tcPr>
            <w:cnfStyle w:val="000100000000" w:firstRow="0" w:lastRow="0" w:firstColumn="0" w:lastColumn="1" w:oddVBand="0" w:evenVBand="0" w:oddHBand="0" w:evenHBand="0" w:firstRowFirstColumn="0" w:firstRowLastColumn="0" w:lastRowFirstColumn="0" w:lastRowLastColumn="0"/>
            <w:tcW w:w="636" w:type="pct"/>
          </w:tcPr>
          <w:p w:rsidR="00F04E7E" w:rsidRPr="00DF5908" w:rsidRDefault="00F04E7E" w:rsidP="001C4C3D">
            <w:pPr>
              <w:pStyle w:val="Tabletextcentred"/>
            </w:pPr>
            <w:r w:rsidRPr="00DF5908">
              <w:t>215</w:t>
            </w:r>
          </w:p>
        </w:tc>
      </w:tr>
      <w:tr w:rsidR="00F04E7E" w:rsidRPr="00DF5908" w:rsidTr="00F04E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F04E7E" w:rsidRPr="00DF5908" w:rsidRDefault="00F04E7E" w:rsidP="00DA4121">
            <w:pPr>
              <w:pStyle w:val="Tabletext"/>
            </w:pPr>
            <w:r w:rsidRPr="00DF5908">
              <w:rPr>
                <w:color w:val="FF0000"/>
              </w:rPr>
              <w:t xml:space="preserve">[New] </w:t>
            </w:r>
            <w:r w:rsidR="00DA4121" w:rsidRPr="00DF5908">
              <w:t>Note </w:t>
            </w:r>
            <w:r w:rsidRPr="00DF5908">
              <w:t>31(b) –</w:t>
            </w:r>
            <w:r w:rsidR="00DA4121" w:rsidRPr="00DF5908">
              <w:t xml:space="preserve"> </w:t>
            </w:r>
            <w:r w:rsidRPr="00DF5908">
              <w:rPr>
                <w:i/>
              </w:rPr>
              <w:t>Commitments for expenditure</w:t>
            </w:r>
          </w:p>
        </w:tc>
        <w:tc>
          <w:tcPr>
            <w:cnfStyle w:val="000010000000" w:firstRow="0" w:lastRow="0" w:firstColumn="0" w:lastColumn="0" w:oddVBand="1" w:evenVBand="0" w:oddHBand="0" w:evenHBand="0" w:firstRowFirstColumn="0" w:firstRowLastColumn="0" w:lastRowFirstColumn="0" w:lastRowLastColumn="0"/>
            <w:tcW w:w="995" w:type="pct"/>
          </w:tcPr>
          <w:p w:rsidR="00F04E7E" w:rsidRPr="00DF5908" w:rsidRDefault="00F04E7E" w:rsidP="00F04E7E">
            <w:pPr>
              <w:pStyle w:val="Tabletext"/>
            </w:pPr>
            <w:r w:rsidRPr="00DF5908">
              <w:t>General improvements</w:t>
            </w:r>
          </w:p>
        </w:tc>
        <w:tc>
          <w:tcPr>
            <w:cnfStyle w:val="000001000000" w:firstRow="0" w:lastRow="0" w:firstColumn="0" w:lastColumn="0" w:oddVBand="0" w:evenVBand="1" w:oddHBand="0" w:evenHBand="0" w:firstRowFirstColumn="0" w:firstRowLastColumn="0" w:lastRowFirstColumn="0" w:lastRowLastColumn="0"/>
            <w:tcW w:w="2501" w:type="pct"/>
          </w:tcPr>
          <w:p w:rsidR="00F04E7E" w:rsidRPr="00DF5908" w:rsidRDefault="00F04E7E" w:rsidP="00F04E7E">
            <w:pPr>
              <w:pStyle w:val="Tabletext"/>
            </w:pPr>
            <w:r w:rsidRPr="00DF5908">
              <w:t>Footnotes and guidance have been added to clarify that:</w:t>
            </w:r>
          </w:p>
          <w:p w:rsidR="00F04E7E" w:rsidRPr="00DF5908" w:rsidRDefault="00F04E7E" w:rsidP="005B3B9F">
            <w:pPr>
              <w:pStyle w:val="Tablebullet"/>
            </w:pPr>
            <w:r w:rsidRPr="00DF5908">
              <w:t>the minimum lease payments of uncommissioned Public Private Partnerships includes government capital contribution; and</w:t>
            </w:r>
          </w:p>
          <w:p w:rsidR="00F04E7E" w:rsidRPr="00DF5908" w:rsidRDefault="00F04E7E" w:rsidP="005B3B9F">
            <w:pPr>
              <w:pStyle w:val="Tablebullet"/>
            </w:pPr>
            <w:r w:rsidRPr="00DF5908">
              <w:t>the total commitments will not equal to the sum of the minimum lease payments and other commitments.</w:t>
            </w:r>
          </w:p>
        </w:tc>
        <w:tc>
          <w:tcPr>
            <w:cnfStyle w:val="000100000000" w:firstRow="0" w:lastRow="0" w:firstColumn="0" w:lastColumn="1" w:oddVBand="0" w:evenVBand="0" w:oddHBand="0" w:evenHBand="0" w:firstRowFirstColumn="0" w:firstRowLastColumn="0" w:lastRowFirstColumn="0" w:lastRowLastColumn="0"/>
            <w:tcW w:w="636" w:type="pct"/>
          </w:tcPr>
          <w:p w:rsidR="00F04E7E" w:rsidRPr="00DF5908" w:rsidRDefault="00F04E7E" w:rsidP="001C4C3D">
            <w:pPr>
              <w:pStyle w:val="Tabletextcentred"/>
            </w:pPr>
            <w:r w:rsidRPr="00DF5908">
              <w:t>241, 244</w:t>
            </w:r>
          </w:p>
        </w:tc>
      </w:tr>
      <w:tr w:rsidR="00F04E7E" w:rsidRPr="00DF5908" w:rsidTr="00F04E7E">
        <w:tc>
          <w:tcPr>
            <w:cnfStyle w:val="001000000000" w:firstRow="0" w:lastRow="0" w:firstColumn="1" w:lastColumn="0" w:oddVBand="0" w:evenVBand="0" w:oddHBand="0" w:evenHBand="0" w:firstRowFirstColumn="0" w:firstRowLastColumn="0" w:lastRowFirstColumn="0" w:lastRowLastColumn="0"/>
            <w:tcW w:w="868" w:type="pct"/>
          </w:tcPr>
          <w:p w:rsidR="00F04E7E" w:rsidRPr="00DF5908" w:rsidRDefault="00F04E7E" w:rsidP="00DA4121">
            <w:pPr>
              <w:pStyle w:val="Tabletext"/>
            </w:pPr>
            <w:r w:rsidRPr="00DF5908">
              <w:rPr>
                <w:color w:val="FF0000"/>
              </w:rPr>
              <w:t xml:space="preserve">[New] </w:t>
            </w:r>
            <w:r w:rsidR="00DA4121" w:rsidRPr="00DF5908">
              <w:t>Note </w:t>
            </w:r>
            <w:r w:rsidRPr="00DF5908">
              <w:t>40 –</w:t>
            </w:r>
            <w:r w:rsidR="00DA4121" w:rsidRPr="00DF5908">
              <w:t xml:space="preserve"> </w:t>
            </w:r>
            <w:r w:rsidRPr="00DF5908">
              <w:rPr>
                <w:i/>
              </w:rPr>
              <w:t>Responsible persons</w:t>
            </w:r>
          </w:p>
        </w:tc>
        <w:tc>
          <w:tcPr>
            <w:cnfStyle w:val="000010000000" w:firstRow="0" w:lastRow="0" w:firstColumn="0" w:lastColumn="0" w:oddVBand="1" w:evenVBand="0" w:oddHBand="0" w:evenHBand="0" w:firstRowFirstColumn="0" w:firstRowLastColumn="0" w:lastRowFirstColumn="0" w:lastRowLastColumn="0"/>
            <w:tcW w:w="995" w:type="pct"/>
          </w:tcPr>
          <w:p w:rsidR="00F04E7E" w:rsidRPr="00DF5908" w:rsidRDefault="00F04E7E" w:rsidP="00F04E7E">
            <w:pPr>
              <w:pStyle w:val="Tabletext"/>
            </w:pPr>
            <w:r w:rsidRPr="00DF5908">
              <w:t>General improvements</w:t>
            </w:r>
          </w:p>
        </w:tc>
        <w:tc>
          <w:tcPr>
            <w:cnfStyle w:val="000001000000" w:firstRow="0" w:lastRow="0" w:firstColumn="0" w:lastColumn="0" w:oddVBand="0" w:evenVBand="1" w:oddHBand="0" w:evenHBand="0" w:firstRowFirstColumn="0" w:firstRowLastColumn="0" w:lastRowFirstColumn="0" w:lastRowLastColumn="0"/>
            <w:tcW w:w="2501" w:type="pct"/>
          </w:tcPr>
          <w:p w:rsidR="00F04E7E" w:rsidRPr="00DF5908" w:rsidRDefault="00F04E7E" w:rsidP="00F04E7E">
            <w:pPr>
              <w:pStyle w:val="Tabletext"/>
            </w:pPr>
            <w:r w:rsidRPr="00DF5908">
              <w:t>Information has been included regarding the related party transactions of ministers and the register of members</w:t>
            </w:r>
            <w:r w:rsidR="006535B0" w:rsidRPr="00DF5908">
              <w:t>’</w:t>
            </w:r>
            <w:r w:rsidRPr="00DF5908">
              <w:t xml:space="preserve"> interests, which is publicly available from: </w:t>
            </w:r>
            <w:hyperlink r:id="rId9" w:history="1">
              <w:r w:rsidRPr="00DF5908">
                <w:rPr>
                  <w:rStyle w:val="Hyperlink"/>
                </w:rPr>
                <w:t>www.parliament.vic.gov.au/publications/register</w:t>
              </w:r>
              <w:r w:rsidR="00B42DD7" w:rsidRPr="00DF5908">
                <w:rPr>
                  <w:rStyle w:val="Hyperlink"/>
                </w:rPr>
                <w:noBreakHyphen/>
              </w:r>
              <w:r w:rsidRPr="00DF5908">
                <w:rPr>
                  <w:rStyle w:val="Hyperlink"/>
                </w:rPr>
                <w:t>of</w:t>
              </w:r>
              <w:r w:rsidR="00B42DD7" w:rsidRPr="00DF5908">
                <w:rPr>
                  <w:rStyle w:val="Hyperlink"/>
                </w:rPr>
                <w:noBreakHyphen/>
              </w:r>
              <w:r w:rsidRPr="00DF5908">
                <w:rPr>
                  <w:rStyle w:val="Hyperlink"/>
                </w:rPr>
                <w:t>interests</w:t>
              </w:r>
            </w:hyperlink>
            <w:r w:rsidRPr="00DF5908">
              <w:t>.</w:t>
            </w:r>
          </w:p>
          <w:p w:rsidR="00F04E7E" w:rsidRPr="00DF5908" w:rsidRDefault="00F04E7E" w:rsidP="00F04E7E">
            <w:pPr>
              <w:pStyle w:val="Tabletext"/>
            </w:pPr>
            <w:r w:rsidRPr="00DF5908">
              <w:t xml:space="preserve">This relates to the related party disclosures required by </w:t>
            </w:r>
            <w:r w:rsidR="00DA4121" w:rsidRPr="00DF5908">
              <w:t>FRD </w:t>
            </w:r>
            <w:r w:rsidRPr="00DF5908">
              <w:t>21B Disclosures of Responsible Persons, Executive Officers and Other Personnel (Contractors with Significant Management Responsibilities) in the Financial Report.</w:t>
            </w:r>
          </w:p>
        </w:tc>
        <w:tc>
          <w:tcPr>
            <w:cnfStyle w:val="000100000000" w:firstRow="0" w:lastRow="0" w:firstColumn="0" w:lastColumn="1" w:oddVBand="0" w:evenVBand="0" w:oddHBand="0" w:evenHBand="0" w:firstRowFirstColumn="0" w:firstRowLastColumn="0" w:lastRowFirstColumn="0" w:lastRowLastColumn="0"/>
            <w:tcW w:w="636" w:type="pct"/>
          </w:tcPr>
          <w:p w:rsidR="00F04E7E" w:rsidRPr="00DF5908" w:rsidRDefault="00F04E7E" w:rsidP="001C4C3D">
            <w:pPr>
              <w:pStyle w:val="Tabletextcentred"/>
            </w:pPr>
            <w:r w:rsidRPr="00DF5908">
              <w:t>301</w:t>
            </w:r>
            <w:r w:rsidR="00B42DD7" w:rsidRPr="00DF5908">
              <w:noBreakHyphen/>
            </w:r>
            <w:r w:rsidRPr="00DF5908">
              <w:t>302</w:t>
            </w:r>
          </w:p>
        </w:tc>
      </w:tr>
      <w:tr w:rsidR="00F04E7E" w:rsidRPr="00DF5908" w:rsidDel="007D7B44" w:rsidTr="00F04E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F04E7E" w:rsidRPr="00DF5908" w:rsidRDefault="00F04E7E" w:rsidP="00DA4121">
            <w:pPr>
              <w:pStyle w:val="Tabletext"/>
            </w:pPr>
            <w:r w:rsidRPr="00DF5908">
              <w:rPr>
                <w:color w:val="FF0000"/>
              </w:rPr>
              <w:t xml:space="preserve">[New] </w:t>
            </w:r>
            <w:r w:rsidR="00DA4121" w:rsidRPr="00DF5908">
              <w:t>Note </w:t>
            </w:r>
            <w:r w:rsidRPr="00DF5908">
              <w:t>44 –</w:t>
            </w:r>
            <w:r w:rsidR="00DA4121" w:rsidRPr="00DF5908">
              <w:t xml:space="preserve"> </w:t>
            </w:r>
            <w:r w:rsidRPr="00DF5908">
              <w:rPr>
                <w:i/>
              </w:rPr>
              <w:t>Glossary of terms and style conventions</w:t>
            </w:r>
          </w:p>
        </w:tc>
        <w:tc>
          <w:tcPr>
            <w:cnfStyle w:val="000010000000" w:firstRow="0" w:lastRow="0" w:firstColumn="0" w:lastColumn="0" w:oddVBand="1" w:evenVBand="0" w:oddHBand="0" w:evenHBand="0" w:firstRowFirstColumn="0" w:firstRowLastColumn="0" w:lastRowFirstColumn="0" w:lastRowLastColumn="0"/>
            <w:tcW w:w="995" w:type="pct"/>
          </w:tcPr>
          <w:p w:rsidR="00F04E7E" w:rsidRPr="00DF5908" w:rsidRDefault="00F04E7E" w:rsidP="00F04E7E">
            <w:pPr>
              <w:pStyle w:val="Tabletext"/>
            </w:pPr>
            <w:r w:rsidRPr="00DF5908">
              <w:t>General improvements</w:t>
            </w:r>
          </w:p>
        </w:tc>
        <w:tc>
          <w:tcPr>
            <w:cnfStyle w:val="000001000000" w:firstRow="0" w:lastRow="0" w:firstColumn="0" w:lastColumn="0" w:oddVBand="0" w:evenVBand="1" w:oddHBand="0" w:evenHBand="0" w:firstRowFirstColumn="0" w:firstRowLastColumn="0" w:lastRowFirstColumn="0" w:lastRowLastColumn="0"/>
            <w:tcW w:w="2501" w:type="pct"/>
          </w:tcPr>
          <w:p w:rsidR="00F04E7E" w:rsidRPr="00DF5908" w:rsidRDefault="00F04E7E" w:rsidP="00F04E7E">
            <w:pPr>
              <w:pStyle w:val="Tabletext"/>
            </w:pPr>
            <w:r w:rsidRPr="00DF5908">
              <w:t xml:space="preserve">The definitions of </w:t>
            </w:r>
            <w:r w:rsidR="006535B0" w:rsidRPr="00DF5908">
              <w:t>‘</w:t>
            </w:r>
            <w:r w:rsidRPr="00DF5908">
              <w:t>administered item</w:t>
            </w:r>
            <w:r w:rsidR="006535B0" w:rsidRPr="00DF5908">
              <w:t>’</w:t>
            </w:r>
            <w:r w:rsidRPr="00DF5908">
              <w:t xml:space="preserve"> and </w:t>
            </w:r>
            <w:r w:rsidR="006535B0" w:rsidRPr="00DF5908">
              <w:t>‘</w:t>
            </w:r>
            <w:r w:rsidRPr="00DF5908">
              <w:t>controlled item</w:t>
            </w:r>
            <w:r w:rsidR="006535B0" w:rsidRPr="00DF5908">
              <w:t>’</w:t>
            </w:r>
            <w:r w:rsidRPr="00DF5908">
              <w:t xml:space="preserve"> have been included.</w:t>
            </w:r>
          </w:p>
        </w:tc>
        <w:tc>
          <w:tcPr>
            <w:cnfStyle w:val="000100000000" w:firstRow="0" w:lastRow="0" w:firstColumn="0" w:lastColumn="1" w:oddVBand="0" w:evenVBand="0" w:oddHBand="0" w:evenHBand="0" w:firstRowFirstColumn="0" w:firstRowLastColumn="0" w:lastRowFirstColumn="0" w:lastRowLastColumn="0"/>
            <w:tcW w:w="636" w:type="pct"/>
          </w:tcPr>
          <w:p w:rsidR="00F04E7E" w:rsidRPr="00DF5908" w:rsidRDefault="00F04E7E" w:rsidP="001C4C3D">
            <w:pPr>
              <w:pStyle w:val="Tabletextcentred"/>
            </w:pPr>
            <w:r w:rsidRPr="00DF5908">
              <w:t>309</w:t>
            </w:r>
          </w:p>
        </w:tc>
      </w:tr>
    </w:tbl>
    <w:p w:rsidR="007800B3" w:rsidRPr="00DF5908" w:rsidRDefault="007800B3" w:rsidP="005E6AE4">
      <w:pPr>
        <w:pStyle w:val="Tabletext"/>
      </w:pPr>
    </w:p>
    <w:p w:rsidR="005B3B9F" w:rsidRPr="00DF5908" w:rsidRDefault="005B3B9F">
      <w:pPr>
        <w:spacing w:before="0" w:after="200"/>
        <w:rPr>
          <w:sz w:val="17"/>
        </w:rPr>
      </w:pPr>
      <w:r w:rsidRPr="00DF5908">
        <w:br w:type="page"/>
      </w:r>
    </w:p>
    <w:tbl>
      <w:tblPr>
        <w:tblStyle w:val="DTFtexttable"/>
        <w:tblW w:w="5000" w:type="pct"/>
        <w:tblLook w:val="01A0" w:firstRow="1" w:lastRow="0" w:firstColumn="1" w:lastColumn="1" w:noHBand="0" w:noVBand="0"/>
      </w:tblPr>
      <w:tblGrid>
        <w:gridCol w:w="1587"/>
        <w:gridCol w:w="1819"/>
        <w:gridCol w:w="4570"/>
        <w:gridCol w:w="1164"/>
      </w:tblGrid>
      <w:tr w:rsidR="005B3B9F" w:rsidRPr="00DF5908" w:rsidTr="00A21D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000" w:type="pct"/>
            <w:gridSpan w:val="4"/>
          </w:tcPr>
          <w:p w:rsidR="005B3B9F" w:rsidRPr="00DF5908" w:rsidRDefault="005B3B9F" w:rsidP="005B3B9F">
            <w:pPr>
              <w:pStyle w:val="Tableheader"/>
            </w:pPr>
            <w:r w:rsidRPr="00DF5908">
              <w:lastRenderedPageBreak/>
              <w:br w:type="page"/>
              <w:t>Summary of changes – Appendices</w:t>
            </w:r>
          </w:p>
        </w:tc>
      </w:tr>
      <w:tr w:rsidR="005B3B9F" w:rsidRPr="00DF5908" w:rsidTr="00A21D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68" w:type="pct"/>
            <w:shd w:val="clear" w:color="auto" w:fill="749CC9" w:themeFill="accent3"/>
          </w:tcPr>
          <w:p w:rsidR="005B3B9F" w:rsidRPr="00DF5908" w:rsidRDefault="005B3B9F" w:rsidP="005B3B9F">
            <w:pPr>
              <w:pStyle w:val="Tableheader"/>
              <w:rPr>
                <w:sz w:val="18"/>
                <w:szCs w:val="18"/>
              </w:rPr>
            </w:pPr>
            <w:r w:rsidRPr="00DF5908">
              <w:rPr>
                <w:sz w:val="18"/>
                <w:szCs w:val="18"/>
              </w:rPr>
              <w:t xml:space="preserve">Subject matter </w:t>
            </w:r>
          </w:p>
        </w:tc>
        <w:tc>
          <w:tcPr>
            <w:cnfStyle w:val="000010000000" w:firstRow="0" w:lastRow="0" w:firstColumn="0" w:lastColumn="0" w:oddVBand="1" w:evenVBand="0" w:oddHBand="0" w:evenHBand="0" w:firstRowFirstColumn="0" w:firstRowLastColumn="0" w:lastRowFirstColumn="0" w:lastRowLastColumn="0"/>
            <w:tcW w:w="995" w:type="pct"/>
            <w:shd w:val="clear" w:color="auto" w:fill="749CC9" w:themeFill="accent3"/>
          </w:tcPr>
          <w:p w:rsidR="005B3B9F" w:rsidRPr="00DF5908" w:rsidRDefault="005B3B9F" w:rsidP="005B3B9F">
            <w:pPr>
              <w:pStyle w:val="Tableheader"/>
              <w:rPr>
                <w:sz w:val="18"/>
                <w:szCs w:val="18"/>
              </w:rPr>
            </w:pPr>
            <w:r w:rsidRPr="00DF5908">
              <w:rPr>
                <w:sz w:val="18"/>
                <w:szCs w:val="18"/>
              </w:rPr>
              <w:t>Source of change</w:t>
            </w:r>
          </w:p>
        </w:tc>
        <w:tc>
          <w:tcPr>
            <w:cnfStyle w:val="000001000000" w:firstRow="0" w:lastRow="0" w:firstColumn="0" w:lastColumn="0" w:oddVBand="0" w:evenVBand="1" w:oddHBand="0" w:evenHBand="0" w:firstRowFirstColumn="0" w:firstRowLastColumn="0" w:lastRowFirstColumn="0" w:lastRowLastColumn="0"/>
            <w:tcW w:w="2500" w:type="pct"/>
            <w:shd w:val="clear" w:color="auto" w:fill="749CC9" w:themeFill="accent3"/>
          </w:tcPr>
          <w:p w:rsidR="005B3B9F" w:rsidRPr="00DF5908" w:rsidRDefault="005B3B9F" w:rsidP="005B3B9F">
            <w:pPr>
              <w:pStyle w:val="Tableheader"/>
              <w:rPr>
                <w:sz w:val="18"/>
                <w:szCs w:val="18"/>
              </w:rPr>
            </w:pPr>
            <w:r w:rsidRPr="00DF5908">
              <w:rPr>
                <w:sz w:val="18"/>
                <w:szCs w:val="18"/>
              </w:rPr>
              <w:t>Summary of changes applied to the relevant sections in the Appendices</w:t>
            </w:r>
          </w:p>
        </w:tc>
        <w:tc>
          <w:tcPr>
            <w:cnfStyle w:val="000100001000" w:firstRow="0" w:lastRow="0" w:firstColumn="0" w:lastColumn="1" w:oddVBand="0" w:evenVBand="0" w:oddHBand="0" w:evenHBand="0" w:firstRowFirstColumn="0" w:firstRowLastColumn="1" w:lastRowFirstColumn="0" w:lastRowLastColumn="0"/>
            <w:tcW w:w="637" w:type="pct"/>
            <w:shd w:val="clear" w:color="auto" w:fill="749CC9" w:themeFill="accent3"/>
          </w:tcPr>
          <w:p w:rsidR="005B3B9F" w:rsidRPr="00DF5908" w:rsidRDefault="005B3B9F" w:rsidP="001C4C3D">
            <w:pPr>
              <w:pStyle w:val="Tableheader"/>
              <w:jc w:val="center"/>
              <w:rPr>
                <w:sz w:val="18"/>
                <w:szCs w:val="18"/>
              </w:rPr>
            </w:pPr>
            <w:r w:rsidRPr="00DF5908">
              <w:rPr>
                <w:sz w:val="18"/>
                <w:szCs w:val="18"/>
              </w:rPr>
              <w:t>Page reference</w:t>
            </w:r>
          </w:p>
        </w:tc>
      </w:tr>
      <w:tr w:rsidR="005B3B9F" w:rsidRPr="00DF5908" w:rsidTr="00A21D12">
        <w:tc>
          <w:tcPr>
            <w:cnfStyle w:val="001000000000" w:firstRow="0" w:lastRow="0" w:firstColumn="1" w:lastColumn="0" w:oddVBand="0" w:evenVBand="0" w:oddHBand="0" w:evenHBand="0" w:firstRowFirstColumn="0" w:firstRowLastColumn="0" w:lastRowFirstColumn="0" w:lastRowLastColumn="0"/>
            <w:tcW w:w="868" w:type="pct"/>
          </w:tcPr>
          <w:p w:rsidR="005B3B9F" w:rsidRPr="00DF5908" w:rsidRDefault="005B3B9F" w:rsidP="00A21D12">
            <w:pPr>
              <w:pStyle w:val="Tabletext"/>
            </w:pPr>
            <w:r w:rsidRPr="00DF5908">
              <w:rPr>
                <w:color w:val="FF0000"/>
              </w:rPr>
              <w:t xml:space="preserve">[Revised] </w:t>
            </w:r>
            <w:r w:rsidR="00DA4121" w:rsidRPr="00DF5908">
              <w:t>Appendix </w:t>
            </w:r>
            <w:r w:rsidRPr="00DF5908">
              <w:t xml:space="preserve">1 – </w:t>
            </w:r>
            <w:r w:rsidRPr="00DF5908">
              <w:rPr>
                <w:i/>
              </w:rPr>
              <w:t>Extracts of whole of government financial statements and analysis of disclosures</w:t>
            </w:r>
          </w:p>
        </w:tc>
        <w:tc>
          <w:tcPr>
            <w:cnfStyle w:val="000010000000" w:firstRow="0" w:lastRow="0" w:firstColumn="0" w:lastColumn="0" w:oddVBand="1" w:evenVBand="0" w:oddHBand="0" w:evenHBand="0" w:firstRowFirstColumn="0" w:firstRowLastColumn="0" w:lastRowFirstColumn="0" w:lastRowLastColumn="0"/>
            <w:tcW w:w="995" w:type="pct"/>
          </w:tcPr>
          <w:p w:rsidR="005B3B9F" w:rsidRPr="00DF5908" w:rsidRDefault="005B3B9F" w:rsidP="00A21D12">
            <w:pPr>
              <w:pStyle w:val="Tabletext"/>
            </w:pPr>
            <w:r w:rsidRPr="00DF5908">
              <w:t>General update</w:t>
            </w:r>
          </w:p>
        </w:tc>
        <w:tc>
          <w:tcPr>
            <w:cnfStyle w:val="000001000000" w:firstRow="0" w:lastRow="0" w:firstColumn="0" w:lastColumn="0" w:oddVBand="0" w:evenVBand="1" w:oddHBand="0" w:evenHBand="0" w:firstRowFirstColumn="0" w:firstRowLastColumn="0" w:lastRowFirstColumn="0" w:lastRowLastColumn="0"/>
            <w:tcW w:w="2500" w:type="pct"/>
          </w:tcPr>
          <w:p w:rsidR="005B3B9F" w:rsidRPr="00DF5908" w:rsidRDefault="005B3B9F" w:rsidP="00A21D12">
            <w:pPr>
              <w:pStyle w:val="Tabletext"/>
            </w:pPr>
            <w:r w:rsidRPr="00DF5908">
              <w:t>The financial statements for the Victorian general government sector have been updated to the latest versions.</w:t>
            </w:r>
          </w:p>
        </w:tc>
        <w:tc>
          <w:tcPr>
            <w:cnfStyle w:val="000100000000" w:firstRow="0" w:lastRow="0" w:firstColumn="0" w:lastColumn="1" w:oddVBand="0" w:evenVBand="0" w:oddHBand="0" w:evenHBand="0" w:firstRowFirstColumn="0" w:firstRowLastColumn="0" w:lastRowFirstColumn="0" w:lastRowLastColumn="0"/>
            <w:tcW w:w="637" w:type="pct"/>
          </w:tcPr>
          <w:p w:rsidR="005B3B9F" w:rsidRPr="00DF5908" w:rsidDel="00802E5F" w:rsidRDefault="00CD18EE" w:rsidP="001C4C3D">
            <w:pPr>
              <w:pStyle w:val="Tabletextcentred"/>
            </w:pPr>
            <w:r>
              <w:t>317</w:t>
            </w:r>
            <w:r w:rsidR="00B42DD7" w:rsidRPr="00DF5908">
              <w:noBreakHyphen/>
            </w:r>
            <w:r>
              <w:t>336</w:t>
            </w:r>
          </w:p>
        </w:tc>
      </w:tr>
      <w:tr w:rsidR="005B3B9F" w:rsidRPr="00DF5908" w:rsidTr="00A21D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5B3B9F" w:rsidRPr="00DF5908" w:rsidRDefault="005B3B9F" w:rsidP="00B96C9B">
            <w:pPr>
              <w:pStyle w:val="Tabletext"/>
            </w:pPr>
            <w:r w:rsidRPr="00DF5908">
              <w:rPr>
                <w:color w:val="FF0000"/>
              </w:rPr>
              <w:t xml:space="preserve">[Revised] </w:t>
            </w:r>
            <w:r w:rsidR="00DA4121" w:rsidRPr="00DF5908">
              <w:t>Appendix </w:t>
            </w:r>
            <w:r w:rsidRPr="00DF5908">
              <w:t xml:space="preserve">2 – </w:t>
            </w:r>
            <w:r w:rsidRPr="00DF5908">
              <w:rPr>
                <w:i/>
              </w:rPr>
              <w:t>Practical classification guide between transactions and other economic flows</w:t>
            </w:r>
          </w:p>
        </w:tc>
        <w:tc>
          <w:tcPr>
            <w:cnfStyle w:val="000010000000" w:firstRow="0" w:lastRow="0" w:firstColumn="0" w:lastColumn="0" w:oddVBand="1" w:evenVBand="0" w:oddHBand="0" w:evenHBand="0" w:firstRowFirstColumn="0" w:firstRowLastColumn="0" w:lastRowFirstColumn="0" w:lastRowLastColumn="0"/>
            <w:tcW w:w="995" w:type="pct"/>
          </w:tcPr>
          <w:p w:rsidR="005B3B9F" w:rsidRPr="00DF5908" w:rsidRDefault="005B3B9F" w:rsidP="00A21D12">
            <w:pPr>
              <w:pStyle w:val="Tabletext"/>
            </w:pPr>
            <w:r w:rsidRPr="00DF5908">
              <w:t>General improvements</w:t>
            </w:r>
          </w:p>
        </w:tc>
        <w:tc>
          <w:tcPr>
            <w:cnfStyle w:val="000001000000" w:firstRow="0" w:lastRow="0" w:firstColumn="0" w:lastColumn="0" w:oddVBand="0" w:evenVBand="1" w:oddHBand="0" w:evenHBand="0" w:firstRowFirstColumn="0" w:firstRowLastColumn="0" w:lastRowFirstColumn="0" w:lastRowLastColumn="0"/>
            <w:tcW w:w="2500" w:type="pct"/>
          </w:tcPr>
          <w:p w:rsidR="005B3B9F" w:rsidRPr="00DF5908" w:rsidRDefault="005B3B9F" w:rsidP="00A21D12">
            <w:pPr>
              <w:pStyle w:val="Tabletext"/>
            </w:pPr>
            <w:r w:rsidRPr="00DF5908">
              <w:t>The table has been updated to reflect that movements in the long service leave provision associated with a change in the bond rates or a change in the estimates applied will be classified as other economic flows included in net result.</w:t>
            </w:r>
          </w:p>
        </w:tc>
        <w:tc>
          <w:tcPr>
            <w:cnfStyle w:val="000100000000" w:firstRow="0" w:lastRow="0" w:firstColumn="0" w:lastColumn="1" w:oddVBand="0" w:evenVBand="0" w:oddHBand="0" w:evenHBand="0" w:firstRowFirstColumn="0" w:firstRowLastColumn="0" w:lastRowFirstColumn="0" w:lastRowLastColumn="0"/>
            <w:tcW w:w="637" w:type="pct"/>
          </w:tcPr>
          <w:p w:rsidR="005B3B9F" w:rsidRPr="00DF5908" w:rsidRDefault="00CD18EE" w:rsidP="001C4C3D">
            <w:pPr>
              <w:pStyle w:val="Tabletextcentred"/>
            </w:pPr>
            <w:r>
              <w:t>337</w:t>
            </w:r>
          </w:p>
        </w:tc>
      </w:tr>
      <w:tr w:rsidR="005B3B9F" w:rsidRPr="00DF5908" w:rsidTr="00A21D12">
        <w:tc>
          <w:tcPr>
            <w:cnfStyle w:val="001000000000" w:firstRow="0" w:lastRow="0" w:firstColumn="1" w:lastColumn="0" w:oddVBand="0" w:evenVBand="0" w:oddHBand="0" w:evenHBand="0" w:firstRowFirstColumn="0" w:firstRowLastColumn="0" w:lastRowFirstColumn="0" w:lastRowLastColumn="0"/>
            <w:tcW w:w="868" w:type="pct"/>
          </w:tcPr>
          <w:p w:rsidR="005B3B9F" w:rsidRPr="00DF5908" w:rsidRDefault="005B3B9F" w:rsidP="00A21D12">
            <w:pPr>
              <w:pStyle w:val="Tabletext"/>
            </w:pPr>
            <w:r w:rsidRPr="00DF5908">
              <w:rPr>
                <w:color w:val="FF0000"/>
              </w:rPr>
              <w:t>[Revised]</w:t>
            </w:r>
            <w:r w:rsidRPr="00DF5908">
              <w:t xml:space="preserve"> </w:t>
            </w:r>
            <w:r w:rsidR="00DA4121" w:rsidRPr="00DF5908">
              <w:t>Appendix </w:t>
            </w:r>
            <w:r w:rsidRPr="00DF5908">
              <w:t xml:space="preserve">5 – </w:t>
            </w:r>
            <w:r w:rsidRPr="00DF5908">
              <w:rPr>
                <w:i/>
              </w:rPr>
              <w:t>Summary of new/revised accounting standards effective for current and fu</w:t>
            </w:r>
            <w:r w:rsidR="00A21D12" w:rsidRPr="00DF5908">
              <w:rPr>
                <w:i/>
              </w:rPr>
              <w:t>ture reporting periods [as at 1 </w:t>
            </w:r>
            <w:r w:rsidRPr="00DF5908">
              <w:rPr>
                <w:i/>
              </w:rPr>
              <w:t>March 2016]</w:t>
            </w:r>
          </w:p>
        </w:tc>
        <w:tc>
          <w:tcPr>
            <w:cnfStyle w:val="000010000000" w:firstRow="0" w:lastRow="0" w:firstColumn="0" w:lastColumn="0" w:oddVBand="1" w:evenVBand="0" w:oddHBand="0" w:evenHBand="0" w:firstRowFirstColumn="0" w:firstRowLastColumn="0" w:lastRowFirstColumn="0" w:lastRowLastColumn="0"/>
            <w:tcW w:w="995" w:type="pct"/>
          </w:tcPr>
          <w:p w:rsidR="005B3B9F" w:rsidRPr="00DF5908" w:rsidRDefault="005B3B9F" w:rsidP="00A21D12">
            <w:pPr>
              <w:pStyle w:val="Tabletext"/>
            </w:pPr>
            <w:r w:rsidRPr="00DF5908">
              <w:t>General update</w:t>
            </w:r>
          </w:p>
        </w:tc>
        <w:tc>
          <w:tcPr>
            <w:cnfStyle w:val="000001000000" w:firstRow="0" w:lastRow="0" w:firstColumn="0" w:lastColumn="0" w:oddVBand="0" w:evenVBand="1" w:oddHBand="0" w:evenHBand="0" w:firstRowFirstColumn="0" w:firstRowLastColumn="0" w:lastRowFirstColumn="0" w:lastRowLastColumn="0"/>
            <w:tcW w:w="2500" w:type="pct"/>
          </w:tcPr>
          <w:p w:rsidR="005B3B9F" w:rsidRPr="00DF5908" w:rsidRDefault="005B3B9F" w:rsidP="00A21D12">
            <w:pPr>
              <w:pStyle w:val="Tabletext"/>
            </w:pPr>
            <w:r w:rsidRPr="00DF5908">
              <w:t>The summary table has been updated to reflect the effective and new accounting pronouncements.</w:t>
            </w:r>
          </w:p>
        </w:tc>
        <w:tc>
          <w:tcPr>
            <w:cnfStyle w:val="000100000000" w:firstRow="0" w:lastRow="0" w:firstColumn="0" w:lastColumn="1" w:oddVBand="0" w:evenVBand="0" w:oddHBand="0" w:evenHBand="0" w:firstRowFirstColumn="0" w:firstRowLastColumn="0" w:lastRowFirstColumn="0" w:lastRowLastColumn="0"/>
            <w:tcW w:w="637" w:type="pct"/>
          </w:tcPr>
          <w:p w:rsidR="005B3B9F" w:rsidRPr="00DF5908" w:rsidRDefault="007E514F" w:rsidP="007E514F">
            <w:pPr>
              <w:pStyle w:val="Tabletextcentred"/>
            </w:pPr>
            <w:r>
              <w:t>342</w:t>
            </w:r>
            <w:r w:rsidR="00B42DD7" w:rsidRPr="00DF5908">
              <w:noBreakHyphen/>
            </w:r>
            <w:r w:rsidR="00AB7306">
              <w:t>34</w:t>
            </w:r>
            <w:r>
              <w:t>4</w:t>
            </w:r>
          </w:p>
        </w:tc>
      </w:tr>
      <w:tr w:rsidR="005B3B9F" w:rsidRPr="005B3B9F" w:rsidDel="007D7B44" w:rsidTr="00A21D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5B3B9F" w:rsidRPr="00DF5908" w:rsidRDefault="00077411" w:rsidP="00B96C9B">
            <w:pPr>
              <w:pStyle w:val="Tabletext"/>
            </w:pPr>
            <w:r>
              <w:rPr>
                <w:color w:val="FF0000"/>
              </w:rPr>
              <w:t>[Removed</w:t>
            </w:r>
            <w:r w:rsidR="005B3B9F" w:rsidRPr="00DF5908">
              <w:rPr>
                <w:color w:val="FF0000"/>
              </w:rPr>
              <w:t>]</w:t>
            </w:r>
            <w:r w:rsidR="005B3B9F" w:rsidRPr="00DF5908">
              <w:t xml:space="preserve"> </w:t>
            </w:r>
            <w:r w:rsidR="00DA4121" w:rsidRPr="00DF5908">
              <w:t>Appendix </w:t>
            </w:r>
            <w:r w:rsidR="005B3B9F" w:rsidRPr="00DF5908">
              <w:t xml:space="preserve">7 – </w:t>
            </w:r>
            <w:r w:rsidR="005B3B9F" w:rsidRPr="00DF5908">
              <w:rPr>
                <w:i/>
              </w:rPr>
              <w:t>Changes in accounting policies</w:t>
            </w:r>
          </w:p>
        </w:tc>
        <w:tc>
          <w:tcPr>
            <w:cnfStyle w:val="000010000000" w:firstRow="0" w:lastRow="0" w:firstColumn="0" w:lastColumn="0" w:oddVBand="1" w:evenVBand="0" w:oddHBand="0" w:evenHBand="0" w:firstRowFirstColumn="0" w:firstRowLastColumn="0" w:lastRowFirstColumn="0" w:lastRowLastColumn="0"/>
            <w:tcW w:w="995" w:type="pct"/>
          </w:tcPr>
          <w:p w:rsidR="005B3B9F" w:rsidRPr="00DF5908" w:rsidRDefault="005B3B9F" w:rsidP="00A21D12">
            <w:pPr>
              <w:pStyle w:val="Tabletext"/>
            </w:pPr>
            <w:r w:rsidRPr="00DF5908">
              <w:t>General improvements</w:t>
            </w:r>
          </w:p>
        </w:tc>
        <w:tc>
          <w:tcPr>
            <w:cnfStyle w:val="000001000000" w:firstRow="0" w:lastRow="0" w:firstColumn="0" w:lastColumn="0" w:oddVBand="0" w:evenVBand="1" w:oddHBand="0" w:evenHBand="0" w:firstRowFirstColumn="0" w:firstRowLastColumn="0" w:lastRowFirstColumn="0" w:lastRowLastColumn="0"/>
            <w:tcW w:w="2500" w:type="pct"/>
          </w:tcPr>
          <w:p w:rsidR="005B3B9F" w:rsidRPr="00DF5908" w:rsidRDefault="005B3B9F" w:rsidP="00A21D12">
            <w:pPr>
              <w:pStyle w:val="Tabletext"/>
            </w:pPr>
            <w:r w:rsidRPr="00DF5908">
              <w:t xml:space="preserve">The transitional illustrative disclosures on </w:t>
            </w:r>
            <w:r w:rsidR="00DA4121" w:rsidRPr="00DF5908">
              <w:t>AASB </w:t>
            </w:r>
            <w:r w:rsidRPr="00DF5908">
              <w:t xml:space="preserve">10, </w:t>
            </w:r>
            <w:r w:rsidR="00DA4121" w:rsidRPr="00DF5908">
              <w:t>AASB </w:t>
            </w:r>
            <w:r w:rsidRPr="00DF5908">
              <w:t xml:space="preserve">11 and </w:t>
            </w:r>
            <w:r w:rsidR="00DA4121" w:rsidRPr="00DF5908">
              <w:t>AASB </w:t>
            </w:r>
            <w:r w:rsidRPr="00DF5908">
              <w:t>12 have been removed because the requirements became operative from the 2014</w:t>
            </w:r>
            <w:r w:rsidR="00B42DD7" w:rsidRPr="00DF5908">
              <w:noBreakHyphen/>
            </w:r>
            <w:r w:rsidRPr="00DF5908">
              <w:t>15 reporting period.</w:t>
            </w:r>
          </w:p>
        </w:tc>
        <w:tc>
          <w:tcPr>
            <w:cnfStyle w:val="000100000000" w:firstRow="0" w:lastRow="0" w:firstColumn="0" w:lastColumn="1" w:oddVBand="0" w:evenVBand="0" w:oddHBand="0" w:evenHBand="0" w:firstRowFirstColumn="0" w:firstRowLastColumn="0" w:lastRowFirstColumn="0" w:lastRowLastColumn="0"/>
            <w:tcW w:w="637" w:type="pct"/>
          </w:tcPr>
          <w:p w:rsidR="005B3B9F" w:rsidRPr="00DF5908" w:rsidRDefault="005B3B9F" w:rsidP="001C4C3D">
            <w:pPr>
              <w:pStyle w:val="Tabletextcentred"/>
            </w:pPr>
            <w:r w:rsidRPr="00DF5908">
              <w:t>N/A</w:t>
            </w:r>
          </w:p>
        </w:tc>
      </w:tr>
      <w:tr w:rsidR="00C60A95" w:rsidRPr="005B3B9F" w:rsidDel="007D7B44" w:rsidTr="00A21D12">
        <w:tc>
          <w:tcPr>
            <w:cnfStyle w:val="001000000000" w:firstRow="0" w:lastRow="0" w:firstColumn="1" w:lastColumn="0" w:oddVBand="0" w:evenVBand="0" w:oddHBand="0" w:evenHBand="0" w:firstRowFirstColumn="0" w:firstRowLastColumn="0" w:lastRowFirstColumn="0" w:lastRowLastColumn="0"/>
            <w:tcW w:w="868" w:type="pct"/>
          </w:tcPr>
          <w:p w:rsidR="00C60A95" w:rsidRPr="00DF5908" w:rsidRDefault="00C60A95" w:rsidP="00B96C9B">
            <w:pPr>
              <w:pStyle w:val="Tabletext"/>
              <w:rPr>
                <w:color w:val="FF0000"/>
              </w:rPr>
            </w:pPr>
            <w:r w:rsidRPr="00DF5908">
              <w:rPr>
                <w:color w:val="FF0000"/>
              </w:rPr>
              <w:t>[Revised]</w:t>
            </w:r>
            <w:r w:rsidRPr="00DF5908">
              <w:t xml:space="preserve"> Appendix 7 – </w:t>
            </w:r>
            <w:r w:rsidRPr="00C60A95">
              <w:rPr>
                <w:i/>
              </w:rPr>
              <w:t>AASB 10 Consolidated Financial Statements checklist – control analysis for Victorian public sector entities</w:t>
            </w:r>
          </w:p>
        </w:tc>
        <w:tc>
          <w:tcPr>
            <w:cnfStyle w:val="000010000000" w:firstRow="0" w:lastRow="0" w:firstColumn="0" w:lastColumn="0" w:oddVBand="1" w:evenVBand="0" w:oddHBand="0" w:evenHBand="0" w:firstRowFirstColumn="0" w:firstRowLastColumn="0" w:lastRowFirstColumn="0" w:lastRowLastColumn="0"/>
            <w:tcW w:w="995" w:type="pct"/>
          </w:tcPr>
          <w:p w:rsidR="00C60A95" w:rsidRPr="00DF5908" w:rsidRDefault="00C60A95" w:rsidP="00A21D12">
            <w:pPr>
              <w:pStyle w:val="Tabletext"/>
            </w:pPr>
            <w:r w:rsidRPr="00DF5908">
              <w:t>General update</w:t>
            </w:r>
          </w:p>
        </w:tc>
        <w:tc>
          <w:tcPr>
            <w:cnfStyle w:val="000001000000" w:firstRow="0" w:lastRow="0" w:firstColumn="0" w:lastColumn="0" w:oddVBand="0" w:evenVBand="1" w:oddHBand="0" w:evenHBand="0" w:firstRowFirstColumn="0" w:firstRowLastColumn="0" w:lastRowFirstColumn="0" w:lastRowLastColumn="0"/>
            <w:tcW w:w="2500" w:type="pct"/>
          </w:tcPr>
          <w:p w:rsidR="00C60A95" w:rsidRPr="00D021B1" w:rsidRDefault="00C60A95" w:rsidP="00A21D12">
            <w:pPr>
              <w:pStyle w:val="Tabletext"/>
            </w:pPr>
            <w:r>
              <w:t xml:space="preserve">The previous Appendix 8 </w:t>
            </w:r>
            <w:r w:rsidRPr="00C60A95">
              <w:rPr>
                <w:i/>
              </w:rPr>
              <w:t>AASB 10 Consolidated Financial Statements checklist – control analysis for Victorian public sector entities</w:t>
            </w:r>
            <w:r w:rsidR="00D021B1">
              <w:t xml:space="preserve"> has been re-numbered to Appendix 7 </w:t>
            </w:r>
            <w:r w:rsidR="00D021B1" w:rsidRPr="00D021B1">
              <w:rPr>
                <w:i/>
              </w:rPr>
              <w:t>AASB 10 Consolidated Financial Statements checklist – control analysis for Victorian public sector entities</w:t>
            </w:r>
            <w:r w:rsidR="00D021B1">
              <w:t>.</w:t>
            </w:r>
          </w:p>
        </w:tc>
        <w:tc>
          <w:tcPr>
            <w:cnfStyle w:val="000100000000" w:firstRow="0" w:lastRow="0" w:firstColumn="0" w:lastColumn="1" w:oddVBand="0" w:evenVBand="0" w:oddHBand="0" w:evenHBand="0" w:firstRowFirstColumn="0" w:firstRowLastColumn="0" w:lastRowFirstColumn="0" w:lastRowLastColumn="0"/>
            <w:tcW w:w="637" w:type="pct"/>
          </w:tcPr>
          <w:p w:rsidR="00C60A95" w:rsidRPr="00DF5908" w:rsidRDefault="007E514F" w:rsidP="001C4C3D">
            <w:pPr>
              <w:pStyle w:val="Tabletextcentred"/>
            </w:pPr>
            <w:r>
              <w:t>353</w:t>
            </w:r>
          </w:p>
        </w:tc>
      </w:tr>
    </w:tbl>
    <w:p w:rsidR="005B3B9F" w:rsidRPr="00045296" w:rsidRDefault="005B3B9F" w:rsidP="005E6AE4">
      <w:pPr>
        <w:pStyle w:val="Tabletext"/>
      </w:pPr>
    </w:p>
    <w:sectPr w:rsidR="005B3B9F" w:rsidRPr="00045296" w:rsidSect="00134CEA">
      <w:headerReference w:type="default" r:id="rId10"/>
      <w:footerReference w:type="even" r:id="rId11"/>
      <w:footerReference w:type="default" r:id="rId12"/>
      <w:pgSz w:w="11906" w:h="16838" w:code="9"/>
      <w:pgMar w:top="2160" w:right="1440" w:bottom="1350" w:left="1440" w:header="706" w:footer="46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DAF" w:rsidRDefault="00986DAF" w:rsidP="002D711A">
      <w:pPr>
        <w:spacing w:after="0" w:line="240" w:lineRule="auto"/>
      </w:pPr>
      <w:r>
        <w:separator/>
      </w:r>
    </w:p>
  </w:endnote>
  <w:endnote w:type="continuationSeparator" w:id="0">
    <w:p w:rsidR="00986DAF" w:rsidRDefault="00986DAF"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213" w:rsidRPr="00014213" w:rsidRDefault="00014213" w:rsidP="00C022F9">
    <w:pPr>
      <w:pStyle w:val="Footer"/>
    </w:pPr>
    <w:r>
      <w:drawing>
        <wp:anchor distT="0" distB="0" distL="114300" distR="114300" simplePos="0" relativeHeight="251667456" behindDoc="0" locked="0" layoutInCell="1" allowOverlap="1" wp14:anchorId="2A84DA7C" wp14:editId="45BE8D7B">
          <wp:simplePos x="0" y="0"/>
          <wp:positionH relativeFrom="column">
            <wp:posOffset>4240861</wp:posOffset>
          </wp:positionH>
          <wp:positionV relativeFrom="page">
            <wp:posOffset>9493250</wp:posOffset>
          </wp:positionV>
          <wp:extent cx="1956435" cy="582930"/>
          <wp:effectExtent l="0" t="0" r="5715" b="7620"/>
          <wp:wrapNone/>
          <wp:docPr id="6"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9E3" w:rsidRDefault="004669E3" w:rsidP="004669E3">
    <w:pPr>
      <w:pStyle w:val="Spacer"/>
    </w:pPr>
  </w:p>
  <w:p w:rsidR="0041689E" w:rsidRPr="00C022F9" w:rsidRDefault="0041689E" w:rsidP="0041689E">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952F89">
      <w:rPr>
        <w:b/>
        <w:color w:val="0063A6" w:themeColor="accent1"/>
      </w:rPr>
      <w:t>Summary of changes applied to the 2015-16 Model Report</w:t>
    </w:r>
    <w:r w:rsidRPr="00C022F9">
      <w:rPr>
        <w:b/>
        <w:color w:val="0063A6" w:themeColor="accent1"/>
      </w:rPr>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952F89">
      <w:rPr>
        <w:rStyle w:val="PageNumber"/>
      </w:rPr>
      <w:t>1</w:t>
    </w:r>
    <w:r w:rsidRPr="00DE60C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DAF" w:rsidRDefault="00986DAF" w:rsidP="002D711A">
      <w:pPr>
        <w:spacing w:after="0" w:line="240" w:lineRule="auto"/>
      </w:pPr>
      <w:r>
        <w:separator/>
      </w:r>
    </w:p>
  </w:footnote>
  <w:footnote w:type="continuationSeparator" w:id="0">
    <w:p w:rsidR="00986DAF" w:rsidRDefault="00986DAF" w:rsidP="002D7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9E" w:rsidRPr="0041689E" w:rsidRDefault="0004356D">
    <w:pPr>
      <w:pStyle w:val="Header"/>
    </w:pPr>
    <w:r>
      <w:rPr>
        <w:noProof/>
      </w:rPr>
      <w:drawing>
        <wp:anchor distT="0" distB="0" distL="114300" distR="114300" simplePos="0" relativeHeight="251670528" behindDoc="0" locked="0" layoutInCell="1" allowOverlap="1" wp14:anchorId="5A29703B" wp14:editId="02C37F66">
          <wp:simplePos x="0" y="0"/>
          <wp:positionH relativeFrom="column">
            <wp:posOffset>-309880</wp:posOffset>
          </wp:positionH>
          <wp:positionV relativeFrom="page">
            <wp:posOffset>308610</wp:posOffset>
          </wp:positionV>
          <wp:extent cx="1380490" cy="4114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sidR="008E3C4E">
      <w:rPr>
        <w:noProof/>
      </w:rPr>
      <w:drawing>
        <wp:anchor distT="0" distB="0" distL="114300" distR="114300" simplePos="0" relativeHeight="251669504" behindDoc="0" locked="0" layoutInCell="1" allowOverlap="1" wp14:anchorId="20FB181D" wp14:editId="5BD8E2E2">
          <wp:simplePos x="0" y="0"/>
          <wp:positionH relativeFrom="column">
            <wp:posOffset>-914400</wp:posOffset>
          </wp:positionH>
          <wp:positionV relativeFrom="page">
            <wp:posOffset>125095</wp:posOffset>
          </wp:positionV>
          <wp:extent cx="7589520" cy="740410"/>
          <wp:effectExtent l="0" t="0" r="0" b="2540"/>
          <wp:wrapNone/>
          <wp:docPr id="5"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1">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nsid w:val="59E56D44"/>
    <w:multiLevelType w:val="hybridMultilevel"/>
    <w:tmpl w:val="3C0C207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nsid w:val="7A7E12E5"/>
    <w:multiLevelType w:val="hybridMultilevel"/>
    <w:tmpl w:val="A8B82154"/>
    <w:lvl w:ilvl="0" w:tplc="DB862236">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FD44514"/>
    <w:multiLevelType w:val="multilevel"/>
    <w:tmpl w:val="0252461C"/>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864" w:hanging="504"/>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2"/>
  </w:num>
  <w:num w:numId="2">
    <w:abstractNumId w:val="2"/>
  </w:num>
  <w:num w:numId="3">
    <w:abstractNumId w:val="2"/>
  </w:num>
  <w:num w:numId="4">
    <w:abstractNumId w:val="5"/>
  </w:num>
  <w:num w:numId="5">
    <w:abstractNumId w:val="2"/>
  </w:num>
  <w:num w:numId="6">
    <w:abstractNumId w:val="2"/>
  </w:num>
  <w:num w:numId="7">
    <w:abstractNumId w:val="2"/>
  </w:num>
  <w:num w:numId="8">
    <w:abstractNumId w:val="2"/>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
  </w:num>
  <w:num w:numId="18">
    <w:abstractNumId w:val="1"/>
  </w:num>
  <w:num w:numId="19">
    <w:abstractNumId w:val="4"/>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DAF"/>
    <w:rsid w:val="00012F6F"/>
    <w:rsid w:val="00014213"/>
    <w:rsid w:val="00014B55"/>
    <w:rsid w:val="00020E3E"/>
    <w:rsid w:val="00023BF3"/>
    <w:rsid w:val="00026811"/>
    <w:rsid w:val="0004356D"/>
    <w:rsid w:val="00045296"/>
    <w:rsid w:val="00063926"/>
    <w:rsid w:val="00075E6C"/>
    <w:rsid w:val="00077411"/>
    <w:rsid w:val="000B29AD"/>
    <w:rsid w:val="000C6372"/>
    <w:rsid w:val="000E392D"/>
    <w:rsid w:val="000F4288"/>
    <w:rsid w:val="000F7165"/>
    <w:rsid w:val="00102379"/>
    <w:rsid w:val="001065D6"/>
    <w:rsid w:val="001147D6"/>
    <w:rsid w:val="00121252"/>
    <w:rsid w:val="00124609"/>
    <w:rsid w:val="001254CE"/>
    <w:rsid w:val="00134CEA"/>
    <w:rsid w:val="001422CC"/>
    <w:rsid w:val="001575BE"/>
    <w:rsid w:val="001617B6"/>
    <w:rsid w:val="00165E66"/>
    <w:rsid w:val="001C4C3D"/>
    <w:rsid w:val="001C7BAE"/>
    <w:rsid w:val="001E31FA"/>
    <w:rsid w:val="001E64F6"/>
    <w:rsid w:val="00222135"/>
    <w:rsid w:val="00222BEB"/>
    <w:rsid w:val="00225E60"/>
    <w:rsid w:val="0023202C"/>
    <w:rsid w:val="00236203"/>
    <w:rsid w:val="00242C1C"/>
    <w:rsid w:val="00245043"/>
    <w:rsid w:val="00257760"/>
    <w:rsid w:val="00267DA4"/>
    <w:rsid w:val="00280666"/>
    <w:rsid w:val="00292D36"/>
    <w:rsid w:val="00297281"/>
    <w:rsid w:val="002C54E0"/>
    <w:rsid w:val="002D711A"/>
    <w:rsid w:val="002D7336"/>
    <w:rsid w:val="002E3396"/>
    <w:rsid w:val="003043E0"/>
    <w:rsid w:val="0031149C"/>
    <w:rsid w:val="003655FB"/>
    <w:rsid w:val="0038771C"/>
    <w:rsid w:val="0039405B"/>
    <w:rsid w:val="003A1C92"/>
    <w:rsid w:val="003A541A"/>
    <w:rsid w:val="003A6923"/>
    <w:rsid w:val="003C2C67"/>
    <w:rsid w:val="003C5BA4"/>
    <w:rsid w:val="003E1F2A"/>
    <w:rsid w:val="003E3E26"/>
    <w:rsid w:val="003F1295"/>
    <w:rsid w:val="003F1C34"/>
    <w:rsid w:val="003F76FC"/>
    <w:rsid w:val="004002EB"/>
    <w:rsid w:val="0041689E"/>
    <w:rsid w:val="004236C8"/>
    <w:rsid w:val="00427681"/>
    <w:rsid w:val="00433DB7"/>
    <w:rsid w:val="00453750"/>
    <w:rsid w:val="00456941"/>
    <w:rsid w:val="004669E3"/>
    <w:rsid w:val="004702EA"/>
    <w:rsid w:val="00482D02"/>
    <w:rsid w:val="004A7519"/>
    <w:rsid w:val="004D3518"/>
    <w:rsid w:val="004D62D6"/>
    <w:rsid w:val="00506E2C"/>
    <w:rsid w:val="00524CCA"/>
    <w:rsid w:val="0053416C"/>
    <w:rsid w:val="00541C2F"/>
    <w:rsid w:val="005461F2"/>
    <w:rsid w:val="00563527"/>
    <w:rsid w:val="0058124E"/>
    <w:rsid w:val="00584301"/>
    <w:rsid w:val="005875A3"/>
    <w:rsid w:val="005A3416"/>
    <w:rsid w:val="005B27FE"/>
    <w:rsid w:val="005B3B9F"/>
    <w:rsid w:val="005C3E6D"/>
    <w:rsid w:val="005E6AE4"/>
    <w:rsid w:val="005F61DF"/>
    <w:rsid w:val="006023F9"/>
    <w:rsid w:val="00610559"/>
    <w:rsid w:val="006332F6"/>
    <w:rsid w:val="006361E7"/>
    <w:rsid w:val="00652625"/>
    <w:rsid w:val="006534B2"/>
    <w:rsid w:val="006535B0"/>
    <w:rsid w:val="0065615D"/>
    <w:rsid w:val="00657011"/>
    <w:rsid w:val="006650B5"/>
    <w:rsid w:val="006651B1"/>
    <w:rsid w:val="00665778"/>
    <w:rsid w:val="006A5B34"/>
    <w:rsid w:val="006A5F5B"/>
    <w:rsid w:val="006C77A9"/>
    <w:rsid w:val="006F6693"/>
    <w:rsid w:val="00707FE8"/>
    <w:rsid w:val="007243B4"/>
    <w:rsid w:val="00724962"/>
    <w:rsid w:val="00724A0F"/>
    <w:rsid w:val="007320B4"/>
    <w:rsid w:val="00732162"/>
    <w:rsid w:val="00736732"/>
    <w:rsid w:val="00750CBE"/>
    <w:rsid w:val="00766B5A"/>
    <w:rsid w:val="007751F5"/>
    <w:rsid w:val="007800B3"/>
    <w:rsid w:val="007834F2"/>
    <w:rsid w:val="00791020"/>
    <w:rsid w:val="007A5F82"/>
    <w:rsid w:val="007E514F"/>
    <w:rsid w:val="007F1A4C"/>
    <w:rsid w:val="008022C3"/>
    <w:rsid w:val="008041E6"/>
    <w:rsid w:val="008065D2"/>
    <w:rsid w:val="0082194C"/>
    <w:rsid w:val="008220C4"/>
    <w:rsid w:val="008222FF"/>
    <w:rsid w:val="008241FF"/>
    <w:rsid w:val="008411E9"/>
    <w:rsid w:val="0084200F"/>
    <w:rsid w:val="00843B2C"/>
    <w:rsid w:val="008A3B15"/>
    <w:rsid w:val="008A4900"/>
    <w:rsid w:val="008D0281"/>
    <w:rsid w:val="008E3C4E"/>
    <w:rsid w:val="008F6D45"/>
    <w:rsid w:val="00905BEB"/>
    <w:rsid w:val="00952F89"/>
    <w:rsid w:val="00955547"/>
    <w:rsid w:val="009834C0"/>
    <w:rsid w:val="00986AAC"/>
    <w:rsid w:val="00986DAF"/>
    <w:rsid w:val="00986E93"/>
    <w:rsid w:val="009A1DA2"/>
    <w:rsid w:val="009A3704"/>
    <w:rsid w:val="009A4739"/>
    <w:rsid w:val="009A674F"/>
    <w:rsid w:val="009B199C"/>
    <w:rsid w:val="009B54C8"/>
    <w:rsid w:val="009B61F1"/>
    <w:rsid w:val="009B62E0"/>
    <w:rsid w:val="009C3D88"/>
    <w:rsid w:val="009E3858"/>
    <w:rsid w:val="009E70DD"/>
    <w:rsid w:val="009F2ED9"/>
    <w:rsid w:val="009F3231"/>
    <w:rsid w:val="009F5C58"/>
    <w:rsid w:val="00A023A0"/>
    <w:rsid w:val="00A1562B"/>
    <w:rsid w:val="00A170F4"/>
    <w:rsid w:val="00A21D12"/>
    <w:rsid w:val="00A2559E"/>
    <w:rsid w:val="00A25FD9"/>
    <w:rsid w:val="00A46BA8"/>
    <w:rsid w:val="00A47634"/>
    <w:rsid w:val="00A612FE"/>
    <w:rsid w:val="00AA26B8"/>
    <w:rsid w:val="00AB3FE2"/>
    <w:rsid w:val="00AB7306"/>
    <w:rsid w:val="00AC432D"/>
    <w:rsid w:val="00AD2403"/>
    <w:rsid w:val="00AD3322"/>
    <w:rsid w:val="00AD5CD5"/>
    <w:rsid w:val="00AD7864"/>
    <w:rsid w:val="00AD7E4E"/>
    <w:rsid w:val="00AF4D58"/>
    <w:rsid w:val="00AF6666"/>
    <w:rsid w:val="00B10154"/>
    <w:rsid w:val="00B42DD7"/>
    <w:rsid w:val="00B81B44"/>
    <w:rsid w:val="00B9053B"/>
    <w:rsid w:val="00B96C9B"/>
    <w:rsid w:val="00BC3422"/>
    <w:rsid w:val="00C015B9"/>
    <w:rsid w:val="00C022F9"/>
    <w:rsid w:val="00C032EA"/>
    <w:rsid w:val="00C06EB5"/>
    <w:rsid w:val="00C1145F"/>
    <w:rsid w:val="00C56A6A"/>
    <w:rsid w:val="00C60A95"/>
    <w:rsid w:val="00C637E1"/>
    <w:rsid w:val="00C70D50"/>
    <w:rsid w:val="00C907D7"/>
    <w:rsid w:val="00C92338"/>
    <w:rsid w:val="00CA1FC2"/>
    <w:rsid w:val="00CA7C3A"/>
    <w:rsid w:val="00CC2DB2"/>
    <w:rsid w:val="00CC3B91"/>
    <w:rsid w:val="00CC5F87"/>
    <w:rsid w:val="00CD0307"/>
    <w:rsid w:val="00CD18EE"/>
    <w:rsid w:val="00CD3D1B"/>
    <w:rsid w:val="00CF7DCA"/>
    <w:rsid w:val="00D021B1"/>
    <w:rsid w:val="00D211E9"/>
    <w:rsid w:val="00D2312F"/>
    <w:rsid w:val="00D269C1"/>
    <w:rsid w:val="00D40611"/>
    <w:rsid w:val="00D44953"/>
    <w:rsid w:val="00D542F3"/>
    <w:rsid w:val="00D5644B"/>
    <w:rsid w:val="00D56E25"/>
    <w:rsid w:val="00D718D7"/>
    <w:rsid w:val="00D814B7"/>
    <w:rsid w:val="00D90688"/>
    <w:rsid w:val="00DA3AAD"/>
    <w:rsid w:val="00DA4121"/>
    <w:rsid w:val="00DB0E25"/>
    <w:rsid w:val="00DB312B"/>
    <w:rsid w:val="00DC5654"/>
    <w:rsid w:val="00DC658F"/>
    <w:rsid w:val="00DC72F8"/>
    <w:rsid w:val="00DD341E"/>
    <w:rsid w:val="00DE60CC"/>
    <w:rsid w:val="00DF5908"/>
    <w:rsid w:val="00E26B32"/>
    <w:rsid w:val="00E407B6"/>
    <w:rsid w:val="00E41EF1"/>
    <w:rsid w:val="00E42942"/>
    <w:rsid w:val="00E468A6"/>
    <w:rsid w:val="00E71BDF"/>
    <w:rsid w:val="00E83CA7"/>
    <w:rsid w:val="00EC171D"/>
    <w:rsid w:val="00ED487E"/>
    <w:rsid w:val="00EE7A0D"/>
    <w:rsid w:val="00EE7B94"/>
    <w:rsid w:val="00F04E7E"/>
    <w:rsid w:val="00F076EA"/>
    <w:rsid w:val="00F12061"/>
    <w:rsid w:val="00F17CE1"/>
    <w:rsid w:val="00F2115C"/>
    <w:rsid w:val="00F22ABA"/>
    <w:rsid w:val="00F36B12"/>
    <w:rsid w:val="00F4239A"/>
    <w:rsid w:val="00F60F9F"/>
    <w:rsid w:val="00F64F08"/>
    <w:rsid w:val="00F734F5"/>
    <w:rsid w:val="00F81377"/>
    <w:rsid w:val="00F966B1"/>
    <w:rsid w:val="00F97D48"/>
    <w:rsid w:val="00FA0311"/>
    <w:rsid w:val="00FC42E5"/>
    <w:rsid w:val="00FC7AF6"/>
    <w:rsid w:val="00FD640F"/>
    <w:rsid w:val="00FD6B4C"/>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AD7864"/>
    <w:pPr>
      <w:spacing w:before="160" w:after="100"/>
    </w:pPr>
    <w:rPr>
      <w:spacing w:val="2"/>
      <w:sz w:val="24"/>
    </w:rPr>
  </w:style>
  <w:style w:type="paragraph" w:styleId="Heading1">
    <w:name w:val="heading 1"/>
    <w:next w:val="Normal"/>
    <w:link w:val="Heading1Char"/>
    <w:qFormat/>
    <w:rsid w:val="00EC171D"/>
    <w:pPr>
      <w:keepNext/>
      <w:keepLines/>
      <w:spacing w:before="600" w:after="88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A5F5B"/>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EC171D"/>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AD7864"/>
    <w:pPr>
      <w:numPr>
        <w:numId w:val="1"/>
      </w:numPr>
      <w:spacing w:before="100" w:after="100" w:line="240" w:lineRule="auto"/>
      <w:contextualSpacing/>
    </w:pPr>
    <w:rPr>
      <w:rFonts w:eastAsia="Times New Roman" w:cs="Calibri"/>
      <w:spacing w:val="2"/>
      <w:sz w:val="24"/>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5"/>
    <w:qFormat/>
    <w:rsid w:val="00EC171D"/>
    <w:pPr>
      <w:numPr>
        <w:ilvl w:val="2"/>
      </w:numPr>
    </w:pPr>
  </w:style>
  <w:style w:type="paragraph" w:customStyle="1" w:styleId="Heading1numbered">
    <w:name w:val="Heading 1 numbered"/>
    <w:basedOn w:val="Heading1"/>
    <w:next w:val="NormalIndent"/>
    <w:uiPriority w:val="4"/>
    <w:qFormat/>
    <w:rsid w:val="00EC171D"/>
    <w:pPr>
      <w:numPr>
        <w:ilvl w:val="2"/>
        <w:numId w:val="4"/>
      </w:numPr>
    </w:pPr>
  </w:style>
  <w:style w:type="paragraph" w:customStyle="1" w:styleId="Heading2numbered">
    <w:name w:val="Heading 2 numbered"/>
    <w:basedOn w:val="Heading2"/>
    <w:next w:val="NormalIndent"/>
    <w:uiPriority w:val="4"/>
    <w:qFormat/>
    <w:rsid w:val="00EC171D"/>
    <w:pPr>
      <w:numPr>
        <w:ilvl w:val="3"/>
        <w:numId w:val="4"/>
      </w:numPr>
    </w:pPr>
  </w:style>
  <w:style w:type="paragraph" w:customStyle="1" w:styleId="Heading3numbered">
    <w:name w:val="Heading 3 numbered"/>
    <w:basedOn w:val="Heading3"/>
    <w:next w:val="NormalIndent"/>
    <w:uiPriority w:val="4"/>
    <w:qFormat/>
    <w:rsid w:val="00EC171D"/>
    <w:pPr>
      <w:numPr>
        <w:ilvl w:val="4"/>
        <w:numId w:val="4"/>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qFormat/>
    <w:rsid w:val="00EC171D"/>
    <w:pPr>
      <w:numPr>
        <w:ilvl w:val="5"/>
        <w:numId w:val="4"/>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4"/>
    <w:qFormat/>
    <w:rsid w:val="00EC171D"/>
    <w:pPr>
      <w:spacing w:line="252" w:lineRule="auto"/>
      <w:ind w:left="792"/>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EC171D"/>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rsid w:val="00EC171D"/>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5"/>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EC171D"/>
    <w:pPr>
      <w:tabs>
        <w:tab w:val="right" w:pos="9026"/>
      </w:tabs>
      <w:spacing w:after="0" w:line="240" w:lineRule="auto"/>
    </w:pPr>
    <w:rPr>
      <w:noProof/>
      <w:sz w:val="18"/>
      <w:szCs w:val="18"/>
    </w:rPr>
  </w:style>
  <w:style w:type="character" w:customStyle="1" w:styleId="FooterChar">
    <w:name w:val="Footer Char"/>
    <w:basedOn w:val="DefaultParagraphFont"/>
    <w:link w:val="Footer"/>
    <w:uiPriority w:val="24"/>
    <w:rsid w:val="00EC171D"/>
    <w:rPr>
      <w:noProof/>
      <w:spacing w:val="2"/>
      <w:sz w:val="18"/>
      <w:szCs w:val="18"/>
    </w:rPr>
  </w:style>
  <w:style w:type="character" w:styleId="PageNumber">
    <w:name w:val="page number"/>
    <w:uiPriority w:val="49"/>
    <w:semiHidden/>
    <w:rsid w:val="00EC171D"/>
    <w:rPr>
      <w:b w:val="0"/>
      <w:color w:val="4C4C4C"/>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6"/>
    <w:qFormat/>
    <w:rsid w:val="00652625"/>
    <w:pPr>
      <w:spacing w:before="60" w:after="60" w:line="264" w:lineRule="auto"/>
    </w:pPr>
    <w:rPr>
      <w:sz w:val="17"/>
    </w:rPr>
  </w:style>
  <w:style w:type="paragraph" w:customStyle="1" w:styleId="Tabletextright">
    <w:name w:val="Table text right"/>
    <w:basedOn w:val="Tabletext"/>
    <w:uiPriority w:val="6"/>
    <w:qFormat/>
    <w:rsid w:val="00EC171D"/>
    <w:pPr>
      <w:jc w:val="right"/>
    </w:pPr>
  </w:style>
  <w:style w:type="paragraph" w:customStyle="1" w:styleId="Listnumindent2">
    <w:name w:val="List num indent 2"/>
    <w:basedOn w:val="Normal"/>
    <w:uiPriority w:val="5"/>
    <w:qFormat/>
    <w:rsid w:val="00EC171D"/>
    <w:pPr>
      <w:numPr>
        <w:ilvl w:val="7"/>
        <w:numId w:val="4"/>
      </w:numPr>
      <w:spacing w:before="100"/>
      <w:contextualSpacing/>
    </w:pPr>
  </w:style>
  <w:style w:type="paragraph" w:customStyle="1" w:styleId="Listnumindent">
    <w:name w:val="List num indent"/>
    <w:basedOn w:val="Normal"/>
    <w:uiPriority w:val="5"/>
    <w:qFormat/>
    <w:rsid w:val="00EC171D"/>
    <w:pPr>
      <w:numPr>
        <w:ilvl w:val="6"/>
        <w:numId w:val="4"/>
      </w:numPr>
      <w:spacing w:before="100"/>
    </w:pPr>
  </w:style>
  <w:style w:type="paragraph" w:customStyle="1" w:styleId="Listnum">
    <w:name w:val="List num"/>
    <w:basedOn w:val="Normal"/>
    <w:uiPriority w:val="1"/>
    <w:qFormat/>
    <w:rsid w:val="00EC171D"/>
    <w:pPr>
      <w:numPr>
        <w:numId w:val="4"/>
      </w:numPr>
    </w:pPr>
  </w:style>
  <w:style w:type="paragraph" w:customStyle="1" w:styleId="Listnum2">
    <w:name w:val="List num 2"/>
    <w:basedOn w:val="Normal"/>
    <w:uiPriority w:val="1"/>
    <w:qFormat/>
    <w:rsid w:val="00EC171D"/>
    <w:pPr>
      <w:numPr>
        <w:ilvl w:val="1"/>
        <w:numId w:val="4"/>
      </w:numPr>
    </w:pPr>
  </w:style>
  <w:style w:type="paragraph" w:customStyle="1" w:styleId="Tabletextcentred">
    <w:name w:val="Table text centred"/>
    <w:basedOn w:val="Tabletext"/>
    <w:uiPriority w:val="6"/>
    <w:qFormat/>
    <w:rsid w:val="00EC171D"/>
    <w:pPr>
      <w:jc w:val="center"/>
    </w:pPr>
  </w:style>
  <w:style w:type="paragraph" w:customStyle="1" w:styleId="Tableheader">
    <w:name w:val="Table header"/>
    <w:basedOn w:val="Tabletext"/>
    <w:uiPriority w:val="6"/>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7"/>
    <w:rsid w:val="00D211E9"/>
    <w:pPr>
      <w:numPr>
        <w:numId w:val="18"/>
      </w:numPr>
    </w:pPr>
  </w:style>
  <w:style w:type="paragraph" w:customStyle="1" w:styleId="Tabledash">
    <w:name w:val="Table dash"/>
    <w:basedOn w:val="Tablebullet"/>
    <w:uiPriority w:val="7"/>
    <w:rsid w:val="00D211E9"/>
    <w:pPr>
      <w:numPr>
        <w:ilvl w:val="1"/>
      </w:numPr>
    </w:pPr>
  </w:style>
  <w:style w:type="paragraph" w:customStyle="1" w:styleId="Tabletextindent">
    <w:name w:val="Table text indent"/>
    <w:basedOn w:val="Tabletext"/>
    <w:uiPriority w:val="6"/>
    <w:qFormat/>
    <w:rsid w:val="00D211E9"/>
    <w:pPr>
      <w:ind w:left="288"/>
    </w:pPr>
  </w:style>
  <w:style w:type="paragraph" w:customStyle="1" w:styleId="Numpara">
    <w:name w:val="Num para"/>
    <w:basedOn w:val="ListParagraph"/>
    <w:uiPriority w:val="3"/>
    <w:qFormat/>
    <w:rsid w:val="006361E7"/>
    <w:pPr>
      <w:numPr>
        <w:numId w:val="19"/>
      </w:numPr>
      <w:tabs>
        <w:tab w:val="num" w:pos="504"/>
        <w:tab w:val="left" w:pos="540"/>
      </w:tabs>
      <w:ind w:left="504" w:hanging="504"/>
    </w:pPr>
  </w:style>
  <w:style w:type="paragraph" w:styleId="ListParagraph">
    <w:name w:val="List Paragraph"/>
    <w:basedOn w:val="Normal"/>
    <w:uiPriority w:val="34"/>
    <w:semiHidden/>
    <w:qFormat/>
    <w:rsid w:val="006361E7"/>
    <w:pPr>
      <w:ind w:left="720"/>
      <w:contextualSpacing/>
    </w:pPr>
  </w:style>
  <w:style w:type="table" w:customStyle="1" w:styleId="Summarytable">
    <w:name w:val="Summary table"/>
    <w:basedOn w:val="TableNormal"/>
    <w:uiPriority w:val="99"/>
    <w:rsid w:val="005E6AE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BFBFBF"/>
      </w:tblBorders>
      <w:tblCellMar>
        <w:left w:w="57" w:type="dxa"/>
        <w:right w:w="57" w:type="dxa"/>
      </w:tblCellMar>
    </w:tblPr>
    <w:trPr>
      <w:cantSplit/>
    </w:trPr>
    <w:tblStylePr w:type="firstRow">
      <w:rPr>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9DD6"/>
      </w:tcPr>
    </w:tblStylePr>
  </w:style>
  <w:style w:type="table" w:customStyle="1" w:styleId="Summarytable1">
    <w:name w:val="Summary table1"/>
    <w:basedOn w:val="TableNormal"/>
    <w:uiPriority w:val="99"/>
    <w:rsid w:val="0095554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BFBFBF"/>
      </w:tblBorders>
      <w:tblCellMar>
        <w:left w:w="57" w:type="dxa"/>
        <w:right w:w="57" w:type="dxa"/>
      </w:tblCellMar>
    </w:tblPr>
    <w:trPr>
      <w:cantSplit/>
    </w:trPr>
    <w:tblStylePr w:type="firstRow">
      <w:rPr>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9DD6"/>
      </w:tcPr>
    </w:tblStylePr>
  </w:style>
  <w:style w:type="table" w:customStyle="1" w:styleId="Summarytable2">
    <w:name w:val="Summary table2"/>
    <w:basedOn w:val="TableNormal"/>
    <w:uiPriority w:val="99"/>
    <w:rsid w:val="007800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BFBFBF"/>
      </w:tblBorders>
      <w:tblCellMar>
        <w:left w:w="57" w:type="dxa"/>
        <w:right w:w="57" w:type="dxa"/>
      </w:tblCellMar>
    </w:tblPr>
    <w:trPr>
      <w:cantSplit/>
    </w:trPr>
    <w:tblStylePr w:type="firstRow">
      <w:rPr>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9DD6"/>
      </w:tcPr>
    </w:tblStylePr>
  </w:style>
  <w:style w:type="table" w:customStyle="1" w:styleId="Summarytable3">
    <w:name w:val="Summary table3"/>
    <w:basedOn w:val="TableNormal"/>
    <w:uiPriority w:val="99"/>
    <w:rsid w:val="00F04E7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BFBFBF"/>
      </w:tblBorders>
      <w:tblCellMar>
        <w:left w:w="57" w:type="dxa"/>
        <w:right w:w="57" w:type="dxa"/>
      </w:tblCellMar>
    </w:tblPr>
    <w:trPr>
      <w:cantSplit/>
    </w:trPr>
    <w:tblStylePr w:type="firstRow">
      <w:rPr>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9DD6"/>
      </w:tcPr>
    </w:tblStylePr>
  </w:style>
  <w:style w:type="table" w:customStyle="1" w:styleId="Summarytable4">
    <w:name w:val="Summary table4"/>
    <w:basedOn w:val="TableNormal"/>
    <w:uiPriority w:val="99"/>
    <w:rsid w:val="005B3B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BFBFBF"/>
      </w:tblBorders>
      <w:tblCellMar>
        <w:left w:w="57" w:type="dxa"/>
        <w:right w:w="57" w:type="dxa"/>
      </w:tblCellMar>
    </w:tblPr>
    <w:trPr>
      <w:cantSplit/>
    </w:trPr>
    <w:tblStylePr w:type="firstRow">
      <w:rPr>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9DD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AD7864"/>
    <w:pPr>
      <w:spacing w:before="160" w:after="100"/>
    </w:pPr>
    <w:rPr>
      <w:spacing w:val="2"/>
      <w:sz w:val="24"/>
    </w:rPr>
  </w:style>
  <w:style w:type="paragraph" w:styleId="Heading1">
    <w:name w:val="heading 1"/>
    <w:next w:val="Normal"/>
    <w:link w:val="Heading1Char"/>
    <w:qFormat/>
    <w:rsid w:val="00EC171D"/>
    <w:pPr>
      <w:keepNext/>
      <w:keepLines/>
      <w:spacing w:before="600" w:after="88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A5F5B"/>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EC171D"/>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AD7864"/>
    <w:pPr>
      <w:numPr>
        <w:numId w:val="1"/>
      </w:numPr>
      <w:spacing w:before="100" w:after="100" w:line="240" w:lineRule="auto"/>
      <w:contextualSpacing/>
    </w:pPr>
    <w:rPr>
      <w:rFonts w:eastAsia="Times New Roman" w:cs="Calibri"/>
      <w:spacing w:val="2"/>
      <w:sz w:val="24"/>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5"/>
    <w:qFormat/>
    <w:rsid w:val="00EC171D"/>
    <w:pPr>
      <w:numPr>
        <w:ilvl w:val="2"/>
      </w:numPr>
    </w:pPr>
  </w:style>
  <w:style w:type="paragraph" w:customStyle="1" w:styleId="Heading1numbered">
    <w:name w:val="Heading 1 numbered"/>
    <w:basedOn w:val="Heading1"/>
    <w:next w:val="NormalIndent"/>
    <w:uiPriority w:val="4"/>
    <w:qFormat/>
    <w:rsid w:val="00EC171D"/>
    <w:pPr>
      <w:numPr>
        <w:ilvl w:val="2"/>
        <w:numId w:val="4"/>
      </w:numPr>
    </w:pPr>
  </w:style>
  <w:style w:type="paragraph" w:customStyle="1" w:styleId="Heading2numbered">
    <w:name w:val="Heading 2 numbered"/>
    <w:basedOn w:val="Heading2"/>
    <w:next w:val="NormalIndent"/>
    <w:uiPriority w:val="4"/>
    <w:qFormat/>
    <w:rsid w:val="00EC171D"/>
    <w:pPr>
      <w:numPr>
        <w:ilvl w:val="3"/>
        <w:numId w:val="4"/>
      </w:numPr>
    </w:pPr>
  </w:style>
  <w:style w:type="paragraph" w:customStyle="1" w:styleId="Heading3numbered">
    <w:name w:val="Heading 3 numbered"/>
    <w:basedOn w:val="Heading3"/>
    <w:next w:val="NormalIndent"/>
    <w:uiPriority w:val="4"/>
    <w:qFormat/>
    <w:rsid w:val="00EC171D"/>
    <w:pPr>
      <w:numPr>
        <w:ilvl w:val="4"/>
        <w:numId w:val="4"/>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qFormat/>
    <w:rsid w:val="00EC171D"/>
    <w:pPr>
      <w:numPr>
        <w:ilvl w:val="5"/>
        <w:numId w:val="4"/>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4"/>
    <w:qFormat/>
    <w:rsid w:val="00EC171D"/>
    <w:pPr>
      <w:spacing w:line="252" w:lineRule="auto"/>
      <w:ind w:left="792"/>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EC171D"/>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rsid w:val="00EC171D"/>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5"/>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EC171D"/>
    <w:pPr>
      <w:tabs>
        <w:tab w:val="right" w:pos="9026"/>
      </w:tabs>
      <w:spacing w:after="0" w:line="240" w:lineRule="auto"/>
    </w:pPr>
    <w:rPr>
      <w:noProof/>
      <w:sz w:val="18"/>
      <w:szCs w:val="18"/>
    </w:rPr>
  </w:style>
  <w:style w:type="character" w:customStyle="1" w:styleId="FooterChar">
    <w:name w:val="Footer Char"/>
    <w:basedOn w:val="DefaultParagraphFont"/>
    <w:link w:val="Footer"/>
    <w:uiPriority w:val="24"/>
    <w:rsid w:val="00EC171D"/>
    <w:rPr>
      <w:noProof/>
      <w:spacing w:val="2"/>
      <w:sz w:val="18"/>
      <w:szCs w:val="18"/>
    </w:rPr>
  </w:style>
  <w:style w:type="character" w:styleId="PageNumber">
    <w:name w:val="page number"/>
    <w:uiPriority w:val="49"/>
    <w:semiHidden/>
    <w:rsid w:val="00EC171D"/>
    <w:rPr>
      <w:b w:val="0"/>
      <w:color w:val="4C4C4C"/>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6"/>
    <w:qFormat/>
    <w:rsid w:val="00652625"/>
    <w:pPr>
      <w:spacing w:before="60" w:after="60" w:line="264" w:lineRule="auto"/>
    </w:pPr>
    <w:rPr>
      <w:sz w:val="17"/>
    </w:rPr>
  </w:style>
  <w:style w:type="paragraph" w:customStyle="1" w:styleId="Tabletextright">
    <w:name w:val="Table text right"/>
    <w:basedOn w:val="Tabletext"/>
    <w:uiPriority w:val="6"/>
    <w:qFormat/>
    <w:rsid w:val="00EC171D"/>
    <w:pPr>
      <w:jc w:val="right"/>
    </w:pPr>
  </w:style>
  <w:style w:type="paragraph" w:customStyle="1" w:styleId="Listnumindent2">
    <w:name w:val="List num indent 2"/>
    <w:basedOn w:val="Normal"/>
    <w:uiPriority w:val="5"/>
    <w:qFormat/>
    <w:rsid w:val="00EC171D"/>
    <w:pPr>
      <w:numPr>
        <w:ilvl w:val="7"/>
        <w:numId w:val="4"/>
      </w:numPr>
      <w:spacing w:before="100"/>
      <w:contextualSpacing/>
    </w:pPr>
  </w:style>
  <w:style w:type="paragraph" w:customStyle="1" w:styleId="Listnumindent">
    <w:name w:val="List num indent"/>
    <w:basedOn w:val="Normal"/>
    <w:uiPriority w:val="5"/>
    <w:qFormat/>
    <w:rsid w:val="00EC171D"/>
    <w:pPr>
      <w:numPr>
        <w:ilvl w:val="6"/>
        <w:numId w:val="4"/>
      </w:numPr>
      <w:spacing w:before="100"/>
    </w:pPr>
  </w:style>
  <w:style w:type="paragraph" w:customStyle="1" w:styleId="Listnum">
    <w:name w:val="List num"/>
    <w:basedOn w:val="Normal"/>
    <w:uiPriority w:val="1"/>
    <w:qFormat/>
    <w:rsid w:val="00EC171D"/>
    <w:pPr>
      <w:numPr>
        <w:numId w:val="4"/>
      </w:numPr>
    </w:pPr>
  </w:style>
  <w:style w:type="paragraph" w:customStyle="1" w:styleId="Listnum2">
    <w:name w:val="List num 2"/>
    <w:basedOn w:val="Normal"/>
    <w:uiPriority w:val="1"/>
    <w:qFormat/>
    <w:rsid w:val="00EC171D"/>
    <w:pPr>
      <w:numPr>
        <w:ilvl w:val="1"/>
        <w:numId w:val="4"/>
      </w:numPr>
    </w:pPr>
  </w:style>
  <w:style w:type="paragraph" w:customStyle="1" w:styleId="Tabletextcentred">
    <w:name w:val="Table text centred"/>
    <w:basedOn w:val="Tabletext"/>
    <w:uiPriority w:val="6"/>
    <w:qFormat/>
    <w:rsid w:val="00EC171D"/>
    <w:pPr>
      <w:jc w:val="center"/>
    </w:pPr>
  </w:style>
  <w:style w:type="paragraph" w:customStyle="1" w:styleId="Tableheader">
    <w:name w:val="Table header"/>
    <w:basedOn w:val="Tabletext"/>
    <w:uiPriority w:val="6"/>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7"/>
    <w:rsid w:val="00D211E9"/>
    <w:pPr>
      <w:numPr>
        <w:numId w:val="18"/>
      </w:numPr>
    </w:pPr>
  </w:style>
  <w:style w:type="paragraph" w:customStyle="1" w:styleId="Tabledash">
    <w:name w:val="Table dash"/>
    <w:basedOn w:val="Tablebullet"/>
    <w:uiPriority w:val="7"/>
    <w:rsid w:val="00D211E9"/>
    <w:pPr>
      <w:numPr>
        <w:ilvl w:val="1"/>
      </w:numPr>
    </w:pPr>
  </w:style>
  <w:style w:type="paragraph" w:customStyle="1" w:styleId="Tabletextindent">
    <w:name w:val="Table text indent"/>
    <w:basedOn w:val="Tabletext"/>
    <w:uiPriority w:val="6"/>
    <w:qFormat/>
    <w:rsid w:val="00D211E9"/>
    <w:pPr>
      <w:ind w:left="288"/>
    </w:pPr>
  </w:style>
  <w:style w:type="paragraph" w:customStyle="1" w:styleId="Numpara">
    <w:name w:val="Num para"/>
    <w:basedOn w:val="ListParagraph"/>
    <w:uiPriority w:val="3"/>
    <w:qFormat/>
    <w:rsid w:val="006361E7"/>
    <w:pPr>
      <w:numPr>
        <w:numId w:val="19"/>
      </w:numPr>
      <w:tabs>
        <w:tab w:val="num" w:pos="504"/>
        <w:tab w:val="left" w:pos="540"/>
      </w:tabs>
      <w:ind w:left="504" w:hanging="504"/>
    </w:pPr>
  </w:style>
  <w:style w:type="paragraph" w:styleId="ListParagraph">
    <w:name w:val="List Paragraph"/>
    <w:basedOn w:val="Normal"/>
    <w:uiPriority w:val="34"/>
    <w:semiHidden/>
    <w:qFormat/>
    <w:rsid w:val="006361E7"/>
    <w:pPr>
      <w:ind w:left="720"/>
      <w:contextualSpacing/>
    </w:pPr>
  </w:style>
  <w:style w:type="table" w:customStyle="1" w:styleId="Summarytable">
    <w:name w:val="Summary table"/>
    <w:basedOn w:val="TableNormal"/>
    <w:uiPriority w:val="99"/>
    <w:rsid w:val="005E6AE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BFBFBF"/>
      </w:tblBorders>
      <w:tblCellMar>
        <w:left w:w="57" w:type="dxa"/>
        <w:right w:w="57" w:type="dxa"/>
      </w:tblCellMar>
    </w:tblPr>
    <w:trPr>
      <w:cantSplit/>
    </w:trPr>
    <w:tblStylePr w:type="firstRow">
      <w:rPr>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9DD6"/>
      </w:tcPr>
    </w:tblStylePr>
  </w:style>
  <w:style w:type="table" w:customStyle="1" w:styleId="Summarytable1">
    <w:name w:val="Summary table1"/>
    <w:basedOn w:val="TableNormal"/>
    <w:uiPriority w:val="99"/>
    <w:rsid w:val="0095554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BFBFBF"/>
      </w:tblBorders>
      <w:tblCellMar>
        <w:left w:w="57" w:type="dxa"/>
        <w:right w:w="57" w:type="dxa"/>
      </w:tblCellMar>
    </w:tblPr>
    <w:trPr>
      <w:cantSplit/>
    </w:trPr>
    <w:tblStylePr w:type="firstRow">
      <w:rPr>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9DD6"/>
      </w:tcPr>
    </w:tblStylePr>
  </w:style>
  <w:style w:type="table" w:customStyle="1" w:styleId="Summarytable2">
    <w:name w:val="Summary table2"/>
    <w:basedOn w:val="TableNormal"/>
    <w:uiPriority w:val="99"/>
    <w:rsid w:val="007800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BFBFBF"/>
      </w:tblBorders>
      <w:tblCellMar>
        <w:left w:w="57" w:type="dxa"/>
        <w:right w:w="57" w:type="dxa"/>
      </w:tblCellMar>
    </w:tblPr>
    <w:trPr>
      <w:cantSplit/>
    </w:trPr>
    <w:tblStylePr w:type="firstRow">
      <w:rPr>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9DD6"/>
      </w:tcPr>
    </w:tblStylePr>
  </w:style>
  <w:style w:type="table" w:customStyle="1" w:styleId="Summarytable3">
    <w:name w:val="Summary table3"/>
    <w:basedOn w:val="TableNormal"/>
    <w:uiPriority w:val="99"/>
    <w:rsid w:val="00F04E7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BFBFBF"/>
      </w:tblBorders>
      <w:tblCellMar>
        <w:left w:w="57" w:type="dxa"/>
        <w:right w:w="57" w:type="dxa"/>
      </w:tblCellMar>
    </w:tblPr>
    <w:trPr>
      <w:cantSplit/>
    </w:trPr>
    <w:tblStylePr w:type="firstRow">
      <w:rPr>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9DD6"/>
      </w:tcPr>
    </w:tblStylePr>
  </w:style>
  <w:style w:type="table" w:customStyle="1" w:styleId="Summarytable4">
    <w:name w:val="Summary table4"/>
    <w:basedOn w:val="TableNormal"/>
    <w:uiPriority w:val="99"/>
    <w:rsid w:val="005B3B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BFBFBF"/>
      </w:tblBorders>
      <w:tblCellMar>
        <w:left w:w="57" w:type="dxa"/>
        <w:right w:w="57" w:type="dxa"/>
      </w:tblCellMar>
    </w:tblPr>
    <w:trPr>
      <w:cantSplit/>
    </w:trPr>
    <w:tblStylePr w:type="firstRow">
      <w:rPr>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9DD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arliament.vic.gov.au/publications/register-of-interes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Corporate\Portrait.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D098C-4325-4999-A74D-A3F7946CA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Portrait.dotx</Template>
  <TotalTime>2</TotalTime>
  <Pages>7</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Marsal</dc:creator>
  <cp:lastModifiedBy>Louise Koschmann</cp:lastModifiedBy>
  <cp:revision>3</cp:revision>
  <cp:lastPrinted>2016-04-15T05:57:00Z</cp:lastPrinted>
  <dcterms:created xsi:type="dcterms:W3CDTF">2018-01-25T04:19:00Z</dcterms:created>
  <dcterms:modified xsi:type="dcterms:W3CDTF">2018-01-25T04:19:00Z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ies>
</file>