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265" w:rsidRPr="008422A3" w:rsidRDefault="00304265" w:rsidP="005A29AC">
      <w:pPr>
        <w:pStyle w:val="Title"/>
      </w:pPr>
      <w:bookmarkStart w:id="0" w:name="_Toc442780672"/>
      <w:bookmarkStart w:id="1" w:name="_GoBack"/>
      <w:bookmarkEnd w:id="1"/>
      <w:r>
        <w:t>Financial analysis inputs for Partnerships Victoria projects</w:t>
      </w:r>
    </w:p>
    <w:p w:rsidR="00304265" w:rsidRPr="0007256D" w:rsidRDefault="00304265" w:rsidP="005A29AC">
      <w:pPr>
        <w:pStyle w:val="TertiaryTitle"/>
        <w:rPr>
          <w:sz w:val="12"/>
          <w:szCs w:val="12"/>
        </w:rPr>
      </w:pPr>
      <w:r>
        <w:t>November 2016</w:t>
      </w:r>
      <w:r w:rsidR="0007256D">
        <w:br/>
      </w:r>
      <w:r w:rsidR="0007256D" w:rsidRPr="0007256D">
        <w:rPr>
          <w:sz w:val="12"/>
          <w:szCs w:val="12"/>
        </w:rPr>
        <w:t>ISBN 978-1-925551-09-9 (online)</w:t>
      </w:r>
    </w:p>
    <w:p w:rsidR="00304265" w:rsidRPr="008422A3" w:rsidRDefault="00304265" w:rsidP="005A29AC">
      <w:pPr>
        <w:pStyle w:val="Heading1"/>
      </w:pPr>
      <w:bookmarkStart w:id="2" w:name="_Toc442780673"/>
      <w:r>
        <w:t>Guidance</w:t>
      </w:r>
    </w:p>
    <w:bookmarkEnd w:id="2"/>
    <w:p w:rsidR="00304265" w:rsidRPr="00C92338" w:rsidRDefault="00304265" w:rsidP="005A29AC">
      <w:pPr>
        <w:pStyle w:val="Heading1numbered"/>
      </w:pPr>
      <w:r>
        <w:t>Purpose</w:t>
      </w:r>
    </w:p>
    <w:p w:rsidR="00304265" w:rsidRDefault="00304265" w:rsidP="00304265">
      <w:pPr>
        <w:pStyle w:val="NormalIndent"/>
      </w:pPr>
      <w:r>
        <w:t>This guidance outlines:</w:t>
      </w:r>
    </w:p>
    <w:p w:rsidR="00304265" w:rsidRDefault="00074EDF" w:rsidP="00304265">
      <w:pPr>
        <w:pStyle w:val="Bulletindent"/>
        <w:numPr>
          <w:ilvl w:val="2"/>
          <w:numId w:val="1"/>
        </w:numPr>
      </w:pPr>
      <w:r>
        <w:t>inputs for both the public sector c</w:t>
      </w:r>
      <w:r w:rsidR="00304265">
        <w:t>omparator (PSC) and public private partnership (PPP) bid evaluation discount rates; and</w:t>
      </w:r>
    </w:p>
    <w:p w:rsidR="00304265" w:rsidRDefault="008B21EF" w:rsidP="00304265">
      <w:pPr>
        <w:pStyle w:val="Bulletindent"/>
        <w:numPr>
          <w:ilvl w:val="2"/>
          <w:numId w:val="1"/>
        </w:numPr>
      </w:pPr>
      <w:r>
        <w:t xml:space="preserve">the </w:t>
      </w:r>
      <w:r w:rsidR="00304265">
        <w:t>reference source for the inflation forecasts to be used in the financial analysis.</w:t>
      </w:r>
    </w:p>
    <w:p w:rsidR="00304265" w:rsidRDefault="00304265" w:rsidP="00304265">
      <w:pPr>
        <w:pStyle w:val="NormalIndent"/>
      </w:pPr>
      <w:r w:rsidRPr="00E44530">
        <w:t xml:space="preserve">This guidance note is publicly available and may be amended </w:t>
      </w:r>
      <w:r w:rsidR="00826A00">
        <w:t>occasionally</w:t>
      </w:r>
      <w:r w:rsidRPr="00E44530">
        <w:t>.</w:t>
      </w:r>
    </w:p>
    <w:p w:rsidR="00304265" w:rsidRDefault="00304265" w:rsidP="005A29AC">
      <w:pPr>
        <w:pStyle w:val="Heading1numbered"/>
      </w:pPr>
      <w:r>
        <w:t>Policy requirement</w:t>
      </w:r>
    </w:p>
    <w:p w:rsidR="00304265" w:rsidRDefault="00304265" w:rsidP="00304265">
      <w:pPr>
        <w:pStyle w:val="NormalIndent"/>
      </w:pPr>
      <w:r>
        <w:t xml:space="preserve">The National PPP Guidelines provide a methodology for determining the discount rates to be used in </w:t>
      </w:r>
      <w:r w:rsidR="009826D5">
        <w:t>comparing the PSC with bids</w:t>
      </w:r>
      <w:r>
        <w:t xml:space="preserve"> and determining whether PPP procurement offers value for money.</w:t>
      </w:r>
    </w:p>
    <w:p w:rsidR="00304265" w:rsidRDefault="00304265" w:rsidP="00304265">
      <w:pPr>
        <w:pStyle w:val="NormalIndent"/>
      </w:pPr>
      <w:r>
        <w:t>Procuring agencies should consult the Department of Treasury and Finance on the appropriate discount rates:</w:t>
      </w:r>
    </w:p>
    <w:p w:rsidR="00304265" w:rsidRDefault="00304265" w:rsidP="00304265">
      <w:pPr>
        <w:pStyle w:val="Bulletindent"/>
        <w:numPr>
          <w:ilvl w:val="2"/>
          <w:numId w:val="1"/>
        </w:numPr>
      </w:pPr>
      <w:r>
        <w:t>to be applied to the PSC; and</w:t>
      </w:r>
    </w:p>
    <w:p w:rsidR="00304265" w:rsidRDefault="00304265" w:rsidP="00304265">
      <w:pPr>
        <w:pStyle w:val="Bulletindent"/>
        <w:numPr>
          <w:ilvl w:val="2"/>
          <w:numId w:val="1"/>
        </w:numPr>
      </w:pPr>
      <w:r>
        <w:t xml:space="preserve">to be used when assessing responses to the request for proposal. </w:t>
      </w:r>
    </w:p>
    <w:p w:rsidR="00304265" w:rsidRDefault="00304265" w:rsidP="00304265">
      <w:pPr>
        <w:pStyle w:val="NormalIndent"/>
      </w:pPr>
      <w:r>
        <w:t xml:space="preserve">The National PPP Guidelines focus on developing the discount rate for social infrastructure projects </w:t>
      </w:r>
      <w:r w:rsidR="009826D5">
        <w:t>i.e.</w:t>
      </w:r>
      <w:r>
        <w:t xml:space="preserve"> projects with net cash outflows for government. Different considerations will apply for economic infrastructure projects.</w:t>
      </w:r>
    </w:p>
    <w:p w:rsidR="00304265" w:rsidRDefault="00304265" w:rsidP="00304265">
      <w:pPr>
        <w:pStyle w:val="NormalIndent"/>
      </w:pPr>
      <w:r>
        <w:t xml:space="preserve">The appropriate national guidance is found in </w:t>
      </w:r>
      <w:r w:rsidR="00776B98">
        <w:t xml:space="preserve">the National PPP Guideline </w:t>
      </w:r>
      <w:r>
        <w:t>Volume 5: Discount Rate Methodology, which should be read in conjunction with this guidance. The guideline includes a range of indicative asset beta factors as one of the key inputs in determining discount rate</w:t>
      </w:r>
      <w:r w:rsidR="000B4AA3">
        <w:t>s</w:t>
      </w:r>
      <w:r>
        <w:t>. Procuring agencies must consult</w:t>
      </w:r>
      <w:r w:rsidR="00837D88">
        <w:t xml:space="preserve"> with</w:t>
      </w:r>
      <w:r>
        <w:t xml:space="preserve"> the Department of Treasury and Finance to determine the appropriate asset beta factor to be used based on project specific considerations.</w:t>
      </w:r>
    </w:p>
    <w:p w:rsidR="00304265" w:rsidRPr="001772EF" w:rsidRDefault="00304265" w:rsidP="005A29AC">
      <w:pPr>
        <w:pStyle w:val="Heading1numbered"/>
      </w:pPr>
      <w:r w:rsidRPr="001772EF">
        <w:lastRenderedPageBreak/>
        <w:t xml:space="preserve">Discount </w:t>
      </w:r>
      <w:r w:rsidR="00AB01C9">
        <w:t>r</w:t>
      </w:r>
      <w:r w:rsidRPr="001772EF">
        <w:t xml:space="preserve">ate </w:t>
      </w:r>
      <w:r w:rsidR="00AB01C9">
        <w:t>i</w:t>
      </w:r>
      <w:r w:rsidR="00AB01C9" w:rsidRPr="001772EF">
        <w:t xml:space="preserve">nputs </w:t>
      </w:r>
      <w:r w:rsidRPr="001772EF">
        <w:t xml:space="preserve">for the </w:t>
      </w:r>
      <w:r w:rsidR="000262DC">
        <w:t>p</w:t>
      </w:r>
      <w:r w:rsidR="000262DC" w:rsidRPr="001772EF">
        <w:t xml:space="preserve">ublic </w:t>
      </w:r>
      <w:r w:rsidR="000262DC">
        <w:t>s</w:t>
      </w:r>
      <w:r w:rsidR="000262DC" w:rsidRPr="001772EF">
        <w:t xml:space="preserve">ector </w:t>
      </w:r>
      <w:r w:rsidR="000262DC">
        <w:t>c</w:t>
      </w:r>
      <w:r w:rsidR="000262DC" w:rsidRPr="001772EF">
        <w:t xml:space="preserve">omparator </w:t>
      </w:r>
      <w:r w:rsidRPr="001772EF">
        <w:t xml:space="preserve">and </w:t>
      </w:r>
      <w:r w:rsidRPr="00CD6E3F">
        <w:t>Partnerships Victoria</w:t>
      </w:r>
      <w:r w:rsidRPr="001772EF">
        <w:t xml:space="preserve"> bids</w:t>
      </w:r>
    </w:p>
    <w:p w:rsidR="00304265" w:rsidRDefault="00304265" w:rsidP="00304265">
      <w:pPr>
        <w:pStyle w:val="Heading2numbered"/>
        <w:numPr>
          <w:ilvl w:val="3"/>
          <w:numId w:val="4"/>
        </w:numPr>
        <w:spacing w:before="280" w:after="240"/>
      </w:pPr>
      <w:r>
        <w:t>Risk free rate, m</w:t>
      </w:r>
      <w:r w:rsidRPr="001772EF">
        <w:t xml:space="preserve">arket </w:t>
      </w:r>
      <w:r>
        <w:t>r</w:t>
      </w:r>
      <w:r w:rsidRPr="001772EF">
        <w:t xml:space="preserve">isk </w:t>
      </w:r>
      <w:r>
        <w:t>p</w:t>
      </w:r>
      <w:r w:rsidRPr="001772EF">
        <w:t xml:space="preserve">remium and </w:t>
      </w:r>
      <w:r>
        <w:t>a</w:t>
      </w:r>
      <w:r w:rsidRPr="001772EF">
        <w:t xml:space="preserve">sset </w:t>
      </w:r>
      <w:r>
        <w:t>b</w:t>
      </w:r>
      <w:r w:rsidRPr="001772EF">
        <w:t>etas</w:t>
      </w:r>
    </w:p>
    <w:p w:rsidR="00304265" w:rsidRPr="00CB3DFA" w:rsidRDefault="00304265" w:rsidP="005A29AC">
      <w:pPr>
        <w:pStyle w:val="Tablechartdiagramheading"/>
        <w:ind w:left="792"/>
      </w:pPr>
      <w:r w:rsidRPr="00977DE0">
        <w:t xml:space="preserve">Table </w:t>
      </w:r>
      <w:r>
        <w:t>1</w:t>
      </w:r>
      <w:r w:rsidRPr="00CB3DFA">
        <w:t xml:space="preserve">: Inputs to discount rate analysis for </w:t>
      </w:r>
      <w:r>
        <w:t>Partnerships Victoria</w:t>
      </w:r>
      <w:r w:rsidRPr="00CB3DFA">
        <w:t xml:space="preserve"> projects</w:t>
      </w:r>
    </w:p>
    <w:tbl>
      <w:tblPr>
        <w:tblStyle w:val="Indented"/>
        <w:tblW w:w="8193" w:type="dxa"/>
        <w:tblLook w:val="06A0" w:firstRow="1" w:lastRow="0" w:firstColumn="1" w:lastColumn="0" w:noHBand="1" w:noVBand="1"/>
      </w:tblPr>
      <w:tblGrid>
        <w:gridCol w:w="2285"/>
        <w:gridCol w:w="2848"/>
        <w:gridCol w:w="3060"/>
      </w:tblGrid>
      <w:tr w:rsidR="00304265" w:rsidTr="005A29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5" w:type="dxa"/>
          </w:tcPr>
          <w:p w:rsidR="00304265" w:rsidRDefault="00304265" w:rsidP="00EB5AA1">
            <w:r>
              <w:t>Input</w:t>
            </w:r>
          </w:p>
        </w:tc>
        <w:tc>
          <w:tcPr>
            <w:tcW w:w="2848" w:type="dxa"/>
          </w:tcPr>
          <w:p w:rsidR="00304265" w:rsidRDefault="00304265" w:rsidP="00EB5AA1">
            <w:pPr>
              <w:cnfStyle w:val="100000000000" w:firstRow="1" w:lastRow="0" w:firstColumn="0" w:lastColumn="0" w:oddVBand="0" w:evenVBand="0" w:oddHBand="0" w:evenHBand="0" w:firstRowFirstColumn="0" w:firstRowLastColumn="0" w:lastRowFirstColumn="0" w:lastRowLastColumn="0"/>
            </w:pPr>
            <w:r>
              <w:t>Value</w:t>
            </w:r>
          </w:p>
        </w:tc>
        <w:tc>
          <w:tcPr>
            <w:tcW w:w="3060" w:type="dxa"/>
          </w:tcPr>
          <w:p w:rsidR="00304265" w:rsidRDefault="00304265" w:rsidP="00EB5AA1">
            <w:pPr>
              <w:cnfStyle w:val="100000000000" w:firstRow="1" w:lastRow="0" w:firstColumn="0" w:lastColumn="0" w:oddVBand="0" w:evenVBand="0" w:oddHBand="0" w:evenHBand="0" w:firstRowFirstColumn="0" w:firstRowLastColumn="0" w:lastRowFirstColumn="0" w:lastRowLastColumn="0"/>
            </w:pPr>
            <w:r>
              <w:t>Source</w:t>
            </w:r>
          </w:p>
        </w:tc>
      </w:tr>
      <w:tr w:rsidR="00304265" w:rsidTr="005A29AC">
        <w:tc>
          <w:tcPr>
            <w:cnfStyle w:val="001000000000" w:firstRow="0" w:lastRow="0" w:firstColumn="1" w:lastColumn="0" w:oddVBand="0" w:evenVBand="0" w:oddHBand="0" w:evenHBand="0" w:firstRowFirstColumn="0" w:firstRowLastColumn="0" w:lastRowFirstColumn="0" w:lastRowLastColumn="0"/>
            <w:tcW w:w="2285" w:type="dxa"/>
          </w:tcPr>
          <w:p w:rsidR="00304265" w:rsidRPr="00BE7618" w:rsidRDefault="00304265" w:rsidP="00EB5AA1">
            <w:r w:rsidRPr="00BE7618">
              <w:t>Risk free rate</w:t>
            </w:r>
          </w:p>
        </w:tc>
        <w:tc>
          <w:tcPr>
            <w:tcW w:w="2848" w:type="dxa"/>
          </w:tcPr>
          <w:p w:rsidR="00304265" w:rsidRPr="00BE7618" w:rsidRDefault="00304265" w:rsidP="00EB5AA1">
            <w:pPr>
              <w:cnfStyle w:val="000000000000" w:firstRow="0" w:lastRow="0" w:firstColumn="0" w:lastColumn="0" w:oddVBand="0" w:evenVBand="0" w:oddHBand="0" w:evenHBand="0" w:firstRowFirstColumn="0" w:firstRowLastColumn="0" w:lastRowFirstColumn="0" w:lastRowLastColumn="0"/>
            </w:pPr>
            <w:r w:rsidRPr="00BE7618">
              <w:t>1 month daily average of the 10 year Treasury Corporation of Victoria bond interest rate</w:t>
            </w:r>
          </w:p>
        </w:tc>
        <w:tc>
          <w:tcPr>
            <w:tcW w:w="3060" w:type="dxa"/>
          </w:tcPr>
          <w:p w:rsidR="00304265" w:rsidRPr="00BE7618" w:rsidRDefault="00304265" w:rsidP="00EB5AA1">
            <w:pPr>
              <w:cnfStyle w:val="000000000000" w:firstRow="0" w:lastRow="0" w:firstColumn="0" w:lastColumn="0" w:oddVBand="0" w:evenVBand="0" w:oddHBand="0" w:evenHBand="0" w:firstRowFirstColumn="0" w:firstRowLastColumn="0" w:lastRowFirstColumn="0" w:lastRowLastColumn="0"/>
            </w:pPr>
            <w:r w:rsidRPr="00BE7618">
              <w:t>Treasury Corporation of Victoria</w:t>
            </w:r>
          </w:p>
        </w:tc>
      </w:tr>
      <w:tr w:rsidR="00304265" w:rsidTr="005A29AC">
        <w:trPr>
          <w:trHeight w:val="865"/>
        </w:trPr>
        <w:tc>
          <w:tcPr>
            <w:cnfStyle w:val="001000000000" w:firstRow="0" w:lastRow="0" w:firstColumn="1" w:lastColumn="0" w:oddVBand="0" w:evenVBand="0" w:oddHBand="0" w:evenHBand="0" w:firstRowFirstColumn="0" w:firstRowLastColumn="0" w:lastRowFirstColumn="0" w:lastRowLastColumn="0"/>
            <w:tcW w:w="2285" w:type="dxa"/>
          </w:tcPr>
          <w:p w:rsidR="00304265" w:rsidRPr="00BE7618" w:rsidRDefault="00304265" w:rsidP="00EB5AA1">
            <w:r w:rsidRPr="00BE7618">
              <w:t>Market risk premium</w:t>
            </w:r>
          </w:p>
        </w:tc>
        <w:tc>
          <w:tcPr>
            <w:tcW w:w="2848" w:type="dxa"/>
          </w:tcPr>
          <w:p w:rsidR="00304265" w:rsidRDefault="00304265" w:rsidP="00EB5AA1">
            <w:pPr>
              <w:cnfStyle w:val="000000000000" w:firstRow="0" w:lastRow="0" w:firstColumn="0" w:lastColumn="0" w:oddVBand="0" w:evenVBand="0" w:oddHBand="0" w:evenHBand="0" w:firstRowFirstColumn="0" w:firstRowLastColumn="0" w:lastRowFirstColumn="0" w:lastRowLastColumn="0"/>
            </w:pPr>
            <w:r w:rsidRPr="00BE7618">
              <w:t>6 per cent real; or</w:t>
            </w:r>
          </w:p>
          <w:p w:rsidR="00304265" w:rsidRPr="00BE7618" w:rsidRDefault="00304265" w:rsidP="00EB5AA1">
            <w:pPr>
              <w:cnfStyle w:val="000000000000" w:firstRow="0" w:lastRow="0" w:firstColumn="0" w:lastColumn="0" w:oddVBand="0" w:evenVBand="0" w:oddHBand="0" w:evenHBand="0" w:firstRowFirstColumn="0" w:firstRowLastColumn="0" w:lastRowFirstColumn="0" w:lastRowLastColumn="0"/>
            </w:pPr>
            <w:r>
              <w:t>a specific premium calculated from current market data</w:t>
            </w:r>
          </w:p>
        </w:tc>
        <w:tc>
          <w:tcPr>
            <w:tcW w:w="3060" w:type="dxa"/>
          </w:tcPr>
          <w:p w:rsidR="00304265" w:rsidRPr="00BE7618" w:rsidRDefault="00304265" w:rsidP="0019407B">
            <w:pPr>
              <w:cnfStyle w:val="000000000000" w:firstRow="0" w:lastRow="0" w:firstColumn="0" w:lastColumn="0" w:oddVBand="0" w:evenVBand="0" w:oddHBand="0" w:evenHBand="0" w:firstRowFirstColumn="0" w:firstRowLastColumn="0" w:lastRowFirstColumn="0" w:lastRowLastColumn="0"/>
            </w:pPr>
            <w:r w:rsidRPr="003E6339">
              <w:t xml:space="preserve">National PPP Guidelines Volume 5: Discount Rate Methodology </w:t>
            </w:r>
          </w:p>
        </w:tc>
      </w:tr>
      <w:tr w:rsidR="00304265" w:rsidTr="005A29AC">
        <w:tc>
          <w:tcPr>
            <w:cnfStyle w:val="001000000000" w:firstRow="0" w:lastRow="0" w:firstColumn="1" w:lastColumn="0" w:oddVBand="0" w:evenVBand="0" w:oddHBand="0" w:evenHBand="0" w:firstRowFirstColumn="0" w:firstRowLastColumn="0" w:lastRowFirstColumn="0" w:lastRowLastColumn="0"/>
            <w:tcW w:w="2285" w:type="dxa"/>
          </w:tcPr>
          <w:p w:rsidR="00304265" w:rsidRPr="00BE7618" w:rsidRDefault="00304265" w:rsidP="002875FD">
            <w:r w:rsidRPr="00BE7618">
              <w:t>Asset betas (for availability social infrastructure projects)</w:t>
            </w:r>
          </w:p>
        </w:tc>
        <w:tc>
          <w:tcPr>
            <w:tcW w:w="2848" w:type="dxa"/>
          </w:tcPr>
          <w:p w:rsidR="00304265" w:rsidRPr="00BE7618" w:rsidRDefault="00304265" w:rsidP="00776B98">
            <w:pPr>
              <w:cnfStyle w:val="000000000000" w:firstRow="0" w:lastRow="0" w:firstColumn="0" w:lastColumn="0" w:oddVBand="0" w:evenVBand="0" w:oddHBand="0" w:evenHBand="0" w:firstRowFirstColumn="0" w:firstRowLastColumn="0" w:lastRowFirstColumn="0" w:lastRowLastColumn="0"/>
            </w:pPr>
            <w:r w:rsidRPr="00BE7618">
              <w:t xml:space="preserve">Table 2 in Section 3.3.2 of </w:t>
            </w:r>
            <w:r w:rsidR="00776B98">
              <w:t xml:space="preserve">National PPP Guidelines </w:t>
            </w:r>
            <w:r w:rsidRPr="00BE7618">
              <w:t xml:space="preserve">Volume 5 </w:t>
            </w:r>
            <w:r>
              <w:t>may be used as a guide</w:t>
            </w:r>
            <w:r>
              <w:rPr>
                <w:rStyle w:val="FootnoteReference"/>
              </w:rPr>
              <w:footnoteReference w:id="1"/>
            </w:r>
          </w:p>
        </w:tc>
        <w:tc>
          <w:tcPr>
            <w:tcW w:w="3060" w:type="dxa"/>
          </w:tcPr>
          <w:p w:rsidR="00304265" w:rsidRPr="00BE7618" w:rsidRDefault="00304265" w:rsidP="0019407B">
            <w:pPr>
              <w:cnfStyle w:val="000000000000" w:firstRow="0" w:lastRow="0" w:firstColumn="0" w:lastColumn="0" w:oddVBand="0" w:evenVBand="0" w:oddHBand="0" w:evenHBand="0" w:firstRowFirstColumn="0" w:firstRowLastColumn="0" w:lastRowFirstColumn="0" w:lastRowLastColumn="0"/>
            </w:pPr>
            <w:r w:rsidRPr="003E6339">
              <w:t xml:space="preserve">Table 2 in Section 3.3.2 of National PPP Guidelines Volume 5: Discount Rate Methodology </w:t>
            </w:r>
          </w:p>
        </w:tc>
      </w:tr>
      <w:tr w:rsidR="00304265" w:rsidTr="005A29AC">
        <w:tc>
          <w:tcPr>
            <w:cnfStyle w:val="001000000000" w:firstRow="0" w:lastRow="0" w:firstColumn="1" w:lastColumn="0" w:oddVBand="0" w:evenVBand="0" w:oddHBand="0" w:evenHBand="0" w:firstRowFirstColumn="0" w:firstRowLastColumn="0" w:lastRowFirstColumn="0" w:lastRowLastColumn="0"/>
            <w:tcW w:w="2285" w:type="dxa"/>
          </w:tcPr>
          <w:p w:rsidR="00304265" w:rsidRPr="00BE7618" w:rsidRDefault="00304265" w:rsidP="00EB5AA1">
            <w:r>
              <w:t>Asset betas</w:t>
            </w:r>
          </w:p>
        </w:tc>
        <w:tc>
          <w:tcPr>
            <w:tcW w:w="2848" w:type="dxa"/>
          </w:tcPr>
          <w:p w:rsidR="00304265" w:rsidRPr="00BE7618" w:rsidRDefault="00304265" w:rsidP="00EB5AA1">
            <w:pPr>
              <w:cnfStyle w:val="000000000000" w:firstRow="0" w:lastRow="0" w:firstColumn="0" w:lastColumn="0" w:oddVBand="0" w:evenVBand="0" w:oddHBand="0" w:evenHBand="0" w:firstRowFirstColumn="0" w:firstRowLastColumn="0" w:lastRowFirstColumn="0" w:lastRowLastColumn="0"/>
            </w:pPr>
            <w:r>
              <w:t>Bespoke asset betas can be calculated for specific projects based on market data</w:t>
            </w:r>
          </w:p>
        </w:tc>
        <w:tc>
          <w:tcPr>
            <w:tcW w:w="3060" w:type="dxa"/>
          </w:tcPr>
          <w:p w:rsidR="00304265" w:rsidRPr="00BE7618" w:rsidRDefault="00304265" w:rsidP="0019407B">
            <w:pPr>
              <w:cnfStyle w:val="000000000000" w:firstRow="0" w:lastRow="0" w:firstColumn="0" w:lastColumn="0" w:oddVBand="0" w:evenVBand="0" w:oddHBand="0" w:evenHBand="0" w:firstRowFirstColumn="0" w:firstRowLastColumn="0" w:lastRowFirstColumn="0" w:lastRowLastColumn="0"/>
            </w:pPr>
            <w:r>
              <w:t xml:space="preserve">Section 3.3.2 of </w:t>
            </w:r>
            <w:r w:rsidRPr="003E6339">
              <w:t>National PPP Guidelines Volume 5: Discount Rate Methodology</w:t>
            </w:r>
            <w:r w:rsidR="00776B98">
              <w:t xml:space="preserve"> </w:t>
            </w:r>
          </w:p>
        </w:tc>
      </w:tr>
    </w:tbl>
    <w:p w:rsidR="00304265" w:rsidRDefault="00304265" w:rsidP="005A29AC">
      <w:pPr>
        <w:pStyle w:val="NormalIndent"/>
      </w:pPr>
      <w:r>
        <w:t>Key considerations in determining the discount rate inputs</w:t>
      </w:r>
      <w:r w:rsidR="002875FD">
        <w:t>:</w:t>
      </w:r>
    </w:p>
    <w:p w:rsidR="00304265" w:rsidRDefault="00304265" w:rsidP="005A29AC">
      <w:pPr>
        <w:pStyle w:val="Numparaindent"/>
      </w:pPr>
      <w:r>
        <w:t xml:space="preserve">The table of inputs is intended to be applied in accordance with </w:t>
      </w:r>
      <w:r w:rsidRPr="00CD6E3F">
        <w:t>the National PPP Guidelines Volume 5: Discount Rate Methodology, which outlines the methodology for developing discount rates to be used to assess the</w:t>
      </w:r>
      <w:r>
        <w:t xml:space="preserve"> relative value for money of the PPP bids compared to the PSC</w:t>
      </w:r>
      <w:r w:rsidRPr="009826D5">
        <w:rPr>
          <w:vertAlign w:val="superscript"/>
        </w:rPr>
        <w:footnoteReference w:id="2"/>
      </w:r>
      <w:r>
        <w:t>.</w:t>
      </w:r>
    </w:p>
    <w:p w:rsidR="00304265" w:rsidRDefault="00304265" w:rsidP="005A29AC">
      <w:pPr>
        <w:pStyle w:val="Numparaindent"/>
      </w:pPr>
      <w:r>
        <w:t>At the time a procuring agency prepares the final PSC for a project, it should consult with</w:t>
      </w:r>
      <w:r w:rsidR="001B498A">
        <w:t xml:space="preserve"> the</w:t>
      </w:r>
      <w:r>
        <w:t xml:space="preserve"> Department of Treasury and Finance and Treasury Corporation of Victoria for advice on the risk free rate that should be utilised for the project.</w:t>
      </w:r>
    </w:p>
    <w:p w:rsidR="00304265" w:rsidRDefault="00304265" w:rsidP="005A29AC">
      <w:pPr>
        <w:pStyle w:val="Numparaindent"/>
      </w:pPr>
      <w:r>
        <w:t xml:space="preserve">The risk free rate will be determined using a </w:t>
      </w:r>
      <w:r w:rsidRPr="00795511">
        <w:t xml:space="preserve">one </w:t>
      </w:r>
      <w:r>
        <w:t>month daily average of the 10 year Treasury Corporation of Victoria bond interest rate, unless Treasury Corporation of Victoria and Department of Treasury and Finance determine that this is inappropriate in prevailing market conditions and advise that an alternative rate should be used.</w:t>
      </w:r>
    </w:p>
    <w:p w:rsidR="00304265" w:rsidRDefault="00304265" w:rsidP="005A29AC">
      <w:pPr>
        <w:pStyle w:val="Numparaindent"/>
      </w:pPr>
      <w:r>
        <w:t>The risk free rate for a project should not be changed after the final PSC has been completed. However subsequent movements in financial markets should be considered when determining the range of rates to be utilised in conducting</w:t>
      </w:r>
      <w:r w:rsidR="0033085B">
        <w:t xml:space="preserve"> a</w:t>
      </w:r>
      <w:r>
        <w:t xml:space="preserve"> sensitivity analysis as described in section 5 of the National </w:t>
      </w:r>
      <w:r w:rsidR="00D3079F">
        <w:t>PPP</w:t>
      </w:r>
      <w:r>
        <w:t xml:space="preserve"> Guidelines Volume</w:t>
      </w:r>
      <w:r w:rsidR="0007256D">
        <w:t> </w:t>
      </w:r>
      <w:r>
        <w:t>5: Discount Rate Methodology.</w:t>
      </w:r>
    </w:p>
    <w:p w:rsidR="00304265" w:rsidRDefault="00304265" w:rsidP="005A29AC">
      <w:pPr>
        <w:pStyle w:val="Numparaindent"/>
      </w:pPr>
      <w:r>
        <w:t xml:space="preserve">However, the State can reserve the right to make an adjustment to the risk free rate at the time bids are submitted, </w:t>
      </w:r>
      <w:r w:rsidR="001B498A">
        <w:t xml:space="preserve">if </w:t>
      </w:r>
      <w:r>
        <w:t>it is deem</w:t>
      </w:r>
      <w:r w:rsidR="00D3079F">
        <w:t>ed</w:t>
      </w:r>
      <w:r>
        <w:t xml:space="preserve"> that a significant movement in the risk free rate has occurred since request for proposal release. Any adjustments would be determined by the State and advised to bidders.</w:t>
      </w:r>
    </w:p>
    <w:p w:rsidR="00304265" w:rsidRDefault="001A629B" w:rsidP="00304265">
      <w:pPr>
        <w:pStyle w:val="Heading2numbered"/>
        <w:numPr>
          <w:ilvl w:val="3"/>
          <w:numId w:val="4"/>
        </w:numPr>
        <w:spacing w:before="280" w:after="240"/>
      </w:pPr>
      <w:r>
        <w:lastRenderedPageBreak/>
        <w:t>Discount rate adjustment for S</w:t>
      </w:r>
      <w:r w:rsidR="00304265">
        <w:t>tate contribution</w:t>
      </w:r>
    </w:p>
    <w:p w:rsidR="00304265" w:rsidRDefault="00304265" w:rsidP="00304265">
      <w:pPr>
        <w:pStyle w:val="NormalIndent"/>
      </w:pPr>
      <w:r>
        <w:t xml:space="preserve">The </w:t>
      </w:r>
      <w:r w:rsidRPr="0019407B">
        <w:t>Partnerships Victoria Requirements</w:t>
      </w:r>
      <w:r>
        <w:t xml:space="preserve"> provide for modified financing options, which include State contributions. The intent of the State contribution is to </w:t>
      </w:r>
      <w:r w:rsidR="00D30FAD">
        <w:t xml:space="preserve">minimise </w:t>
      </w:r>
      <w:r>
        <w:t>the cost of finance by reducing the amount of the private finance, but without reducing the fundamental PPP risk transfer principles. Where a project is applying a State contribution</w:t>
      </w:r>
      <w:r w:rsidR="00D30FAD">
        <w:t>,</w:t>
      </w:r>
      <w:r>
        <w:t xml:space="preserve"> the procuring agency should consider any impact on the risk allocation and therefore the systematic risk premium calculation in the PPP bid evaluation discount rate.</w:t>
      </w:r>
    </w:p>
    <w:p w:rsidR="00304265" w:rsidRDefault="00304265" w:rsidP="00304265">
      <w:pPr>
        <w:pStyle w:val="NormalIndent"/>
      </w:pPr>
      <w:r>
        <w:t xml:space="preserve">The discount rate analysis should assess the extent of any additional risks retained by the State as a result of the State capital contribution relative to </w:t>
      </w:r>
      <w:r w:rsidR="00D30FAD">
        <w:t xml:space="preserve">the </w:t>
      </w:r>
      <w:r>
        <w:t>privately financed component of the project. The assessment is influenced by the amount and timing of the State capital contribution(s).</w:t>
      </w:r>
    </w:p>
    <w:p w:rsidR="00304265" w:rsidRDefault="00304265" w:rsidP="00304265">
      <w:pPr>
        <w:pStyle w:val="NormalIndent"/>
      </w:pPr>
      <w:r>
        <w:t>In precedent projects, a significant capital contribution has resulted in an adjustment to the systematic risk premium and PPP bid evaluation discount rate (&lt;0.5 per cent). Therefore two PPP bid evaluation discount rates have been disclosed to bidders</w:t>
      </w:r>
      <w:r w:rsidR="000B4AA3">
        <w:t xml:space="preserve"> for</w:t>
      </w:r>
      <w:r>
        <w:t>:</w:t>
      </w:r>
    </w:p>
    <w:p w:rsidR="00304265" w:rsidRDefault="00304265" w:rsidP="00304265">
      <w:pPr>
        <w:pStyle w:val="Bulletindent"/>
        <w:numPr>
          <w:ilvl w:val="2"/>
          <w:numId w:val="1"/>
        </w:numPr>
      </w:pPr>
      <w:r>
        <w:t>quarterly service payments; and</w:t>
      </w:r>
    </w:p>
    <w:p w:rsidR="00304265" w:rsidRDefault="00304265" w:rsidP="00304265">
      <w:pPr>
        <w:pStyle w:val="Bulletindent"/>
        <w:numPr>
          <w:ilvl w:val="2"/>
          <w:numId w:val="1"/>
        </w:numPr>
      </w:pPr>
      <w:r>
        <w:t>capital contributions.</w:t>
      </w:r>
    </w:p>
    <w:p w:rsidR="005A29AC" w:rsidRPr="00C46EF0" w:rsidRDefault="005A29AC" w:rsidP="005A29AC">
      <w:pPr>
        <w:pStyle w:val="Spacer"/>
      </w:pPr>
    </w:p>
    <w:p w:rsidR="00304265" w:rsidRPr="00C92338" w:rsidRDefault="00304265" w:rsidP="005A29AC">
      <w:pPr>
        <w:pStyle w:val="Heading1numbered"/>
      </w:pPr>
      <w:r w:rsidRPr="00500006">
        <w:t xml:space="preserve">Determining the </w:t>
      </w:r>
      <w:r>
        <w:t>i</w:t>
      </w:r>
      <w:r w:rsidRPr="00500006">
        <w:t xml:space="preserve">nflation </w:t>
      </w:r>
      <w:r>
        <w:t>forecasts</w:t>
      </w:r>
      <w:r w:rsidRPr="00500006">
        <w:t xml:space="preserve"> for use in </w:t>
      </w:r>
      <w:r w:rsidRPr="00283ECB">
        <w:t>Partnerships Victoria proje</w:t>
      </w:r>
      <w:r>
        <w:t>cts</w:t>
      </w:r>
    </w:p>
    <w:p w:rsidR="00304265" w:rsidRDefault="00304265" w:rsidP="005A29AC">
      <w:pPr>
        <w:pStyle w:val="Heading2numbered"/>
      </w:pPr>
      <w:bookmarkStart w:id="3" w:name="_Toc442780676"/>
      <w:r>
        <w:t>Use of the inflation rate in the PSC</w:t>
      </w:r>
    </w:p>
    <w:p w:rsidR="00304265" w:rsidRDefault="00304265" w:rsidP="005A29AC">
      <w:pPr>
        <w:pStyle w:val="NormalIndent"/>
      </w:pPr>
      <w:r>
        <w:t xml:space="preserve">This section discusses the appropriate source of general inflation forecasts to use in constructing the PSC and assessing bids </w:t>
      </w:r>
      <w:r w:rsidRPr="00283ECB">
        <w:t>for Partnerships Victoria</w:t>
      </w:r>
      <w:r>
        <w:t xml:space="preserve"> projects.</w:t>
      </w:r>
    </w:p>
    <w:p w:rsidR="00304265" w:rsidRDefault="00304265" w:rsidP="005A29AC">
      <w:pPr>
        <w:pStyle w:val="NormalIndent"/>
      </w:pPr>
      <w:r>
        <w:t>Measuring inflation is a complex issue and it is generally accepted that no single price index can measure all aspects of inflation or meet every user’s needs. However, because of the availability of the consumer price index (CPI), the confidence placed in it, and its high quality, it is now often used as a general measure of inflation. The CPI reflects the changes in the amount the average consumer pays for a fixed basket of goods and services. Inflation, as discussed below, is assumed to reflect movements in the CPI.</w:t>
      </w:r>
    </w:p>
    <w:p w:rsidR="00304265" w:rsidRDefault="00304265" w:rsidP="005A29AC">
      <w:pPr>
        <w:pStyle w:val="NormalIndent"/>
      </w:pPr>
      <w:r>
        <w:t xml:space="preserve">Value for </w:t>
      </w:r>
      <w:r w:rsidRPr="00283ECB">
        <w:t>money in Partnerships Victoria projects</w:t>
      </w:r>
      <w:r>
        <w:t xml:space="preserve"> is determined, in part, by comparing bids with the PSC. The financial evaluation centres on comparing the PSC with the costs to government of the payments reflected in each bid over the full contract term.</w:t>
      </w:r>
    </w:p>
    <w:p w:rsidR="00304265" w:rsidRPr="001772EF" w:rsidRDefault="00304265" w:rsidP="005A29AC">
      <w:pPr>
        <w:pStyle w:val="NormalIndent"/>
      </w:pPr>
      <w:r>
        <w:t>The PSC should be prepared on a nominal basis and before income tax. Inflation should be taken into account in constructing the PSC. Generally this should be done by applying the current long</w:t>
      </w:r>
      <w:r>
        <w:noBreakHyphen/>
        <w:t>term inflation forecast, as published in the budget. The same rate is to be used in bid evaluation. Typically, the Government indicates in the request for proposal the general rate of inflation to be used in its bid evaluation. This allows for standardised comparisons both between bids and with the PSC.</w:t>
      </w:r>
    </w:p>
    <w:p w:rsidR="005A29AC" w:rsidRDefault="005A29AC">
      <w:pPr>
        <w:spacing w:before="0" w:after="200"/>
        <w:rPr>
          <w:rFonts w:asciiTheme="majorHAnsi" w:eastAsiaTheme="majorEastAsia" w:hAnsiTheme="majorHAnsi" w:cstheme="majorBidi"/>
          <w:b/>
          <w:bCs/>
          <w:color w:val="009CA6"/>
          <w:spacing w:val="0"/>
          <w:sz w:val="24"/>
          <w:szCs w:val="24"/>
        </w:rPr>
      </w:pPr>
      <w:r>
        <w:br w:type="page"/>
      </w:r>
    </w:p>
    <w:p w:rsidR="00304265" w:rsidRDefault="00304265" w:rsidP="00304265">
      <w:pPr>
        <w:pStyle w:val="Heading2numbered"/>
        <w:numPr>
          <w:ilvl w:val="3"/>
          <w:numId w:val="4"/>
        </w:numPr>
        <w:spacing w:before="280" w:after="240"/>
      </w:pPr>
      <w:r>
        <w:lastRenderedPageBreak/>
        <w:t>Recommended forecast sources</w:t>
      </w:r>
    </w:p>
    <w:p w:rsidR="00304265" w:rsidRDefault="00304265" w:rsidP="005A29AC">
      <w:pPr>
        <w:pStyle w:val="NormalIndent"/>
      </w:pPr>
      <w:r>
        <w:t>It is recommended that general inflation forecasts (for both the development and services phases) be taken from the budget papers for the purposes of constructing the PSC and assessing bids. As the official budget forecasts, they should be used to ensure consistency across the whole of government.</w:t>
      </w:r>
    </w:p>
    <w:p w:rsidR="00304265" w:rsidRDefault="00304265" w:rsidP="005A29AC">
      <w:pPr>
        <w:pStyle w:val="NormalIndent"/>
      </w:pPr>
      <w:r>
        <w:t>For project purposes, the rate used should be the most recent available forecast published in the budget papers (or budget u</w:t>
      </w:r>
      <w:r w:rsidRPr="00283ECB">
        <w:t>pdate) at the</w:t>
      </w:r>
      <w:r>
        <w:t xml:space="preserve"> time the full PSC is constructed. The request for proposal would advise bidders about this rate to promote consistency in assumptions between the PSC and the bids. This rate would be used for all subsequent project modelling (i.e. once the request for proposal has been released, the rate would not be updated during the tender process). </w:t>
      </w:r>
    </w:p>
    <w:p w:rsidR="00304265" w:rsidRDefault="00304265" w:rsidP="005A29AC">
      <w:pPr>
        <w:pStyle w:val="NormalIndent"/>
      </w:pPr>
      <w:r>
        <w:t>This is consistent with the way the interest rate is treated as an input into the discount rate modelling. The discount rate is determined using the interest rate current at the time the PSC is constructed.</w:t>
      </w:r>
    </w:p>
    <w:p w:rsidR="00304265" w:rsidRDefault="00304265" w:rsidP="00304265">
      <w:pPr>
        <w:pStyle w:val="Heading3numbered"/>
        <w:numPr>
          <w:ilvl w:val="4"/>
          <w:numId w:val="4"/>
        </w:numPr>
        <w:spacing w:before="240" w:after="120"/>
      </w:pPr>
      <w:r>
        <w:t xml:space="preserve">Development phase inflation forecasts in the PPP bid </w:t>
      </w:r>
    </w:p>
    <w:p w:rsidR="00304265" w:rsidRDefault="00304265" w:rsidP="005A29AC">
      <w:pPr>
        <w:pStyle w:val="NormalIndent"/>
      </w:pPr>
      <w:r>
        <w:t>The private sector party usually takes the risk on inflation during the development phase (by bidding a fixed nominal price for all development activities as part of their total contract price), which may be calculated using current industry/sector specific escalation rates applicable to the project. As discussed above, CPI related capital costs should be indexed by the private party using the CPI forecasts in the forward estimates, or the projections (depending on the duration of the development phase) in the budget papers.</w:t>
      </w:r>
    </w:p>
    <w:p w:rsidR="00304265" w:rsidRDefault="00304265" w:rsidP="005A29AC">
      <w:pPr>
        <w:pStyle w:val="NormalIndent"/>
      </w:pPr>
      <w:r>
        <w:t>However, to the extent that it is proposed that an element of inflation or escalation risk during the development phase is to be passed back to the State, the State would need to specify and agree the relevant applicable rates. In this instance, general inflation (if applicable) would be taken from the CPI forecasts in the forward estimates, or the long</w:t>
      </w:r>
      <w:r w:rsidR="000A305E">
        <w:t>-</w:t>
      </w:r>
      <w:r>
        <w:t>term projections (as applicable) in the budget papers.</w:t>
      </w:r>
    </w:p>
    <w:p w:rsidR="00304265" w:rsidRDefault="00304265" w:rsidP="005A29AC">
      <w:pPr>
        <w:pStyle w:val="NormalIndent"/>
      </w:pPr>
      <w:r>
        <w:t>When evaluating different payment structures</w:t>
      </w:r>
      <w:r w:rsidR="00752C84">
        <w:t xml:space="preserve"> (e.g. </w:t>
      </w:r>
      <w:r>
        <w:t>index/CPI linked structures and/or the use of additional indexation factors</w:t>
      </w:r>
      <w:r w:rsidR="00752C84">
        <w:t>)</w:t>
      </w:r>
      <w:r>
        <w:t>, the State will make adjustments to the PPP bid evaluation discount rate in accordance with the revised allocation of CPI/inflation risk bid between the State and the private sector party.</w:t>
      </w:r>
    </w:p>
    <w:p w:rsidR="00304265" w:rsidRDefault="00304265" w:rsidP="00304265">
      <w:pPr>
        <w:pStyle w:val="Heading3numbered"/>
        <w:numPr>
          <w:ilvl w:val="2"/>
          <w:numId w:val="47"/>
        </w:numPr>
        <w:tabs>
          <w:tab w:val="num" w:pos="792"/>
        </w:tabs>
        <w:spacing w:before="240" w:after="120"/>
        <w:ind w:left="792" w:hanging="792"/>
      </w:pPr>
      <w:r>
        <w:t>Operating phase inflation forecasts in the PPP bid</w:t>
      </w:r>
    </w:p>
    <w:p w:rsidR="00304265" w:rsidRDefault="00304265" w:rsidP="005A29AC">
      <w:pPr>
        <w:pStyle w:val="NormalIndent"/>
      </w:pPr>
      <w:r>
        <w:t xml:space="preserve">Consistent with the PSC methodology, the </w:t>
      </w:r>
      <w:r w:rsidR="00752C84">
        <w:t>long-</w:t>
      </w:r>
      <w:r>
        <w:t xml:space="preserve">term CPI and </w:t>
      </w:r>
      <w:r w:rsidR="000A305E">
        <w:t>w</w:t>
      </w:r>
      <w:r>
        <w:t xml:space="preserve">age </w:t>
      </w:r>
      <w:r w:rsidR="000A305E">
        <w:t>p</w:t>
      </w:r>
      <w:r>
        <w:t xml:space="preserve">rice </w:t>
      </w:r>
      <w:r w:rsidR="000A305E">
        <w:t>i</w:t>
      </w:r>
      <w:r>
        <w:t>ndex forecasts and projections from the budget papers (as relevant) should be used by the private party in escalating their costs over the services phase. Other industry/sector specific indices may also be applicable, depending on the nature of the project.</w:t>
      </w:r>
      <w:bookmarkEnd w:id="0"/>
      <w:bookmarkEnd w:id="3"/>
    </w:p>
    <w:sectPr w:rsidR="00304265" w:rsidSect="00772B5A">
      <w:headerReference w:type="even" r:id="rId9"/>
      <w:headerReference w:type="default" r:id="rId10"/>
      <w:footerReference w:type="even" r:id="rId11"/>
      <w:footerReference w:type="default" r:id="rId12"/>
      <w:headerReference w:type="first" r:id="rId13"/>
      <w:footerReference w:type="first" r:id="rId14"/>
      <w:pgSz w:w="11906" w:h="16838" w:code="9"/>
      <w:pgMar w:top="2160" w:right="1440" w:bottom="1584" w:left="1440" w:header="547" w:footer="6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33F" w:rsidRDefault="006F633F" w:rsidP="008422A3">
      <w:r>
        <w:separator/>
      </w:r>
    </w:p>
  </w:endnote>
  <w:endnote w:type="continuationSeparator" w:id="0">
    <w:p w:rsidR="006F633F" w:rsidRDefault="006F633F" w:rsidP="0084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C0" w:rsidRDefault="005866C0" w:rsidP="005866C0">
    <w:pPr>
      <w:pStyle w:val="Footer"/>
      <w:ind w:left="-720"/>
      <w:jc w:val="right"/>
    </w:pPr>
    <w:r>
      <w:drawing>
        <wp:inline distT="0" distB="0" distL="0" distR="0" wp14:anchorId="31DF0EDA" wp14:editId="55498C20">
          <wp:extent cx="387453" cy="411480"/>
          <wp:effectExtent l="0" t="0" r="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453" cy="411480"/>
                  </a:xfrm>
                  <a:prstGeom prst="rect">
                    <a:avLst/>
                  </a:prstGeom>
                  <a:noFill/>
                  <a:ln>
                    <a:noFill/>
                  </a:ln>
                </pic:spPr>
              </pic:pic>
            </a:graphicData>
          </a:graphic>
        </wp:inline>
      </w:drawing>
    </w:r>
    <w:r>
      <w:drawing>
        <wp:inline distT="0" distB="0" distL="0" distR="0" wp14:anchorId="01918AAF" wp14:editId="478213FF">
          <wp:extent cx="387460" cy="411480"/>
          <wp:effectExtent l="0" t="0" r="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7460" cy="411480"/>
                  </a:xfrm>
                  <a:prstGeom prst="rect">
                    <a:avLst/>
                  </a:prstGeom>
                  <a:noFill/>
                  <a:ln>
                    <a:noFill/>
                  </a:ln>
                </pic:spPr>
              </pic:pic>
            </a:graphicData>
          </a:graphic>
        </wp:inline>
      </w:drawing>
    </w:r>
    <w:r>
      <w:drawing>
        <wp:inline distT="0" distB="0" distL="0" distR="0" wp14:anchorId="6445EEDC" wp14:editId="69E94F54">
          <wp:extent cx="387460" cy="411480"/>
          <wp:effectExtent l="0" t="0" r="0" b="762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V="1">
                    <a:off x="0" y="0"/>
                    <a:ext cx="387460" cy="411480"/>
                  </a:xfrm>
                  <a:prstGeom prst="rect">
                    <a:avLst/>
                  </a:prstGeom>
                  <a:noFill/>
                  <a:ln>
                    <a:noFill/>
                  </a:ln>
                </pic:spPr>
              </pic:pic>
            </a:graphicData>
          </a:graphic>
        </wp:inline>
      </w:drawing>
    </w:r>
    <w:r>
      <w:drawing>
        <wp:inline distT="0" distB="0" distL="0" distR="0" wp14:anchorId="36952873" wp14:editId="133DA2F0">
          <wp:extent cx="387460" cy="411480"/>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V="1">
                    <a:off x="0" y="0"/>
                    <a:ext cx="387460" cy="411480"/>
                  </a:xfrm>
                  <a:prstGeom prst="rect">
                    <a:avLst/>
                  </a:prstGeom>
                  <a:noFill/>
                  <a:ln>
                    <a:noFill/>
                  </a:ln>
                </pic:spPr>
              </pic:pic>
            </a:graphicData>
          </a:graphic>
        </wp:inline>
      </w:drawing>
    </w:r>
    <w:r>
      <w:drawing>
        <wp:inline distT="0" distB="0" distL="0" distR="0" wp14:anchorId="3EA09EE3" wp14:editId="32FC522B">
          <wp:extent cx="389757" cy="411480"/>
          <wp:effectExtent l="0" t="0" r="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757" cy="411480"/>
                  </a:xfrm>
                  <a:prstGeom prst="rect">
                    <a:avLst/>
                  </a:prstGeom>
                  <a:noFill/>
                  <a:ln>
                    <a:noFill/>
                  </a:ln>
                </pic:spPr>
              </pic:pic>
            </a:graphicData>
          </a:graphic>
        </wp:inline>
      </w:drawing>
    </w:r>
    <w:r>
      <w:t xml:space="preserve"> </w:t>
    </w:r>
    <w:r>
      <w:drawing>
        <wp:inline distT="0" distB="0" distL="0" distR="0" wp14:anchorId="14E8FE16" wp14:editId="496849E3">
          <wp:extent cx="1378626" cy="411480"/>
          <wp:effectExtent l="0" t="0" r="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black rgb.png"/>
                  <pic:cNvPicPr/>
                </pic:nvPicPr>
                <pic:blipFill>
                  <a:blip r:embed="rId6">
                    <a:extLst>
                      <a:ext uri="{28A0092B-C50C-407E-A947-70E740481C1C}">
                        <a14:useLocalDpi xmlns:a14="http://schemas.microsoft.com/office/drawing/2010/main" val="0"/>
                      </a:ext>
                    </a:extLst>
                  </a:blip>
                  <a:stretch>
                    <a:fillRect/>
                  </a:stretch>
                </pic:blipFill>
                <pic:spPr>
                  <a:xfrm>
                    <a:off x="0" y="0"/>
                    <a:ext cx="1378626" cy="41148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E3" w:rsidRPr="00156B30" w:rsidRDefault="00156B30" w:rsidP="00156B30">
    <w:pPr>
      <w:pStyle w:val="Footer"/>
      <w:tabs>
        <w:tab w:val="clear" w:pos="9810"/>
        <w:tab w:val="right" w:pos="9630"/>
      </w:tabs>
      <w:ind w:left="-540" w:right="-604"/>
      <w:rPr>
        <w:sz w:val="20"/>
        <w:szCs w:val="20"/>
      </w:rPr>
    </w:pPr>
    <w:r w:rsidRPr="00156B30">
      <w:rPr>
        <w:b/>
        <w:noProof w:val="0"/>
        <w:color w:val="009CA6"/>
        <w:sz w:val="20"/>
        <w:szCs w:val="20"/>
      </w:rPr>
      <w:fldChar w:fldCharType="begin"/>
    </w:r>
    <w:r w:rsidRPr="00156B30">
      <w:rPr>
        <w:b/>
        <w:color w:val="009CA6"/>
        <w:sz w:val="20"/>
        <w:szCs w:val="20"/>
      </w:rPr>
      <w:instrText xml:space="preserve"> StyleRef “Title” </w:instrText>
    </w:r>
    <w:r w:rsidRPr="00156B30">
      <w:rPr>
        <w:b/>
        <w:noProof w:val="0"/>
        <w:color w:val="009CA6"/>
        <w:sz w:val="20"/>
        <w:szCs w:val="20"/>
      </w:rPr>
      <w:fldChar w:fldCharType="separate"/>
    </w:r>
    <w:r w:rsidR="00AF66EC">
      <w:rPr>
        <w:b/>
        <w:color w:val="009CA6"/>
        <w:sz w:val="20"/>
        <w:szCs w:val="20"/>
      </w:rPr>
      <w:t>Financial analysis inputs for Partnerships Victoria projects</w:t>
    </w:r>
    <w:r w:rsidRPr="00156B30">
      <w:rPr>
        <w:b/>
        <w:color w:val="009CA6"/>
        <w:sz w:val="20"/>
        <w:szCs w:val="20"/>
      </w:rPr>
      <w:fldChar w:fldCharType="end"/>
    </w:r>
    <w:r w:rsidR="009831E3" w:rsidRPr="00156B30">
      <w:rPr>
        <w:sz w:val="20"/>
        <w:szCs w:val="20"/>
      </w:rPr>
      <mc:AlternateContent>
        <mc:Choice Requires="wps">
          <w:drawing>
            <wp:anchor distT="0" distB="0" distL="114300" distR="114300" simplePos="0" relativeHeight="251696128" behindDoc="0" locked="0" layoutInCell="1" allowOverlap="1" wp14:anchorId="25B59C53" wp14:editId="433AF5D7">
              <wp:simplePos x="0" y="0"/>
              <wp:positionH relativeFrom="column">
                <wp:posOffset>5415725</wp:posOffset>
              </wp:positionH>
              <wp:positionV relativeFrom="page">
                <wp:posOffset>9978390</wp:posOffset>
              </wp:positionV>
              <wp:extent cx="210312" cy="438912"/>
              <wp:effectExtent l="0" t="0" r="18415" b="18415"/>
              <wp:wrapNone/>
              <wp:docPr id="31" name="Line 4"/>
              <wp:cNvGraphicFramePr/>
              <a:graphic xmlns:a="http://schemas.openxmlformats.org/drawingml/2006/main">
                <a:graphicData uri="http://schemas.microsoft.com/office/word/2010/wordprocessingShape">
                  <wps:wsp>
                    <wps:cNvCnPr/>
                    <wps:spPr bwMode="auto">
                      <a:xfrm flipH="1" flipV="1">
                        <a:off x="0" y="0"/>
                        <a:ext cx="210312" cy="438912"/>
                      </a:xfrm>
                      <a:prstGeom prst="line">
                        <a:avLst/>
                      </a:prstGeom>
                      <a:noFill/>
                      <a:ln w="15240" cap="flat">
                        <a:solidFill>
                          <a:srgbClr val="009CA6"/>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4" o:spid="_x0000_s1026" style="position:absolute;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26.45pt,785.7pt" to="443pt,8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" strokecolor="#009ca6" strokeweight="1.2pt">
              <v:stroke joinstyle="miter"/>
              <w10:wrap anchory="page"/>
            </v:line>
          </w:pict>
        </mc:Fallback>
      </mc:AlternateContent>
    </w:r>
    <w:r w:rsidRPr="00156B30">
      <w:rPr>
        <w:sz w:val="20"/>
        <w:szCs w:val="20"/>
      </w:rPr>
      <w:tab/>
    </w:r>
    <w:r w:rsidR="009831E3" w:rsidRPr="00156B30">
      <w:rPr>
        <w:sz w:val="20"/>
        <w:szCs w:val="20"/>
      </w:rPr>
      <w:t xml:space="preserve">Page </w:t>
    </w:r>
    <w:r w:rsidR="009831E3" w:rsidRPr="00156B30">
      <w:rPr>
        <w:sz w:val="20"/>
        <w:szCs w:val="20"/>
      </w:rPr>
      <w:fldChar w:fldCharType="begin"/>
    </w:r>
    <w:r w:rsidR="009831E3" w:rsidRPr="00156B30">
      <w:rPr>
        <w:sz w:val="20"/>
        <w:szCs w:val="20"/>
      </w:rPr>
      <w:instrText xml:space="preserve"> page </w:instrText>
    </w:r>
    <w:r w:rsidR="009831E3" w:rsidRPr="00156B30">
      <w:rPr>
        <w:sz w:val="20"/>
        <w:szCs w:val="20"/>
      </w:rPr>
      <w:fldChar w:fldCharType="separate"/>
    </w:r>
    <w:r w:rsidR="00AF66EC">
      <w:rPr>
        <w:sz w:val="20"/>
        <w:szCs w:val="20"/>
      </w:rPr>
      <w:t>4</w:t>
    </w:r>
    <w:r w:rsidR="009831E3" w:rsidRPr="00156B30">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E3" w:rsidRPr="00156B30" w:rsidRDefault="008A24B6" w:rsidP="00B2138B">
    <w:pPr>
      <w:pStyle w:val="Footer"/>
      <w:ind w:left="-540" w:right="1916"/>
      <w:rPr>
        <w:color w:val="009CA6"/>
        <w:sz w:val="20"/>
        <w:szCs w:val="20"/>
      </w:rPr>
    </w:pPr>
    <w:r w:rsidRPr="00156B30">
      <w:rPr>
        <w:color w:val="009CA6"/>
        <w:sz w:val="20"/>
        <w:szCs w:val="20"/>
      </w:rPr>
      <w:drawing>
        <wp:anchor distT="0" distB="0" distL="114300" distR="114300" simplePos="0" relativeHeight="251697152" behindDoc="0" locked="0" layoutInCell="1" allowOverlap="1" wp14:anchorId="48B16386" wp14:editId="5843D928">
          <wp:simplePos x="0" y="0"/>
          <wp:positionH relativeFrom="column">
            <wp:posOffset>4802505</wp:posOffset>
          </wp:positionH>
          <wp:positionV relativeFrom="paragraph">
            <wp:posOffset>-152845</wp:posOffset>
          </wp:positionV>
          <wp:extent cx="1380490" cy="411480"/>
          <wp:effectExtent l="0" t="0" r="0" b="762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black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anchor>
      </w:drawing>
    </w:r>
    <w:r w:rsidR="00156B30" w:rsidRPr="00156B30">
      <w:rPr>
        <w:b/>
        <w:noProof w:val="0"/>
        <w:color w:val="009CA6"/>
        <w:sz w:val="20"/>
        <w:szCs w:val="20"/>
      </w:rPr>
      <w:fldChar w:fldCharType="begin"/>
    </w:r>
    <w:r w:rsidR="00156B30" w:rsidRPr="00156B30">
      <w:rPr>
        <w:b/>
        <w:color w:val="009CA6"/>
        <w:sz w:val="20"/>
        <w:szCs w:val="20"/>
      </w:rPr>
      <w:instrText xml:space="preserve"> StyleRef “Title” </w:instrText>
    </w:r>
    <w:r w:rsidR="00156B30" w:rsidRPr="00156B30">
      <w:rPr>
        <w:b/>
        <w:noProof w:val="0"/>
        <w:color w:val="009CA6"/>
        <w:sz w:val="20"/>
        <w:szCs w:val="20"/>
      </w:rPr>
      <w:fldChar w:fldCharType="separate"/>
    </w:r>
    <w:r w:rsidR="00AF66EC">
      <w:rPr>
        <w:b/>
        <w:color w:val="009CA6"/>
        <w:sz w:val="20"/>
        <w:szCs w:val="20"/>
      </w:rPr>
      <w:t>Financial analysis inputs for Partnerships Victoria projects</w:t>
    </w:r>
    <w:r w:rsidR="00156B30" w:rsidRPr="00156B30">
      <w:rPr>
        <w:b/>
        <w:color w:val="009CA6"/>
        <w:sz w:val="20"/>
        <w:szCs w:val="20"/>
      </w:rPr>
      <w:fldChar w:fldCharType="end"/>
    </w:r>
    <w:r w:rsidR="00156B30" w:rsidRPr="00156B30">
      <w:rPr>
        <w:color w:val="009CA6"/>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33F" w:rsidRDefault="006F633F" w:rsidP="008422A3">
      <w:r>
        <w:separator/>
      </w:r>
    </w:p>
  </w:footnote>
  <w:footnote w:type="continuationSeparator" w:id="0">
    <w:p w:rsidR="006F633F" w:rsidRDefault="006F633F" w:rsidP="008422A3">
      <w:r>
        <w:continuationSeparator/>
      </w:r>
    </w:p>
  </w:footnote>
  <w:footnote w:id="1">
    <w:p w:rsidR="00304265" w:rsidRPr="005A29AC" w:rsidRDefault="00304265" w:rsidP="005A29AC">
      <w:pPr>
        <w:pStyle w:val="FootnoteText"/>
      </w:pPr>
      <w:r>
        <w:rPr>
          <w:rStyle w:val="FootnoteReference"/>
        </w:rPr>
        <w:footnoteRef/>
      </w:r>
      <w:r>
        <w:t xml:space="preserve"> </w:t>
      </w:r>
      <w:r w:rsidRPr="00DA024F">
        <w:t xml:space="preserve">Each project’s asset beta should be verified on a </w:t>
      </w:r>
      <w:r w:rsidR="00826A00" w:rsidRPr="00DA024F">
        <w:t>case</w:t>
      </w:r>
      <w:r w:rsidR="00826A00">
        <w:t>-</w:t>
      </w:r>
      <w:r w:rsidR="00826A00" w:rsidRPr="00DA024F">
        <w:t>by</w:t>
      </w:r>
      <w:r w:rsidR="00826A00">
        <w:t>-</w:t>
      </w:r>
      <w:r w:rsidRPr="00DA024F">
        <w:t>case basis, having regard to the project’s specific risk profile and level of systematic risk</w:t>
      </w:r>
    </w:p>
  </w:footnote>
  <w:footnote w:id="2">
    <w:p w:rsidR="00304265" w:rsidRPr="005A29AC" w:rsidRDefault="00304265" w:rsidP="005A29AC">
      <w:pPr>
        <w:pStyle w:val="FootnoteText"/>
        <w:rPr>
          <w:rStyle w:val="FootnoteReference"/>
          <w:vertAlign w:val="baseline"/>
        </w:rPr>
      </w:pPr>
      <w:r w:rsidRPr="00D3079F">
        <w:rPr>
          <w:rStyle w:val="FootnoteReference"/>
        </w:rPr>
        <w:footnoteRef/>
      </w:r>
      <w:r w:rsidRPr="005A29AC">
        <w:rPr>
          <w:rStyle w:val="FootnoteReference"/>
          <w:vertAlign w:val="baseline"/>
        </w:rPr>
        <w:t xml:space="preserve"> The PSC represents the most efficient public procurement cost to achieve required service delivery outcomes.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CC6" w:rsidRPr="0041689E" w:rsidRDefault="00021CC6" w:rsidP="00BC3AB3">
    <w:pPr>
      <w:pStyle w:val="Header"/>
    </w:pPr>
    <w:r>
      <w:rPr>
        <w:noProof/>
      </w:rPr>
      <mc:AlternateContent>
        <mc:Choice Requires="wps">
          <w:drawing>
            <wp:anchor distT="0" distB="0" distL="274320" distR="274320" simplePos="0" relativeHeight="251659264" behindDoc="0" locked="0" layoutInCell="0" allowOverlap="0" wp14:anchorId="193C8083" wp14:editId="411AF12A">
              <wp:simplePos x="0" y="0"/>
              <wp:positionH relativeFrom="page">
                <wp:posOffset>941705</wp:posOffset>
              </wp:positionH>
              <wp:positionV relativeFrom="page">
                <wp:posOffset>1444625</wp:posOffset>
              </wp:positionV>
              <wp:extent cx="603504" cy="640080"/>
              <wp:effectExtent l="0" t="0" r="6350" b="7620"/>
              <wp:wrapSquare wrapText="bothSides"/>
              <wp:docPr id="3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504" cy="640080"/>
                      </a:xfrm>
                      <a:custGeom>
                        <a:avLst/>
                        <a:gdLst>
                          <a:gd name="T0" fmla="*/ 0 w 945"/>
                          <a:gd name="T1" fmla="*/ 0 h 1008"/>
                          <a:gd name="T2" fmla="*/ 475 w 945"/>
                          <a:gd name="T3" fmla="*/ 1008 h 1008"/>
                          <a:gd name="T4" fmla="*/ 945 w 945"/>
                          <a:gd name="T5" fmla="*/ 0 h 1008"/>
                          <a:gd name="T6" fmla="*/ 0 w 945"/>
                          <a:gd name="T7" fmla="*/ 0 h 1008"/>
                        </a:gdLst>
                        <a:ahLst/>
                        <a:cxnLst>
                          <a:cxn ang="0">
                            <a:pos x="T0" y="T1"/>
                          </a:cxn>
                          <a:cxn ang="0">
                            <a:pos x="T2" y="T3"/>
                          </a:cxn>
                          <a:cxn ang="0">
                            <a:pos x="T4" y="T5"/>
                          </a:cxn>
                          <a:cxn ang="0">
                            <a:pos x="T6" y="T7"/>
                          </a:cxn>
                        </a:cxnLst>
                        <a:rect l="0" t="0" r="r" b="b"/>
                        <a:pathLst>
                          <a:path w="945" h="1008">
                            <a:moveTo>
                              <a:pt x="0" y="0"/>
                            </a:moveTo>
                            <a:lnTo>
                              <a:pt x="475" y="1008"/>
                            </a:lnTo>
                            <a:lnTo>
                              <a:pt x="945" y="0"/>
                            </a:lnTo>
                            <a:lnTo>
                              <a:pt x="0" y="0"/>
                            </a:lnTo>
                            <a:close/>
                          </a:path>
                        </a:pathLst>
                      </a:custGeom>
                      <a:solidFill>
                        <a:srgbClr val="94D6DC"/>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B7B29" w:rsidRPr="00BC3AB3" w:rsidRDefault="00AB7B29" w:rsidP="00BC3AB3">
                          <w:pPr>
                            <w:jc w:val="center"/>
                            <w:rPr>
                              <w:rStyle w:val="PageNumber"/>
                            </w:rPr>
                          </w:pPr>
                          <w:r w:rsidRPr="00AB7B29">
                            <w:rPr>
                              <w:rStyle w:val="PageNumber"/>
                            </w:rPr>
                            <w:fldChar w:fldCharType="begin"/>
                          </w:r>
                          <w:r w:rsidRPr="00AB7B29">
                            <w:rPr>
                              <w:rStyle w:val="PageNumber"/>
                            </w:rPr>
                            <w:instrText xml:space="preserve"> page </w:instrText>
                          </w:r>
                          <w:r w:rsidRPr="00AB7B29">
                            <w:rPr>
                              <w:rStyle w:val="PageNumber"/>
                            </w:rPr>
                            <w:fldChar w:fldCharType="separate"/>
                          </w:r>
                          <w:r w:rsidR="008278AC">
                            <w:rPr>
                              <w:rStyle w:val="PageNumber"/>
                              <w:noProof/>
                            </w:rPr>
                            <w:t>2</w:t>
                          </w:r>
                          <w:r w:rsidRPr="00AB7B29">
                            <w:rPr>
                              <w:rStyle w:val="PageNumber"/>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Freeform 4" o:spid="_x0000_s1026" style="position:absolute;left:0;text-align:left;margin-left:74.15pt;margin-top:113.75pt;width:47.5pt;height:50.4pt;z-index:251659264;visibility:visible;mso-wrap-style:square;mso-width-percent:0;mso-wrap-distance-left:21.6pt;mso-wrap-distance-top:0;mso-wrap-distance-right:21.6pt;mso-wrap-distance-bottom:0;mso-position-horizontal:absolute;mso-position-horizontal-relative:page;mso-position-vertical:absolute;mso-position-vertical-relative:page;mso-width-percent:0;mso-width-relative:margin;v-text-anchor:top" coordsize="945,10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" o:allowincell="f" o:allowoverlap="f" adj="-11796480,,5400" path="m,l475,1008,945,,,xe" fillcolor="#94d6dc" stroked="f">
              <v:stroke joinstyle="round"/>
              <v:formulas/>
              <v:path arrowok="t" o:connecttype="custom" o:connectlocs="0,0;303349,640080;603504,0;0,0" o:connectangles="0,0,0,0" textboxrect="0,0,945,1008"/>
              <v:textbox>
                <w:txbxContent>
                  <w:p w:rsidR="00AB7B29" w:rsidRPr="00BC3AB3" w:rsidRDefault="00AB7B29" w:rsidP="00BC3AB3">
                    <w:pPr>
                      <w:jc w:val="center"/>
                      <w:rPr>
                        <w:rStyle w:val="PageNumber"/>
                      </w:rPr>
                    </w:pPr>
                    <w:r w:rsidRPr="00AB7B29">
                      <w:rPr>
                        <w:rStyle w:val="PageNumber"/>
                      </w:rPr>
                      <w:fldChar w:fldCharType="begin"/>
                    </w:r>
                    <w:r w:rsidRPr="00AB7B29">
                      <w:rPr>
                        <w:rStyle w:val="PageNumber"/>
                      </w:rPr>
                      <w:instrText xml:space="preserve"> page </w:instrText>
                    </w:r>
                    <w:r w:rsidRPr="00AB7B29">
                      <w:rPr>
                        <w:rStyle w:val="PageNumber"/>
                      </w:rPr>
                      <w:fldChar w:fldCharType="separate"/>
                    </w:r>
                    <w:r w:rsidR="008278AC">
                      <w:rPr>
                        <w:rStyle w:val="PageNumber"/>
                        <w:noProof/>
                      </w:rPr>
                      <w:t>2</w:t>
                    </w:r>
                    <w:r w:rsidRPr="00AB7B29">
                      <w:rPr>
                        <w:rStyle w:val="PageNumber"/>
                      </w:rPr>
                      <w:fldChar w:fldCharType="end"/>
                    </w:r>
                  </w:p>
                </w:txbxContent>
              </v:textbox>
              <w10:wrap type="square"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B32" w:rsidRPr="00BC3AB3" w:rsidRDefault="00CF6B32" w:rsidP="00CF6B32">
    <w:pPr>
      <w:pStyle w:val="Header"/>
      <w:spacing w:before="160"/>
      <w:ind w:right="-778"/>
    </w:pPr>
    <w:r w:rsidRPr="00AA01AA">
      <w:rPr>
        <w:noProof/>
        <w:spacing w:val="0"/>
      </w:rPr>
      <w:drawing>
        <wp:anchor distT="0" distB="0" distL="114300" distR="114300" simplePos="0" relativeHeight="251710464" behindDoc="0" locked="0" layoutInCell="1" allowOverlap="1" wp14:anchorId="41A2AE5A" wp14:editId="19078139">
          <wp:simplePos x="0" y="0"/>
          <wp:positionH relativeFrom="column">
            <wp:posOffset>3991610</wp:posOffset>
          </wp:positionH>
          <wp:positionV relativeFrom="paragraph">
            <wp:posOffset>100965</wp:posOffset>
          </wp:positionV>
          <wp:extent cx="438785" cy="4572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png"/>
                  <pic:cNvPicPr/>
                </pic:nvPicPr>
                <pic:blipFill rotWithShape="1">
                  <a:blip r:embed="rId1" cstate="print">
                    <a:extLst>
                      <a:ext uri="{28A0092B-C50C-407E-A947-70E740481C1C}">
                        <a14:useLocalDpi xmlns:a14="http://schemas.microsoft.com/office/drawing/2010/main" val="0"/>
                      </a:ext>
                    </a:extLst>
                  </a:blip>
                  <a:srcRect l="10685" t="9786" r="10283" b="9786"/>
                  <a:stretch/>
                </pic:blipFill>
                <pic:spPr bwMode="auto">
                  <a:xfrm>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1488" behindDoc="0" locked="0" layoutInCell="1" allowOverlap="1" wp14:anchorId="4FF528F8" wp14:editId="0B3193F4">
          <wp:simplePos x="0" y="0"/>
          <wp:positionH relativeFrom="column">
            <wp:posOffset>4321175</wp:posOffset>
          </wp:positionH>
          <wp:positionV relativeFrom="paragraph">
            <wp:posOffset>100965</wp:posOffset>
          </wp:positionV>
          <wp:extent cx="435610" cy="457200"/>
          <wp:effectExtent l="0" t="0" r="254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1.png"/>
                  <pic:cNvPicPr/>
                </pic:nvPicPr>
                <pic:blipFill rotWithShape="1">
                  <a:blip r:embed="rId2" cstate="print">
                    <a:extLst>
                      <a:ext uri="{28A0092B-C50C-407E-A947-70E740481C1C}">
                        <a14:useLocalDpi xmlns:a14="http://schemas.microsoft.com/office/drawing/2010/main" val="0"/>
                      </a:ext>
                    </a:extLst>
                  </a:blip>
                  <a:srcRect l="10133" t="9605" r="9669" b="9108"/>
                  <a:stretch/>
                </pic:blipFill>
                <pic:spPr bwMode="auto">
                  <a:xfrm rot="10800000">
                    <a:off x="0" y="0"/>
                    <a:ext cx="4356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2512" behindDoc="0" locked="0" layoutInCell="1" allowOverlap="1" wp14:anchorId="0805B3A9" wp14:editId="5DCA20D3">
          <wp:simplePos x="0" y="0"/>
          <wp:positionH relativeFrom="column">
            <wp:posOffset>3665220</wp:posOffset>
          </wp:positionH>
          <wp:positionV relativeFrom="paragraph">
            <wp:posOffset>100965</wp:posOffset>
          </wp:positionV>
          <wp:extent cx="435610" cy="457200"/>
          <wp:effectExtent l="0" t="0" r="254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1.png"/>
                  <pic:cNvPicPr/>
                </pic:nvPicPr>
                <pic:blipFill rotWithShape="1">
                  <a:blip r:embed="rId3">
                    <a:extLst>
                      <a:ext uri="{28A0092B-C50C-407E-A947-70E740481C1C}">
                        <a14:useLocalDpi xmlns:a14="http://schemas.microsoft.com/office/drawing/2010/main" val="0"/>
                      </a:ext>
                    </a:extLst>
                  </a:blip>
                  <a:srcRect l="10497" t="9788" r="9945" b="9358"/>
                  <a:stretch/>
                </pic:blipFill>
                <pic:spPr bwMode="auto">
                  <a:xfrm rot="10800000">
                    <a:off x="0" y="0"/>
                    <a:ext cx="4356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4560" behindDoc="0" locked="0" layoutInCell="1" allowOverlap="1" wp14:anchorId="2E5A34F7" wp14:editId="55AEBA4D">
          <wp:simplePos x="0" y="0"/>
          <wp:positionH relativeFrom="column">
            <wp:posOffset>2675255</wp:posOffset>
          </wp:positionH>
          <wp:positionV relativeFrom="paragraph">
            <wp:posOffset>100965</wp:posOffset>
          </wp:positionV>
          <wp:extent cx="436245" cy="457200"/>
          <wp:effectExtent l="0" t="0" r="190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1.png"/>
                  <pic:cNvPicPr/>
                </pic:nvPicPr>
                <pic:blipFill rotWithShape="1">
                  <a:blip r:embed="rId4" cstate="print">
                    <a:extLst>
                      <a:ext uri="{28A0092B-C50C-407E-A947-70E740481C1C}">
                        <a14:useLocalDpi xmlns:a14="http://schemas.microsoft.com/office/drawing/2010/main" val="0"/>
                      </a:ext>
                    </a:extLst>
                  </a:blip>
                  <a:srcRect l="10465" t="9860" r="10174" b="9573"/>
                  <a:stretch/>
                </pic:blipFill>
                <pic:spPr bwMode="auto">
                  <a:xfrm>
                    <a:off x="0" y="0"/>
                    <a:ext cx="43624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3536" behindDoc="0" locked="0" layoutInCell="1" allowOverlap="1" wp14:anchorId="2B2DFC42" wp14:editId="1E33331D">
          <wp:simplePos x="0" y="0"/>
          <wp:positionH relativeFrom="column">
            <wp:posOffset>3331845</wp:posOffset>
          </wp:positionH>
          <wp:positionV relativeFrom="paragraph">
            <wp:posOffset>100965</wp:posOffset>
          </wp:positionV>
          <wp:extent cx="442595" cy="4572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1.png"/>
                  <pic:cNvPicPr/>
                </pic:nvPicPr>
                <pic:blipFill rotWithShape="1">
                  <a:blip r:embed="rId5" cstate="print">
                    <a:extLst>
                      <a:ext uri="{28A0092B-C50C-407E-A947-70E740481C1C}">
                        <a14:useLocalDpi xmlns:a14="http://schemas.microsoft.com/office/drawing/2010/main" val="0"/>
                      </a:ext>
                    </a:extLst>
                  </a:blip>
                  <a:srcRect l="10143" t="10043" r="9592" b="9615"/>
                  <a:stretch/>
                </pic:blipFill>
                <pic:spPr bwMode="auto">
                  <a:xfrm>
                    <a:off x="0" y="0"/>
                    <a:ext cx="44259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A01AA">
      <w:rPr>
        <w:noProof/>
        <w:spacing w:val="0"/>
      </w:rPr>
      <w:drawing>
        <wp:anchor distT="0" distB="0" distL="114300" distR="114300" simplePos="0" relativeHeight="251709440" behindDoc="0" locked="0" layoutInCell="1" allowOverlap="1" wp14:anchorId="2D3CAFC9" wp14:editId="0C307A1B">
          <wp:simplePos x="0" y="0"/>
          <wp:positionH relativeFrom="column">
            <wp:posOffset>3002280</wp:posOffset>
          </wp:positionH>
          <wp:positionV relativeFrom="paragraph">
            <wp:posOffset>101600</wp:posOffset>
          </wp:positionV>
          <wp:extent cx="438785" cy="4572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png"/>
                  <pic:cNvPicPr/>
                </pic:nvPicPr>
                <pic:blipFill rotWithShape="1">
                  <a:blip r:embed="rId6" cstate="print">
                    <a:extLst>
                      <a:ext uri="{28A0092B-C50C-407E-A947-70E740481C1C}">
                        <a14:useLocalDpi xmlns:a14="http://schemas.microsoft.com/office/drawing/2010/main" val="0"/>
                      </a:ext>
                    </a:extLst>
                  </a:blip>
                  <a:srcRect l="10000" t="9899" r="10154" b="9418"/>
                  <a:stretch/>
                </pic:blipFill>
                <pic:spPr bwMode="auto">
                  <a:xfrm rot="10800000">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3AC9073F" wp14:editId="4D27C085">
              <wp:extent cx="219456" cy="457995"/>
              <wp:effectExtent l="0" t="0" r="28575" b="18415"/>
              <wp:docPr id="48" name="Lin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H="1" flipV="1">
                        <a:off x="0" y="0"/>
                        <a:ext cx="219456" cy="457995"/>
                      </a:xfrm>
                      <a:prstGeom prst="line">
                        <a:avLst/>
                      </a:prstGeom>
                      <a:noFill/>
                      <a:ln w="15240" cap="flat">
                        <a:solidFill>
                          <a:srgbClr val="009CA6"/>
                        </a:solidFill>
                        <a:prstDash val="solid"/>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id="Line 4" o:spid="_x0000_s1026" style="flip:x y;visibility:visible;mso-wrap-style:square;mso-left-percent:-10001;mso-top-percent:-10001;mso-position-horizontal:absolute;mso-position-horizontal-relative:char;mso-position-vertical:absolute;mso-position-vertical-relative:line;mso-left-percent:-10001;mso-top-percent:-10001" from="0,0" to="17.3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" strokecolor="#009ca6" strokeweight="1.2pt">
              <v:stroke joinstyle="miter"/>
              <o:lock v:ext="edit" aspectratio="t" shapetype="f"/>
              <w10:anchorlock/>
            </v:line>
          </w:pict>
        </mc:Fallback>
      </mc:AlternateContent>
    </w:r>
    <w:r w:rsidRPr="00803BE9">
      <w:rPr>
        <w:noProof/>
        <w:position w:val="10"/>
      </w:rPr>
      <w:drawing>
        <wp:inline distT="0" distB="0" distL="0" distR="0" wp14:anchorId="091196D8" wp14:editId="02D49EDC">
          <wp:extent cx="1222178" cy="3657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2178" cy="3657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E3" w:rsidRPr="00BC3AB3" w:rsidRDefault="00D3540D" w:rsidP="00156B30">
    <w:pPr>
      <w:pStyle w:val="Header"/>
      <w:spacing w:before="160"/>
      <w:ind w:right="-778"/>
    </w:pPr>
    <w:r w:rsidRPr="00AA01AA">
      <w:rPr>
        <w:noProof/>
        <w:spacing w:val="0"/>
      </w:rPr>
      <w:drawing>
        <wp:anchor distT="0" distB="0" distL="114300" distR="114300" simplePos="0" relativeHeight="251699200" behindDoc="0" locked="0" layoutInCell="1" allowOverlap="1" wp14:anchorId="5FFAD2E8" wp14:editId="3479F070">
          <wp:simplePos x="0" y="0"/>
          <wp:positionH relativeFrom="column">
            <wp:posOffset>3991610</wp:posOffset>
          </wp:positionH>
          <wp:positionV relativeFrom="paragraph">
            <wp:posOffset>100965</wp:posOffset>
          </wp:positionV>
          <wp:extent cx="438785" cy="4572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png"/>
                  <pic:cNvPicPr/>
                </pic:nvPicPr>
                <pic:blipFill rotWithShape="1">
                  <a:blip r:embed="rId1" cstate="print">
                    <a:extLst>
                      <a:ext uri="{28A0092B-C50C-407E-A947-70E740481C1C}">
                        <a14:useLocalDpi xmlns:a14="http://schemas.microsoft.com/office/drawing/2010/main" val="0"/>
                      </a:ext>
                    </a:extLst>
                  </a:blip>
                  <a:srcRect l="10685" t="9786" r="10283" b="9786"/>
                  <a:stretch/>
                </pic:blipFill>
                <pic:spPr bwMode="auto">
                  <a:xfrm>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1248" behindDoc="0" locked="0" layoutInCell="1" allowOverlap="1" wp14:anchorId="4509D094" wp14:editId="24939A14">
          <wp:simplePos x="0" y="0"/>
          <wp:positionH relativeFrom="column">
            <wp:posOffset>4321175</wp:posOffset>
          </wp:positionH>
          <wp:positionV relativeFrom="paragraph">
            <wp:posOffset>100965</wp:posOffset>
          </wp:positionV>
          <wp:extent cx="435610" cy="457200"/>
          <wp:effectExtent l="0" t="0" r="254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1.png"/>
                  <pic:cNvPicPr/>
                </pic:nvPicPr>
                <pic:blipFill rotWithShape="1">
                  <a:blip r:embed="rId2" cstate="print">
                    <a:extLst>
                      <a:ext uri="{28A0092B-C50C-407E-A947-70E740481C1C}">
                        <a14:useLocalDpi xmlns:a14="http://schemas.microsoft.com/office/drawing/2010/main" val="0"/>
                      </a:ext>
                    </a:extLst>
                  </a:blip>
                  <a:srcRect l="10133" t="9605" r="9669" b="9108"/>
                  <a:stretch/>
                </pic:blipFill>
                <pic:spPr bwMode="auto">
                  <a:xfrm rot="10800000">
                    <a:off x="0" y="0"/>
                    <a:ext cx="4356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296" behindDoc="0" locked="0" layoutInCell="1" allowOverlap="1" wp14:anchorId="4D8AC2B6" wp14:editId="5F5CAAF7">
          <wp:simplePos x="0" y="0"/>
          <wp:positionH relativeFrom="column">
            <wp:posOffset>3665220</wp:posOffset>
          </wp:positionH>
          <wp:positionV relativeFrom="paragraph">
            <wp:posOffset>100965</wp:posOffset>
          </wp:positionV>
          <wp:extent cx="435610" cy="457200"/>
          <wp:effectExtent l="0" t="0" r="254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1.png"/>
                  <pic:cNvPicPr/>
                </pic:nvPicPr>
                <pic:blipFill rotWithShape="1">
                  <a:blip r:embed="rId3">
                    <a:extLst>
                      <a:ext uri="{28A0092B-C50C-407E-A947-70E740481C1C}">
                        <a14:useLocalDpi xmlns:a14="http://schemas.microsoft.com/office/drawing/2010/main" val="0"/>
                      </a:ext>
                    </a:extLst>
                  </a:blip>
                  <a:srcRect l="10497" t="9788" r="9945" b="9358"/>
                  <a:stretch/>
                </pic:blipFill>
                <pic:spPr bwMode="auto">
                  <a:xfrm rot="10800000">
                    <a:off x="0" y="0"/>
                    <a:ext cx="4356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7392" behindDoc="0" locked="0" layoutInCell="1" allowOverlap="1" wp14:anchorId="0117A053" wp14:editId="026E346C">
          <wp:simplePos x="0" y="0"/>
          <wp:positionH relativeFrom="column">
            <wp:posOffset>2675255</wp:posOffset>
          </wp:positionH>
          <wp:positionV relativeFrom="paragraph">
            <wp:posOffset>100965</wp:posOffset>
          </wp:positionV>
          <wp:extent cx="436245" cy="457200"/>
          <wp:effectExtent l="0" t="0" r="190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1.png"/>
                  <pic:cNvPicPr/>
                </pic:nvPicPr>
                <pic:blipFill rotWithShape="1">
                  <a:blip r:embed="rId4" cstate="print">
                    <a:extLst>
                      <a:ext uri="{28A0092B-C50C-407E-A947-70E740481C1C}">
                        <a14:useLocalDpi xmlns:a14="http://schemas.microsoft.com/office/drawing/2010/main" val="0"/>
                      </a:ext>
                    </a:extLst>
                  </a:blip>
                  <a:srcRect l="10465" t="9860" r="10174" b="9573"/>
                  <a:stretch/>
                </pic:blipFill>
                <pic:spPr bwMode="auto">
                  <a:xfrm>
                    <a:off x="0" y="0"/>
                    <a:ext cx="43624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344" behindDoc="0" locked="0" layoutInCell="1" allowOverlap="1" wp14:anchorId="58DDC36A" wp14:editId="4E9E96FA">
          <wp:simplePos x="0" y="0"/>
          <wp:positionH relativeFrom="column">
            <wp:posOffset>3331845</wp:posOffset>
          </wp:positionH>
          <wp:positionV relativeFrom="paragraph">
            <wp:posOffset>100965</wp:posOffset>
          </wp:positionV>
          <wp:extent cx="442595" cy="4572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1.png"/>
                  <pic:cNvPicPr/>
                </pic:nvPicPr>
                <pic:blipFill rotWithShape="1">
                  <a:blip r:embed="rId5" cstate="print">
                    <a:extLst>
                      <a:ext uri="{28A0092B-C50C-407E-A947-70E740481C1C}">
                        <a14:useLocalDpi xmlns:a14="http://schemas.microsoft.com/office/drawing/2010/main" val="0"/>
                      </a:ext>
                    </a:extLst>
                  </a:blip>
                  <a:srcRect l="10143" t="10043" r="9592" b="9615"/>
                  <a:stretch/>
                </pic:blipFill>
                <pic:spPr bwMode="auto">
                  <a:xfrm>
                    <a:off x="0" y="0"/>
                    <a:ext cx="44259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A01AA">
      <w:rPr>
        <w:noProof/>
        <w:spacing w:val="0"/>
      </w:rPr>
      <w:drawing>
        <wp:anchor distT="0" distB="0" distL="114300" distR="114300" simplePos="0" relativeHeight="251698176" behindDoc="0" locked="0" layoutInCell="1" allowOverlap="1" wp14:anchorId="3512E1C4" wp14:editId="306BFA17">
          <wp:simplePos x="0" y="0"/>
          <wp:positionH relativeFrom="column">
            <wp:posOffset>3002280</wp:posOffset>
          </wp:positionH>
          <wp:positionV relativeFrom="paragraph">
            <wp:posOffset>101600</wp:posOffset>
          </wp:positionV>
          <wp:extent cx="438785" cy="4572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png"/>
                  <pic:cNvPicPr/>
                </pic:nvPicPr>
                <pic:blipFill rotWithShape="1">
                  <a:blip r:embed="rId6" cstate="print">
                    <a:extLst>
                      <a:ext uri="{28A0092B-C50C-407E-A947-70E740481C1C}">
                        <a14:useLocalDpi xmlns:a14="http://schemas.microsoft.com/office/drawing/2010/main" val="0"/>
                      </a:ext>
                    </a:extLst>
                  </a:blip>
                  <a:srcRect l="10000" t="9899" r="10154" b="9418"/>
                  <a:stretch/>
                </pic:blipFill>
                <pic:spPr bwMode="auto">
                  <a:xfrm rot="10800000">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6B30">
      <w:rPr>
        <w:noProof/>
      </w:rPr>
      <mc:AlternateContent>
        <mc:Choice Requires="wps">
          <w:drawing>
            <wp:inline distT="0" distB="0" distL="0" distR="0" wp14:anchorId="39660EAF" wp14:editId="1B4E309C">
              <wp:extent cx="219456" cy="457995"/>
              <wp:effectExtent l="0" t="0" r="28575" b="18415"/>
              <wp:docPr id="20" name="Lin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H="1" flipV="1">
                        <a:off x="0" y="0"/>
                        <a:ext cx="219456" cy="457995"/>
                      </a:xfrm>
                      <a:prstGeom prst="line">
                        <a:avLst/>
                      </a:prstGeom>
                      <a:noFill/>
                      <a:ln w="15240" cap="flat">
                        <a:solidFill>
                          <a:srgbClr val="009CA6"/>
                        </a:solidFill>
                        <a:prstDash val="solid"/>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id="Line 4" o:spid="_x0000_s1026" style="flip:x y;visibility:visible;mso-wrap-style:square;mso-left-percent:-10001;mso-top-percent:-10001;mso-position-horizontal:absolute;mso-position-horizontal-relative:char;mso-position-vertical:absolute;mso-position-vertical-relative:line;mso-left-percent:-10001;mso-top-percent:-10001" from="0,0" to="17.3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" strokecolor="#009ca6" strokeweight="1.2pt">
              <v:stroke joinstyle="miter"/>
              <o:lock v:ext="edit" aspectratio="t" shapetype="f"/>
              <w10:anchorlock/>
            </v:line>
          </w:pict>
        </mc:Fallback>
      </mc:AlternateContent>
    </w:r>
    <w:r w:rsidR="009831E3" w:rsidRPr="00803BE9">
      <w:rPr>
        <w:noProof/>
        <w:position w:val="10"/>
      </w:rPr>
      <w:drawing>
        <wp:inline distT="0" distB="0" distL="0" distR="0" wp14:anchorId="21AB8CC4" wp14:editId="4D44089B">
          <wp:extent cx="1222178" cy="3657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2178" cy="3657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nsid w:val="45AE6255"/>
    <w:multiLevelType w:val="multilevel"/>
    <w:tmpl w:val="40B0F5C4"/>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AEA1A24"/>
    <w:multiLevelType w:val="hybridMultilevel"/>
    <w:tmpl w:val="FE9A1E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2"/>
  </w:num>
  <w:num w:numId="2">
    <w:abstractNumId w:val="2"/>
  </w:num>
  <w:num w:numId="3">
    <w:abstractNumId w:val="2"/>
  </w:num>
  <w:num w:numId="4">
    <w:abstractNumId w:val="7"/>
  </w:num>
  <w:num w:numId="5">
    <w:abstractNumId w:val="2"/>
  </w:num>
  <w:num w:numId="6">
    <w:abstractNumId w:val="2"/>
  </w:num>
  <w:num w:numId="7">
    <w:abstractNumId w:val="2"/>
  </w:num>
  <w:num w:numId="8">
    <w:abstractNumId w:val="2"/>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1"/>
  </w:num>
  <w:num w:numId="18">
    <w:abstractNumId w:val="1"/>
  </w:num>
  <w:num w:numId="19">
    <w:abstractNumId w:val="6"/>
  </w:num>
  <w:num w:numId="20">
    <w:abstractNumId w:val="5"/>
  </w:num>
  <w:num w:numId="21">
    <w:abstractNumId w:val="0"/>
  </w:num>
  <w:num w:numId="22">
    <w:abstractNumId w:val="0"/>
  </w:num>
  <w:num w:numId="23">
    <w:abstractNumId w:val="0"/>
  </w:num>
  <w:num w:numId="24">
    <w:abstractNumId w:val="6"/>
  </w:num>
  <w:num w:numId="25">
    <w:abstractNumId w:val="7"/>
  </w:num>
  <w:num w:numId="26">
    <w:abstractNumId w:val="1"/>
  </w:num>
  <w:num w:numId="27">
    <w:abstractNumId w:val="1"/>
  </w:num>
  <w:num w:numId="28">
    <w:abstractNumId w:val="2"/>
  </w:num>
  <w:num w:numId="29">
    <w:abstractNumId w:val="2"/>
  </w:num>
  <w:num w:numId="30">
    <w:abstractNumId w:val="2"/>
  </w:num>
  <w:num w:numId="31">
    <w:abstractNumId w:val="2"/>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6"/>
  </w:num>
  <w:num w:numId="41">
    <w:abstractNumId w:val="7"/>
  </w:num>
  <w:num w:numId="42">
    <w:abstractNumId w:val="1"/>
  </w:num>
  <w:num w:numId="43">
    <w:abstractNumId w:val="1"/>
  </w:num>
  <w:num w:numId="44">
    <w:abstractNumId w:val="1"/>
  </w:num>
  <w:num w:numId="45">
    <w:abstractNumId w:val="1"/>
  </w:num>
  <w:num w:numId="46">
    <w:abstractNumId w:val="4"/>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265"/>
    <w:rsid w:val="00012F6F"/>
    <w:rsid w:val="00014213"/>
    <w:rsid w:val="00014B55"/>
    <w:rsid w:val="00020E3E"/>
    <w:rsid w:val="00021CC6"/>
    <w:rsid w:val="00023BF3"/>
    <w:rsid w:val="000262DC"/>
    <w:rsid w:val="00026811"/>
    <w:rsid w:val="00043296"/>
    <w:rsid w:val="0004356D"/>
    <w:rsid w:val="00045296"/>
    <w:rsid w:val="00050267"/>
    <w:rsid w:val="00054A5C"/>
    <w:rsid w:val="000578CE"/>
    <w:rsid w:val="0006571B"/>
    <w:rsid w:val="0007256D"/>
    <w:rsid w:val="00074EDF"/>
    <w:rsid w:val="00075E6C"/>
    <w:rsid w:val="000A305E"/>
    <w:rsid w:val="000B29AD"/>
    <w:rsid w:val="000B4AA3"/>
    <w:rsid w:val="000C6372"/>
    <w:rsid w:val="000D593F"/>
    <w:rsid w:val="000E392D"/>
    <w:rsid w:val="000F0D29"/>
    <w:rsid w:val="000F4288"/>
    <w:rsid w:val="000F7165"/>
    <w:rsid w:val="00102379"/>
    <w:rsid w:val="001065D6"/>
    <w:rsid w:val="0011635B"/>
    <w:rsid w:val="00116DFE"/>
    <w:rsid w:val="00121252"/>
    <w:rsid w:val="00124609"/>
    <w:rsid w:val="001254CE"/>
    <w:rsid w:val="00126AF9"/>
    <w:rsid w:val="00134CEA"/>
    <w:rsid w:val="001422CC"/>
    <w:rsid w:val="00147B70"/>
    <w:rsid w:val="00156B30"/>
    <w:rsid w:val="001617B6"/>
    <w:rsid w:val="00163250"/>
    <w:rsid w:val="00165E66"/>
    <w:rsid w:val="0019407B"/>
    <w:rsid w:val="001A3DD1"/>
    <w:rsid w:val="001A629B"/>
    <w:rsid w:val="001B498A"/>
    <w:rsid w:val="001C1CCA"/>
    <w:rsid w:val="001C7BAE"/>
    <w:rsid w:val="001D717E"/>
    <w:rsid w:val="001E31FA"/>
    <w:rsid w:val="001E64F6"/>
    <w:rsid w:val="001F3CB4"/>
    <w:rsid w:val="00222BEB"/>
    <w:rsid w:val="00225E60"/>
    <w:rsid w:val="00231D07"/>
    <w:rsid w:val="0023202C"/>
    <w:rsid w:val="00236203"/>
    <w:rsid w:val="00245043"/>
    <w:rsid w:val="00257760"/>
    <w:rsid w:val="002875FD"/>
    <w:rsid w:val="00292D36"/>
    <w:rsid w:val="00297281"/>
    <w:rsid w:val="002C54E0"/>
    <w:rsid w:val="002D711A"/>
    <w:rsid w:val="002D7336"/>
    <w:rsid w:val="002E3396"/>
    <w:rsid w:val="002F2602"/>
    <w:rsid w:val="00304265"/>
    <w:rsid w:val="00305AB2"/>
    <w:rsid w:val="0031149C"/>
    <w:rsid w:val="0033085B"/>
    <w:rsid w:val="003451D5"/>
    <w:rsid w:val="0038771C"/>
    <w:rsid w:val="00392A8F"/>
    <w:rsid w:val="0039405B"/>
    <w:rsid w:val="003A1C92"/>
    <w:rsid w:val="003A541A"/>
    <w:rsid w:val="003A6923"/>
    <w:rsid w:val="003C2C67"/>
    <w:rsid w:val="003C2EA2"/>
    <w:rsid w:val="003C5BA4"/>
    <w:rsid w:val="003E3E26"/>
    <w:rsid w:val="003F1295"/>
    <w:rsid w:val="003F76FC"/>
    <w:rsid w:val="004002EB"/>
    <w:rsid w:val="00405C57"/>
    <w:rsid w:val="0041689E"/>
    <w:rsid w:val="004236C8"/>
    <w:rsid w:val="00427681"/>
    <w:rsid w:val="00433DB7"/>
    <w:rsid w:val="00453750"/>
    <w:rsid w:val="00456941"/>
    <w:rsid w:val="0046455E"/>
    <w:rsid w:val="004669E3"/>
    <w:rsid w:val="004702EA"/>
    <w:rsid w:val="00482D02"/>
    <w:rsid w:val="004A7273"/>
    <w:rsid w:val="004A7519"/>
    <w:rsid w:val="004B41CA"/>
    <w:rsid w:val="004D3518"/>
    <w:rsid w:val="004D62D6"/>
    <w:rsid w:val="004F35DE"/>
    <w:rsid w:val="00504D1A"/>
    <w:rsid w:val="005136F0"/>
    <w:rsid w:val="00527817"/>
    <w:rsid w:val="0053416C"/>
    <w:rsid w:val="00541C2F"/>
    <w:rsid w:val="00554D81"/>
    <w:rsid w:val="00563527"/>
    <w:rsid w:val="0058124E"/>
    <w:rsid w:val="00584301"/>
    <w:rsid w:val="005866C0"/>
    <w:rsid w:val="005875A3"/>
    <w:rsid w:val="005A29AC"/>
    <w:rsid w:val="005A3416"/>
    <w:rsid w:val="005A597A"/>
    <w:rsid w:val="005B27FE"/>
    <w:rsid w:val="005C3E6D"/>
    <w:rsid w:val="005F61DF"/>
    <w:rsid w:val="006023F9"/>
    <w:rsid w:val="00610559"/>
    <w:rsid w:val="006238EA"/>
    <w:rsid w:val="006262D0"/>
    <w:rsid w:val="006332F6"/>
    <w:rsid w:val="006361E7"/>
    <w:rsid w:val="00652625"/>
    <w:rsid w:val="006534B2"/>
    <w:rsid w:val="0065615D"/>
    <w:rsid w:val="00657011"/>
    <w:rsid w:val="0065773B"/>
    <w:rsid w:val="006650B5"/>
    <w:rsid w:val="006651B1"/>
    <w:rsid w:val="00665778"/>
    <w:rsid w:val="006738C4"/>
    <w:rsid w:val="006A5B34"/>
    <w:rsid w:val="006A5F5B"/>
    <w:rsid w:val="006C77A9"/>
    <w:rsid w:val="006D2294"/>
    <w:rsid w:val="006D2B42"/>
    <w:rsid w:val="006E0EA8"/>
    <w:rsid w:val="006F633F"/>
    <w:rsid w:val="006F6693"/>
    <w:rsid w:val="00707FE8"/>
    <w:rsid w:val="00724962"/>
    <w:rsid w:val="00724A0F"/>
    <w:rsid w:val="0072772A"/>
    <w:rsid w:val="0073072C"/>
    <w:rsid w:val="007320B4"/>
    <w:rsid w:val="00732162"/>
    <w:rsid w:val="00736732"/>
    <w:rsid w:val="00750CBE"/>
    <w:rsid w:val="00752C84"/>
    <w:rsid w:val="00766B5A"/>
    <w:rsid w:val="00772B5A"/>
    <w:rsid w:val="00776B98"/>
    <w:rsid w:val="007834F2"/>
    <w:rsid w:val="007909B1"/>
    <w:rsid w:val="00791020"/>
    <w:rsid w:val="007A5F82"/>
    <w:rsid w:val="007B75A4"/>
    <w:rsid w:val="007F1A4C"/>
    <w:rsid w:val="007F33BB"/>
    <w:rsid w:val="008022C3"/>
    <w:rsid w:val="00803BE9"/>
    <w:rsid w:val="008041E6"/>
    <w:rsid w:val="008065D2"/>
    <w:rsid w:val="0082194C"/>
    <w:rsid w:val="008220C4"/>
    <w:rsid w:val="008222FF"/>
    <w:rsid w:val="008241FF"/>
    <w:rsid w:val="00826A00"/>
    <w:rsid w:val="008278AC"/>
    <w:rsid w:val="00837D88"/>
    <w:rsid w:val="008411E9"/>
    <w:rsid w:val="0084200F"/>
    <w:rsid w:val="008422A3"/>
    <w:rsid w:val="00843B2C"/>
    <w:rsid w:val="008471C4"/>
    <w:rsid w:val="008A24B6"/>
    <w:rsid w:val="008A4900"/>
    <w:rsid w:val="008B21EF"/>
    <w:rsid w:val="008D0281"/>
    <w:rsid w:val="008E3C4E"/>
    <w:rsid w:val="008F6D45"/>
    <w:rsid w:val="008F6E61"/>
    <w:rsid w:val="0092358A"/>
    <w:rsid w:val="009826D5"/>
    <w:rsid w:val="009831E3"/>
    <w:rsid w:val="009834C0"/>
    <w:rsid w:val="00984C95"/>
    <w:rsid w:val="00986AAC"/>
    <w:rsid w:val="009A1DA2"/>
    <w:rsid w:val="009A3704"/>
    <w:rsid w:val="009A4739"/>
    <w:rsid w:val="009A674F"/>
    <w:rsid w:val="009B199C"/>
    <w:rsid w:val="009B54C8"/>
    <w:rsid w:val="009B61F1"/>
    <w:rsid w:val="009B62E0"/>
    <w:rsid w:val="009C3D88"/>
    <w:rsid w:val="009C40E3"/>
    <w:rsid w:val="009D1237"/>
    <w:rsid w:val="009D1C63"/>
    <w:rsid w:val="009E1401"/>
    <w:rsid w:val="009E3858"/>
    <w:rsid w:val="009E70DD"/>
    <w:rsid w:val="009F2ED9"/>
    <w:rsid w:val="009F3231"/>
    <w:rsid w:val="009F5C58"/>
    <w:rsid w:val="00A023A0"/>
    <w:rsid w:val="00A1562B"/>
    <w:rsid w:val="00A16670"/>
    <w:rsid w:val="00A170F4"/>
    <w:rsid w:val="00A2559E"/>
    <w:rsid w:val="00A25FD9"/>
    <w:rsid w:val="00A46BA8"/>
    <w:rsid w:val="00A47634"/>
    <w:rsid w:val="00A612FE"/>
    <w:rsid w:val="00A65A0E"/>
    <w:rsid w:val="00A9161A"/>
    <w:rsid w:val="00A932CD"/>
    <w:rsid w:val="00AA01AA"/>
    <w:rsid w:val="00AA26B8"/>
    <w:rsid w:val="00AA6FB5"/>
    <w:rsid w:val="00AB01C9"/>
    <w:rsid w:val="00AB3FE2"/>
    <w:rsid w:val="00AB7B29"/>
    <w:rsid w:val="00AC4A12"/>
    <w:rsid w:val="00AD3322"/>
    <w:rsid w:val="00AD7E4E"/>
    <w:rsid w:val="00AE07C2"/>
    <w:rsid w:val="00AE5428"/>
    <w:rsid w:val="00AF34DE"/>
    <w:rsid w:val="00AF4D58"/>
    <w:rsid w:val="00AF6666"/>
    <w:rsid w:val="00AF66EC"/>
    <w:rsid w:val="00B05DFC"/>
    <w:rsid w:val="00B10154"/>
    <w:rsid w:val="00B2138B"/>
    <w:rsid w:val="00B47F14"/>
    <w:rsid w:val="00B81B44"/>
    <w:rsid w:val="00B9053B"/>
    <w:rsid w:val="00BA622C"/>
    <w:rsid w:val="00BC286B"/>
    <w:rsid w:val="00BC3422"/>
    <w:rsid w:val="00BC3AB3"/>
    <w:rsid w:val="00C015B9"/>
    <w:rsid w:val="00C022F9"/>
    <w:rsid w:val="00C032EA"/>
    <w:rsid w:val="00C06EB5"/>
    <w:rsid w:val="00C1145F"/>
    <w:rsid w:val="00C637E1"/>
    <w:rsid w:val="00C70D50"/>
    <w:rsid w:val="00C8243E"/>
    <w:rsid w:val="00C907D7"/>
    <w:rsid w:val="00C92338"/>
    <w:rsid w:val="00CA7C3A"/>
    <w:rsid w:val="00CC2DB2"/>
    <w:rsid w:val="00CC637E"/>
    <w:rsid w:val="00CD0307"/>
    <w:rsid w:val="00CD3D1B"/>
    <w:rsid w:val="00CD671D"/>
    <w:rsid w:val="00CE62B3"/>
    <w:rsid w:val="00CF6B32"/>
    <w:rsid w:val="00CF7DCA"/>
    <w:rsid w:val="00D211E9"/>
    <w:rsid w:val="00D2312F"/>
    <w:rsid w:val="00D269C1"/>
    <w:rsid w:val="00D3079F"/>
    <w:rsid w:val="00D30FAD"/>
    <w:rsid w:val="00D3540D"/>
    <w:rsid w:val="00D44953"/>
    <w:rsid w:val="00D542F3"/>
    <w:rsid w:val="00D543E5"/>
    <w:rsid w:val="00D5644B"/>
    <w:rsid w:val="00D56E25"/>
    <w:rsid w:val="00D71896"/>
    <w:rsid w:val="00D718D7"/>
    <w:rsid w:val="00D73212"/>
    <w:rsid w:val="00D814B7"/>
    <w:rsid w:val="00D90688"/>
    <w:rsid w:val="00D952AE"/>
    <w:rsid w:val="00DA3AAD"/>
    <w:rsid w:val="00DB312B"/>
    <w:rsid w:val="00DC5654"/>
    <w:rsid w:val="00DC658F"/>
    <w:rsid w:val="00DE60CC"/>
    <w:rsid w:val="00E26B32"/>
    <w:rsid w:val="00E31444"/>
    <w:rsid w:val="00E3254C"/>
    <w:rsid w:val="00E407B6"/>
    <w:rsid w:val="00E4173E"/>
    <w:rsid w:val="00E41EF1"/>
    <w:rsid w:val="00E42942"/>
    <w:rsid w:val="00E468A6"/>
    <w:rsid w:val="00E57A63"/>
    <w:rsid w:val="00E64378"/>
    <w:rsid w:val="00E71BDF"/>
    <w:rsid w:val="00E8211D"/>
    <w:rsid w:val="00E83CA7"/>
    <w:rsid w:val="00EC046E"/>
    <w:rsid w:val="00EC171D"/>
    <w:rsid w:val="00ED487E"/>
    <w:rsid w:val="00EE7A0D"/>
    <w:rsid w:val="00EF0D21"/>
    <w:rsid w:val="00F17CE1"/>
    <w:rsid w:val="00F2115C"/>
    <w:rsid w:val="00F22ABA"/>
    <w:rsid w:val="00F36B12"/>
    <w:rsid w:val="00F417C3"/>
    <w:rsid w:val="00F60F9F"/>
    <w:rsid w:val="00F64DF5"/>
    <w:rsid w:val="00F64F08"/>
    <w:rsid w:val="00F734F5"/>
    <w:rsid w:val="00F86B17"/>
    <w:rsid w:val="00F966B1"/>
    <w:rsid w:val="00F97D48"/>
    <w:rsid w:val="00FA0311"/>
    <w:rsid w:val="00FA7E5A"/>
    <w:rsid w:val="00FC42E5"/>
    <w:rsid w:val="00FD640F"/>
    <w:rsid w:val="00FD6B4C"/>
    <w:rsid w:val="00FD6BE9"/>
    <w:rsid w:val="00FE0B5E"/>
    <w:rsid w:val="00FE12DF"/>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8" w:qFormat="1"/>
    <w:lsdException w:name="header" w:semiHidden="0" w:uiPriority="24"/>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5A29AC"/>
    <w:pPr>
      <w:spacing w:before="100" w:after="100"/>
    </w:pPr>
    <w:rPr>
      <w:spacing w:val="2"/>
    </w:rPr>
  </w:style>
  <w:style w:type="paragraph" w:styleId="Heading1">
    <w:name w:val="heading 1"/>
    <w:next w:val="Normal"/>
    <w:link w:val="Heading1Char"/>
    <w:qFormat/>
    <w:rsid w:val="008422A3"/>
    <w:pPr>
      <w:keepNext/>
      <w:keepLines/>
      <w:spacing w:before="600" w:after="300"/>
      <w:outlineLvl w:val="0"/>
    </w:pPr>
    <w:rPr>
      <w:rFonts w:asciiTheme="majorHAnsi" w:eastAsiaTheme="majorEastAsia" w:hAnsiTheme="majorHAnsi" w:cstheme="majorBidi"/>
      <w:bCs/>
      <w:color w:val="0063A6" w:themeColor="accent1"/>
      <w:sz w:val="36"/>
      <w:szCs w:val="28"/>
    </w:rPr>
  </w:style>
  <w:style w:type="paragraph" w:styleId="Heading2">
    <w:name w:val="heading 2"/>
    <w:basedOn w:val="Normal"/>
    <w:next w:val="Normal"/>
    <w:link w:val="Heading2Char"/>
    <w:qFormat/>
    <w:rsid w:val="008422A3"/>
    <w:pPr>
      <w:keepNext/>
      <w:keepLines/>
      <w:spacing w:before="200" w:after="60"/>
      <w:outlineLvl w:val="1"/>
    </w:pPr>
    <w:rPr>
      <w:rFonts w:asciiTheme="majorHAnsi" w:eastAsiaTheme="majorEastAsia" w:hAnsiTheme="majorHAnsi" w:cstheme="majorBidi"/>
      <w:b/>
      <w:bCs/>
      <w:color w:val="009CA6"/>
      <w:spacing w:val="0"/>
      <w:sz w:val="24"/>
      <w:szCs w:val="24"/>
    </w:rPr>
  </w:style>
  <w:style w:type="paragraph" w:styleId="Heading3">
    <w:name w:val="heading 3"/>
    <w:basedOn w:val="Normal"/>
    <w:next w:val="Normal"/>
    <w:link w:val="Heading3Char"/>
    <w:qFormat/>
    <w:rsid w:val="008422A3"/>
    <w:pPr>
      <w:keepNext/>
      <w:keepLines/>
      <w:spacing w:before="120" w:after="60"/>
      <w:outlineLvl w:val="2"/>
    </w:pPr>
    <w:rPr>
      <w:rFonts w:asciiTheme="majorHAnsi" w:eastAsiaTheme="majorEastAsia" w:hAnsiTheme="majorHAnsi" w:cstheme="majorBidi"/>
      <w:b/>
      <w:bCs/>
      <w:color w:val="009CA6"/>
    </w:rPr>
  </w:style>
  <w:style w:type="paragraph" w:styleId="Heading4">
    <w:name w:val="heading 4"/>
    <w:basedOn w:val="Normal"/>
    <w:next w:val="Normal"/>
    <w:link w:val="Heading4Char"/>
    <w:qFormat/>
    <w:rsid w:val="009D1C63"/>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9D1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E07C2"/>
    <w:pPr>
      <w:spacing w:before="20" w:after="20" w:line="240" w:lineRule="auto"/>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table" w:styleId="LightList-Accent4">
    <w:name w:val="Light List Accent 4"/>
    <w:basedOn w:val="TableNormal"/>
    <w:uiPriority w:val="61"/>
    <w:rsid w:val="009D1C63"/>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9D1C63"/>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9D1C63"/>
    <w:pPr>
      <w:tabs>
        <w:tab w:val="right" w:leader="dot" w:pos="8730"/>
      </w:tabs>
      <w:ind w:right="432"/>
    </w:pPr>
    <w:rPr>
      <w:noProof/>
      <w:sz w:val="24"/>
      <w:szCs w:val="24"/>
    </w:rPr>
  </w:style>
  <w:style w:type="paragraph" w:styleId="TOC2">
    <w:name w:val="toc 2"/>
    <w:next w:val="Normal"/>
    <w:uiPriority w:val="39"/>
    <w:rsid w:val="009D1C63"/>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9D1C63"/>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9D1C63"/>
    <w:pPr>
      <w:spacing w:after="60" w:line="240" w:lineRule="auto"/>
    </w:pPr>
    <w:rPr>
      <w:sz w:val="16"/>
    </w:rPr>
  </w:style>
  <w:style w:type="paragraph" w:styleId="Index2">
    <w:name w:val="index 2"/>
    <w:basedOn w:val="Normal"/>
    <w:next w:val="Normal"/>
    <w:uiPriority w:val="99"/>
    <w:semiHidden/>
    <w:rsid w:val="009D1C63"/>
    <w:pPr>
      <w:spacing w:after="0" w:line="240" w:lineRule="auto"/>
      <w:ind w:left="216"/>
    </w:pPr>
    <w:rPr>
      <w:sz w:val="16"/>
      <w:szCs w:val="16"/>
    </w:rPr>
  </w:style>
  <w:style w:type="character" w:styleId="Hyperlink">
    <w:name w:val="Hyperlink"/>
    <w:basedOn w:val="DefaultParagraphFont"/>
    <w:uiPriority w:val="99"/>
    <w:rsid w:val="009D1C63"/>
    <w:rPr>
      <w:color w:val="0063A6" w:themeColor="accent1"/>
      <w:u w:val="none"/>
    </w:rPr>
  </w:style>
  <w:style w:type="character" w:customStyle="1" w:styleId="Heading1Char">
    <w:name w:val="Heading 1 Char"/>
    <w:basedOn w:val="DefaultParagraphFont"/>
    <w:link w:val="Heading1"/>
    <w:rsid w:val="008422A3"/>
    <w:rPr>
      <w:rFonts w:asciiTheme="majorHAnsi" w:eastAsiaTheme="majorEastAsia" w:hAnsiTheme="majorHAnsi" w:cstheme="majorBidi"/>
      <w:bCs/>
      <w:color w:val="0063A6" w:themeColor="accent1"/>
      <w:sz w:val="36"/>
      <w:szCs w:val="28"/>
    </w:rPr>
  </w:style>
  <w:style w:type="character" w:customStyle="1" w:styleId="Heading2Char">
    <w:name w:val="Heading 2 Char"/>
    <w:basedOn w:val="DefaultParagraphFont"/>
    <w:link w:val="Heading2"/>
    <w:rsid w:val="008422A3"/>
    <w:rPr>
      <w:rFonts w:asciiTheme="majorHAnsi" w:eastAsiaTheme="majorEastAsia" w:hAnsiTheme="majorHAnsi" w:cstheme="majorBidi"/>
      <w:b/>
      <w:bCs/>
      <w:color w:val="009CA6"/>
      <w:sz w:val="24"/>
      <w:szCs w:val="24"/>
    </w:rPr>
  </w:style>
  <w:style w:type="paragraph" w:customStyle="1" w:styleId="Bullet1">
    <w:name w:val="Bullet 1"/>
    <w:uiPriority w:val="1"/>
    <w:qFormat/>
    <w:rsid w:val="009D1C63"/>
    <w:pPr>
      <w:numPr>
        <w:numId w:val="3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9D1C63"/>
    <w:pPr>
      <w:numPr>
        <w:ilvl w:val="1"/>
      </w:numPr>
    </w:pPr>
  </w:style>
  <w:style w:type="paragraph" w:customStyle="1" w:styleId="Bulletindent">
    <w:name w:val="Bullet indent"/>
    <w:basedOn w:val="Bullet2"/>
    <w:uiPriority w:val="9"/>
    <w:qFormat/>
    <w:rsid w:val="009D1C63"/>
    <w:pPr>
      <w:numPr>
        <w:ilvl w:val="2"/>
      </w:numPr>
    </w:pPr>
  </w:style>
  <w:style w:type="paragraph" w:customStyle="1" w:styleId="Heading1numbered">
    <w:name w:val="Heading 1 numbered"/>
    <w:basedOn w:val="Heading1"/>
    <w:next w:val="NormalIndent"/>
    <w:uiPriority w:val="8"/>
    <w:qFormat/>
    <w:rsid w:val="009D1C63"/>
    <w:pPr>
      <w:numPr>
        <w:ilvl w:val="2"/>
        <w:numId w:val="41"/>
      </w:numPr>
    </w:pPr>
  </w:style>
  <w:style w:type="paragraph" w:customStyle="1" w:styleId="Heading2numbered">
    <w:name w:val="Heading 2 numbered"/>
    <w:basedOn w:val="Heading2"/>
    <w:next w:val="NormalIndent"/>
    <w:uiPriority w:val="8"/>
    <w:qFormat/>
    <w:rsid w:val="009D1C63"/>
    <w:pPr>
      <w:numPr>
        <w:ilvl w:val="3"/>
        <w:numId w:val="41"/>
      </w:numPr>
    </w:pPr>
  </w:style>
  <w:style w:type="paragraph" w:customStyle="1" w:styleId="Heading3numbered">
    <w:name w:val="Heading 3 numbered"/>
    <w:basedOn w:val="Heading3"/>
    <w:next w:val="NormalIndent"/>
    <w:uiPriority w:val="8"/>
    <w:qFormat/>
    <w:rsid w:val="009D1C63"/>
    <w:pPr>
      <w:numPr>
        <w:ilvl w:val="4"/>
        <w:numId w:val="41"/>
      </w:numPr>
    </w:pPr>
  </w:style>
  <w:style w:type="character" w:customStyle="1" w:styleId="Heading3Char">
    <w:name w:val="Heading 3 Char"/>
    <w:basedOn w:val="DefaultParagraphFont"/>
    <w:link w:val="Heading3"/>
    <w:rsid w:val="008422A3"/>
    <w:rPr>
      <w:rFonts w:asciiTheme="majorHAnsi" w:eastAsiaTheme="majorEastAsia" w:hAnsiTheme="majorHAnsi" w:cstheme="majorBidi"/>
      <w:b/>
      <w:bCs/>
      <w:color w:val="009CA6"/>
      <w:spacing w:val="2"/>
    </w:rPr>
  </w:style>
  <w:style w:type="paragraph" w:customStyle="1" w:styleId="Heading4numbered">
    <w:name w:val="Heading 4 numbered"/>
    <w:basedOn w:val="Heading4"/>
    <w:next w:val="NormalIndent"/>
    <w:uiPriority w:val="8"/>
    <w:qFormat/>
    <w:rsid w:val="009D1C63"/>
    <w:pPr>
      <w:numPr>
        <w:ilvl w:val="5"/>
        <w:numId w:val="41"/>
      </w:numPr>
    </w:pPr>
  </w:style>
  <w:style w:type="character" w:customStyle="1" w:styleId="Heading4Char">
    <w:name w:val="Heading 4 Char"/>
    <w:basedOn w:val="DefaultParagraphFont"/>
    <w:link w:val="Heading4"/>
    <w:rsid w:val="009D1C63"/>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9D1C63"/>
    <w:pPr>
      <w:spacing w:line="252" w:lineRule="auto"/>
      <w:ind w:left="792"/>
    </w:pPr>
  </w:style>
  <w:style w:type="paragraph" w:customStyle="1" w:styleId="NoteNormal">
    <w:name w:val="Note Normal"/>
    <w:basedOn w:val="Normal"/>
    <w:rsid w:val="009D1C63"/>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9D1C63"/>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9D1C63"/>
    <w:pPr>
      <w:spacing w:after="12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9D1C63"/>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rsid w:val="008422A3"/>
    <w:pPr>
      <w:spacing w:after="0"/>
    </w:pPr>
    <w:rPr>
      <w:rFonts w:asciiTheme="majorHAnsi" w:eastAsia="Times New Roman" w:hAnsiTheme="majorHAnsi" w:cstheme="majorHAnsi"/>
      <w:color w:val="0063A6" w:themeColor="accent1"/>
      <w:szCs w:val="40"/>
      <w:lang w:eastAsia="en-US"/>
    </w:rPr>
  </w:style>
  <w:style w:type="paragraph" w:styleId="Title">
    <w:name w:val="Title"/>
    <w:next w:val="Subtitle"/>
    <w:link w:val="TitleChar"/>
    <w:uiPriority w:val="99"/>
    <w:rsid w:val="008422A3"/>
    <w:pPr>
      <w:spacing w:after="40" w:line="252" w:lineRule="auto"/>
    </w:pPr>
    <w:rPr>
      <w:rFonts w:asciiTheme="majorHAnsi" w:eastAsia="Times New Roman" w:hAnsiTheme="majorHAnsi" w:cstheme="majorHAnsi"/>
      <w:color w:val="0063A6" w:themeColor="accent1"/>
      <w:spacing w:val="16"/>
      <w:sz w:val="60"/>
      <w:szCs w:val="22"/>
    </w:rPr>
  </w:style>
  <w:style w:type="character" w:customStyle="1" w:styleId="TitleChar">
    <w:name w:val="Title Char"/>
    <w:basedOn w:val="DefaultParagraphFont"/>
    <w:link w:val="Title"/>
    <w:uiPriority w:val="99"/>
    <w:rsid w:val="008422A3"/>
    <w:rPr>
      <w:rFonts w:asciiTheme="majorHAnsi" w:eastAsia="Times New Roman" w:hAnsiTheme="majorHAnsi" w:cstheme="majorHAnsi"/>
      <w:color w:val="0063A6" w:themeColor="accent1"/>
      <w:spacing w:val="16"/>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9D1C63"/>
    <w:pPr>
      <w:numPr>
        <w:ilvl w:val="3"/>
        <w:numId w:val="31"/>
      </w:numPr>
      <w:contextualSpacing/>
    </w:pPr>
  </w:style>
  <w:style w:type="paragraph" w:styleId="IndexHeading">
    <w:name w:val="index heading"/>
    <w:basedOn w:val="Normal"/>
    <w:next w:val="Index1"/>
    <w:uiPriority w:val="99"/>
    <w:semiHidden/>
    <w:rsid w:val="009D1C63"/>
    <w:rPr>
      <w:rFonts w:asciiTheme="majorHAnsi" w:eastAsiaTheme="majorEastAsia" w:hAnsiTheme="majorHAnsi" w:cstheme="majorBidi"/>
      <w:b/>
      <w:bCs/>
    </w:rPr>
  </w:style>
  <w:style w:type="paragraph" w:styleId="Header">
    <w:name w:val="header"/>
    <w:basedOn w:val="Normal"/>
    <w:link w:val="HeaderChar"/>
    <w:uiPriority w:val="24"/>
    <w:rsid w:val="00BC3AB3"/>
    <w:pPr>
      <w:spacing w:after="0" w:line="240" w:lineRule="auto"/>
      <w:ind w:right="-784"/>
      <w:jc w:val="right"/>
    </w:pPr>
  </w:style>
  <w:style w:type="character" w:customStyle="1" w:styleId="HeaderChar">
    <w:name w:val="Header Char"/>
    <w:basedOn w:val="DefaultParagraphFont"/>
    <w:link w:val="Header"/>
    <w:uiPriority w:val="24"/>
    <w:rsid w:val="00BC3AB3"/>
    <w:rPr>
      <w:spacing w:val="2"/>
    </w:rPr>
  </w:style>
  <w:style w:type="paragraph" w:styleId="Footer">
    <w:name w:val="footer"/>
    <w:basedOn w:val="Normal"/>
    <w:link w:val="FooterChar"/>
    <w:uiPriority w:val="24"/>
    <w:rsid w:val="009D1C63"/>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24"/>
    <w:rsid w:val="009D1C63"/>
    <w:rPr>
      <w:noProof/>
      <w:spacing w:val="2"/>
      <w:sz w:val="18"/>
      <w:szCs w:val="18"/>
    </w:rPr>
  </w:style>
  <w:style w:type="character" w:styleId="PageNumber">
    <w:name w:val="page number"/>
    <w:uiPriority w:val="49"/>
    <w:rsid w:val="00BC3AB3"/>
    <w:rPr>
      <w:color w:val="0063A6" w:themeColor="accent1"/>
      <w:sz w:val="32"/>
      <w:szCs w:val="32"/>
    </w:rPr>
  </w:style>
  <w:style w:type="paragraph" w:styleId="TOCHeading">
    <w:name w:val="TOC Heading"/>
    <w:basedOn w:val="Heading1"/>
    <w:next w:val="Normal"/>
    <w:uiPriority w:val="39"/>
    <w:rsid w:val="009D1C63"/>
    <w:pPr>
      <w:spacing w:before="480" w:after="720"/>
      <w:outlineLvl w:val="9"/>
    </w:pPr>
    <w:rPr>
      <w:color w:val="201547" w:themeColor="text2"/>
      <w:spacing w:val="2"/>
    </w:rPr>
  </w:style>
  <w:style w:type="paragraph" w:customStyle="1" w:styleId="NormalTight">
    <w:name w:val="Normal Tight"/>
    <w:uiPriority w:val="99"/>
    <w:semiHidden/>
    <w:rsid w:val="009D1C63"/>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9D1C63"/>
    <w:pPr>
      <w:spacing w:before="5800"/>
      <w:ind w:right="1382"/>
    </w:pPr>
  </w:style>
  <w:style w:type="paragraph" w:styleId="TOC4">
    <w:name w:val="toc 4"/>
    <w:basedOn w:val="TOC1"/>
    <w:next w:val="Normal"/>
    <w:uiPriority w:val="39"/>
    <w:rsid w:val="009D1C63"/>
    <w:pPr>
      <w:ind w:left="450" w:hanging="450"/>
    </w:pPr>
    <w:rPr>
      <w:lang w:eastAsia="en-US"/>
    </w:rPr>
  </w:style>
  <w:style w:type="paragraph" w:styleId="TOC5">
    <w:name w:val="toc 5"/>
    <w:basedOn w:val="TOC2"/>
    <w:next w:val="Normal"/>
    <w:uiPriority w:val="39"/>
    <w:rsid w:val="009D1C63"/>
    <w:pPr>
      <w:ind w:left="1080" w:hanging="634"/>
    </w:pPr>
    <w:rPr>
      <w:lang w:eastAsia="en-US"/>
    </w:rPr>
  </w:style>
  <w:style w:type="paragraph" w:styleId="TOC6">
    <w:name w:val="toc 6"/>
    <w:basedOn w:val="TOC3"/>
    <w:next w:val="Normal"/>
    <w:uiPriority w:val="39"/>
    <w:rsid w:val="009D1C63"/>
    <w:pPr>
      <w:ind w:left="1800" w:hanging="720"/>
    </w:pPr>
    <w:rPr>
      <w:lang w:eastAsia="en-US"/>
    </w:rPr>
  </w:style>
  <w:style w:type="table" w:customStyle="1" w:styleId="Indented">
    <w:name w:val="Indented"/>
    <w:basedOn w:val="TableGrid"/>
    <w:uiPriority w:val="99"/>
    <w:rsid w:val="008F6E61"/>
    <w:pPr>
      <w:spacing w:after="0"/>
    </w:pPr>
    <w:tblPr>
      <w:tblInd w:w="864" w:type="dxa"/>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paragraph" w:customStyle="1" w:styleId="Tabletext">
    <w:name w:val="Table text"/>
    <w:basedOn w:val="Normal"/>
    <w:uiPriority w:val="5"/>
    <w:qFormat/>
    <w:rsid w:val="009D1C63"/>
    <w:pPr>
      <w:spacing w:before="60" w:after="60" w:line="264" w:lineRule="auto"/>
    </w:pPr>
    <w:rPr>
      <w:sz w:val="17"/>
    </w:rPr>
  </w:style>
  <w:style w:type="paragraph" w:customStyle="1" w:styleId="Tabletextright">
    <w:name w:val="Table text right"/>
    <w:basedOn w:val="Tabletext"/>
    <w:uiPriority w:val="5"/>
    <w:qFormat/>
    <w:rsid w:val="009D1C63"/>
    <w:pPr>
      <w:jc w:val="right"/>
    </w:pPr>
  </w:style>
  <w:style w:type="paragraph" w:customStyle="1" w:styleId="Listnumindent2">
    <w:name w:val="List num indent 2"/>
    <w:basedOn w:val="Normal"/>
    <w:uiPriority w:val="9"/>
    <w:qFormat/>
    <w:rsid w:val="009D1C63"/>
    <w:pPr>
      <w:numPr>
        <w:ilvl w:val="7"/>
        <w:numId w:val="41"/>
      </w:numPr>
      <w:contextualSpacing/>
    </w:pPr>
  </w:style>
  <w:style w:type="paragraph" w:customStyle="1" w:styleId="Listnumindent">
    <w:name w:val="List num indent"/>
    <w:basedOn w:val="Normal"/>
    <w:uiPriority w:val="9"/>
    <w:qFormat/>
    <w:rsid w:val="009D1C63"/>
    <w:pPr>
      <w:numPr>
        <w:ilvl w:val="6"/>
        <w:numId w:val="41"/>
      </w:numPr>
    </w:pPr>
  </w:style>
  <w:style w:type="paragraph" w:customStyle="1" w:styleId="Listnum">
    <w:name w:val="List num"/>
    <w:basedOn w:val="Normal"/>
    <w:uiPriority w:val="1"/>
    <w:qFormat/>
    <w:rsid w:val="009D1C63"/>
    <w:pPr>
      <w:numPr>
        <w:numId w:val="41"/>
      </w:numPr>
    </w:pPr>
  </w:style>
  <w:style w:type="paragraph" w:customStyle="1" w:styleId="Listnum2">
    <w:name w:val="List num 2"/>
    <w:basedOn w:val="Normal"/>
    <w:uiPriority w:val="1"/>
    <w:qFormat/>
    <w:rsid w:val="009D1C63"/>
    <w:pPr>
      <w:numPr>
        <w:ilvl w:val="1"/>
        <w:numId w:val="41"/>
      </w:numPr>
    </w:pPr>
  </w:style>
  <w:style w:type="paragraph" w:customStyle="1" w:styleId="Tabletextcentred">
    <w:name w:val="Table text centred"/>
    <w:basedOn w:val="Tabletext"/>
    <w:uiPriority w:val="5"/>
    <w:qFormat/>
    <w:rsid w:val="009D1C63"/>
    <w:pPr>
      <w:jc w:val="center"/>
    </w:pPr>
  </w:style>
  <w:style w:type="paragraph" w:customStyle="1" w:styleId="Tableheader">
    <w:name w:val="Table header"/>
    <w:basedOn w:val="Tabletext"/>
    <w:uiPriority w:val="5"/>
    <w:qFormat/>
    <w:rsid w:val="009D1C63"/>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9D1C63"/>
    <w:pPr>
      <w:numPr>
        <w:numId w:val="45"/>
      </w:numPr>
    </w:pPr>
  </w:style>
  <w:style w:type="paragraph" w:customStyle="1" w:styleId="Tabledash">
    <w:name w:val="Table dash"/>
    <w:basedOn w:val="Tablebullet"/>
    <w:uiPriority w:val="6"/>
    <w:rsid w:val="009D1C63"/>
    <w:pPr>
      <w:numPr>
        <w:ilvl w:val="1"/>
      </w:numPr>
    </w:pPr>
  </w:style>
  <w:style w:type="paragraph" w:customStyle="1" w:styleId="Tabletextindent">
    <w:name w:val="Table text indent"/>
    <w:basedOn w:val="Tabletext"/>
    <w:uiPriority w:val="5"/>
    <w:qFormat/>
    <w:rsid w:val="009D1C63"/>
    <w:pPr>
      <w:ind w:left="288"/>
    </w:pPr>
  </w:style>
  <w:style w:type="paragraph" w:customStyle="1" w:styleId="Numpara">
    <w:name w:val="Num para"/>
    <w:basedOn w:val="ListParagraph"/>
    <w:uiPriority w:val="2"/>
    <w:qFormat/>
    <w:rsid w:val="009D1C63"/>
    <w:pPr>
      <w:numPr>
        <w:numId w:val="40"/>
      </w:numPr>
      <w:tabs>
        <w:tab w:val="left" w:pos="540"/>
      </w:tabs>
    </w:pPr>
  </w:style>
  <w:style w:type="paragraph" w:styleId="ListParagraph">
    <w:name w:val="List Paragraph"/>
    <w:basedOn w:val="Normal"/>
    <w:uiPriority w:val="34"/>
    <w:semiHidden/>
    <w:qFormat/>
    <w:rsid w:val="009D1C63"/>
    <w:pPr>
      <w:ind w:left="720"/>
      <w:contextualSpacing/>
    </w:pPr>
  </w:style>
  <w:style w:type="paragraph" w:customStyle="1" w:styleId="Tablechartdiagramheading">
    <w:name w:val="Table/chart/diagram heading"/>
    <w:uiPriority w:val="4"/>
    <w:qFormat/>
    <w:rsid w:val="009D1C63"/>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9D1C63"/>
    <w:pPr>
      <w:spacing w:before="0" w:after="0" w:line="240" w:lineRule="auto"/>
    </w:pPr>
    <w:rPr>
      <w:sz w:val="17"/>
    </w:rPr>
  </w:style>
  <w:style w:type="character" w:customStyle="1" w:styleId="FootnoteTextChar">
    <w:name w:val="Footnote Text Char"/>
    <w:basedOn w:val="DefaultParagraphFont"/>
    <w:link w:val="FootnoteText"/>
    <w:uiPriority w:val="99"/>
    <w:semiHidden/>
    <w:rsid w:val="005A29AC"/>
    <w:rPr>
      <w:spacing w:val="2"/>
      <w:sz w:val="17"/>
    </w:rPr>
  </w:style>
  <w:style w:type="character" w:styleId="FootnoteReference">
    <w:name w:val="footnote reference"/>
    <w:basedOn w:val="DefaultParagraphFont"/>
    <w:uiPriority w:val="99"/>
    <w:semiHidden/>
    <w:rsid w:val="009D1C63"/>
    <w:rPr>
      <w:vertAlign w:val="superscript"/>
    </w:rPr>
  </w:style>
  <w:style w:type="paragraph" w:customStyle="1" w:styleId="Numparaindent">
    <w:name w:val="Num para indent"/>
    <w:basedOn w:val="Numpara"/>
    <w:uiPriority w:val="9"/>
    <w:qFormat/>
    <w:rsid w:val="009D1C63"/>
    <w:pPr>
      <w:numPr>
        <w:ilvl w:val="8"/>
        <w:numId w:val="41"/>
      </w:numPr>
      <w:tabs>
        <w:tab w:val="clear" w:pos="540"/>
      </w:tabs>
    </w:pPr>
  </w:style>
  <w:style w:type="paragraph" w:customStyle="1" w:styleId="Tablenum1">
    <w:name w:val="Table num 1"/>
    <w:basedOn w:val="Normal"/>
    <w:uiPriority w:val="6"/>
    <w:rsid w:val="009D1C63"/>
    <w:pPr>
      <w:numPr>
        <w:ilvl w:val="2"/>
        <w:numId w:val="45"/>
      </w:numPr>
    </w:pPr>
    <w:rPr>
      <w:sz w:val="17"/>
    </w:rPr>
  </w:style>
  <w:style w:type="paragraph" w:customStyle="1" w:styleId="Tablenum2">
    <w:name w:val="Table num 2"/>
    <w:basedOn w:val="Normal"/>
    <w:uiPriority w:val="6"/>
    <w:rsid w:val="009D1C63"/>
    <w:pPr>
      <w:numPr>
        <w:ilvl w:val="3"/>
        <w:numId w:val="45"/>
      </w:numPr>
    </w:pPr>
    <w:rPr>
      <w:sz w:val="17"/>
    </w:rPr>
  </w:style>
  <w:style w:type="paragraph" w:customStyle="1" w:styleId="NoteNormalindent">
    <w:name w:val="Note Normal indent"/>
    <w:basedOn w:val="NoteNormal"/>
    <w:uiPriority w:val="9"/>
    <w:rsid w:val="009D1C63"/>
    <w:pPr>
      <w:ind w:left="792"/>
    </w:pPr>
  </w:style>
  <w:style w:type="paragraph" w:styleId="Caption">
    <w:name w:val="caption"/>
    <w:basedOn w:val="Normal"/>
    <w:next w:val="Normal"/>
    <w:uiPriority w:val="35"/>
    <w:rsid w:val="009D1C63"/>
    <w:pPr>
      <w:spacing w:before="0" w:after="20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9D1C63"/>
    <w:rPr>
      <w:color w:val="808080"/>
    </w:rPr>
  </w:style>
  <w:style w:type="paragraph" w:customStyle="1" w:styleId="Normalboldteal">
    <w:name w:val="Normal bold teal"/>
    <w:basedOn w:val="Normal"/>
    <w:qFormat/>
    <w:rsid w:val="00AE5428"/>
    <w:rPr>
      <w:b/>
      <w:color w:val="009CA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8" w:qFormat="1"/>
    <w:lsdException w:name="header" w:semiHidden="0" w:uiPriority="24"/>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5A29AC"/>
    <w:pPr>
      <w:spacing w:before="100" w:after="100"/>
    </w:pPr>
    <w:rPr>
      <w:spacing w:val="2"/>
    </w:rPr>
  </w:style>
  <w:style w:type="paragraph" w:styleId="Heading1">
    <w:name w:val="heading 1"/>
    <w:next w:val="Normal"/>
    <w:link w:val="Heading1Char"/>
    <w:qFormat/>
    <w:rsid w:val="008422A3"/>
    <w:pPr>
      <w:keepNext/>
      <w:keepLines/>
      <w:spacing w:before="600" w:after="300"/>
      <w:outlineLvl w:val="0"/>
    </w:pPr>
    <w:rPr>
      <w:rFonts w:asciiTheme="majorHAnsi" w:eastAsiaTheme="majorEastAsia" w:hAnsiTheme="majorHAnsi" w:cstheme="majorBidi"/>
      <w:bCs/>
      <w:color w:val="0063A6" w:themeColor="accent1"/>
      <w:sz w:val="36"/>
      <w:szCs w:val="28"/>
    </w:rPr>
  </w:style>
  <w:style w:type="paragraph" w:styleId="Heading2">
    <w:name w:val="heading 2"/>
    <w:basedOn w:val="Normal"/>
    <w:next w:val="Normal"/>
    <w:link w:val="Heading2Char"/>
    <w:qFormat/>
    <w:rsid w:val="008422A3"/>
    <w:pPr>
      <w:keepNext/>
      <w:keepLines/>
      <w:spacing w:before="200" w:after="60"/>
      <w:outlineLvl w:val="1"/>
    </w:pPr>
    <w:rPr>
      <w:rFonts w:asciiTheme="majorHAnsi" w:eastAsiaTheme="majorEastAsia" w:hAnsiTheme="majorHAnsi" w:cstheme="majorBidi"/>
      <w:b/>
      <w:bCs/>
      <w:color w:val="009CA6"/>
      <w:spacing w:val="0"/>
      <w:sz w:val="24"/>
      <w:szCs w:val="24"/>
    </w:rPr>
  </w:style>
  <w:style w:type="paragraph" w:styleId="Heading3">
    <w:name w:val="heading 3"/>
    <w:basedOn w:val="Normal"/>
    <w:next w:val="Normal"/>
    <w:link w:val="Heading3Char"/>
    <w:qFormat/>
    <w:rsid w:val="008422A3"/>
    <w:pPr>
      <w:keepNext/>
      <w:keepLines/>
      <w:spacing w:before="120" w:after="60"/>
      <w:outlineLvl w:val="2"/>
    </w:pPr>
    <w:rPr>
      <w:rFonts w:asciiTheme="majorHAnsi" w:eastAsiaTheme="majorEastAsia" w:hAnsiTheme="majorHAnsi" w:cstheme="majorBidi"/>
      <w:b/>
      <w:bCs/>
      <w:color w:val="009CA6"/>
    </w:rPr>
  </w:style>
  <w:style w:type="paragraph" w:styleId="Heading4">
    <w:name w:val="heading 4"/>
    <w:basedOn w:val="Normal"/>
    <w:next w:val="Normal"/>
    <w:link w:val="Heading4Char"/>
    <w:qFormat/>
    <w:rsid w:val="009D1C63"/>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9D1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E07C2"/>
    <w:pPr>
      <w:spacing w:before="20" w:after="20" w:line="240" w:lineRule="auto"/>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table" w:styleId="LightList-Accent4">
    <w:name w:val="Light List Accent 4"/>
    <w:basedOn w:val="TableNormal"/>
    <w:uiPriority w:val="61"/>
    <w:rsid w:val="009D1C63"/>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9D1C63"/>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9D1C63"/>
    <w:pPr>
      <w:tabs>
        <w:tab w:val="right" w:leader="dot" w:pos="8730"/>
      </w:tabs>
      <w:ind w:right="432"/>
    </w:pPr>
    <w:rPr>
      <w:noProof/>
      <w:sz w:val="24"/>
      <w:szCs w:val="24"/>
    </w:rPr>
  </w:style>
  <w:style w:type="paragraph" w:styleId="TOC2">
    <w:name w:val="toc 2"/>
    <w:next w:val="Normal"/>
    <w:uiPriority w:val="39"/>
    <w:rsid w:val="009D1C63"/>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9D1C63"/>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9D1C63"/>
    <w:pPr>
      <w:spacing w:after="60" w:line="240" w:lineRule="auto"/>
    </w:pPr>
    <w:rPr>
      <w:sz w:val="16"/>
    </w:rPr>
  </w:style>
  <w:style w:type="paragraph" w:styleId="Index2">
    <w:name w:val="index 2"/>
    <w:basedOn w:val="Normal"/>
    <w:next w:val="Normal"/>
    <w:uiPriority w:val="99"/>
    <w:semiHidden/>
    <w:rsid w:val="009D1C63"/>
    <w:pPr>
      <w:spacing w:after="0" w:line="240" w:lineRule="auto"/>
      <w:ind w:left="216"/>
    </w:pPr>
    <w:rPr>
      <w:sz w:val="16"/>
      <w:szCs w:val="16"/>
    </w:rPr>
  </w:style>
  <w:style w:type="character" w:styleId="Hyperlink">
    <w:name w:val="Hyperlink"/>
    <w:basedOn w:val="DefaultParagraphFont"/>
    <w:uiPriority w:val="99"/>
    <w:rsid w:val="009D1C63"/>
    <w:rPr>
      <w:color w:val="0063A6" w:themeColor="accent1"/>
      <w:u w:val="none"/>
    </w:rPr>
  </w:style>
  <w:style w:type="character" w:customStyle="1" w:styleId="Heading1Char">
    <w:name w:val="Heading 1 Char"/>
    <w:basedOn w:val="DefaultParagraphFont"/>
    <w:link w:val="Heading1"/>
    <w:rsid w:val="008422A3"/>
    <w:rPr>
      <w:rFonts w:asciiTheme="majorHAnsi" w:eastAsiaTheme="majorEastAsia" w:hAnsiTheme="majorHAnsi" w:cstheme="majorBidi"/>
      <w:bCs/>
      <w:color w:val="0063A6" w:themeColor="accent1"/>
      <w:sz w:val="36"/>
      <w:szCs w:val="28"/>
    </w:rPr>
  </w:style>
  <w:style w:type="character" w:customStyle="1" w:styleId="Heading2Char">
    <w:name w:val="Heading 2 Char"/>
    <w:basedOn w:val="DefaultParagraphFont"/>
    <w:link w:val="Heading2"/>
    <w:rsid w:val="008422A3"/>
    <w:rPr>
      <w:rFonts w:asciiTheme="majorHAnsi" w:eastAsiaTheme="majorEastAsia" w:hAnsiTheme="majorHAnsi" w:cstheme="majorBidi"/>
      <w:b/>
      <w:bCs/>
      <w:color w:val="009CA6"/>
      <w:sz w:val="24"/>
      <w:szCs w:val="24"/>
    </w:rPr>
  </w:style>
  <w:style w:type="paragraph" w:customStyle="1" w:styleId="Bullet1">
    <w:name w:val="Bullet 1"/>
    <w:uiPriority w:val="1"/>
    <w:qFormat/>
    <w:rsid w:val="009D1C63"/>
    <w:pPr>
      <w:numPr>
        <w:numId w:val="3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9D1C63"/>
    <w:pPr>
      <w:numPr>
        <w:ilvl w:val="1"/>
      </w:numPr>
    </w:pPr>
  </w:style>
  <w:style w:type="paragraph" w:customStyle="1" w:styleId="Bulletindent">
    <w:name w:val="Bullet indent"/>
    <w:basedOn w:val="Bullet2"/>
    <w:uiPriority w:val="9"/>
    <w:qFormat/>
    <w:rsid w:val="009D1C63"/>
    <w:pPr>
      <w:numPr>
        <w:ilvl w:val="2"/>
      </w:numPr>
    </w:pPr>
  </w:style>
  <w:style w:type="paragraph" w:customStyle="1" w:styleId="Heading1numbered">
    <w:name w:val="Heading 1 numbered"/>
    <w:basedOn w:val="Heading1"/>
    <w:next w:val="NormalIndent"/>
    <w:uiPriority w:val="8"/>
    <w:qFormat/>
    <w:rsid w:val="009D1C63"/>
    <w:pPr>
      <w:numPr>
        <w:ilvl w:val="2"/>
        <w:numId w:val="41"/>
      </w:numPr>
    </w:pPr>
  </w:style>
  <w:style w:type="paragraph" w:customStyle="1" w:styleId="Heading2numbered">
    <w:name w:val="Heading 2 numbered"/>
    <w:basedOn w:val="Heading2"/>
    <w:next w:val="NormalIndent"/>
    <w:uiPriority w:val="8"/>
    <w:qFormat/>
    <w:rsid w:val="009D1C63"/>
    <w:pPr>
      <w:numPr>
        <w:ilvl w:val="3"/>
        <w:numId w:val="41"/>
      </w:numPr>
    </w:pPr>
  </w:style>
  <w:style w:type="paragraph" w:customStyle="1" w:styleId="Heading3numbered">
    <w:name w:val="Heading 3 numbered"/>
    <w:basedOn w:val="Heading3"/>
    <w:next w:val="NormalIndent"/>
    <w:uiPriority w:val="8"/>
    <w:qFormat/>
    <w:rsid w:val="009D1C63"/>
    <w:pPr>
      <w:numPr>
        <w:ilvl w:val="4"/>
        <w:numId w:val="41"/>
      </w:numPr>
    </w:pPr>
  </w:style>
  <w:style w:type="character" w:customStyle="1" w:styleId="Heading3Char">
    <w:name w:val="Heading 3 Char"/>
    <w:basedOn w:val="DefaultParagraphFont"/>
    <w:link w:val="Heading3"/>
    <w:rsid w:val="008422A3"/>
    <w:rPr>
      <w:rFonts w:asciiTheme="majorHAnsi" w:eastAsiaTheme="majorEastAsia" w:hAnsiTheme="majorHAnsi" w:cstheme="majorBidi"/>
      <w:b/>
      <w:bCs/>
      <w:color w:val="009CA6"/>
      <w:spacing w:val="2"/>
    </w:rPr>
  </w:style>
  <w:style w:type="paragraph" w:customStyle="1" w:styleId="Heading4numbered">
    <w:name w:val="Heading 4 numbered"/>
    <w:basedOn w:val="Heading4"/>
    <w:next w:val="NormalIndent"/>
    <w:uiPriority w:val="8"/>
    <w:qFormat/>
    <w:rsid w:val="009D1C63"/>
    <w:pPr>
      <w:numPr>
        <w:ilvl w:val="5"/>
        <w:numId w:val="41"/>
      </w:numPr>
    </w:pPr>
  </w:style>
  <w:style w:type="character" w:customStyle="1" w:styleId="Heading4Char">
    <w:name w:val="Heading 4 Char"/>
    <w:basedOn w:val="DefaultParagraphFont"/>
    <w:link w:val="Heading4"/>
    <w:rsid w:val="009D1C63"/>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9D1C63"/>
    <w:pPr>
      <w:spacing w:line="252" w:lineRule="auto"/>
      <w:ind w:left="792"/>
    </w:pPr>
  </w:style>
  <w:style w:type="paragraph" w:customStyle="1" w:styleId="NoteNormal">
    <w:name w:val="Note Normal"/>
    <w:basedOn w:val="Normal"/>
    <w:rsid w:val="009D1C63"/>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9D1C63"/>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9D1C63"/>
    <w:pPr>
      <w:spacing w:after="12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9D1C63"/>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rsid w:val="008422A3"/>
    <w:pPr>
      <w:spacing w:after="0"/>
    </w:pPr>
    <w:rPr>
      <w:rFonts w:asciiTheme="majorHAnsi" w:eastAsia="Times New Roman" w:hAnsiTheme="majorHAnsi" w:cstheme="majorHAnsi"/>
      <w:color w:val="0063A6" w:themeColor="accent1"/>
      <w:szCs w:val="40"/>
      <w:lang w:eastAsia="en-US"/>
    </w:rPr>
  </w:style>
  <w:style w:type="paragraph" w:styleId="Title">
    <w:name w:val="Title"/>
    <w:next w:val="Subtitle"/>
    <w:link w:val="TitleChar"/>
    <w:uiPriority w:val="99"/>
    <w:rsid w:val="008422A3"/>
    <w:pPr>
      <w:spacing w:after="40" w:line="252" w:lineRule="auto"/>
    </w:pPr>
    <w:rPr>
      <w:rFonts w:asciiTheme="majorHAnsi" w:eastAsia="Times New Roman" w:hAnsiTheme="majorHAnsi" w:cstheme="majorHAnsi"/>
      <w:color w:val="0063A6" w:themeColor="accent1"/>
      <w:spacing w:val="16"/>
      <w:sz w:val="60"/>
      <w:szCs w:val="22"/>
    </w:rPr>
  </w:style>
  <w:style w:type="character" w:customStyle="1" w:styleId="TitleChar">
    <w:name w:val="Title Char"/>
    <w:basedOn w:val="DefaultParagraphFont"/>
    <w:link w:val="Title"/>
    <w:uiPriority w:val="99"/>
    <w:rsid w:val="008422A3"/>
    <w:rPr>
      <w:rFonts w:asciiTheme="majorHAnsi" w:eastAsia="Times New Roman" w:hAnsiTheme="majorHAnsi" w:cstheme="majorHAnsi"/>
      <w:color w:val="0063A6" w:themeColor="accent1"/>
      <w:spacing w:val="16"/>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9D1C63"/>
    <w:pPr>
      <w:numPr>
        <w:ilvl w:val="3"/>
        <w:numId w:val="31"/>
      </w:numPr>
      <w:contextualSpacing/>
    </w:pPr>
  </w:style>
  <w:style w:type="paragraph" w:styleId="IndexHeading">
    <w:name w:val="index heading"/>
    <w:basedOn w:val="Normal"/>
    <w:next w:val="Index1"/>
    <w:uiPriority w:val="99"/>
    <w:semiHidden/>
    <w:rsid w:val="009D1C63"/>
    <w:rPr>
      <w:rFonts w:asciiTheme="majorHAnsi" w:eastAsiaTheme="majorEastAsia" w:hAnsiTheme="majorHAnsi" w:cstheme="majorBidi"/>
      <w:b/>
      <w:bCs/>
    </w:rPr>
  </w:style>
  <w:style w:type="paragraph" w:styleId="Header">
    <w:name w:val="header"/>
    <w:basedOn w:val="Normal"/>
    <w:link w:val="HeaderChar"/>
    <w:uiPriority w:val="24"/>
    <w:rsid w:val="00BC3AB3"/>
    <w:pPr>
      <w:spacing w:after="0" w:line="240" w:lineRule="auto"/>
      <w:ind w:right="-784"/>
      <w:jc w:val="right"/>
    </w:pPr>
  </w:style>
  <w:style w:type="character" w:customStyle="1" w:styleId="HeaderChar">
    <w:name w:val="Header Char"/>
    <w:basedOn w:val="DefaultParagraphFont"/>
    <w:link w:val="Header"/>
    <w:uiPriority w:val="24"/>
    <w:rsid w:val="00BC3AB3"/>
    <w:rPr>
      <w:spacing w:val="2"/>
    </w:rPr>
  </w:style>
  <w:style w:type="paragraph" w:styleId="Footer">
    <w:name w:val="footer"/>
    <w:basedOn w:val="Normal"/>
    <w:link w:val="FooterChar"/>
    <w:uiPriority w:val="24"/>
    <w:rsid w:val="009D1C63"/>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24"/>
    <w:rsid w:val="009D1C63"/>
    <w:rPr>
      <w:noProof/>
      <w:spacing w:val="2"/>
      <w:sz w:val="18"/>
      <w:szCs w:val="18"/>
    </w:rPr>
  </w:style>
  <w:style w:type="character" w:styleId="PageNumber">
    <w:name w:val="page number"/>
    <w:uiPriority w:val="49"/>
    <w:rsid w:val="00BC3AB3"/>
    <w:rPr>
      <w:color w:val="0063A6" w:themeColor="accent1"/>
      <w:sz w:val="32"/>
      <w:szCs w:val="32"/>
    </w:rPr>
  </w:style>
  <w:style w:type="paragraph" w:styleId="TOCHeading">
    <w:name w:val="TOC Heading"/>
    <w:basedOn w:val="Heading1"/>
    <w:next w:val="Normal"/>
    <w:uiPriority w:val="39"/>
    <w:rsid w:val="009D1C63"/>
    <w:pPr>
      <w:spacing w:before="480" w:after="720"/>
      <w:outlineLvl w:val="9"/>
    </w:pPr>
    <w:rPr>
      <w:color w:val="201547" w:themeColor="text2"/>
      <w:spacing w:val="2"/>
    </w:rPr>
  </w:style>
  <w:style w:type="paragraph" w:customStyle="1" w:styleId="NormalTight">
    <w:name w:val="Normal Tight"/>
    <w:uiPriority w:val="99"/>
    <w:semiHidden/>
    <w:rsid w:val="009D1C63"/>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9D1C63"/>
    <w:pPr>
      <w:spacing w:before="5800"/>
      <w:ind w:right="1382"/>
    </w:pPr>
  </w:style>
  <w:style w:type="paragraph" w:styleId="TOC4">
    <w:name w:val="toc 4"/>
    <w:basedOn w:val="TOC1"/>
    <w:next w:val="Normal"/>
    <w:uiPriority w:val="39"/>
    <w:rsid w:val="009D1C63"/>
    <w:pPr>
      <w:ind w:left="450" w:hanging="450"/>
    </w:pPr>
    <w:rPr>
      <w:lang w:eastAsia="en-US"/>
    </w:rPr>
  </w:style>
  <w:style w:type="paragraph" w:styleId="TOC5">
    <w:name w:val="toc 5"/>
    <w:basedOn w:val="TOC2"/>
    <w:next w:val="Normal"/>
    <w:uiPriority w:val="39"/>
    <w:rsid w:val="009D1C63"/>
    <w:pPr>
      <w:ind w:left="1080" w:hanging="634"/>
    </w:pPr>
    <w:rPr>
      <w:lang w:eastAsia="en-US"/>
    </w:rPr>
  </w:style>
  <w:style w:type="paragraph" w:styleId="TOC6">
    <w:name w:val="toc 6"/>
    <w:basedOn w:val="TOC3"/>
    <w:next w:val="Normal"/>
    <w:uiPriority w:val="39"/>
    <w:rsid w:val="009D1C63"/>
    <w:pPr>
      <w:ind w:left="1800" w:hanging="720"/>
    </w:pPr>
    <w:rPr>
      <w:lang w:eastAsia="en-US"/>
    </w:rPr>
  </w:style>
  <w:style w:type="table" w:customStyle="1" w:styleId="Indented">
    <w:name w:val="Indented"/>
    <w:basedOn w:val="TableGrid"/>
    <w:uiPriority w:val="99"/>
    <w:rsid w:val="008F6E61"/>
    <w:pPr>
      <w:spacing w:after="0"/>
    </w:pPr>
    <w:tblPr>
      <w:tblInd w:w="864" w:type="dxa"/>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paragraph" w:customStyle="1" w:styleId="Tabletext">
    <w:name w:val="Table text"/>
    <w:basedOn w:val="Normal"/>
    <w:uiPriority w:val="5"/>
    <w:qFormat/>
    <w:rsid w:val="009D1C63"/>
    <w:pPr>
      <w:spacing w:before="60" w:after="60" w:line="264" w:lineRule="auto"/>
    </w:pPr>
    <w:rPr>
      <w:sz w:val="17"/>
    </w:rPr>
  </w:style>
  <w:style w:type="paragraph" w:customStyle="1" w:styleId="Tabletextright">
    <w:name w:val="Table text right"/>
    <w:basedOn w:val="Tabletext"/>
    <w:uiPriority w:val="5"/>
    <w:qFormat/>
    <w:rsid w:val="009D1C63"/>
    <w:pPr>
      <w:jc w:val="right"/>
    </w:pPr>
  </w:style>
  <w:style w:type="paragraph" w:customStyle="1" w:styleId="Listnumindent2">
    <w:name w:val="List num indent 2"/>
    <w:basedOn w:val="Normal"/>
    <w:uiPriority w:val="9"/>
    <w:qFormat/>
    <w:rsid w:val="009D1C63"/>
    <w:pPr>
      <w:numPr>
        <w:ilvl w:val="7"/>
        <w:numId w:val="41"/>
      </w:numPr>
      <w:contextualSpacing/>
    </w:pPr>
  </w:style>
  <w:style w:type="paragraph" w:customStyle="1" w:styleId="Listnumindent">
    <w:name w:val="List num indent"/>
    <w:basedOn w:val="Normal"/>
    <w:uiPriority w:val="9"/>
    <w:qFormat/>
    <w:rsid w:val="009D1C63"/>
    <w:pPr>
      <w:numPr>
        <w:ilvl w:val="6"/>
        <w:numId w:val="41"/>
      </w:numPr>
    </w:pPr>
  </w:style>
  <w:style w:type="paragraph" w:customStyle="1" w:styleId="Listnum">
    <w:name w:val="List num"/>
    <w:basedOn w:val="Normal"/>
    <w:uiPriority w:val="1"/>
    <w:qFormat/>
    <w:rsid w:val="009D1C63"/>
    <w:pPr>
      <w:numPr>
        <w:numId w:val="41"/>
      </w:numPr>
    </w:pPr>
  </w:style>
  <w:style w:type="paragraph" w:customStyle="1" w:styleId="Listnum2">
    <w:name w:val="List num 2"/>
    <w:basedOn w:val="Normal"/>
    <w:uiPriority w:val="1"/>
    <w:qFormat/>
    <w:rsid w:val="009D1C63"/>
    <w:pPr>
      <w:numPr>
        <w:ilvl w:val="1"/>
        <w:numId w:val="41"/>
      </w:numPr>
    </w:pPr>
  </w:style>
  <w:style w:type="paragraph" w:customStyle="1" w:styleId="Tabletextcentred">
    <w:name w:val="Table text centred"/>
    <w:basedOn w:val="Tabletext"/>
    <w:uiPriority w:val="5"/>
    <w:qFormat/>
    <w:rsid w:val="009D1C63"/>
    <w:pPr>
      <w:jc w:val="center"/>
    </w:pPr>
  </w:style>
  <w:style w:type="paragraph" w:customStyle="1" w:styleId="Tableheader">
    <w:name w:val="Table header"/>
    <w:basedOn w:val="Tabletext"/>
    <w:uiPriority w:val="5"/>
    <w:qFormat/>
    <w:rsid w:val="009D1C63"/>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9D1C63"/>
    <w:pPr>
      <w:numPr>
        <w:numId w:val="45"/>
      </w:numPr>
    </w:pPr>
  </w:style>
  <w:style w:type="paragraph" w:customStyle="1" w:styleId="Tabledash">
    <w:name w:val="Table dash"/>
    <w:basedOn w:val="Tablebullet"/>
    <w:uiPriority w:val="6"/>
    <w:rsid w:val="009D1C63"/>
    <w:pPr>
      <w:numPr>
        <w:ilvl w:val="1"/>
      </w:numPr>
    </w:pPr>
  </w:style>
  <w:style w:type="paragraph" w:customStyle="1" w:styleId="Tabletextindent">
    <w:name w:val="Table text indent"/>
    <w:basedOn w:val="Tabletext"/>
    <w:uiPriority w:val="5"/>
    <w:qFormat/>
    <w:rsid w:val="009D1C63"/>
    <w:pPr>
      <w:ind w:left="288"/>
    </w:pPr>
  </w:style>
  <w:style w:type="paragraph" w:customStyle="1" w:styleId="Numpara">
    <w:name w:val="Num para"/>
    <w:basedOn w:val="ListParagraph"/>
    <w:uiPriority w:val="2"/>
    <w:qFormat/>
    <w:rsid w:val="009D1C63"/>
    <w:pPr>
      <w:numPr>
        <w:numId w:val="40"/>
      </w:numPr>
      <w:tabs>
        <w:tab w:val="left" w:pos="540"/>
      </w:tabs>
    </w:pPr>
  </w:style>
  <w:style w:type="paragraph" w:styleId="ListParagraph">
    <w:name w:val="List Paragraph"/>
    <w:basedOn w:val="Normal"/>
    <w:uiPriority w:val="34"/>
    <w:semiHidden/>
    <w:qFormat/>
    <w:rsid w:val="009D1C63"/>
    <w:pPr>
      <w:ind w:left="720"/>
      <w:contextualSpacing/>
    </w:pPr>
  </w:style>
  <w:style w:type="paragraph" w:customStyle="1" w:styleId="Tablechartdiagramheading">
    <w:name w:val="Table/chart/diagram heading"/>
    <w:uiPriority w:val="4"/>
    <w:qFormat/>
    <w:rsid w:val="009D1C63"/>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9D1C63"/>
    <w:pPr>
      <w:spacing w:before="0" w:after="0" w:line="240" w:lineRule="auto"/>
    </w:pPr>
    <w:rPr>
      <w:sz w:val="17"/>
    </w:rPr>
  </w:style>
  <w:style w:type="character" w:customStyle="1" w:styleId="FootnoteTextChar">
    <w:name w:val="Footnote Text Char"/>
    <w:basedOn w:val="DefaultParagraphFont"/>
    <w:link w:val="FootnoteText"/>
    <w:uiPriority w:val="99"/>
    <w:semiHidden/>
    <w:rsid w:val="005A29AC"/>
    <w:rPr>
      <w:spacing w:val="2"/>
      <w:sz w:val="17"/>
    </w:rPr>
  </w:style>
  <w:style w:type="character" w:styleId="FootnoteReference">
    <w:name w:val="footnote reference"/>
    <w:basedOn w:val="DefaultParagraphFont"/>
    <w:uiPriority w:val="99"/>
    <w:semiHidden/>
    <w:rsid w:val="009D1C63"/>
    <w:rPr>
      <w:vertAlign w:val="superscript"/>
    </w:rPr>
  </w:style>
  <w:style w:type="paragraph" w:customStyle="1" w:styleId="Numparaindent">
    <w:name w:val="Num para indent"/>
    <w:basedOn w:val="Numpara"/>
    <w:uiPriority w:val="9"/>
    <w:qFormat/>
    <w:rsid w:val="009D1C63"/>
    <w:pPr>
      <w:numPr>
        <w:ilvl w:val="8"/>
        <w:numId w:val="41"/>
      </w:numPr>
      <w:tabs>
        <w:tab w:val="clear" w:pos="540"/>
      </w:tabs>
    </w:pPr>
  </w:style>
  <w:style w:type="paragraph" w:customStyle="1" w:styleId="Tablenum1">
    <w:name w:val="Table num 1"/>
    <w:basedOn w:val="Normal"/>
    <w:uiPriority w:val="6"/>
    <w:rsid w:val="009D1C63"/>
    <w:pPr>
      <w:numPr>
        <w:ilvl w:val="2"/>
        <w:numId w:val="45"/>
      </w:numPr>
    </w:pPr>
    <w:rPr>
      <w:sz w:val="17"/>
    </w:rPr>
  </w:style>
  <w:style w:type="paragraph" w:customStyle="1" w:styleId="Tablenum2">
    <w:name w:val="Table num 2"/>
    <w:basedOn w:val="Normal"/>
    <w:uiPriority w:val="6"/>
    <w:rsid w:val="009D1C63"/>
    <w:pPr>
      <w:numPr>
        <w:ilvl w:val="3"/>
        <w:numId w:val="45"/>
      </w:numPr>
    </w:pPr>
    <w:rPr>
      <w:sz w:val="17"/>
    </w:rPr>
  </w:style>
  <w:style w:type="paragraph" w:customStyle="1" w:styleId="NoteNormalindent">
    <w:name w:val="Note Normal indent"/>
    <w:basedOn w:val="NoteNormal"/>
    <w:uiPriority w:val="9"/>
    <w:rsid w:val="009D1C63"/>
    <w:pPr>
      <w:ind w:left="792"/>
    </w:pPr>
  </w:style>
  <w:style w:type="paragraph" w:styleId="Caption">
    <w:name w:val="caption"/>
    <w:basedOn w:val="Normal"/>
    <w:next w:val="Normal"/>
    <w:uiPriority w:val="35"/>
    <w:rsid w:val="009D1C63"/>
    <w:pPr>
      <w:spacing w:before="0" w:after="20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9D1C63"/>
    <w:rPr>
      <w:color w:val="808080"/>
    </w:rPr>
  </w:style>
  <w:style w:type="paragraph" w:customStyle="1" w:styleId="Normalboldteal">
    <w:name w:val="Normal bold teal"/>
    <w:basedOn w:val="Normal"/>
    <w:qFormat/>
    <w:rsid w:val="00AE5428"/>
    <w:rPr>
      <w:b/>
      <w:color w:val="009C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9.emf"/><Relationship Id="rId1" Type="http://schemas.openxmlformats.org/officeDocument/2006/relationships/image" Target="media/image8.emf"/><Relationship Id="rId6" Type="http://schemas.openxmlformats.org/officeDocument/2006/relationships/image" Target="media/image13.png"/><Relationship Id="rId5" Type="http://schemas.openxmlformats.org/officeDocument/2006/relationships/image" Target="media/image12.emf"/><Relationship Id="rId4" Type="http://schemas.openxmlformats.org/officeDocument/2006/relationships/image" Target="media/image11.emf"/></Relationships>
</file>

<file path=word/_rels/footer3.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Other\Partnerships%20Vic%20portrait.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466FF-834C-413C-A0CA-C6ED5236B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Partnerships Vic portrait.dotx</Template>
  <TotalTime>0</TotalTime>
  <Pages>4</Pages>
  <Words>1415</Words>
  <Characters>8068</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Stephanie Mizzi</cp:lastModifiedBy>
  <cp:revision>2</cp:revision>
  <cp:lastPrinted>2016-10-30T23:13:00Z</cp:lastPrinted>
  <dcterms:created xsi:type="dcterms:W3CDTF">2018-01-30T23:07:00Z</dcterms:created>
  <dcterms:modified xsi:type="dcterms:W3CDTF">2018-01-30T23:07:00Z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ies>
</file>