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Pr="004C7112" w:rsidRDefault="004C7112" w:rsidP="004C7112">
      <w:pPr>
        <w:pStyle w:val="Title"/>
      </w:pPr>
      <w:bookmarkStart w:id="0" w:name="_Toc442780672"/>
      <w:bookmarkStart w:id="1" w:name="_GoBack"/>
      <w:bookmarkEnd w:id="1"/>
      <w:r w:rsidRPr="009E5E0A">
        <w:t>Community Support Fund</w:t>
      </w:r>
    </w:p>
    <w:p w:rsidR="006738C4" w:rsidRPr="004C7112" w:rsidRDefault="004C7112" w:rsidP="004C7112">
      <w:pPr>
        <w:pStyle w:val="TertiaryTitle"/>
        <w:rPr>
          <w:b/>
        </w:rPr>
      </w:pPr>
      <w:r w:rsidRPr="004C7112">
        <w:rPr>
          <w:b/>
        </w:rPr>
        <w:t>Expenditure by program from 1 July 2016 to 30 June 2017</w:t>
      </w:r>
    </w:p>
    <w:tbl>
      <w:tblPr>
        <w:tblStyle w:val="DTFtexttable"/>
        <w:tblW w:w="9417" w:type="dxa"/>
        <w:tblLayout w:type="fixed"/>
        <w:tblLook w:val="0020" w:firstRow="1" w:lastRow="0" w:firstColumn="0" w:lastColumn="0" w:noHBand="0" w:noVBand="0"/>
      </w:tblPr>
      <w:tblGrid>
        <w:gridCol w:w="2307"/>
        <w:gridCol w:w="4356"/>
        <w:gridCol w:w="1417"/>
        <w:gridCol w:w="1337"/>
      </w:tblGrid>
      <w:tr w:rsidR="004C7112" w:rsidRPr="004C7112" w:rsidTr="0078201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07" w:type="dxa"/>
          </w:tcPr>
          <w:bookmarkEnd w:id="0"/>
          <w:p w:rsidR="004C7112" w:rsidRPr="004C7112" w:rsidRDefault="004C7112" w:rsidP="004C7112">
            <w:pPr>
              <w:pStyle w:val="Tableheader"/>
            </w:pPr>
            <w:r w:rsidRPr="004C7112">
              <w:t>Program name</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header"/>
            </w:pPr>
            <w:r w:rsidRPr="004C7112">
              <w:t>Program description and links</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header"/>
            </w:pPr>
            <w:r w:rsidRPr="004C7112">
              <w:t>Portfolio</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header"/>
              <w:rPr>
                <w:highlight w:val="yellow"/>
              </w:rPr>
            </w:pPr>
            <w:r w:rsidRPr="004C7112">
              <w:t>$</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Healing the Stolen Generations</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rPr>
              <w:t>This program supports the provision of services to members of the Stolen Generations to address the effects of removal, giving effect to the ongoing commitment to implement the recommendations of the National Inquiry into the Separation of Aboriginal and Torres Strait Islander Children from their Families, as articulated in the report titled Bringing Them Home.</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Aboriginal Affairs</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329 500.00</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Community Support and Recreational Sports Package</w:t>
            </w:r>
            <w:r>
              <w:rPr>
                <w:rFonts w:cstheme="minorHAnsi"/>
              </w:rPr>
              <w:t xml:space="preserve"> – </w:t>
            </w:r>
            <w:r w:rsidRPr="004C7112">
              <w:rPr>
                <w:rFonts w:cstheme="minorHAnsi"/>
              </w:rPr>
              <w:t>DHHS (formerly DHS)</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rPr>
              <w:t>The program will support community service organisations to participate fully in delivering the Victorian Government’s drive to more effective service delivery that focusses on improving outcomes for vulnerable Victorians, building stronger communities and supporting families.</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Community Services</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3 164 652.00</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Children and Youth Area Partnerships – DHHS (formerly DHS)</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lang w:val="en-GB"/>
              </w:rPr>
            </w:pPr>
            <w:r w:rsidRPr="004C7112">
              <w:rPr>
                <w:rFonts w:cstheme="minorHAnsi"/>
                <w:bCs/>
                <w:szCs w:val="20"/>
              </w:rPr>
              <w:t xml:space="preserve">Children and Youth Area Partnerships (Area Partnerships) is a Victorian Government initiative to improve outcomes for vulnerable children, young people and their families at the local level.  Area Partnerships bring together representatives in a local area from Commonwealth, State and local governments, the community sector and the broader community, who are most able to impact the outcomes for children and young people.  </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lang w:val="en-GB"/>
              </w:rPr>
            </w:pPr>
            <w:r w:rsidRPr="004C7112">
              <w:rPr>
                <w:rFonts w:cstheme="minorHAnsi"/>
              </w:rPr>
              <w:t>Community Services</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529 176.45</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Justice Connect's Not-for-Profit Law Program</w:t>
            </w:r>
            <w:r>
              <w:rPr>
                <w:rFonts w:cstheme="minorHAnsi"/>
              </w:rPr>
              <w:t xml:space="preserve"> – </w:t>
            </w:r>
            <w:r w:rsidRPr="004C7112">
              <w:rPr>
                <w:rFonts w:cstheme="minorHAnsi"/>
              </w:rPr>
              <w:t>2016-17 to 2017-18</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lang w:val="en-GB"/>
              </w:rPr>
              <w:t>his program continues to fund the operation of Justice Connect's Not-for-Profit Law Program from 2016-17 to 2017-18.</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lang w:val="en-GB"/>
              </w:rPr>
              <w:t>Community Service</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480 000.00</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Pre-commitment Information Program</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lang w:val="en-GB"/>
              </w:rPr>
            </w:pPr>
            <w:r w:rsidRPr="004C7112">
              <w:rPr>
                <w:rFonts w:cstheme="minorHAnsi"/>
                <w:lang w:val="en-GB"/>
              </w:rPr>
              <w:t>This program is to encourage an understanding of how pre-commitment works and encourage players to join the pre-commitment scheme.</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lang w:val="en-GB"/>
              </w:rPr>
            </w:pPr>
            <w:r w:rsidRPr="004C7112">
              <w:rPr>
                <w:rFonts w:cstheme="minorHAnsi"/>
                <w:lang w:val="en-GB"/>
              </w:rPr>
              <w:t>Gaming</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410 000.00</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VRGF Victorian Responsible Gambling Foundation 2015-16 to 2018-19</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lang w:val="en-GB"/>
              </w:rPr>
            </w:pPr>
            <w:r w:rsidRPr="004C7112">
              <w:rPr>
                <w:rFonts w:cstheme="minorHAnsi"/>
                <w:lang w:val="en-GB"/>
              </w:rPr>
              <w:t>The Foundation is a statutory authority with the objectives of reducing the prevalence of problem gambling and the severity of harm related to gambling, and of fostering responsible gambling.</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lang w:val="en-GB"/>
              </w:rPr>
            </w:pPr>
            <w:r w:rsidRPr="004C7112">
              <w:rPr>
                <w:rFonts w:cstheme="minorHAnsi"/>
                <w:lang w:val="en-GB"/>
              </w:rPr>
              <w:t>Gaming</w:t>
            </w:r>
          </w:p>
          <w:p w:rsidR="004C7112" w:rsidRPr="004C7112" w:rsidRDefault="004C7112" w:rsidP="004C7112">
            <w:pPr>
              <w:pStyle w:val="Tabletext"/>
              <w:rPr>
                <w:rFonts w:cstheme="minorHAnsi"/>
                <w:lang w:val="en-GB"/>
              </w:rPr>
            </w:pP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37 013 000.00</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Extension Alcohol and Drug Treatment Services Program for 2016-17 and 2017-18</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lang w:val="en-GB"/>
              </w:rPr>
            </w:pPr>
            <w:r w:rsidRPr="004C7112">
              <w:rPr>
                <w:rFonts w:cstheme="minorHAnsi"/>
                <w:lang w:val="en-GB"/>
              </w:rPr>
              <w:t>The AOD Strategy treatment services initiative comprises of a range of core service delivery programs that provide support for individuals, families and communities who experience, or are at risk of experiencing, drug and alcohol related misuse.</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lang w:val="en-GB"/>
              </w:rPr>
            </w:pPr>
            <w:r w:rsidRPr="004C7112">
              <w:rPr>
                <w:rFonts w:cstheme="minorHAnsi"/>
                <w:lang w:val="en-GB"/>
              </w:rPr>
              <w:t>Health</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40 000 000.00</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lastRenderedPageBreak/>
              <w:t>Community Commitments</w:t>
            </w:r>
            <w:r>
              <w:rPr>
                <w:rFonts w:cstheme="minorHAnsi"/>
              </w:rPr>
              <w:t xml:space="preserve"> – </w:t>
            </w:r>
            <w:r w:rsidRPr="004C7112">
              <w:rPr>
                <w:rFonts w:cstheme="minorHAnsi"/>
              </w:rPr>
              <w:t>DJR (formerly DOJ)</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lang w:val="en-GB"/>
              </w:rPr>
            </w:pPr>
            <w:r w:rsidRPr="004C7112">
              <w:rPr>
                <w:rFonts w:cstheme="minorHAnsi"/>
                <w:lang w:val="en-GB"/>
              </w:rPr>
              <w:t xml:space="preserve">Community Commitments will benefit communities across Victoria.  This particular program will support the Point Lonsdale Surf Life Saving Club in the provision of life saving services to the community through the design, planning and building of a new Surf Life Saving clubhouse. </w:t>
            </w:r>
          </w:p>
          <w:p w:rsidR="004C7112" w:rsidRPr="004C7112" w:rsidRDefault="004C7112" w:rsidP="004C7112">
            <w:pPr>
              <w:pStyle w:val="Tabletext"/>
              <w:rPr>
                <w:rFonts w:cstheme="minorHAnsi"/>
                <w:lang w:val="en-GB"/>
              </w:rPr>
            </w:pPr>
            <w:r w:rsidRPr="004C7112">
              <w:rPr>
                <w:rFonts w:cstheme="minorHAnsi"/>
                <w:lang w:val="en-GB"/>
              </w:rPr>
              <w:t xml:space="preserve">Total cost of project $3.5 million. </w:t>
            </w:r>
          </w:p>
          <w:p w:rsidR="004C7112" w:rsidRPr="004C7112" w:rsidRDefault="004C7112" w:rsidP="004C7112">
            <w:pPr>
              <w:pStyle w:val="Tabletext"/>
              <w:rPr>
                <w:rFonts w:cstheme="minorHAnsi"/>
                <w:lang w:val="en-GB"/>
              </w:rPr>
            </w:pPr>
            <w:r w:rsidRPr="004C7112">
              <w:rPr>
                <w:rFonts w:cstheme="minorHAnsi"/>
                <w:lang w:val="en-GB"/>
              </w:rPr>
              <w:t>Total Government Contribution $200,000</w:t>
            </w:r>
          </w:p>
          <w:p w:rsidR="004C7112" w:rsidRPr="004C7112" w:rsidRDefault="004C7112" w:rsidP="004C7112">
            <w:pPr>
              <w:pStyle w:val="Tabletext"/>
              <w:rPr>
                <w:rFonts w:cstheme="minorHAnsi"/>
                <w:lang w:val="en-GB"/>
              </w:rPr>
            </w:pPr>
            <w:r w:rsidRPr="004C7112">
              <w:rPr>
                <w:rFonts w:cstheme="minorHAnsi"/>
                <w:lang w:val="en-GB"/>
              </w:rPr>
              <w:t xml:space="preserve">Paid prior to 1 July 2015 = $100,000 for initiation and development of feasibility study. </w:t>
            </w:r>
          </w:p>
          <w:p w:rsidR="004C7112" w:rsidRPr="004C7112" w:rsidRDefault="004C7112" w:rsidP="004C7112">
            <w:pPr>
              <w:pStyle w:val="Tabletext"/>
              <w:rPr>
                <w:rFonts w:cstheme="minorHAnsi"/>
                <w:lang w:val="en-GB"/>
              </w:rPr>
            </w:pPr>
            <w:r w:rsidRPr="004C7112">
              <w:rPr>
                <w:rFonts w:cstheme="minorHAnsi"/>
                <w:lang w:val="en-GB"/>
              </w:rPr>
              <w:t>1 July 2015- 30 June 2016</w:t>
            </w:r>
            <w:r>
              <w:rPr>
                <w:rFonts w:cstheme="minorHAnsi"/>
                <w:lang w:val="en-GB"/>
              </w:rPr>
              <w:t xml:space="preserve"> – </w:t>
            </w:r>
            <w:r w:rsidRPr="004C7112">
              <w:rPr>
                <w:rFonts w:cstheme="minorHAnsi"/>
                <w:lang w:val="en-GB"/>
              </w:rPr>
              <w:t>Finalisation of feasibility study and detailed design for planning permit $40,000.</w:t>
            </w:r>
          </w:p>
          <w:p w:rsidR="004C7112" w:rsidRPr="004C7112" w:rsidRDefault="004C7112" w:rsidP="004C7112">
            <w:pPr>
              <w:pStyle w:val="Tabletext"/>
              <w:rPr>
                <w:rFonts w:cstheme="minorHAnsi"/>
                <w:lang w:val="en-GB"/>
              </w:rPr>
            </w:pPr>
            <w:r w:rsidRPr="004C7112">
              <w:rPr>
                <w:rFonts w:cstheme="minorHAnsi"/>
                <w:lang w:val="en-GB"/>
              </w:rPr>
              <w:t>1 July 2016 – 30 June 2017 – Final Milestone Submission of plann</w:t>
            </w:r>
            <w:r>
              <w:rPr>
                <w:rFonts w:cstheme="minorHAnsi"/>
                <w:lang w:val="en-GB"/>
              </w:rPr>
              <w:t>ing permission application (Dec </w:t>
            </w:r>
            <w:r w:rsidRPr="004C7112">
              <w:rPr>
                <w:rFonts w:cstheme="minorHAnsi"/>
                <w:lang w:val="en-GB"/>
              </w:rPr>
              <w:t>2016) $60,000.</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lang w:val="en-GB"/>
              </w:rPr>
            </w:pPr>
            <w:r w:rsidRPr="004C7112">
              <w:rPr>
                <w:rFonts w:cstheme="minorHAnsi"/>
                <w:lang w:val="en-GB"/>
              </w:rPr>
              <w:t xml:space="preserve">Emergency Services </w:t>
            </w:r>
          </w:p>
          <w:p w:rsidR="004C7112" w:rsidRPr="004C7112" w:rsidRDefault="004C7112" w:rsidP="004C7112">
            <w:pPr>
              <w:pStyle w:val="Tabletext"/>
              <w:rPr>
                <w:rFonts w:cstheme="minorHAnsi"/>
              </w:rPr>
            </w:pP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60 000.00</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Community Support and Recreational Sports Package – DELWP (formerly DTPLI)</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rPr>
              <w:t>The Community Infrastructure Fund (CIF) is an initiative of Plan Melbourne. The fund will deliver liveable communities and neighbourhoods, and drive the vision for Melbourne as a global city of opportunity and choice.  This initiative invests in integrated planning and delivery of innovative local community infrastructure and place making infrastructure in growing areas of metropolitan Melbourne.</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Planning</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1 643 493.00</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Community Advancement Fund</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lang w:val="en-GB"/>
              </w:rPr>
            </w:pPr>
            <w:r w:rsidRPr="004C7112">
              <w:rPr>
                <w:rFonts w:cstheme="minorHAnsi"/>
              </w:rPr>
              <w:t>This fund provides funding for a limited number of initiatives that relate to the support and advancement of the community.</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Premier</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1 000 000.00</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Heyfield Museum</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lang w:val="en-GB"/>
              </w:rPr>
              <w:t>This program assists the Heyfield &amp; District Historical Society to purchase a former post office building to house the Heyfield Museum.</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Regional Development Victoria</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95 000.00</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Community Facilities Funding Program 2013-14 to 2015-16</w:t>
            </w:r>
            <w:r>
              <w:rPr>
                <w:rFonts w:cstheme="minorHAnsi"/>
              </w:rPr>
              <w:t xml:space="preserve"> – </w:t>
            </w:r>
            <w:r w:rsidRPr="004C7112">
              <w:rPr>
                <w:rFonts w:cstheme="minorHAnsi"/>
              </w:rPr>
              <w:t>DHHS (formerly DTPLI)</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rPr>
              <w:t>There are two categories available in this initiative, Planning and Building Community Infrastructure. This initiative helps to provide high quality, accessible community facilities across Victoria, that increases participation and improves access to sport and recreation facilities.</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300 000.00</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Community Facilities Funding Program 2014-15 to 2016-17</w:t>
            </w:r>
            <w:r>
              <w:rPr>
                <w:rFonts w:cstheme="minorHAnsi"/>
              </w:rPr>
              <w:t xml:space="preserve"> – </w:t>
            </w:r>
            <w:r w:rsidRPr="004C7112">
              <w:rPr>
                <w:rFonts w:cstheme="minorHAnsi"/>
              </w:rPr>
              <w:t>DHHS (formerly DTPLI)</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rPr>
              <w:t>This program aims to increase participation in sport and recreation and to address a shortfall in the quantity, quality and range of community sport and recreation facilities across Victorian communities.</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900 000.00</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Community Facilities Funding Program 2015-16</w:t>
            </w:r>
            <w:r>
              <w:rPr>
                <w:rFonts w:cstheme="minorHAnsi"/>
              </w:rPr>
              <w:t xml:space="preserve"> – </w:t>
            </w:r>
            <w:r w:rsidRPr="004C7112">
              <w:rPr>
                <w:rFonts w:cstheme="minorHAnsi"/>
              </w:rPr>
              <w:t>DHHS (formerly DTPLI)</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szCs w:val="20"/>
              </w:rPr>
            </w:pPr>
            <w:r w:rsidRPr="004C7112">
              <w:rPr>
                <w:rFonts w:cstheme="minorHAnsi"/>
              </w:rPr>
              <w:t>This program aims to increase participation in sports and recreation and to address a shortfall in the quantity, quality and range of community sport and recreation facilities in Victorian communities.  This includes leisure centres, indoor stadiums, pavilions, and flood lights.</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3 300 000.00</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Local Facilities for Local Clubs</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rPr>
              <w:t>The Local Facilities for Local Clubs program supports, rewards and recognises the community clubs to bring together resources to develop sport and recreation facilities.</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1 000 000.00</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Scammell Reserve Pavillion Redevelopment</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lang w:val="en-GB"/>
              </w:rPr>
              <w:t>This program is to support the final stage of the Scammell Reserve Pavillion Redevelopment project owned by the Monash City Council.</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450 000.00</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lastRenderedPageBreak/>
              <w:t>Strategic Sporting Infrastructure Program</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rPr>
              <w:t>The Strategic Sporting Infrastructure Program is a targeted grants program to provide funding to Victorian sporting organisations, clubs, and local Government for the delivery of facilities that foster and support community sporting and recreation.</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Sport and Recreation</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825 000</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Promotion of the Premier's Spirit of ANZAC Prize</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lang w:val="en-GB"/>
              </w:rPr>
              <w:t>This initiative improves the promotion of the Spirit of ANZAC Prize to years 9 and 10 students across Victoria by developing and distributing promotional materials to all Victorian secondary schools, and by targeting schools in under-represented regions.</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Veterans Affairs</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50 000.00</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ANZAC Day Proceeds Fund</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rPr>
            </w:pPr>
            <w:r w:rsidRPr="004C7112">
              <w:rPr>
                <w:rFonts w:cstheme="minorHAnsi"/>
                <w:lang w:val="en-GB"/>
              </w:rPr>
              <w:t>Support is provided to the ANZAC Day Proceeds Fund to provide money to organisations who principal objective is to provide welfare to the ex-service community.</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Veterans Affairs</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100 000.00</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rPr>
                <w:rFonts w:cstheme="minorHAnsi"/>
              </w:rPr>
            </w:pPr>
            <w:r w:rsidRPr="004C7112">
              <w:rPr>
                <w:rFonts w:cstheme="minorHAnsi"/>
              </w:rPr>
              <w:t>Our Watch</w:t>
            </w:r>
          </w:p>
        </w:tc>
        <w:tc>
          <w:tcPr>
            <w:cnfStyle w:val="000001000000" w:firstRow="0" w:lastRow="0" w:firstColumn="0" w:lastColumn="0" w:oddVBand="0" w:evenVBand="1" w:oddHBand="0" w:evenHBand="0" w:firstRowFirstColumn="0" w:firstRowLastColumn="0" w:lastRowFirstColumn="0" w:lastRowLastColumn="0"/>
            <w:tcW w:w="4356" w:type="dxa"/>
          </w:tcPr>
          <w:p w:rsidR="004C7112" w:rsidRPr="004C7112" w:rsidRDefault="004C7112" w:rsidP="004C7112">
            <w:pPr>
              <w:pStyle w:val="Tabletext"/>
              <w:rPr>
                <w:rFonts w:cstheme="minorHAnsi"/>
                <w:lang w:val="en-GB"/>
              </w:rPr>
            </w:pPr>
            <w:r w:rsidRPr="004C7112">
              <w:rPr>
                <w:rFonts w:cstheme="minorHAnsi"/>
                <w:lang w:val="en-GB"/>
              </w:rPr>
              <w:t xml:space="preserve">Our Watch is the national violence prevention foundation (formerly called the Foundation to Prevent Violence Against Women and Children). It was established by the Commonwealth and Victorian Governments and launched in July 2013. Our Watch was established as an independent company with Victorian and Commonwealth governments as the two Principal Members. Since that time the Northern Territory (September 2014) and South Australia (August 2014) have joined Our Watch. </w:t>
            </w:r>
          </w:p>
          <w:p w:rsidR="004C7112" w:rsidRPr="004C7112" w:rsidRDefault="004C7112" w:rsidP="004C7112">
            <w:pPr>
              <w:pStyle w:val="Tabletext"/>
              <w:rPr>
                <w:rFonts w:cstheme="minorHAnsi"/>
              </w:rPr>
            </w:pPr>
            <w:r w:rsidRPr="004C7112">
              <w:rPr>
                <w:rFonts w:cstheme="minorHAnsi"/>
                <w:lang w:val="en-GB"/>
              </w:rPr>
              <w:t>The key purpose of Our Watch is to promote the prevention of emotional abuse, sexual abuse, and physical abuse, specifically the prevention of violence against women and children.</w:t>
            </w:r>
          </w:p>
        </w:tc>
        <w:tc>
          <w:tcPr>
            <w:cnfStyle w:val="000010000000" w:firstRow="0" w:lastRow="0" w:firstColumn="0" w:lastColumn="0" w:oddVBand="1" w:evenVBand="0" w:oddHBand="0" w:evenHBand="0" w:firstRowFirstColumn="0" w:firstRowLastColumn="0" w:lastRowFirstColumn="0" w:lastRowLastColumn="0"/>
            <w:tcW w:w="1417" w:type="dxa"/>
          </w:tcPr>
          <w:p w:rsidR="004C7112" w:rsidRPr="004C7112" w:rsidRDefault="004C7112" w:rsidP="004C7112">
            <w:pPr>
              <w:pStyle w:val="Tabletext"/>
              <w:rPr>
                <w:rFonts w:cstheme="minorHAnsi"/>
              </w:rPr>
            </w:pPr>
            <w:r w:rsidRPr="004C7112">
              <w:rPr>
                <w:rFonts w:cstheme="minorHAnsi"/>
              </w:rPr>
              <w:t>Women’s Affairs</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
              <w:rPr>
                <w:rFonts w:cstheme="minorHAnsi"/>
              </w:rPr>
            </w:pPr>
            <w:r w:rsidRPr="004C7112">
              <w:rPr>
                <w:rFonts w:cstheme="minorHAnsi"/>
              </w:rPr>
              <w:t>1 000 000.00</w:t>
            </w:r>
          </w:p>
        </w:tc>
      </w:tr>
      <w:tr w:rsidR="004C7112" w:rsidRPr="004C7112" w:rsidTr="004C7112">
        <w:tc>
          <w:tcPr>
            <w:cnfStyle w:val="000010000000" w:firstRow="0" w:lastRow="0" w:firstColumn="0" w:lastColumn="0" w:oddVBand="1" w:evenVBand="0" w:oddHBand="0" w:evenHBand="0" w:firstRowFirstColumn="0" w:firstRowLastColumn="0" w:lastRowFirstColumn="0" w:lastRowLastColumn="0"/>
            <w:tcW w:w="8080" w:type="dxa"/>
            <w:gridSpan w:val="3"/>
          </w:tcPr>
          <w:p w:rsidR="004C7112" w:rsidRPr="004C7112" w:rsidRDefault="004C7112" w:rsidP="004C7112">
            <w:pPr>
              <w:pStyle w:val="Tabletext"/>
              <w:rPr>
                <w:b/>
                <w:lang w:val="en-CA" w:eastAsia="en-CA"/>
              </w:rPr>
            </w:pPr>
            <w:r w:rsidRPr="004C7112">
              <w:rPr>
                <w:b/>
                <w:lang w:val="en-CA" w:eastAsia="en-CA"/>
              </w:rPr>
              <w:t>Total program expenditure</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bold"/>
              <w:rPr>
                <w:rFonts w:cstheme="minorHAnsi"/>
                <w:b/>
              </w:rPr>
            </w:pPr>
            <w:r w:rsidRPr="004C7112">
              <w:rPr>
                <w:rFonts w:cstheme="minorHAnsi"/>
                <w:b/>
              </w:rPr>
              <w:t>92 649 821.45</w:t>
            </w:r>
          </w:p>
        </w:tc>
      </w:tr>
      <w:tr w:rsidR="004C7112" w:rsidRPr="004C7112" w:rsidTr="0078201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pPr>
            <w:r w:rsidRPr="004C7112">
              <w:t>ANZAC Day Revenue to Veterans Fund</w:t>
            </w:r>
          </w:p>
        </w:tc>
        <w:tc>
          <w:tcPr>
            <w:cnfStyle w:val="000001000000" w:firstRow="0" w:lastRow="0" w:firstColumn="0" w:lastColumn="0" w:oddVBand="0" w:evenVBand="1" w:oddHBand="0" w:evenHBand="0" w:firstRowFirstColumn="0" w:firstRowLastColumn="0" w:lastRowFirstColumn="0" w:lastRowLastColumn="0"/>
            <w:tcW w:w="5773" w:type="dxa"/>
            <w:gridSpan w:val="2"/>
          </w:tcPr>
          <w:p w:rsidR="004C7112" w:rsidRPr="004C7112" w:rsidRDefault="004C7112" w:rsidP="004C7112">
            <w:pPr>
              <w:pStyle w:val="Tabletext"/>
            </w:pPr>
            <w:r w:rsidRPr="004C7112">
              <w:t>Payment of one day’s revenue from the Community Support Fund to the Victorian Veterans Fund.</w:t>
            </w:r>
          </w:p>
        </w:tc>
        <w:tc>
          <w:tcPr>
            <w:cnfStyle w:val="000010000000" w:firstRow="0" w:lastRow="0" w:firstColumn="0" w:lastColumn="0" w:oddVBand="1" w:evenVBand="0" w:oddHBand="0" w:evenHBand="0" w:firstRowFirstColumn="0" w:firstRowLastColumn="0" w:lastRowFirstColumn="0" w:lastRowLastColumn="0"/>
            <w:tcW w:w="1337" w:type="dxa"/>
          </w:tcPr>
          <w:p w:rsidR="004C7112" w:rsidRPr="004C7112" w:rsidRDefault="004C7112" w:rsidP="004C7112">
            <w:pPr>
              <w:pStyle w:val="Tabletextright"/>
              <w:rPr>
                <w:rFonts w:cstheme="minorHAnsi"/>
                <w:lang w:val="en-CA" w:eastAsia="en-CA"/>
              </w:rPr>
            </w:pPr>
            <w:r w:rsidRPr="004C7112">
              <w:rPr>
                <w:rFonts w:cstheme="minorHAnsi"/>
              </w:rPr>
              <w:t>268 645.72</w:t>
            </w:r>
          </w:p>
        </w:tc>
      </w:tr>
      <w:tr w:rsidR="004C7112" w:rsidRPr="004C7112" w:rsidTr="0078201C">
        <w:tc>
          <w:tcPr>
            <w:cnfStyle w:val="000010000000" w:firstRow="0" w:lastRow="0" w:firstColumn="0" w:lastColumn="0" w:oddVBand="1" w:evenVBand="0" w:oddHBand="0" w:evenHBand="0" w:firstRowFirstColumn="0" w:firstRowLastColumn="0" w:lastRowFirstColumn="0" w:lastRowLastColumn="0"/>
            <w:tcW w:w="2307" w:type="dxa"/>
          </w:tcPr>
          <w:p w:rsidR="004C7112" w:rsidRPr="004C7112" w:rsidRDefault="004C7112" w:rsidP="004C7112">
            <w:pPr>
              <w:pStyle w:val="Tabletext"/>
            </w:pPr>
            <w:r w:rsidRPr="004C7112">
              <w:t>CSF Administration</w:t>
            </w:r>
          </w:p>
        </w:tc>
        <w:tc>
          <w:tcPr>
            <w:cnfStyle w:val="000001000000" w:firstRow="0" w:lastRow="0" w:firstColumn="0" w:lastColumn="0" w:oddVBand="0" w:evenVBand="1" w:oddHBand="0" w:evenHBand="0" w:firstRowFirstColumn="0" w:firstRowLastColumn="0" w:lastRowFirstColumn="0" w:lastRowLastColumn="0"/>
            <w:tcW w:w="5773" w:type="dxa"/>
            <w:gridSpan w:val="2"/>
          </w:tcPr>
          <w:p w:rsidR="004C7112" w:rsidRPr="004C7112" w:rsidRDefault="004C7112" w:rsidP="004C7112">
            <w:pPr>
              <w:pStyle w:val="Tabletext"/>
            </w:pPr>
            <w:r w:rsidRPr="004C7112">
              <w:t>Expenditure incurred in administering and managing the Fund and monitoring and reporting on the application of money from the Fund.</w:t>
            </w:r>
          </w:p>
        </w:tc>
        <w:tc>
          <w:tcPr>
            <w:cnfStyle w:val="000010000000" w:firstRow="0" w:lastRow="0" w:firstColumn="0" w:lastColumn="0" w:oddVBand="1" w:evenVBand="0" w:oddHBand="0" w:evenHBand="0" w:firstRowFirstColumn="0" w:firstRowLastColumn="0" w:lastRowFirstColumn="0" w:lastRowLastColumn="0"/>
            <w:tcW w:w="1337" w:type="dxa"/>
          </w:tcPr>
          <w:p w:rsidR="004C7112" w:rsidRPr="004C7112" w:rsidRDefault="004C7112" w:rsidP="004C7112">
            <w:pPr>
              <w:pStyle w:val="Tabletextright"/>
              <w:rPr>
                <w:rFonts w:cstheme="minorHAnsi"/>
                <w:lang w:val="en-CA" w:eastAsia="en-CA"/>
              </w:rPr>
            </w:pPr>
            <w:r w:rsidRPr="004C7112">
              <w:rPr>
                <w:rFonts w:cstheme="minorHAnsi"/>
                <w:lang w:val="en-CA" w:eastAsia="en-CA"/>
              </w:rPr>
              <w:t>246 002.52</w:t>
            </w:r>
          </w:p>
        </w:tc>
      </w:tr>
      <w:tr w:rsidR="004C7112" w:rsidRPr="004C7112" w:rsidTr="004C711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080" w:type="dxa"/>
            <w:gridSpan w:val="3"/>
          </w:tcPr>
          <w:p w:rsidR="004C7112" w:rsidRPr="004C7112" w:rsidRDefault="004C7112" w:rsidP="004C7112">
            <w:pPr>
              <w:pStyle w:val="Tabletext"/>
              <w:rPr>
                <w:b/>
                <w:lang w:val="en-CA" w:eastAsia="en-CA"/>
              </w:rPr>
            </w:pPr>
            <w:r w:rsidRPr="004C7112">
              <w:rPr>
                <w:b/>
                <w:lang w:val="en-CA" w:eastAsia="en-CA"/>
              </w:rPr>
              <w:t>Total operating expenditure</w:t>
            </w:r>
          </w:p>
        </w:tc>
        <w:tc>
          <w:tcPr>
            <w:cnfStyle w:val="000001000000" w:firstRow="0" w:lastRow="0" w:firstColumn="0" w:lastColumn="0" w:oddVBand="0" w:evenVBand="1" w:oddHBand="0" w:evenHBand="0" w:firstRowFirstColumn="0" w:firstRowLastColumn="0" w:lastRowFirstColumn="0" w:lastRowLastColumn="0"/>
            <w:tcW w:w="1337" w:type="dxa"/>
          </w:tcPr>
          <w:p w:rsidR="004C7112" w:rsidRPr="004C7112" w:rsidRDefault="004C7112" w:rsidP="004C7112">
            <w:pPr>
              <w:pStyle w:val="Tabletextrightbold"/>
              <w:rPr>
                <w:rFonts w:cstheme="minorHAnsi"/>
                <w:b/>
              </w:rPr>
            </w:pPr>
            <w:r w:rsidRPr="004C7112">
              <w:rPr>
                <w:rFonts w:cstheme="minorHAnsi"/>
                <w:b/>
              </w:rPr>
              <w:t>93 164 469.69</w:t>
            </w:r>
          </w:p>
        </w:tc>
      </w:tr>
    </w:tbl>
    <w:p w:rsidR="00227C39" w:rsidRDefault="00227C39" w:rsidP="00043296"/>
    <w:sectPr w:rsidR="00227C39" w:rsidSect="00F417C3">
      <w:headerReference w:type="default" r:id="rId9"/>
      <w:footerReference w:type="default" r:id="rId10"/>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28" w:rsidRDefault="007D3128" w:rsidP="002D711A">
      <w:pPr>
        <w:spacing w:after="0" w:line="240" w:lineRule="auto"/>
      </w:pPr>
      <w:r>
        <w:separator/>
      </w:r>
    </w:p>
  </w:endnote>
  <w:endnote w:type="continuationSeparator" w:id="0">
    <w:p w:rsidR="007D3128" w:rsidRDefault="007D3128"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Default="00F417C3" w:rsidP="004669E3">
    <w:pPr>
      <w:pStyle w:val="Spacer"/>
    </w:pPr>
  </w:p>
  <w:p w:rsidR="00F417C3" w:rsidRPr="004C7112" w:rsidRDefault="00F417C3" w:rsidP="0041689E">
    <w:pPr>
      <w:pStyle w:val="Footer"/>
      <w:rPr>
        <w:rFonts w:cstheme="minorHAnsi"/>
      </w:rPr>
    </w:pPr>
    <w:r w:rsidRPr="004C7112">
      <w:rPr>
        <w:rFonts w:cstheme="minorHAnsi"/>
        <w:b/>
        <w:noProof w:val="0"/>
        <w:color w:val="0063A6" w:themeColor="accent1"/>
      </w:rPr>
      <w:fldChar w:fldCharType="begin"/>
    </w:r>
    <w:r w:rsidRPr="004C7112">
      <w:rPr>
        <w:rFonts w:cstheme="minorHAnsi"/>
        <w:b/>
        <w:color w:val="0063A6" w:themeColor="accent1"/>
      </w:rPr>
      <w:instrText xml:space="preserve"> StyleRef “Title” </w:instrText>
    </w:r>
    <w:r w:rsidRPr="004C7112">
      <w:rPr>
        <w:rFonts w:cstheme="minorHAnsi"/>
        <w:b/>
        <w:noProof w:val="0"/>
        <w:color w:val="0063A6" w:themeColor="accent1"/>
      </w:rPr>
      <w:fldChar w:fldCharType="separate"/>
    </w:r>
    <w:r w:rsidR="00D05AC3">
      <w:rPr>
        <w:rFonts w:cstheme="minorHAnsi"/>
        <w:b/>
        <w:color w:val="0063A6" w:themeColor="accent1"/>
      </w:rPr>
      <w:t>Community Support Fund</w:t>
    </w:r>
    <w:r w:rsidRPr="004C7112">
      <w:rPr>
        <w:rFonts w:cstheme="minorHAnsi"/>
        <w:b/>
        <w:color w:val="0063A6" w:themeColor="accent1"/>
      </w:rPr>
      <w:fldChar w:fldCharType="end"/>
    </w:r>
    <w:r w:rsidR="006738C4" w:rsidRPr="004C7112">
      <w:rPr>
        <w:rFonts w:cstheme="minorHAnsi"/>
      </w:rPr>
      <w:t xml:space="preserve"> (</w:t>
    </w:r>
    <w:r w:rsidR="006738C4" w:rsidRPr="004C7112">
      <w:rPr>
        <w:rFonts w:cstheme="minorHAnsi"/>
        <w:noProof w:val="0"/>
      </w:rPr>
      <w:fldChar w:fldCharType="begin"/>
    </w:r>
    <w:r w:rsidR="006738C4" w:rsidRPr="004C7112">
      <w:rPr>
        <w:rFonts w:cstheme="minorHAnsi"/>
      </w:rPr>
      <w:instrText xml:space="preserve"> StyleRef “Tertiary Title” </w:instrText>
    </w:r>
    <w:r w:rsidR="006738C4" w:rsidRPr="004C7112">
      <w:rPr>
        <w:rFonts w:cstheme="minorHAnsi"/>
        <w:noProof w:val="0"/>
      </w:rPr>
      <w:fldChar w:fldCharType="separate"/>
    </w:r>
    <w:r w:rsidR="00D05AC3">
      <w:rPr>
        <w:rFonts w:cstheme="minorHAnsi"/>
      </w:rPr>
      <w:t>Expenditure by program from 1 July 2016 to 30 June 2017</w:t>
    </w:r>
    <w:r w:rsidR="006738C4" w:rsidRPr="004C7112">
      <w:rPr>
        <w:rFonts w:cstheme="minorHAnsi"/>
      </w:rPr>
      <w:fldChar w:fldCharType="end"/>
    </w:r>
    <w:r w:rsidR="006738C4" w:rsidRPr="004C7112">
      <w:rPr>
        <w:rFonts w:cstheme="minorHAnsi"/>
      </w:rPr>
      <w:t xml:space="preserve">) </w:t>
    </w:r>
    <w:r w:rsidR="006738C4" w:rsidRPr="004C7112">
      <w:rPr>
        <w:rFonts w:cstheme="minorHAnsi"/>
      </w:rPr>
      <w:tab/>
    </w:r>
    <w:r w:rsidRPr="004C7112">
      <w:rPr>
        <w:rFonts w:cstheme="minorHAnsi"/>
      </w:rPr>
      <w:t xml:space="preserve">Page </w:t>
    </w:r>
    <w:r w:rsidRPr="004C7112">
      <w:rPr>
        <w:rStyle w:val="PageNumber"/>
        <w:rFonts w:cstheme="minorHAnsi"/>
      </w:rPr>
      <w:fldChar w:fldCharType="begin"/>
    </w:r>
    <w:r w:rsidRPr="004C7112">
      <w:rPr>
        <w:rStyle w:val="PageNumber"/>
        <w:rFonts w:cstheme="minorHAnsi"/>
      </w:rPr>
      <w:instrText xml:space="preserve"> Page </w:instrText>
    </w:r>
    <w:r w:rsidRPr="004C7112">
      <w:rPr>
        <w:rStyle w:val="PageNumber"/>
        <w:rFonts w:cstheme="minorHAnsi"/>
      </w:rPr>
      <w:fldChar w:fldCharType="separate"/>
    </w:r>
    <w:r w:rsidR="00D05AC3">
      <w:rPr>
        <w:rStyle w:val="PageNumber"/>
        <w:rFonts w:cstheme="minorHAnsi"/>
      </w:rPr>
      <w:t>1</w:t>
    </w:r>
    <w:r w:rsidRPr="004C7112">
      <w:rPr>
        <w:rStyle w:val="PageNumber"/>
        <w:rFonts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28" w:rsidRDefault="007D3128" w:rsidP="002D711A">
      <w:pPr>
        <w:spacing w:after="0" w:line="240" w:lineRule="auto"/>
      </w:pPr>
      <w:r>
        <w:separator/>
      </w:r>
    </w:p>
  </w:footnote>
  <w:footnote w:type="continuationSeparator" w:id="0">
    <w:p w:rsidR="007D3128" w:rsidRDefault="007D3128"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41689E" w:rsidRDefault="00F417C3">
    <w:pPr>
      <w:pStyle w:val="Header"/>
    </w:pPr>
    <w:r>
      <w:rPr>
        <w:noProof/>
      </w:rPr>
      <w:drawing>
        <wp:anchor distT="0" distB="0" distL="114300" distR="114300" simplePos="0" relativeHeight="251673600" behindDoc="0" locked="0" layoutInCell="1" allowOverlap="1" wp14:anchorId="5D49CFB9" wp14:editId="73B2C90A">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CD786DC" wp14:editId="635D73EC">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28"/>
    <w:rsid w:val="00012F6F"/>
    <w:rsid w:val="00014213"/>
    <w:rsid w:val="00014B55"/>
    <w:rsid w:val="00020E3E"/>
    <w:rsid w:val="00023BF3"/>
    <w:rsid w:val="00026811"/>
    <w:rsid w:val="00043296"/>
    <w:rsid w:val="0004356D"/>
    <w:rsid w:val="00045296"/>
    <w:rsid w:val="00075E6C"/>
    <w:rsid w:val="000B29AD"/>
    <w:rsid w:val="000C0A64"/>
    <w:rsid w:val="000C6372"/>
    <w:rsid w:val="000D593F"/>
    <w:rsid w:val="000E392D"/>
    <w:rsid w:val="000F4288"/>
    <w:rsid w:val="000F7165"/>
    <w:rsid w:val="00102379"/>
    <w:rsid w:val="001065D6"/>
    <w:rsid w:val="00121252"/>
    <w:rsid w:val="00124609"/>
    <w:rsid w:val="001254CE"/>
    <w:rsid w:val="00126AF9"/>
    <w:rsid w:val="00134CEA"/>
    <w:rsid w:val="001422CC"/>
    <w:rsid w:val="001617B6"/>
    <w:rsid w:val="00165E66"/>
    <w:rsid w:val="001A3DD1"/>
    <w:rsid w:val="001C7BAE"/>
    <w:rsid w:val="001D717E"/>
    <w:rsid w:val="001E31FA"/>
    <w:rsid w:val="001E64F6"/>
    <w:rsid w:val="00200BB3"/>
    <w:rsid w:val="00222BEB"/>
    <w:rsid w:val="00225E60"/>
    <w:rsid w:val="00227C39"/>
    <w:rsid w:val="0023202C"/>
    <w:rsid w:val="00236203"/>
    <w:rsid w:val="00245043"/>
    <w:rsid w:val="00257760"/>
    <w:rsid w:val="00292D36"/>
    <w:rsid w:val="00297281"/>
    <w:rsid w:val="002C54E0"/>
    <w:rsid w:val="002D711A"/>
    <w:rsid w:val="002D7336"/>
    <w:rsid w:val="002E3396"/>
    <w:rsid w:val="0031149C"/>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C7112"/>
    <w:rsid w:val="004D3518"/>
    <w:rsid w:val="004D62D6"/>
    <w:rsid w:val="0053416C"/>
    <w:rsid w:val="00541C2F"/>
    <w:rsid w:val="00563527"/>
    <w:rsid w:val="0058124E"/>
    <w:rsid w:val="00584301"/>
    <w:rsid w:val="005875A3"/>
    <w:rsid w:val="005A3416"/>
    <w:rsid w:val="005B27FE"/>
    <w:rsid w:val="005C3E6D"/>
    <w:rsid w:val="005F331D"/>
    <w:rsid w:val="005F61DF"/>
    <w:rsid w:val="006023F9"/>
    <w:rsid w:val="00610559"/>
    <w:rsid w:val="006332F6"/>
    <w:rsid w:val="006361E7"/>
    <w:rsid w:val="00652625"/>
    <w:rsid w:val="006534B2"/>
    <w:rsid w:val="0065615D"/>
    <w:rsid w:val="00657011"/>
    <w:rsid w:val="006650B5"/>
    <w:rsid w:val="006651B1"/>
    <w:rsid w:val="00665778"/>
    <w:rsid w:val="006738C4"/>
    <w:rsid w:val="00691C09"/>
    <w:rsid w:val="006A5B34"/>
    <w:rsid w:val="006A5F5B"/>
    <w:rsid w:val="006C77A9"/>
    <w:rsid w:val="006F6693"/>
    <w:rsid w:val="00707FE8"/>
    <w:rsid w:val="00724962"/>
    <w:rsid w:val="00724A0F"/>
    <w:rsid w:val="0073072C"/>
    <w:rsid w:val="007320B4"/>
    <w:rsid w:val="00732162"/>
    <w:rsid w:val="00736732"/>
    <w:rsid w:val="00750CBE"/>
    <w:rsid w:val="00766B5A"/>
    <w:rsid w:val="0078201C"/>
    <w:rsid w:val="007834F2"/>
    <w:rsid w:val="00791020"/>
    <w:rsid w:val="007A5F82"/>
    <w:rsid w:val="007B75A4"/>
    <w:rsid w:val="007D3128"/>
    <w:rsid w:val="007F1A4C"/>
    <w:rsid w:val="008022C3"/>
    <w:rsid w:val="008041E6"/>
    <w:rsid w:val="008065D2"/>
    <w:rsid w:val="0082194C"/>
    <w:rsid w:val="008220C4"/>
    <w:rsid w:val="008222FF"/>
    <w:rsid w:val="008241FF"/>
    <w:rsid w:val="008411E9"/>
    <w:rsid w:val="0084200F"/>
    <w:rsid w:val="00843B2C"/>
    <w:rsid w:val="008471C4"/>
    <w:rsid w:val="008A4900"/>
    <w:rsid w:val="008D0281"/>
    <w:rsid w:val="008E3C4E"/>
    <w:rsid w:val="008F6D45"/>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6BA8"/>
    <w:rsid w:val="00A47634"/>
    <w:rsid w:val="00A612FE"/>
    <w:rsid w:val="00AA26B8"/>
    <w:rsid w:val="00AA6FB5"/>
    <w:rsid w:val="00AB3FE2"/>
    <w:rsid w:val="00AD3322"/>
    <w:rsid w:val="00AD7E4E"/>
    <w:rsid w:val="00AF34DE"/>
    <w:rsid w:val="00AF4D58"/>
    <w:rsid w:val="00AF6666"/>
    <w:rsid w:val="00B10154"/>
    <w:rsid w:val="00B81B44"/>
    <w:rsid w:val="00B9053B"/>
    <w:rsid w:val="00BC3422"/>
    <w:rsid w:val="00C015B9"/>
    <w:rsid w:val="00C022F9"/>
    <w:rsid w:val="00C032EA"/>
    <w:rsid w:val="00C06EB5"/>
    <w:rsid w:val="00C1145F"/>
    <w:rsid w:val="00C637E1"/>
    <w:rsid w:val="00C70D50"/>
    <w:rsid w:val="00C8243E"/>
    <w:rsid w:val="00C907D7"/>
    <w:rsid w:val="00C92338"/>
    <w:rsid w:val="00CA7C3A"/>
    <w:rsid w:val="00CC2DB2"/>
    <w:rsid w:val="00CD0307"/>
    <w:rsid w:val="00CD3D1B"/>
    <w:rsid w:val="00CE62B3"/>
    <w:rsid w:val="00CF7DCA"/>
    <w:rsid w:val="00D05AC3"/>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71BDF"/>
    <w:rsid w:val="00E83CA7"/>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uiPriority="97"/>
    <w:lsdException w:name="Default Paragraph Font" w:uiPriority="1" w:unhideWhenUsed="1"/>
    <w:lsdException w:name="Body Text" w:uiPriority="49"/>
    <w:lsdException w:name="Subtitle" w:semiHidden="0" w:uiPriority="98"/>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4C7112"/>
    <w:pPr>
      <w:spacing w:before="160" w:after="100"/>
    </w:pPr>
    <w:rPr>
      <w:spacing w:val="2"/>
    </w:rPr>
  </w:style>
  <w:style w:type="paragraph" w:styleId="Heading1">
    <w:name w:val="heading 1"/>
    <w:next w:val="Normal"/>
    <w:link w:val="Heading1Char"/>
    <w:qFormat/>
    <w:rsid w:val="004C7112"/>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4C7112"/>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4C7112"/>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4C7112"/>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4C71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C7112"/>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4C7112"/>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4C7112"/>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4C7112"/>
    <w:pPr>
      <w:tabs>
        <w:tab w:val="right" w:leader="dot" w:pos="9000"/>
      </w:tabs>
      <w:ind w:right="432"/>
    </w:pPr>
    <w:rPr>
      <w:sz w:val="24"/>
      <w:szCs w:val="24"/>
    </w:rPr>
  </w:style>
  <w:style w:type="paragraph" w:styleId="TOC2">
    <w:name w:val="toc 2"/>
    <w:next w:val="Normal"/>
    <w:uiPriority w:val="39"/>
    <w:rsid w:val="004C7112"/>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4C7112"/>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4C7112"/>
    <w:pPr>
      <w:spacing w:after="60" w:line="240" w:lineRule="auto"/>
    </w:pPr>
    <w:rPr>
      <w:sz w:val="16"/>
    </w:rPr>
  </w:style>
  <w:style w:type="paragraph" w:styleId="Index2">
    <w:name w:val="index 2"/>
    <w:basedOn w:val="Normal"/>
    <w:next w:val="Normal"/>
    <w:uiPriority w:val="99"/>
    <w:semiHidden/>
    <w:rsid w:val="004C7112"/>
    <w:pPr>
      <w:spacing w:after="0" w:line="240" w:lineRule="auto"/>
      <w:ind w:left="216"/>
    </w:pPr>
    <w:rPr>
      <w:sz w:val="16"/>
      <w:szCs w:val="16"/>
    </w:rPr>
  </w:style>
  <w:style w:type="character" w:styleId="Hyperlink">
    <w:name w:val="Hyperlink"/>
    <w:basedOn w:val="DefaultParagraphFont"/>
    <w:uiPriority w:val="99"/>
    <w:rsid w:val="004C7112"/>
    <w:rPr>
      <w:color w:val="53565A" w:themeColor="hyperlink"/>
      <w:u w:val="none"/>
    </w:rPr>
  </w:style>
  <w:style w:type="character" w:customStyle="1" w:styleId="Heading1Char">
    <w:name w:val="Heading 1 Char"/>
    <w:basedOn w:val="DefaultParagraphFont"/>
    <w:link w:val="Heading1"/>
    <w:rsid w:val="004C7112"/>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4C7112"/>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4C7112"/>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4C7112"/>
    <w:pPr>
      <w:numPr>
        <w:ilvl w:val="1"/>
      </w:numPr>
    </w:pPr>
  </w:style>
  <w:style w:type="paragraph" w:customStyle="1" w:styleId="Bulletindent">
    <w:name w:val="Bullet indent"/>
    <w:basedOn w:val="Bullet2"/>
    <w:uiPriority w:val="9"/>
    <w:qFormat/>
    <w:rsid w:val="004C7112"/>
    <w:pPr>
      <w:numPr>
        <w:ilvl w:val="2"/>
      </w:numPr>
    </w:pPr>
  </w:style>
  <w:style w:type="paragraph" w:customStyle="1" w:styleId="Heading1numbered">
    <w:name w:val="Heading 1 numbered"/>
    <w:basedOn w:val="Heading1"/>
    <w:next w:val="NormalIndent"/>
    <w:uiPriority w:val="8"/>
    <w:qFormat/>
    <w:rsid w:val="004C7112"/>
    <w:pPr>
      <w:numPr>
        <w:ilvl w:val="2"/>
        <w:numId w:val="4"/>
      </w:numPr>
    </w:pPr>
  </w:style>
  <w:style w:type="paragraph" w:customStyle="1" w:styleId="Heading2numbered">
    <w:name w:val="Heading 2 numbered"/>
    <w:basedOn w:val="Heading2"/>
    <w:next w:val="NormalIndent"/>
    <w:uiPriority w:val="8"/>
    <w:qFormat/>
    <w:rsid w:val="004C7112"/>
    <w:pPr>
      <w:numPr>
        <w:ilvl w:val="3"/>
        <w:numId w:val="4"/>
      </w:numPr>
    </w:pPr>
  </w:style>
  <w:style w:type="paragraph" w:customStyle="1" w:styleId="Heading3numbered">
    <w:name w:val="Heading 3 numbered"/>
    <w:basedOn w:val="Heading3"/>
    <w:next w:val="NormalIndent"/>
    <w:uiPriority w:val="8"/>
    <w:qFormat/>
    <w:rsid w:val="004C7112"/>
    <w:pPr>
      <w:numPr>
        <w:ilvl w:val="4"/>
        <w:numId w:val="4"/>
      </w:numPr>
    </w:pPr>
  </w:style>
  <w:style w:type="character" w:customStyle="1" w:styleId="Heading3Char">
    <w:name w:val="Heading 3 Char"/>
    <w:basedOn w:val="DefaultParagraphFont"/>
    <w:link w:val="Heading3"/>
    <w:rsid w:val="004C7112"/>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4C7112"/>
    <w:pPr>
      <w:numPr>
        <w:ilvl w:val="5"/>
        <w:numId w:val="4"/>
      </w:numPr>
    </w:pPr>
  </w:style>
  <w:style w:type="character" w:customStyle="1" w:styleId="Heading4Char">
    <w:name w:val="Heading 4 Char"/>
    <w:basedOn w:val="DefaultParagraphFont"/>
    <w:link w:val="Heading4"/>
    <w:rsid w:val="004C7112"/>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4C7112"/>
    <w:pPr>
      <w:spacing w:line="252" w:lineRule="auto"/>
      <w:ind w:left="792"/>
    </w:pPr>
  </w:style>
  <w:style w:type="paragraph" w:customStyle="1" w:styleId="NoteNormal">
    <w:name w:val="Note Normal"/>
    <w:basedOn w:val="Normal"/>
    <w:rsid w:val="004C7112"/>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4C7112"/>
    <w:pPr>
      <w:spacing w:before="0" w:after="0" w:line="120" w:lineRule="atLeast"/>
    </w:pPr>
    <w:rPr>
      <w:rFonts w:eastAsia="Times New Roman" w:cs="Calibri"/>
      <w:spacing w:val="0"/>
      <w:sz w:val="10"/>
      <w:szCs w:val="22"/>
    </w:rPr>
  </w:style>
  <w:style w:type="paragraph" w:styleId="Subtitle">
    <w:name w:val="Subtitle"/>
    <w:link w:val="SubtitleChar"/>
    <w:uiPriority w:val="98"/>
    <w:rsid w:val="004C7112"/>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4C7112"/>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4C7112"/>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4C7112"/>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4C7112"/>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4C7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12"/>
    <w:rPr>
      <w:rFonts w:ascii="Tahoma" w:hAnsi="Tahoma" w:cs="Tahoma"/>
      <w:spacing w:val="2"/>
      <w:sz w:val="16"/>
      <w:szCs w:val="16"/>
    </w:rPr>
  </w:style>
  <w:style w:type="paragraph" w:customStyle="1" w:styleId="Bulletindent2">
    <w:name w:val="Bullet indent 2"/>
    <w:basedOn w:val="Normal"/>
    <w:uiPriority w:val="9"/>
    <w:qFormat/>
    <w:rsid w:val="004C7112"/>
    <w:pPr>
      <w:numPr>
        <w:ilvl w:val="3"/>
        <w:numId w:val="1"/>
      </w:numPr>
      <w:spacing w:before="100"/>
      <w:contextualSpacing/>
    </w:pPr>
  </w:style>
  <w:style w:type="paragraph" w:styleId="IndexHeading">
    <w:name w:val="index heading"/>
    <w:basedOn w:val="Normal"/>
    <w:next w:val="Index1"/>
    <w:uiPriority w:val="99"/>
    <w:semiHidden/>
    <w:rsid w:val="004C7112"/>
    <w:rPr>
      <w:rFonts w:asciiTheme="majorHAnsi" w:eastAsiaTheme="majorEastAsia" w:hAnsiTheme="majorHAnsi" w:cstheme="majorBidi"/>
      <w:b/>
      <w:bCs/>
    </w:rPr>
  </w:style>
  <w:style w:type="paragraph" w:styleId="Header">
    <w:name w:val="header"/>
    <w:basedOn w:val="Normal"/>
    <w:link w:val="HeaderChar"/>
    <w:uiPriority w:val="99"/>
    <w:semiHidden/>
    <w:rsid w:val="004C71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112"/>
    <w:rPr>
      <w:spacing w:val="2"/>
    </w:rPr>
  </w:style>
  <w:style w:type="paragraph" w:styleId="Footer">
    <w:name w:val="footer"/>
    <w:basedOn w:val="Normal"/>
    <w:link w:val="FooterChar"/>
    <w:uiPriority w:val="24"/>
    <w:rsid w:val="004C7112"/>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4C7112"/>
    <w:rPr>
      <w:noProof/>
      <w:spacing w:val="2"/>
      <w:sz w:val="18"/>
      <w:szCs w:val="18"/>
    </w:rPr>
  </w:style>
  <w:style w:type="character" w:styleId="PageNumber">
    <w:name w:val="page number"/>
    <w:uiPriority w:val="49"/>
    <w:semiHidden/>
    <w:rsid w:val="004C7112"/>
    <w:rPr>
      <w:b w:val="0"/>
      <w:color w:val="000000" w:themeColor="text1"/>
    </w:rPr>
  </w:style>
  <w:style w:type="paragraph" w:styleId="TOCHeading">
    <w:name w:val="TOC Heading"/>
    <w:basedOn w:val="Heading1"/>
    <w:next w:val="Normal"/>
    <w:uiPriority w:val="39"/>
    <w:rsid w:val="004C7112"/>
    <w:pPr>
      <w:spacing w:before="480" w:after="720"/>
      <w:outlineLvl w:val="9"/>
    </w:pPr>
    <w:rPr>
      <w:spacing w:val="2"/>
    </w:rPr>
  </w:style>
  <w:style w:type="paragraph" w:customStyle="1" w:styleId="NormalTight">
    <w:name w:val="Normal Tight"/>
    <w:uiPriority w:val="99"/>
    <w:semiHidden/>
    <w:rsid w:val="004C7112"/>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4C7112"/>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4C7112"/>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4C7112"/>
    <w:pPr>
      <w:spacing w:before="5800"/>
      <w:ind w:right="1382"/>
    </w:pPr>
  </w:style>
  <w:style w:type="paragraph" w:styleId="TOC4">
    <w:name w:val="toc 4"/>
    <w:basedOn w:val="TOC1"/>
    <w:next w:val="Normal"/>
    <w:uiPriority w:val="39"/>
    <w:rsid w:val="004C7112"/>
    <w:pPr>
      <w:ind w:left="450" w:hanging="450"/>
    </w:pPr>
    <w:rPr>
      <w:noProof/>
      <w:lang w:eastAsia="en-US"/>
    </w:rPr>
  </w:style>
  <w:style w:type="paragraph" w:styleId="TOC5">
    <w:name w:val="toc 5"/>
    <w:basedOn w:val="TOC2"/>
    <w:next w:val="Normal"/>
    <w:uiPriority w:val="39"/>
    <w:rsid w:val="004C7112"/>
    <w:pPr>
      <w:ind w:left="1080" w:hanging="634"/>
    </w:pPr>
    <w:rPr>
      <w:lang w:eastAsia="en-US"/>
    </w:rPr>
  </w:style>
  <w:style w:type="paragraph" w:styleId="TOC6">
    <w:name w:val="toc 6"/>
    <w:basedOn w:val="TOC3"/>
    <w:next w:val="Normal"/>
    <w:uiPriority w:val="39"/>
    <w:rsid w:val="004C7112"/>
    <w:pPr>
      <w:ind w:left="1800" w:hanging="720"/>
    </w:pPr>
    <w:rPr>
      <w:lang w:eastAsia="en-US"/>
    </w:rPr>
  </w:style>
  <w:style w:type="table" w:customStyle="1" w:styleId="DTFtexttable">
    <w:name w:val="DTF text table"/>
    <w:basedOn w:val="TableGrid"/>
    <w:uiPriority w:val="99"/>
    <w:rsid w:val="004C7112"/>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4C7112"/>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4C7112"/>
    <w:pPr>
      <w:spacing w:before="60" w:after="60" w:line="264" w:lineRule="auto"/>
    </w:pPr>
    <w:rPr>
      <w:sz w:val="17"/>
    </w:rPr>
  </w:style>
  <w:style w:type="paragraph" w:customStyle="1" w:styleId="Tabletextright">
    <w:name w:val="Table text right"/>
    <w:basedOn w:val="Tabletext"/>
    <w:uiPriority w:val="5"/>
    <w:qFormat/>
    <w:rsid w:val="004C7112"/>
    <w:pPr>
      <w:jc w:val="right"/>
    </w:pPr>
  </w:style>
  <w:style w:type="paragraph" w:customStyle="1" w:styleId="Listnumindent2">
    <w:name w:val="List num indent 2"/>
    <w:basedOn w:val="Normal"/>
    <w:uiPriority w:val="9"/>
    <w:qFormat/>
    <w:rsid w:val="004C7112"/>
    <w:pPr>
      <w:numPr>
        <w:ilvl w:val="7"/>
        <w:numId w:val="4"/>
      </w:numPr>
      <w:spacing w:before="100"/>
      <w:contextualSpacing/>
    </w:pPr>
  </w:style>
  <w:style w:type="paragraph" w:customStyle="1" w:styleId="Listnumindent">
    <w:name w:val="List num indent"/>
    <w:basedOn w:val="Normal"/>
    <w:uiPriority w:val="9"/>
    <w:qFormat/>
    <w:rsid w:val="004C7112"/>
    <w:pPr>
      <w:numPr>
        <w:ilvl w:val="6"/>
        <w:numId w:val="4"/>
      </w:numPr>
      <w:spacing w:before="100"/>
    </w:pPr>
  </w:style>
  <w:style w:type="paragraph" w:customStyle="1" w:styleId="Listnum">
    <w:name w:val="List num"/>
    <w:basedOn w:val="Normal"/>
    <w:uiPriority w:val="1"/>
    <w:qFormat/>
    <w:rsid w:val="004C7112"/>
    <w:pPr>
      <w:numPr>
        <w:numId w:val="4"/>
      </w:numPr>
    </w:pPr>
  </w:style>
  <w:style w:type="paragraph" w:customStyle="1" w:styleId="Listnum2">
    <w:name w:val="List num 2"/>
    <w:basedOn w:val="Normal"/>
    <w:uiPriority w:val="1"/>
    <w:qFormat/>
    <w:rsid w:val="004C7112"/>
    <w:pPr>
      <w:numPr>
        <w:ilvl w:val="1"/>
        <w:numId w:val="4"/>
      </w:numPr>
    </w:pPr>
  </w:style>
  <w:style w:type="paragraph" w:customStyle="1" w:styleId="Tabletextcentred">
    <w:name w:val="Table text centred"/>
    <w:basedOn w:val="Tabletext"/>
    <w:uiPriority w:val="5"/>
    <w:qFormat/>
    <w:rsid w:val="004C7112"/>
    <w:pPr>
      <w:jc w:val="center"/>
    </w:pPr>
  </w:style>
  <w:style w:type="paragraph" w:customStyle="1" w:styleId="Tableheader">
    <w:name w:val="Table header"/>
    <w:basedOn w:val="Tabletext"/>
    <w:uiPriority w:val="5"/>
    <w:qFormat/>
    <w:rsid w:val="004C7112"/>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4C7112"/>
    <w:pPr>
      <w:numPr>
        <w:numId w:val="17"/>
      </w:numPr>
    </w:pPr>
  </w:style>
  <w:style w:type="paragraph" w:customStyle="1" w:styleId="Tabledash">
    <w:name w:val="Table dash"/>
    <w:basedOn w:val="Tablebullet"/>
    <w:uiPriority w:val="6"/>
    <w:rsid w:val="004C7112"/>
    <w:pPr>
      <w:numPr>
        <w:ilvl w:val="1"/>
      </w:numPr>
    </w:pPr>
  </w:style>
  <w:style w:type="paragraph" w:customStyle="1" w:styleId="Tabletextindent">
    <w:name w:val="Table text indent"/>
    <w:basedOn w:val="Tabletext"/>
    <w:uiPriority w:val="5"/>
    <w:qFormat/>
    <w:rsid w:val="004C7112"/>
    <w:pPr>
      <w:ind w:left="288"/>
    </w:pPr>
  </w:style>
  <w:style w:type="paragraph" w:customStyle="1" w:styleId="Numpara">
    <w:name w:val="Num para"/>
    <w:basedOn w:val="ListParagraph"/>
    <w:uiPriority w:val="2"/>
    <w:qFormat/>
    <w:rsid w:val="004C7112"/>
    <w:pPr>
      <w:numPr>
        <w:numId w:val="19"/>
      </w:numPr>
      <w:tabs>
        <w:tab w:val="left" w:pos="540"/>
      </w:tabs>
    </w:pPr>
  </w:style>
  <w:style w:type="paragraph" w:styleId="ListParagraph">
    <w:name w:val="List Paragraph"/>
    <w:basedOn w:val="Normal"/>
    <w:uiPriority w:val="34"/>
    <w:semiHidden/>
    <w:qFormat/>
    <w:rsid w:val="004C7112"/>
    <w:pPr>
      <w:ind w:left="720"/>
      <w:contextualSpacing/>
    </w:pPr>
  </w:style>
  <w:style w:type="paragraph" w:customStyle="1" w:styleId="Tablechartdiagramheading">
    <w:name w:val="Table/chart/diagram heading"/>
    <w:uiPriority w:val="4"/>
    <w:qFormat/>
    <w:rsid w:val="004C7112"/>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4C7112"/>
    <w:pPr>
      <w:spacing w:before="0" w:after="0" w:line="240" w:lineRule="auto"/>
    </w:pPr>
    <w:rPr>
      <w:sz w:val="17"/>
    </w:rPr>
  </w:style>
  <w:style w:type="character" w:customStyle="1" w:styleId="FootnoteTextChar">
    <w:name w:val="Footnote Text Char"/>
    <w:basedOn w:val="DefaultParagraphFont"/>
    <w:link w:val="FootnoteText"/>
    <w:uiPriority w:val="99"/>
    <w:semiHidden/>
    <w:rsid w:val="004C7112"/>
    <w:rPr>
      <w:spacing w:val="2"/>
      <w:sz w:val="17"/>
    </w:rPr>
  </w:style>
  <w:style w:type="character" w:styleId="FootnoteReference">
    <w:name w:val="footnote reference"/>
    <w:basedOn w:val="DefaultParagraphFont"/>
    <w:uiPriority w:val="99"/>
    <w:semiHidden/>
    <w:rsid w:val="004C7112"/>
    <w:rPr>
      <w:vertAlign w:val="superscript"/>
    </w:rPr>
  </w:style>
  <w:style w:type="table" w:customStyle="1" w:styleId="DTFfinancialtableindent">
    <w:name w:val="DTF financial table indent"/>
    <w:basedOn w:val="DTFfinancialtable"/>
    <w:uiPriority w:val="99"/>
    <w:rsid w:val="004C7112"/>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4C7112"/>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4C7112"/>
    <w:pPr>
      <w:numPr>
        <w:ilvl w:val="8"/>
        <w:numId w:val="4"/>
      </w:numPr>
      <w:tabs>
        <w:tab w:val="clear" w:pos="540"/>
      </w:tabs>
    </w:pPr>
  </w:style>
  <w:style w:type="paragraph" w:customStyle="1" w:styleId="Tablenum1">
    <w:name w:val="Table num 1"/>
    <w:basedOn w:val="Normal"/>
    <w:uiPriority w:val="6"/>
    <w:rsid w:val="004C7112"/>
    <w:pPr>
      <w:numPr>
        <w:ilvl w:val="2"/>
        <w:numId w:val="17"/>
      </w:numPr>
    </w:pPr>
    <w:rPr>
      <w:sz w:val="17"/>
    </w:rPr>
  </w:style>
  <w:style w:type="paragraph" w:customStyle="1" w:styleId="Tablenum2">
    <w:name w:val="Table num 2"/>
    <w:basedOn w:val="Normal"/>
    <w:uiPriority w:val="6"/>
    <w:rsid w:val="004C7112"/>
    <w:pPr>
      <w:numPr>
        <w:ilvl w:val="3"/>
        <w:numId w:val="17"/>
      </w:numPr>
    </w:pPr>
    <w:rPr>
      <w:sz w:val="17"/>
    </w:rPr>
  </w:style>
  <w:style w:type="paragraph" w:customStyle="1" w:styleId="NoteNormalindent">
    <w:name w:val="Note Normal indent"/>
    <w:basedOn w:val="NoteNormal"/>
    <w:uiPriority w:val="8"/>
    <w:rsid w:val="004C7112"/>
    <w:pPr>
      <w:ind w:left="792"/>
    </w:pPr>
  </w:style>
  <w:style w:type="paragraph" w:styleId="Caption">
    <w:name w:val="caption"/>
    <w:basedOn w:val="Normal"/>
    <w:next w:val="Normal"/>
    <w:uiPriority w:val="35"/>
    <w:rsid w:val="004C7112"/>
    <w:pPr>
      <w:spacing w:before="0" w:after="200" w:line="240" w:lineRule="auto"/>
    </w:pPr>
    <w:rPr>
      <w:b/>
      <w:bCs/>
      <w:color w:val="383834" w:themeColor="background2" w:themeShade="40"/>
      <w:sz w:val="18"/>
      <w:szCs w:val="18"/>
    </w:rPr>
  </w:style>
  <w:style w:type="paragraph" w:customStyle="1" w:styleId="Tabletextrightbold">
    <w:name w:val="Table text right bold"/>
    <w:basedOn w:val="Tabletextright"/>
    <w:qFormat/>
    <w:rsid w:val="004C7112"/>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uiPriority="97"/>
    <w:lsdException w:name="Default Paragraph Font" w:uiPriority="1" w:unhideWhenUsed="1"/>
    <w:lsdException w:name="Body Text" w:uiPriority="49"/>
    <w:lsdException w:name="Subtitle" w:semiHidden="0" w:uiPriority="98"/>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4C7112"/>
    <w:pPr>
      <w:spacing w:before="160" w:after="100"/>
    </w:pPr>
    <w:rPr>
      <w:spacing w:val="2"/>
    </w:rPr>
  </w:style>
  <w:style w:type="paragraph" w:styleId="Heading1">
    <w:name w:val="heading 1"/>
    <w:next w:val="Normal"/>
    <w:link w:val="Heading1Char"/>
    <w:qFormat/>
    <w:rsid w:val="004C7112"/>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4C7112"/>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4C7112"/>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4C7112"/>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4C71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C7112"/>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4C7112"/>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4C7112"/>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4C7112"/>
    <w:pPr>
      <w:tabs>
        <w:tab w:val="right" w:leader="dot" w:pos="9000"/>
      </w:tabs>
      <w:ind w:right="432"/>
    </w:pPr>
    <w:rPr>
      <w:sz w:val="24"/>
      <w:szCs w:val="24"/>
    </w:rPr>
  </w:style>
  <w:style w:type="paragraph" w:styleId="TOC2">
    <w:name w:val="toc 2"/>
    <w:next w:val="Normal"/>
    <w:uiPriority w:val="39"/>
    <w:rsid w:val="004C7112"/>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4C7112"/>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4C7112"/>
    <w:pPr>
      <w:spacing w:after="60" w:line="240" w:lineRule="auto"/>
    </w:pPr>
    <w:rPr>
      <w:sz w:val="16"/>
    </w:rPr>
  </w:style>
  <w:style w:type="paragraph" w:styleId="Index2">
    <w:name w:val="index 2"/>
    <w:basedOn w:val="Normal"/>
    <w:next w:val="Normal"/>
    <w:uiPriority w:val="99"/>
    <w:semiHidden/>
    <w:rsid w:val="004C7112"/>
    <w:pPr>
      <w:spacing w:after="0" w:line="240" w:lineRule="auto"/>
      <w:ind w:left="216"/>
    </w:pPr>
    <w:rPr>
      <w:sz w:val="16"/>
      <w:szCs w:val="16"/>
    </w:rPr>
  </w:style>
  <w:style w:type="character" w:styleId="Hyperlink">
    <w:name w:val="Hyperlink"/>
    <w:basedOn w:val="DefaultParagraphFont"/>
    <w:uiPriority w:val="99"/>
    <w:rsid w:val="004C7112"/>
    <w:rPr>
      <w:color w:val="53565A" w:themeColor="hyperlink"/>
      <w:u w:val="none"/>
    </w:rPr>
  </w:style>
  <w:style w:type="character" w:customStyle="1" w:styleId="Heading1Char">
    <w:name w:val="Heading 1 Char"/>
    <w:basedOn w:val="DefaultParagraphFont"/>
    <w:link w:val="Heading1"/>
    <w:rsid w:val="004C7112"/>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4C7112"/>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4C7112"/>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4C7112"/>
    <w:pPr>
      <w:numPr>
        <w:ilvl w:val="1"/>
      </w:numPr>
    </w:pPr>
  </w:style>
  <w:style w:type="paragraph" w:customStyle="1" w:styleId="Bulletindent">
    <w:name w:val="Bullet indent"/>
    <w:basedOn w:val="Bullet2"/>
    <w:uiPriority w:val="9"/>
    <w:qFormat/>
    <w:rsid w:val="004C7112"/>
    <w:pPr>
      <w:numPr>
        <w:ilvl w:val="2"/>
      </w:numPr>
    </w:pPr>
  </w:style>
  <w:style w:type="paragraph" w:customStyle="1" w:styleId="Heading1numbered">
    <w:name w:val="Heading 1 numbered"/>
    <w:basedOn w:val="Heading1"/>
    <w:next w:val="NormalIndent"/>
    <w:uiPriority w:val="8"/>
    <w:qFormat/>
    <w:rsid w:val="004C7112"/>
    <w:pPr>
      <w:numPr>
        <w:ilvl w:val="2"/>
        <w:numId w:val="4"/>
      </w:numPr>
    </w:pPr>
  </w:style>
  <w:style w:type="paragraph" w:customStyle="1" w:styleId="Heading2numbered">
    <w:name w:val="Heading 2 numbered"/>
    <w:basedOn w:val="Heading2"/>
    <w:next w:val="NormalIndent"/>
    <w:uiPriority w:val="8"/>
    <w:qFormat/>
    <w:rsid w:val="004C7112"/>
    <w:pPr>
      <w:numPr>
        <w:ilvl w:val="3"/>
        <w:numId w:val="4"/>
      </w:numPr>
    </w:pPr>
  </w:style>
  <w:style w:type="paragraph" w:customStyle="1" w:styleId="Heading3numbered">
    <w:name w:val="Heading 3 numbered"/>
    <w:basedOn w:val="Heading3"/>
    <w:next w:val="NormalIndent"/>
    <w:uiPriority w:val="8"/>
    <w:qFormat/>
    <w:rsid w:val="004C7112"/>
    <w:pPr>
      <w:numPr>
        <w:ilvl w:val="4"/>
        <w:numId w:val="4"/>
      </w:numPr>
    </w:pPr>
  </w:style>
  <w:style w:type="character" w:customStyle="1" w:styleId="Heading3Char">
    <w:name w:val="Heading 3 Char"/>
    <w:basedOn w:val="DefaultParagraphFont"/>
    <w:link w:val="Heading3"/>
    <w:rsid w:val="004C7112"/>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4C7112"/>
    <w:pPr>
      <w:numPr>
        <w:ilvl w:val="5"/>
        <w:numId w:val="4"/>
      </w:numPr>
    </w:pPr>
  </w:style>
  <w:style w:type="character" w:customStyle="1" w:styleId="Heading4Char">
    <w:name w:val="Heading 4 Char"/>
    <w:basedOn w:val="DefaultParagraphFont"/>
    <w:link w:val="Heading4"/>
    <w:rsid w:val="004C7112"/>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4C7112"/>
    <w:pPr>
      <w:spacing w:line="252" w:lineRule="auto"/>
      <w:ind w:left="792"/>
    </w:pPr>
  </w:style>
  <w:style w:type="paragraph" w:customStyle="1" w:styleId="NoteNormal">
    <w:name w:val="Note Normal"/>
    <w:basedOn w:val="Normal"/>
    <w:rsid w:val="004C7112"/>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4C7112"/>
    <w:pPr>
      <w:spacing w:before="0" w:after="0" w:line="120" w:lineRule="atLeast"/>
    </w:pPr>
    <w:rPr>
      <w:rFonts w:eastAsia="Times New Roman" w:cs="Calibri"/>
      <w:spacing w:val="0"/>
      <w:sz w:val="10"/>
      <w:szCs w:val="22"/>
    </w:rPr>
  </w:style>
  <w:style w:type="paragraph" w:styleId="Subtitle">
    <w:name w:val="Subtitle"/>
    <w:link w:val="SubtitleChar"/>
    <w:uiPriority w:val="98"/>
    <w:rsid w:val="004C7112"/>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4C7112"/>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4C7112"/>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4C7112"/>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4C7112"/>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4C7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12"/>
    <w:rPr>
      <w:rFonts w:ascii="Tahoma" w:hAnsi="Tahoma" w:cs="Tahoma"/>
      <w:spacing w:val="2"/>
      <w:sz w:val="16"/>
      <w:szCs w:val="16"/>
    </w:rPr>
  </w:style>
  <w:style w:type="paragraph" w:customStyle="1" w:styleId="Bulletindent2">
    <w:name w:val="Bullet indent 2"/>
    <w:basedOn w:val="Normal"/>
    <w:uiPriority w:val="9"/>
    <w:qFormat/>
    <w:rsid w:val="004C7112"/>
    <w:pPr>
      <w:numPr>
        <w:ilvl w:val="3"/>
        <w:numId w:val="1"/>
      </w:numPr>
      <w:spacing w:before="100"/>
      <w:contextualSpacing/>
    </w:pPr>
  </w:style>
  <w:style w:type="paragraph" w:styleId="IndexHeading">
    <w:name w:val="index heading"/>
    <w:basedOn w:val="Normal"/>
    <w:next w:val="Index1"/>
    <w:uiPriority w:val="99"/>
    <w:semiHidden/>
    <w:rsid w:val="004C7112"/>
    <w:rPr>
      <w:rFonts w:asciiTheme="majorHAnsi" w:eastAsiaTheme="majorEastAsia" w:hAnsiTheme="majorHAnsi" w:cstheme="majorBidi"/>
      <w:b/>
      <w:bCs/>
    </w:rPr>
  </w:style>
  <w:style w:type="paragraph" w:styleId="Header">
    <w:name w:val="header"/>
    <w:basedOn w:val="Normal"/>
    <w:link w:val="HeaderChar"/>
    <w:uiPriority w:val="99"/>
    <w:semiHidden/>
    <w:rsid w:val="004C71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112"/>
    <w:rPr>
      <w:spacing w:val="2"/>
    </w:rPr>
  </w:style>
  <w:style w:type="paragraph" w:styleId="Footer">
    <w:name w:val="footer"/>
    <w:basedOn w:val="Normal"/>
    <w:link w:val="FooterChar"/>
    <w:uiPriority w:val="24"/>
    <w:rsid w:val="004C7112"/>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4C7112"/>
    <w:rPr>
      <w:noProof/>
      <w:spacing w:val="2"/>
      <w:sz w:val="18"/>
      <w:szCs w:val="18"/>
    </w:rPr>
  </w:style>
  <w:style w:type="character" w:styleId="PageNumber">
    <w:name w:val="page number"/>
    <w:uiPriority w:val="49"/>
    <w:semiHidden/>
    <w:rsid w:val="004C7112"/>
    <w:rPr>
      <w:b w:val="0"/>
      <w:color w:val="000000" w:themeColor="text1"/>
    </w:rPr>
  </w:style>
  <w:style w:type="paragraph" w:styleId="TOCHeading">
    <w:name w:val="TOC Heading"/>
    <w:basedOn w:val="Heading1"/>
    <w:next w:val="Normal"/>
    <w:uiPriority w:val="39"/>
    <w:rsid w:val="004C7112"/>
    <w:pPr>
      <w:spacing w:before="480" w:after="720"/>
      <w:outlineLvl w:val="9"/>
    </w:pPr>
    <w:rPr>
      <w:spacing w:val="2"/>
    </w:rPr>
  </w:style>
  <w:style w:type="paragraph" w:customStyle="1" w:styleId="NormalTight">
    <w:name w:val="Normal Tight"/>
    <w:uiPriority w:val="99"/>
    <w:semiHidden/>
    <w:rsid w:val="004C7112"/>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4C7112"/>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4C7112"/>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4C7112"/>
    <w:pPr>
      <w:spacing w:before="5800"/>
      <w:ind w:right="1382"/>
    </w:pPr>
  </w:style>
  <w:style w:type="paragraph" w:styleId="TOC4">
    <w:name w:val="toc 4"/>
    <w:basedOn w:val="TOC1"/>
    <w:next w:val="Normal"/>
    <w:uiPriority w:val="39"/>
    <w:rsid w:val="004C7112"/>
    <w:pPr>
      <w:ind w:left="450" w:hanging="450"/>
    </w:pPr>
    <w:rPr>
      <w:noProof/>
      <w:lang w:eastAsia="en-US"/>
    </w:rPr>
  </w:style>
  <w:style w:type="paragraph" w:styleId="TOC5">
    <w:name w:val="toc 5"/>
    <w:basedOn w:val="TOC2"/>
    <w:next w:val="Normal"/>
    <w:uiPriority w:val="39"/>
    <w:rsid w:val="004C7112"/>
    <w:pPr>
      <w:ind w:left="1080" w:hanging="634"/>
    </w:pPr>
    <w:rPr>
      <w:lang w:eastAsia="en-US"/>
    </w:rPr>
  </w:style>
  <w:style w:type="paragraph" w:styleId="TOC6">
    <w:name w:val="toc 6"/>
    <w:basedOn w:val="TOC3"/>
    <w:next w:val="Normal"/>
    <w:uiPriority w:val="39"/>
    <w:rsid w:val="004C7112"/>
    <w:pPr>
      <w:ind w:left="1800" w:hanging="720"/>
    </w:pPr>
    <w:rPr>
      <w:lang w:eastAsia="en-US"/>
    </w:rPr>
  </w:style>
  <w:style w:type="table" w:customStyle="1" w:styleId="DTFtexttable">
    <w:name w:val="DTF text table"/>
    <w:basedOn w:val="TableGrid"/>
    <w:uiPriority w:val="99"/>
    <w:rsid w:val="004C7112"/>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4C7112"/>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4C7112"/>
    <w:pPr>
      <w:spacing w:before="60" w:after="60" w:line="264" w:lineRule="auto"/>
    </w:pPr>
    <w:rPr>
      <w:sz w:val="17"/>
    </w:rPr>
  </w:style>
  <w:style w:type="paragraph" w:customStyle="1" w:styleId="Tabletextright">
    <w:name w:val="Table text right"/>
    <w:basedOn w:val="Tabletext"/>
    <w:uiPriority w:val="5"/>
    <w:qFormat/>
    <w:rsid w:val="004C7112"/>
    <w:pPr>
      <w:jc w:val="right"/>
    </w:pPr>
  </w:style>
  <w:style w:type="paragraph" w:customStyle="1" w:styleId="Listnumindent2">
    <w:name w:val="List num indent 2"/>
    <w:basedOn w:val="Normal"/>
    <w:uiPriority w:val="9"/>
    <w:qFormat/>
    <w:rsid w:val="004C7112"/>
    <w:pPr>
      <w:numPr>
        <w:ilvl w:val="7"/>
        <w:numId w:val="4"/>
      </w:numPr>
      <w:spacing w:before="100"/>
      <w:contextualSpacing/>
    </w:pPr>
  </w:style>
  <w:style w:type="paragraph" w:customStyle="1" w:styleId="Listnumindent">
    <w:name w:val="List num indent"/>
    <w:basedOn w:val="Normal"/>
    <w:uiPriority w:val="9"/>
    <w:qFormat/>
    <w:rsid w:val="004C7112"/>
    <w:pPr>
      <w:numPr>
        <w:ilvl w:val="6"/>
        <w:numId w:val="4"/>
      </w:numPr>
      <w:spacing w:before="100"/>
    </w:pPr>
  </w:style>
  <w:style w:type="paragraph" w:customStyle="1" w:styleId="Listnum">
    <w:name w:val="List num"/>
    <w:basedOn w:val="Normal"/>
    <w:uiPriority w:val="1"/>
    <w:qFormat/>
    <w:rsid w:val="004C7112"/>
    <w:pPr>
      <w:numPr>
        <w:numId w:val="4"/>
      </w:numPr>
    </w:pPr>
  </w:style>
  <w:style w:type="paragraph" w:customStyle="1" w:styleId="Listnum2">
    <w:name w:val="List num 2"/>
    <w:basedOn w:val="Normal"/>
    <w:uiPriority w:val="1"/>
    <w:qFormat/>
    <w:rsid w:val="004C7112"/>
    <w:pPr>
      <w:numPr>
        <w:ilvl w:val="1"/>
        <w:numId w:val="4"/>
      </w:numPr>
    </w:pPr>
  </w:style>
  <w:style w:type="paragraph" w:customStyle="1" w:styleId="Tabletextcentred">
    <w:name w:val="Table text centred"/>
    <w:basedOn w:val="Tabletext"/>
    <w:uiPriority w:val="5"/>
    <w:qFormat/>
    <w:rsid w:val="004C7112"/>
    <w:pPr>
      <w:jc w:val="center"/>
    </w:pPr>
  </w:style>
  <w:style w:type="paragraph" w:customStyle="1" w:styleId="Tableheader">
    <w:name w:val="Table header"/>
    <w:basedOn w:val="Tabletext"/>
    <w:uiPriority w:val="5"/>
    <w:qFormat/>
    <w:rsid w:val="004C7112"/>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4C7112"/>
    <w:pPr>
      <w:numPr>
        <w:numId w:val="17"/>
      </w:numPr>
    </w:pPr>
  </w:style>
  <w:style w:type="paragraph" w:customStyle="1" w:styleId="Tabledash">
    <w:name w:val="Table dash"/>
    <w:basedOn w:val="Tablebullet"/>
    <w:uiPriority w:val="6"/>
    <w:rsid w:val="004C7112"/>
    <w:pPr>
      <w:numPr>
        <w:ilvl w:val="1"/>
      </w:numPr>
    </w:pPr>
  </w:style>
  <w:style w:type="paragraph" w:customStyle="1" w:styleId="Tabletextindent">
    <w:name w:val="Table text indent"/>
    <w:basedOn w:val="Tabletext"/>
    <w:uiPriority w:val="5"/>
    <w:qFormat/>
    <w:rsid w:val="004C7112"/>
    <w:pPr>
      <w:ind w:left="288"/>
    </w:pPr>
  </w:style>
  <w:style w:type="paragraph" w:customStyle="1" w:styleId="Numpara">
    <w:name w:val="Num para"/>
    <w:basedOn w:val="ListParagraph"/>
    <w:uiPriority w:val="2"/>
    <w:qFormat/>
    <w:rsid w:val="004C7112"/>
    <w:pPr>
      <w:numPr>
        <w:numId w:val="19"/>
      </w:numPr>
      <w:tabs>
        <w:tab w:val="left" w:pos="540"/>
      </w:tabs>
    </w:pPr>
  </w:style>
  <w:style w:type="paragraph" w:styleId="ListParagraph">
    <w:name w:val="List Paragraph"/>
    <w:basedOn w:val="Normal"/>
    <w:uiPriority w:val="34"/>
    <w:semiHidden/>
    <w:qFormat/>
    <w:rsid w:val="004C7112"/>
    <w:pPr>
      <w:ind w:left="720"/>
      <w:contextualSpacing/>
    </w:pPr>
  </w:style>
  <w:style w:type="paragraph" w:customStyle="1" w:styleId="Tablechartdiagramheading">
    <w:name w:val="Table/chart/diagram heading"/>
    <w:uiPriority w:val="4"/>
    <w:qFormat/>
    <w:rsid w:val="004C7112"/>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4C7112"/>
    <w:pPr>
      <w:spacing w:before="0" w:after="0" w:line="240" w:lineRule="auto"/>
    </w:pPr>
    <w:rPr>
      <w:sz w:val="17"/>
    </w:rPr>
  </w:style>
  <w:style w:type="character" w:customStyle="1" w:styleId="FootnoteTextChar">
    <w:name w:val="Footnote Text Char"/>
    <w:basedOn w:val="DefaultParagraphFont"/>
    <w:link w:val="FootnoteText"/>
    <w:uiPriority w:val="99"/>
    <w:semiHidden/>
    <w:rsid w:val="004C7112"/>
    <w:rPr>
      <w:spacing w:val="2"/>
      <w:sz w:val="17"/>
    </w:rPr>
  </w:style>
  <w:style w:type="character" w:styleId="FootnoteReference">
    <w:name w:val="footnote reference"/>
    <w:basedOn w:val="DefaultParagraphFont"/>
    <w:uiPriority w:val="99"/>
    <w:semiHidden/>
    <w:rsid w:val="004C7112"/>
    <w:rPr>
      <w:vertAlign w:val="superscript"/>
    </w:rPr>
  </w:style>
  <w:style w:type="table" w:customStyle="1" w:styleId="DTFfinancialtableindent">
    <w:name w:val="DTF financial table indent"/>
    <w:basedOn w:val="DTFfinancialtable"/>
    <w:uiPriority w:val="99"/>
    <w:rsid w:val="004C7112"/>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4C7112"/>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4C7112"/>
    <w:pPr>
      <w:numPr>
        <w:ilvl w:val="8"/>
        <w:numId w:val="4"/>
      </w:numPr>
      <w:tabs>
        <w:tab w:val="clear" w:pos="540"/>
      </w:tabs>
    </w:pPr>
  </w:style>
  <w:style w:type="paragraph" w:customStyle="1" w:styleId="Tablenum1">
    <w:name w:val="Table num 1"/>
    <w:basedOn w:val="Normal"/>
    <w:uiPriority w:val="6"/>
    <w:rsid w:val="004C7112"/>
    <w:pPr>
      <w:numPr>
        <w:ilvl w:val="2"/>
        <w:numId w:val="17"/>
      </w:numPr>
    </w:pPr>
    <w:rPr>
      <w:sz w:val="17"/>
    </w:rPr>
  </w:style>
  <w:style w:type="paragraph" w:customStyle="1" w:styleId="Tablenum2">
    <w:name w:val="Table num 2"/>
    <w:basedOn w:val="Normal"/>
    <w:uiPriority w:val="6"/>
    <w:rsid w:val="004C7112"/>
    <w:pPr>
      <w:numPr>
        <w:ilvl w:val="3"/>
        <w:numId w:val="17"/>
      </w:numPr>
    </w:pPr>
    <w:rPr>
      <w:sz w:val="17"/>
    </w:rPr>
  </w:style>
  <w:style w:type="paragraph" w:customStyle="1" w:styleId="NoteNormalindent">
    <w:name w:val="Note Normal indent"/>
    <w:basedOn w:val="NoteNormal"/>
    <w:uiPriority w:val="8"/>
    <w:rsid w:val="004C7112"/>
    <w:pPr>
      <w:ind w:left="792"/>
    </w:pPr>
  </w:style>
  <w:style w:type="paragraph" w:styleId="Caption">
    <w:name w:val="caption"/>
    <w:basedOn w:val="Normal"/>
    <w:next w:val="Normal"/>
    <w:uiPriority w:val="35"/>
    <w:rsid w:val="004C7112"/>
    <w:pPr>
      <w:spacing w:before="0" w:after="200" w:line="240" w:lineRule="auto"/>
    </w:pPr>
    <w:rPr>
      <w:b/>
      <w:bCs/>
      <w:color w:val="383834" w:themeColor="background2" w:themeShade="40"/>
      <w:sz w:val="18"/>
      <w:szCs w:val="18"/>
    </w:rPr>
  </w:style>
  <w:style w:type="paragraph" w:customStyle="1" w:styleId="Tabletextrightbold">
    <w:name w:val="Table text right bold"/>
    <w:basedOn w:val="Tabletextright"/>
    <w:qFormat/>
    <w:rsid w:val="004C7112"/>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ACA7-F07C-4397-8508-6321E0BB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1</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Elizabeth Ascroft</cp:lastModifiedBy>
  <cp:revision>2</cp:revision>
  <cp:lastPrinted>2016-02-09T01:59:00Z</cp:lastPrinted>
  <dcterms:created xsi:type="dcterms:W3CDTF">2018-01-28T21:45:00Z</dcterms:created>
  <dcterms:modified xsi:type="dcterms:W3CDTF">2018-01-28T21:45:00Z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