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04" w:rsidRPr="007B4060" w:rsidRDefault="00991E04" w:rsidP="00991E04">
      <w:pPr>
        <w:spacing w:before="2400" w:after="0"/>
        <w:jc w:val="center"/>
        <w:rPr>
          <w:rFonts w:ascii="Calibri" w:hAnsi="Calibri"/>
          <w:b/>
          <w:sz w:val="56"/>
          <w:szCs w:val="48"/>
        </w:rPr>
      </w:pPr>
      <w:r>
        <w:rPr>
          <w:rFonts w:ascii="Calibri" w:hAnsi="Calibri"/>
          <w:b/>
          <w:sz w:val="56"/>
          <w:szCs w:val="48"/>
        </w:rPr>
        <w:t xml:space="preserve">Quarterly </w:t>
      </w:r>
      <w:r w:rsidRPr="007B4060">
        <w:rPr>
          <w:rFonts w:ascii="Calibri" w:hAnsi="Calibri"/>
          <w:b/>
          <w:sz w:val="56"/>
          <w:szCs w:val="48"/>
        </w:rPr>
        <w:t>Financial Report</w:t>
      </w:r>
      <w:r>
        <w:rPr>
          <w:rFonts w:ascii="Calibri" w:hAnsi="Calibri"/>
          <w:b/>
          <w:sz w:val="56"/>
          <w:szCs w:val="48"/>
        </w:rPr>
        <w:t xml:space="preserve"> No. 1</w:t>
      </w:r>
    </w:p>
    <w:p w:rsidR="00991E04" w:rsidRPr="003A0092" w:rsidRDefault="00991E04" w:rsidP="00991E04">
      <w:pPr>
        <w:pBdr>
          <w:bottom w:val="single" w:sz="12" w:space="1" w:color="auto"/>
        </w:pBdr>
        <w:jc w:val="center"/>
        <w:rPr>
          <w:rFonts w:ascii="Calibri" w:hAnsi="Calibri"/>
          <w:b/>
          <w:sz w:val="40"/>
          <w:szCs w:val="40"/>
        </w:rPr>
      </w:pPr>
      <w:r>
        <w:rPr>
          <w:rFonts w:ascii="Calibri" w:hAnsi="Calibri"/>
          <w:b/>
          <w:sz w:val="40"/>
          <w:szCs w:val="40"/>
        </w:rPr>
        <w:t>September 2016</w:t>
      </w:r>
    </w:p>
    <w:p w:rsidR="00991E04" w:rsidRPr="003A0092" w:rsidRDefault="00991E04" w:rsidP="00991E04">
      <w:pPr>
        <w:jc w:val="center"/>
        <w:rPr>
          <w:rFonts w:ascii="Calibri" w:hAnsi="Calibri"/>
          <w:b/>
          <w:sz w:val="56"/>
          <w:szCs w:val="48"/>
        </w:rPr>
      </w:pPr>
    </w:p>
    <w:p w:rsidR="00991E04" w:rsidRPr="007B4060" w:rsidRDefault="00991E04" w:rsidP="00991E04">
      <w:pPr>
        <w:jc w:val="center"/>
        <w:rPr>
          <w:rFonts w:ascii="Calibri" w:hAnsi="Calibri"/>
          <w:b/>
          <w:szCs w:val="24"/>
        </w:rPr>
      </w:pPr>
    </w:p>
    <w:p w:rsidR="00991E04" w:rsidRPr="007B4060" w:rsidRDefault="00991E04" w:rsidP="00991E04">
      <w:pPr>
        <w:jc w:val="center"/>
        <w:rPr>
          <w:rFonts w:ascii="Calibri" w:hAnsi="Calibri"/>
          <w:szCs w:val="24"/>
        </w:rPr>
      </w:pPr>
      <w:r>
        <w:rPr>
          <w:noProof/>
          <w:lang w:eastAsia="en-AU"/>
        </w:rPr>
        <w:drawing>
          <wp:inline distT="0" distB="0" distL="0" distR="0" wp14:anchorId="3B528093" wp14:editId="671B62AA">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991E04" w:rsidRPr="007B4060" w:rsidRDefault="00991E04" w:rsidP="00991E04">
      <w:pPr>
        <w:jc w:val="center"/>
        <w:rPr>
          <w:rFonts w:ascii="Calibri" w:hAnsi="Calibri"/>
        </w:rPr>
      </w:pPr>
    </w:p>
    <w:p w:rsidR="00991E04" w:rsidRPr="007B4060" w:rsidRDefault="00991E04" w:rsidP="00991E04">
      <w:pPr>
        <w:jc w:val="center"/>
        <w:rPr>
          <w:rFonts w:ascii="Calibri" w:hAnsi="Calibri"/>
        </w:rPr>
      </w:pPr>
    </w:p>
    <w:p w:rsidR="00991E04" w:rsidRPr="007B4060" w:rsidRDefault="00991E04" w:rsidP="00991E04">
      <w:pPr>
        <w:jc w:val="center"/>
        <w:rPr>
          <w:rFonts w:ascii="Calibri" w:hAnsi="Calibri"/>
        </w:rPr>
      </w:pPr>
    </w:p>
    <w:p w:rsidR="00991E04" w:rsidRPr="007B4060" w:rsidRDefault="00991E04" w:rsidP="00991E04">
      <w:pPr>
        <w:jc w:val="center"/>
        <w:rPr>
          <w:rFonts w:ascii="Calibri" w:hAnsi="Calibri"/>
          <w:sz w:val="28"/>
          <w:szCs w:val="28"/>
        </w:rPr>
      </w:pPr>
      <w:r w:rsidRPr="007B4060">
        <w:rPr>
          <w:rFonts w:ascii="Calibri" w:hAnsi="Calibri"/>
          <w:sz w:val="28"/>
          <w:szCs w:val="28"/>
        </w:rPr>
        <w:t>Presented by</w:t>
      </w:r>
    </w:p>
    <w:p w:rsidR="00991E04" w:rsidRPr="007B4060" w:rsidRDefault="00991E04" w:rsidP="00991E04">
      <w:pPr>
        <w:jc w:val="center"/>
        <w:rPr>
          <w:rFonts w:ascii="Calibri" w:hAnsi="Calibri"/>
          <w:b/>
          <w:sz w:val="48"/>
          <w:szCs w:val="40"/>
        </w:rPr>
      </w:pPr>
      <w:r>
        <w:rPr>
          <w:rFonts w:ascii="Calibri" w:hAnsi="Calibri"/>
          <w:b/>
          <w:sz w:val="48"/>
          <w:szCs w:val="40"/>
        </w:rPr>
        <w:t>Tim Pallas MP</w:t>
      </w:r>
    </w:p>
    <w:p w:rsidR="00991E04" w:rsidRPr="007B4060" w:rsidRDefault="00991E04" w:rsidP="00991E04">
      <w:pPr>
        <w:jc w:val="center"/>
        <w:rPr>
          <w:rFonts w:ascii="Calibri" w:hAnsi="Calibri"/>
          <w:sz w:val="36"/>
          <w:szCs w:val="32"/>
        </w:rPr>
      </w:pPr>
      <w:r w:rsidRPr="007B4060">
        <w:rPr>
          <w:rFonts w:ascii="Calibri" w:hAnsi="Calibri"/>
          <w:sz w:val="36"/>
          <w:szCs w:val="32"/>
        </w:rPr>
        <w:t xml:space="preserve">Treasurer of the State of </w:t>
      </w:r>
      <w:smartTag w:uri="urn:schemas-microsoft-com:office:smarttags" w:element="place">
        <w:smartTag w:uri="urn:schemas-microsoft-com:office:smarttags" w:element="State">
          <w:r w:rsidRPr="007B4060">
            <w:rPr>
              <w:rFonts w:ascii="Calibri" w:hAnsi="Calibri"/>
              <w:sz w:val="36"/>
              <w:szCs w:val="32"/>
            </w:rPr>
            <w:t>Victoria</w:t>
          </w:r>
        </w:smartTag>
      </w:smartTag>
    </w:p>
    <w:p w:rsidR="00991E04" w:rsidRDefault="00991E04" w:rsidP="00991E04">
      <w:pPr>
        <w:jc w:val="center"/>
      </w:pPr>
    </w:p>
    <w:p w:rsidR="00991E04" w:rsidRPr="007B4060" w:rsidRDefault="00991E04" w:rsidP="00991E04">
      <w:pPr>
        <w:rPr>
          <w:highlight w:val="yellow"/>
        </w:rPr>
      </w:pPr>
    </w:p>
    <w:p w:rsidR="00991E04" w:rsidRDefault="00991E04" w:rsidP="00991E04">
      <w:pPr>
        <w:spacing w:before="400"/>
        <w:rPr>
          <w:rFonts w:ascii="Calibri" w:hAnsi="Calibri"/>
        </w:rPr>
        <w:sectPr w:rsidR="00991E04" w:rsidSect="00991E04">
          <w:footerReference w:type="default" r:id="rId10"/>
          <w:type w:val="continuous"/>
          <w:pgSz w:w="11906" w:h="16838" w:code="9"/>
          <w:pgMar w:top="1134" w:right="1134" w:bottom="1134" w:left="1134" w:header="624" w:footer="567" w:gutter="0"/>
          <w:cols w:space="708"/>
          <w:docGrid w:linePitch="360"/>
        </w:sectPr>
      </w:pPr>
    </w:p>
    <w:p w:rsidR="00991E04" w:rsidRDefault="00991E04" w:rsidP="00991E04">
      <w:pPr>
        <w:pStyle w:val="TableofContentsheading"/>
      </w:pPr>
      <w:r>
        <w:lastRenderedPageBreak/>
        <w:t>Table of contents</w:t>
      </w:r>
    </w:p>
    <w:p w:rsidR="00991E04" w:rsidRDefault="00696B6D" w:rsidP="007F18EE">
      <w:pPr>
        <w:pStyle w:val="TOC1"/>
      </w:pPr>
      <w:r>
        <w:t>Overview</w:t>
      </w:r>
      <w:r>
        <w:tab/>
      </w:r>
      <w:r>
        <w:fldChar w:fldCharType="begin"/>
      </w:r>
      <w:r>
        <w:instrText xml:space="preserve"> PAGEREF Overview \h </w:instrText>
      </w:r>
      <w:r>
        <w:fldChar w:fldCharType="separate"/>
      </w:r>
      <w:r w:rsidR="00534213">
        <w:rPr>
          <w:noProof/>
        </w:rPr>
        <w:t>1</w:t>
      </w:r>
      <w:r>
        <w:fldChar w:fldCharType="end"/>
      </w:r>
    </w:p>
    <w:p w:rsidR="00696B6D" w:rsidRDefault="00696B6D" w:rsidP="007F18EE">
      <w:pPr>
        <w:pStyle w:val="TOC1"/>
      </w:pPr>
      <w:r>
        <w:t>General government sector outcome</w:t>
      </w:r>
      <w:r>
        <w:tab/>
      </w:r>
      <w:r>
        <w:fldChar w:fldCharType="begin"/>
      </w:r>
      <w:r>
        <w:instrText xml:space="preserve"> PAGEREF GGSectorOutcome \h </w:instrText>
      </w:r>
      <w:r>
        <w:fldChar w:fldCharType="separate"/>
      </w:r>
      <w:r w:rsidR="00534213">
        <w:rPr>
          <w:noProof/>
        </w:rPr>
        <w:t>1</w:t>
      </w:r>
      <w:r>
        <w:fldChar w:fldCharType="end"/>
      </w:r>
    </w:p>
    <w:p w:rsidR="00696B6D" w:rsidRDefault="00696B6D" w:rsidP="007F18EE">
      <w:pPr>
        <w:pStyle w:val="TOC2"/>
      </w:pPr>
      <w:r>
        <w:t>Financial performance</w:t>
      </w:r>
      <w:r>
        <w:tab/>
      </w:r>
      <w:r>
        <w:fldChar w:fldCharType="begin"/>
      </w:r>
      <w:r>
        <w:instrText xml:space="preserve"> PAGEREF FinancialPerformance \h </w:instrText>
      </w:r>
      <w:r>
        <w:fldChar w:fldCharType="separate"/>
      </w:r>
      <w:r w:rsidR="00534213">
        <w:t>1</w:t>
      </w:r>
      <w:r>
        <w:fldChar w:fldCharType="end"/>
      </w:r>
    </w:p>
    <w:p w:rsidR="00696B6D" w:rsidRDefault="00696B6D" w:rsidP="007F18EE">
      <w:pPr>
        <w:pStyle w:val="TOC2"/>
      </w:pPr>
      <w:r>
        <w:t>Financial position</w:t>
      </w:r>
      <w:r>
        <w:tab/>
      </w:r>
      <w:r>
        <w:fldChar w:fldCharType="begin"/>
      </w:r>
      <w:r>
        <w:instrText xml:space="preserve"> PAGEREF FinancialPosition \h </w:instrText>
      </w:r>
      <w:r>
        <w:fldChar w:fldCharType="separate"/>
      </w:r>
      <w:r w:rsidR="00534213">
        <w:t>2</w:t>
      </w:r>
      <w:r>
        <w:fldChar w:fldCharType="end"/>
      </w:r>
    </w:p>
    <w:p w:rsidR="00696B6D" w:rsidRDefault="00696B6D" w:rsidP="007F18EE">
      <w:pPr>
        <w:pStyle w:val="TOC2"/>
      </w:pPr>
      <w:r>
        <w:t>Cash flows</w:t>
      </w:r>
      <w:r>
        <w:tab/>
      </w:r>
      <w:r>
        <w:fldChar w:fldCharType="begin"/>
      </w:r>
      <w:r>
        <w:instrText xml:space="preserve"> PAGEREF CashFlows \h </w:instrText>
      </w:r>
      <w:r>
        <w:fldChar w:fldCharType="separate"/>
      </w:r>
      <w:r w:rsidR="00534213">
        <w:t>2</w:t>
      </w:r>
      <w:r>
        <w:fldChar w:fldCharType="end"/>
      </w:r>
    </w:p>
    <w:p w:rsidR="005E78D6" w:rsidRPr="005E78D6" w:rsidRDefault="005E78D6" w:rsidP="005E78D6">
      <w:pPr>
        <w:pStyle w:val="TOC2"/>
      </w:pPr>
      <w:r w:rsidRPr="005E78D6">
        <w:t>Infrastructure investment</w:t>
      </w:r>
      <w:r>
        <w:tab/>
      </w:r>
      <w:r>
        <w:fldChar w:fldCharType="begin"/>
      </w:r>
      <w:r>
        <w:instrText xml:space="preserve"> PAGEREF CashFlows \h </w:instrText>
      </w:r>
      <w:r>
        <w:fldChar w:fldCharType="separate"/>
      </w:r>
      <w:r w:rsidR="00534213">
        <w:t>2</w:t>
      </w:r>
      <w:r>
        <w:fldChar w:fldCharType="end"/>
      </w:r>
    </w:p>
    <w:p w:rsidR="00696B6D" w:rsidRDefault="00696B6D" w:rsidP="007F18EE">
      <w:pPr>
        <w:pStyle w:val="TOC1"/>
      </w:pPr>
      <w:r>
        <w:t>Financial statements for the general government sector</w:t>
      </w:r>
    </w:p>
    <w:p w:rsidR="00696B6D" w:rsidRDefault="00696B6D" w:rsidP="00A72151">
      <w:pPr>
        <w:pStyle w:val="TOC2"/>
      </w:pPr>
      <w:r w:rsidRPr="00696B6D">
        <w:t xml:space="preserve">Consolidated </w:t>
      </w:r>
      <w:r w:rsidRPr="00A72151">
        <w:t>comprehensive</w:t>
      </w:r>
      <w:r w:rsidRPr="00696B6D">
        <w:t xml:space="preserve"> operating statement</w:t>
      </w:r>
      <w:r>
        <w:tab/>
      </w:r>
      <w:r>
        <w:fldChar w:fldCharType="begin"/>
      </w:r>
      <w:r>
        <w:instrText xml:space="preserve"> PAGEREF ConsolidatedOS \h </w:instrText>
      </w:r>
      <w:r>
        <w:fldChar w:fldCharType="separate"/>
      </w:r>
      <w:r w:rsidR="00534213">
        <w:t>4</w:t>
      </w:r>
      <w:r>
        <w:fldChar w:fldCharType="end"/>
      </w:r>
    </w:p>
    <w:p w:rsidR="00696B6D" w:rsidRDefault="00696B6D" w:rsidP="007F18EE">
      <w:pPr>
        <w:pStyle w:val="TOC2"/>
      </w:pPr>
      <w:r>
        <w:t>Consolidated balance sheet</w:t>
      </w:r>
      <w:r>
        <w:tab/>
      </w:r>
      <w:r>
        <w:fldChar w:fldCharType="begin"/>
      </w:r>
      <w:r>
        <w:instrText xml:space="preserve"> PAGEREF ConsolidatedBS \h </w:instrText>
      </w:r>
      <w:r>
        <w:fldChar w:fldCharType="separate"/>
      </w:r>
      <w:r w:rsidR="00534213">
        <w:t>5</w:t>
      </w:r>
      <w:r>
        <w:fldChar w:fldCharType="end"/>
      </w:r>
    </w:p>
    <w:p w:rsidR="00696B6D" w:rsidRDefault="00696B6D" w:rsidP="007F18EE">
      <w:pPr>
        <w:pStyle w:val="TOC2"/>
      </w:pPr>
      <w:r>
        <w:t>Consolidated cash flow</w:t>
      </w:r>
      <w:r>
        <w:tab/>
      </w:r>
      <w:r>
        <w:fldChar w:fldCharType="begin"/>
      </w:r>
      <w:r>
        <w:instrText xml:space="preserve"> PAGEREF ConsolidatedCF \h </w:instrText>
      </w:r>
      <w:r>
        <w:fldChar w:fldCharType="separate"/>
      </w:r>
      <w:r w:rsidR="00534213">
        <w:t>6</w:t>
      </w:r>
      <w:r>
        <w:fldChar w:fldCharType="end"/>
      </w:r>
    </w:p>
    <w:p w:rsidR="00696B6D" w:rsidRDefault="00696B6D" w:rsidP="007F18EE">
      <w:pPr>
        <w:pStyle w:val="TOC2"/>
      </w:pPr>
      <w:r>
        <w:t>Consolidated statement of changes in equity</w:t>
      </w:r>
      <w:r>
        <w:tab/>
      </w:r>
      <w:r>
        <w:fldChar w:fldCharType="begin"/>
      </w:r>
      <w:r>
        <w:instrText xml:space="preserve"> PAGEREF ConsolidatedSOCIE \h </w:instrText>
      </w:r>
      <w:r>
        <w:fldChar w:fldCharType="separate"/>
      </w:r>
      <w:r w:rsidR="00534213">
        <w:t>7</w:t>
      </w:r>
      <w:r>
        <w:fldChar w:fldCharType="end"/>
      </w:r>
    </w:p>
    <w:p w:rsidR="00A72151" w:rsidRDefault="00696B6D" w:rsidP="00A72151">
      <w:pPr>
        <w:pStyle w:val="TOC1"/>
        <w:tabs>
          <w:tab w:val="right" w:pos="397"/>
        </w:tabs>
        <w:rPr>
          <w:rFonts w:asciiTheme="minorHAnsi" w:eastAsiaTheme="minorEastAsia" w:hAnsiTheme="minorHAnsi"/>
          <w:noProof/>
          <w:spacing w:val="0"/>
          <w:szCs w:val="22"/>
          <w:lang w:eastAsia="en-AU"/>
        </w:rPr>
      </w:pPr>
      <w:r w:rsidRPr="00A72151">
        <w:fldChar w:fldCharType="begin"/>
      </w:r>
      <w:r w:rsidRPr="00A72151">
        <w:instrText xml:space="preserve"> TOC \h \z \t " Heading 1,2" </w:instrText>
      </w:r>
      <w:r w:rsidRPr="00A72151">
        <w:fldChar w:fldCharType="separate"/>
      </w:r>
      <w:hyperlink w:anchor="_Toc465431995" w:history="1">
        <w:r w:rsidR="00A72151" w:rsidRPr="00AE1365">
          <w:rPr>
            <w:rStyle w:val="Hyperlink"/>
            <w:noProof/>
          </w:rPr>
          <w:t>1.</w:t>
        </w:r>
        <w:r w:rsidR="00A72151">
          <w:rPr>
            <w:rFonts w:asciiTheme="minorHAnsi" w:eastAsiaTheme="minorEastAsia" w:hAnsiTheme="minorHAnsi"/>
            <w:noProof/>
            <w:spacing w:val="0"/>
            <w:szCs w:val="22"/>
            <w:lang w:eastAsia="en-AU"/>
          </w:rPr>
          <w:tab/>
        </w:r>
        <w:r w:rsidR="00A72151" w:rsidRPr="00AE1365">
          <w:rPr>
            <w:rStyle w:val="Hyperlink"/>
            <w:noProof/>
          </w:rPr>
          <w:t>About this report</w:t>
        </w:r>
        <w:r w:rsidR="00A72151">
          <w:rPr>
            <w:noProof/>
            <w:webHidden/>
          </w:rPr>
          <w:tab/>
        </w:r>
        <w:r w:rsidR="00A72151">
          <w:rPr>
            <w:noProof/>
            <w:webHidden/>
          </w:rPr>
          <w:fldChar w:fldCharType="begin"/>
        </w:r>
        <w:r w:rsidR="00A72151">
          <w:rPr>
            <w:noProof/>
            <w:webHidden/>
          </w:rPr>
          <w:instrText xml:space="preserve"> PAGEREF _Toc465431995 \h </w:instrText>
        </w:r>
        <w:r w:rsidR="00A72151">
          <w:rPr>
            <w:noProof/>
            <w:webHidden/>
          </w:rPr>
        </w:r>
        <w:r w:rsidR="00A72151">
          <w:rPr>
            <w:noProof/>
            <w:webHidden/>
          </w:rPr>
          <w:fldChar w:fldCharType="separate"/>
        </w:r>
        <w:r w:rsidR="00534213">
          <w:rPr>
            <w:noProof/>
            <w:webHidden/>
          </w:rPr>
          <w:t>8</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1996" w:history="1">
        <w:r w:rsidR="00A72151" w:rsidRPr="00AE1365">
          <w:rPr>
            <w:rStyle w:val="Hyperlink"/>
            <w:noProof/>
          </w:rPr>
          <w:t>2.</w:t>
        </w:r>
        <w:r w:rsidR="00A72151">
          <w:rPr>
            <w:rFonts w:asciiTheme="minorHAnsi" w:eastAsiaTheme="minorEastAsia" w:hAnsiTheme="minorHAnsi"/>
            <w:noProof/>
            <w:spacing w:val="0"/>
            <w:szCs w:val="22"/>
            <w:lang w:eastAsia="en-AU"/>
          </w:rPr>
          <w:tab/>
        </w:r>
        <w:r w:rsidR="00A72151" w:rsidRPr="00AE1365">
          <w:rPr>
            <w:rStyle w:val="Hyperlink"/>
            <w:noProof/>
          </w:rPr>
          <w:t>How funds are raised</w:t>
        </w:r>
        <w:r w:rsidR="00A72151">
          <w:rPr>
            <w:noProof/>
            <w:webHidden/>
          </w:rPr>
          <w:tab/>
        </w:r>
        <w:r w:rsidR="00A72151">
          <w:rPr>
            <w:noProof/>
            <w:webHidden/>
          </w:rPr>
          <w:fldChar w:fldCharType="begin"/>
        </w:r>
        <w:r w:rsidR="00A72151">
          <w:rPr>
            <w:noProof/>
            <w:webHidden/>
          </w:rPr>
          <w:instrText xml:space="preserve"> PAGEREF _Toc465431996 \h </w:instrText>
        </w:r>
        <w:r w:rsidR="00A72151">
          <w:rPr>
            <w:noProof/>
            <w:webHidden/>
          </w:rPr>
        </w:r>
        <w:r w:rsidR="00A72151">
          <w:rPr>
            <w:noProof/>
            <w:webHidden/>
          </w:rPr>
          <w:fldChar w:fldCharType="separate"/>
        </w:r>
        <w:r w:rsidR="00534213">
          <w:rPr>
            <w:noProof/>
            <w:webHidden/>
          </w:rPr>
          <w:t>9</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1997" w:history="1">
        <w:r w:rsidR="00A72151" w:rsidRPr="00AE1365">
          <w:rPr>
            <w:rStyle w:val="Hyperlink"/>
            <w:noProof/>
          </w:rPr>
          <w:t>3.</w:t>
        </w:r>
        <w:r w:rsidR="00A72151">
          <w:rPr>
            <w:rFonts w:asciiTheme="minorHAnsi" w:eastAsiaTheme="minorEastAsia" w:hAnsiTheme="minorHAnsi"/>
            <w:noProof/>
            <w:spacing w:val="0"/>
            <w:szCs w:val="22"/>
            <w:lang w:eastAsia="en-AU"/>
          </w:rPr>
          <w:tab/>
        </w:r>
        <w:r w:rsidR="00A72151" w:rsidRPr="00AE1365">
          <w:rPr>
            <w:rStyle w:val="Hyperlink"/>
            <w:noProof/>
          </w:rPr>
          <w:t>How funds are spent</w:t>
        </w:r>
        <w:r w:rsidR="00A72151">
          <w:rPr>
            <w:noProof/>
            <w:webHidden/>
          </w:rPr>
          <w:tab/>
        </w:r>
        <w:r w:rsidR="00A72151">
          <w:rPr>
            <w:noProof/>
            <w:webHidden/>
          </w:rPr>
          <w:fldChar w:fldCharType="begin"/>
        </w:r>
        <w:r w:rsidR="00A72151">
          <w:rPr>
            <w:noProof/>
            <w:webHidden/>
          </w:rPr>
          <w:instrText xml:space="preserve"> PAGEREF _Toc465431997 \h </w:instrText>
        </w:r>
        <w:r w:rsidR="00A72151">
          <w:rPr>
            <w:noProof/>
            <w:webHidden/>
          </w:rPr>
        </w:r>
        <w:r w:rsidR="00A72151">
          <w:rPr>
            <w:noProof/>
            <w:webHidden/>
          </w:rPr>
          <w:fldChar w:fldCharType="separate"/>
        </w:r>
        <w:r w:rsidR="00534213">
          <w:rPr>
            <w:noProof/>
            <w:webHidden/>
          </w:rPr>
          <w:t>11</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1998" w:history="1">
        <w:r w:rsidR="00A72151" w:rsidRPr="00AE1365">
          <w:rPr>
            <w:rStyle w:val="Hyperlink"/>
            <w:noProof/>
          </w:rPr>
          <w:t>4.</w:t>
        </w:r>
        <w:r w:rsidR="00A72151">
          <w:rPr>
            <w:rFonts w:asciiTheme="minorHAnsi" w:eastAsiaTheme="minorEastAsia" w:hAnsiTheme="minorHAnsi"/>
            <w:noProof/>
            <w:spacing w:val="0"/>
            <w:szCs w:val="22"/>
            <w:lang w:eastAsia="en-AU"/>
          </w:rPr>
          <w:tab/>
        </w:r>
        <w:r w:rsidR="00A72151" w:rsidRPr="00AE1365">
          <w:rPr>
            <w:rStyle w:val="Hyperlink"/>
            <w:noProof/>
          </w:rPr>
          <w:t>Major assets and investments</w:t>
        </w:r>
        <w:r w:rsidR="00A72151">
          <w:rPr>
            <w:noProof/>
            <w:webHidden/>
          </w:rPr>
          <w:tab/>
        </w:r>
        <w:r w:rsidR="00A72151">
          <w:rPr>
            <w:noProof/>
            <w:webHidden/>
          </w:rPr>
          <w:fldChar w:fldCharType="begin"/>
        </w:r>
        <w:r w:rsidR="00A72151">
          <w:rPr>
            <w:noProof/>
            <w:webHidden/>
          </w:rPr>
          <w:instrText xml:space="preserve"> PAGEREF _Toc465431998 \h </w:instrText>
        </w:r>
        <w:r w:rsidR="00A72151">
          <w:rPr>
            <w:noProof/>
            <w:webHidden/>
          </w:rPr>
        </w:r>
        <w:r w:rsidR="00A72151">
          <w:rPr>
            <w:noProof/>
            <w:webHidden/>
          </w:rPr>
          <w:fldChar w:fldCharType="separate"/>
        </w:r>
        <w:r w:rsidR="00534213">
          <w:rPr>
            <w:noProof/>
            <w:webHidden/>
          </w:rPr>
          <w:t>14</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1999" w:history="1">
        <w:r w:rsidR="00A72151" w:rsidRPr="00AE1365">
          <w:rPr>
            <w:rStyle w:val="Hyperlink"/>
            <w:noProof/>
          </w:rPr>
          <w:t>5.</w:t>
        </w:r>
        <w:r w:rsidR="00A72151">
          <w:rPr>
            <w:rFonts w:asciiTheme="minorHAnsi" w:eastAsiaTheme="minorEastAsia" w:hAnsiTheme="minorHAnsi"/>
            <w:noProof/>
            <w:spacing w:val="0"/>
            <w:szCs w:val="22"/>
            <w:lang w:eastAsia="en-AU"/>
          </w:rPr>
          <w:tab/>
        </w:r>
        <w:r w:rsidR="00A72151" w:rsidRPr="00AE1365">
          <w:rPr>
            <w:rStyle w:val="Hyperlink"/>
            <w:noProof/>
          </w:rPr>
          <w:t>Other assets and liabilities</w:t>
        </w:r>
        <w:r w:rsidR="00A72151">
          <w:rPr>
            <w:noProof/>
            <w:webHidden/>
          </w:rPr>
          <w:tab/>
        </w:r>
        <w:r w:rsidR="00A72151">
          <w:rPr>
            <w:noProof/>
            <w:webHidden/>
          </w:rPr>
          <w:fldChar w:fldCharType="begin"/>
        </w:r>
        <w:r w:rsidR="00A72151">
          <w:rPr>
            <w:noProof/>
            <w:webHidden/>
          </w:rPr>
          <w:instrText xml:space="preserve"> PAGEREF _Toc465431999 \h </w:instrText>
        </w:r>
        <w:r w:rsidR="00A72151">
          <w:rPr>
            <w:noProof/>
            <w:webHidden/>
          </w:rPr>
        </w:r>
        <w:r w:rsidR="00A72151">
          <w:rPr>
            <w:noProof/>
            <w:webHidden/>
          </w:rPr>
          <w:fldChar w:fldCharType="separate"/>
        </w:r>
        <w:r w:rsidR="00534213">
          <w:rPr>
            <w:noProof/>
            <w:webHidden/>
          </w:rPr>
          <w:t>17</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2000" w:history="1">
        <w:r w:rsidR="00A72151" w:rsidRPr="00AE1365">
          <w:rPr>
            <w:rStyle w:val="Hyperlink"/>
            <w:noProof/>
          </w:rPr>
          <w:t>6.</w:t>
        </w:r>
        <w:r w:rsidR="00A72151">
          <w:rPr>
            <w:rFonts w:asciiTheme="minorHAnsi" w:eastAsiaTheme="minorEastAsia" w:hAnsiTheme="minorHAnsi"/>
            <w:noProof/>
            <w:spacing w:val="0"/>
            <w:szCs w:val="22"/>
            <w:lang w:eastAsia="en-AU"/>
          </w:rPr>
          <w:tab/>
        </w:r>
        <w:r w:rsidR="00A72151" w:rsidRPr="00AE1365">
          <w:rPr>
            <w:rStyle w:val="Hyperlink"/>
            <w:noProof/>
          </w:rPr>
          <w:t>Public account</w:t>
        </w:r>
        <w:r w:rsidR="00A72151">
          <w:rPr>
            <w:noProof/>
            <w:webHidden/>
          </w:rPr>
          <w:tab/>
        </w:r>
        <w:r w:rsidR="00A72151">
          <w:rPr>
            <w:noProof/>
            <w:webHidden/>
          </w:rPr>
          <w:fldChar w:fldCharType="begin"/>
        </w:r>
        <w:r w:rsidR="00A72151">
          <w:rPr>
            <w:noProof/>
            <w:webHidden/>
          </w:rPr>
          <w:instrText xml:space="preserve"> PAGEREF _Toc465432000 \h </w:instrText>
        </w:r>
        <w:r w:rsidR="00A72151">
          <w:rPr>
            <w:noProof/>
            <w:webHidden/>
          </w:rPr>
        </w:r>
        <w:r w:rsidR="00A72151">
          <w:rPr>
            <w:noProof/>
            <w:webHidden/>
          </w:rPr>
          <w:fldChar w:fldCharType="separate"/>
        </w:r>
        <w:r w:rsidR="00534213">
          <w:rPr>
            <w:noProof/>
            <w:webHidden/>
          </w:rPr>
          <w:t>18</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2001" w:history="1">
        <w:r w:rsidR="00A72151" w:rsidRPr="00AE1365">
          <w:rPr>
            <w:rStyle w:val="Hyperlink"/>
            <w:noProof/>
          </w:rPr>
          <w:t>7.</w:t>
        </w:r>
        <w:r w:rsidR="00A72151">
          <w:rPr>
            <w:rFonts w:asciiTheme="minorHAnsi" w:eastAsiaTheme="minorEastAsia" w:hAnsiTheme="minorHAnsi"/>
            <w:noProof/>
            <w:spacing w:val="0"/>
            <w:szCs w:val="22"/>
            <w:lang w:eastAsia="en-AU"/>
          </w:rPr>
          <w:tab/>
        </w:r>
        <w:r w:rsidR="00A72151" w:rsidRPr="00AE1365">
          <w:rPr>
            <w:rStyle w:val="Hyperlink"/>
            <w:noProof/>
          </w:rPr>
          <w:t>Other disclosures</w:t>
        </w:r>
        <w:r w:rsidR="00A72151">
          <w:rPr>
            <w:noProof/>
            <w:webHidden/>
          </w:rPr>
          <w:tab/>
        </w:r>
        <w:r w:rsidR="00A72151">
          <w:rPr>
            <w:noProof/>
            <w:webHidden/>
          </w:rPr>
          <w:fldChar w:fldCharType="begin"/>
        </w:r>
        <w:r w:rsidR="00A72151">
          <w:rPr>
            <w:noProof/>
            <w:webHidden/>
          </w:rPr>
          <w:instrText xml:space="preserve"> PAGEREF _Toc465432001 \h </w:instrText>
        </w:r>
        <w:r w:rsidR="00A72151">
          <w:rPr>
            <w:noProof/>
            <w:webHidden/>
          </w:rPr>
        </w:r>
        <w:r w:rsidR="00A72151">
          <w:rPr>
            <w:noProof/>
            <w:webHidden/>
          </w:rPr>
          <w:fldChar w:fldCharType="separate"/>
        </w:r>
        <w:r w:rsidR="00534213">
          <w:rPr>
            <w:noProof/>
            <w:webHidden/>
          </w:rPr>
          <w:t>21</w:t>
        </w:r>
        <w:r w:rsidR="00A72151">
          <w:rPr>
            <w:noProof/>
            <w:webHidden/>
          </w:rPr>
          <w:fldChar w:fldCharType="end"/>
        </w:r>
      </w:hyperlink>
    </w:p>
    <w:p w:rsidR="00A72151" w:rsidRDefault="008903D9" w:rsidP="00A72151">
      <w:pPr>
        <w:pStyle w:val="TOC1"/>
        <w:tabs>
          <w:tab w:val="right" w:pos="397"/>
        </w:tabs>
        <w:rPr>
          <w:rFonts w:asciiTheme="minorHAnsi" w:eastAsiaTheme="minorEastAsia" w:hAnsiTheme="minorHAnsi"/>
          <w:noProof/>
          <w:spacing w:val="0"/>
          <w:szCs w:val="22"/>
          <w:lang w:eastAsia="en-AU"/>
        </w:rPr>
      </w:pPr>
      <w:hyperlink w:anchor="_Toc465432002" w:history="1">
        <w:r w:rsidR="00A72151" w:rsidRPr="00AE1365">
          <w:rPr>
            <w:rStyle w:val="Hyperlink"/>
            <w:noProof/>
          </w:rPr>
          <w:t>8.</w:t>
        </w:r>
        <w:r w:rsidR="00A72151">
          <w:rPr>
            <w:rFonts w:asciiTheme="minorHAnsi" w:eastAsiaTheme="minorEastAsia" w:hAnsiTheme="minorHAnsi"/>
            <w:noProof/>
            <w:spacing w:val="0"/>
            <w:szCs w:val="22"/>
            <w:lang w:eastAsia="en-AU"/>
          </w:rPr>
          <w:tab/>
        </w:r>
        <w:r w:rsidR="00A72151" w:rsidRPr="00AE1365">
          <w:rPr>
            <w:rStyle w:val="Hyperlink"/>
            <w:noProof/>
          </w:rPr>
          <w:t>Results quarter by quarter – Victorian general government sector</w:t>
        </w:r>
        <w:r w:rsidR="00A72151">
          <w:rPr>
            <w:noProof/>
            <w:webHidden/>
          </w:rPr>
          <w:tab/>
        </w:r>
        <w:r w:rsidR="00A72151">
          <w:rPr>
            <w:noProof/>
            <w:webHidden/>
          </w:rPr>
          <w:fldChar w:fldCharType="begin"/>
        </w:r>
        <w:r w:rsidR="00A72151">
          <w:rPr>
            <w:noProof/>
            <w:webHidden/>
          </w:rPr>
          <w:instrText xml:space="preserve"> PAGEREF _Toc465432002 \h </w:instrText>
        </w:r>
        <w:r w:rsidR="00A72151">
          <w:rPr>
            <w:noProof/>
            <w:webHidden/>
          </w:rPr>
        </w:r>
        <w:r w:rsidR="00A72151">
          <w:rPr>
            <w:noProof/>
            <w:webHidden/>
          </w:rPr>
          <w:fldChar w:fldCharType="separate"/>
        </w:r>
        <w:r w:rsidR="00534213">
          <w:rPr>
            <w:noProof/>
            <w:webHidden/>
          </w:rPr>
          <w:t>24</w:t>
        </w:r>
        <w:r w:rsidR="00A72151">
          <w:rPr>
            <w:noProof/>
            <w:webHidden/>
          </w:rPr>
          <w:fldChar w:fldCharType="end"/>
        </w:r>
      </w:hyperlink>
    </w:p>
    <w:p w:rsidR="00696B6D" w:rsidRPr="00A72151" w:rsidRDefault="00696B6D" w:rsidP="00A72151">
      <w:pPr>
        <w:pStyle w:val="TOC2"/>
        <w:tabs>
          <w:tab w:val="left" w:pos="284"/>
        </w:tabs>
      </w:pPr>
      <w:r w:rsidRPr="00A72151">
        <w:fldChar w:fldCharType="end"/>
      </w:r>
      <w:r w:rsidRPr="00A72151">
        <w:t>Consolidated comprehensive operating statement for the past five quarters</w:t>
      </w:r>
      <w:r w:rsidRPr="00A72151">
        <w:tab/>
      </w:r>
      <w:r w:rsidRPr="00A72151">
        <w:fldChar w:fldCharType="begin"/>
      </w:r>
      <w:r w:rsidRPr="00A72151">
        <w:instrText xml:space="preserve"> PAGEREF ConsolidatedOS_QBQ \h </w:instrText>
      </w:r>
      <w:r w:rsidRPr="00A72151">
        <w:fldChar w:fldCharType="separate"/>
      </w:r>
      <w:r w:rsidR="00534213">
        <w:t>24</w:t>
      </w:r>
      <w:r w:rsidRPr="00A72151">
        <w:fldChar w:fldCharType="end"/>
      </w:r>
    </w:p>
    <w:p w:rsidR="00696B6D" w:rsidRPr="00A72151" w:rsidRDefault="00696B6D" w:rsidP="00A72151">
      <w:pPr>
        <w:pStyle w:val="TOC2"/>
        <w:tabs>
          <w:tab w:val="left" w:pos="284"/>
        </w:tabs>
      </w:pPr>
      <w:r w:rsidRPr="00A72151">
        <w:t>Consolidated balance sheet as at the end of the past five quarters</w:t>
      </w:r>
      <w:r w:rsidRPr="00A72151">
        <w:tab/>
      </w:r>
      <w:r w:rsidRPr="00A72151">
        <w:fldChar w:fldCharType="begin"/>
      </w:r>
      <w:r w:rsidRPr="00A72151">
        <w:instrText xml:space="preserve"> PAGEREF ConsolidatedBS_QBQ \h </w:instrText>
      </w:r>
      <w:r w:rsidRPr="00A72151">
        <w:fldChar w:fldCharType="separate"/>
      </w:r>
      <w:r w:rsidR="00534213">
        <w:t>25</w:t>
      </w:r>
      <w:r w:rsidRPr="00A72151">
        <w:fldChar w:fldCharType="end"/>
      </w:r>
    </w:p>
    <w:p w:rsidR="00696B6D" w:rsidRPr="00A72151" w:rsidRDefault="00696B6D" w:rsidP="00A72151">
      <w:pPr>
        <w:pStyle w:val="TOC2"/>
        <w:tabs>
          <w:tab w:val="left" w:pos="284"/>
        </w:tabs>
      </w:pPr>
      <w:r w:rsidRPr="00A72151">
        <w:t>Consolidated cash flow statement for the past five quarters</w:t>
      </w:r>
      <w:r w:rsidRPr="00A72151">
        <w:tab/>
      </w:r>
      <w:r w:rsidRPr="00A72151">
        <w:fldChar w:fldCharType="begin"/>
      </w:r>
      <w:r w:rsidRPr="00A72151">
        <w:instrText xml:space="preserve"> PAGEREF ConsolidatedCF_QBQ \h </w:instrText>
      </w:r>
      <w:r w:rsidRPr="00A72151">
        <w:fldChar w:fldCharType="separate"/>
      </w:r>
      <w:r w:rsidR="00534213">
        <w:t>26</w:t>
      </w:r>
      <w:r w:rsidRPr="00A72151">
        <w:fldChar w:fldCharType="end"/>
      </w:r>
    </w:p>
    <w:p w:rsidR="00696B6D" w:rsidRDefault="00696B6D" w:rsidP="007F18EE">
      <w:pPr>
        <w:pStyle w:val="TOC1"/>
      </w:pPr>
      <w:r>
        <w:t>Style conventions</w:t>
      </w:r>
      <w:r>
        <w:tab/>
      </w:r>
      <w:r>
        <w:fldChar w:fldCharType="begin"/>
      </w:r>
      <w:r>
        <w:instrText xml:space="preserve"> PAGEREF StyleConventions \h </w:instrText>
      </w:r>
      <w:r>
        <w:fldChar w:fldCharType="separate"/>
      </w:r>
      <w:r w:rsidR="00534213">
        <w:rPr>
          <w:noProof/>
        </w:rPr>
        <w:t>27</w:t>
      </w:r>
      <w:r>
        <w:fldChar w:fldCharType="end"/>
      </w:r>
    </w:p>
    <w:p w:rsidR="00991E04" w:rsidRPr="00991E04" w:rsidRDefault="00991E04" w:rsidP="00991E04"/>
    <w:p w:rsidR="00991E04" w:rsidRPr="00991E04" w:rsidRDefault="00991E04" w:rsidP="00991E04">
      <w:pPr>
        <w:sectPr w:rsidR="00991E04" w:rsidRPr="00991E04" w:rsidSect="00991E04">
          <w:footerReference w:type="even" r:id="rId11"/>
          <w:footerReference w:type="default" r:id="rId12"/>
          <w:type w:val="oddPage"/>
          <w:pgSz w:w="11906" w:h="16838" w:code="9"/>
          <w:pgMar w:top="1134" w:right="1134" w:bottom="1134" w:left="1134" w:header="624" w:footer="567" w:gutter="0"/>
          <w:pgNumType w:start="1"/>
          <w:cols w:space="708"/>
          <w:docGrid w:linePitch="360"/>
        </w:sectPr>
      </w:pPr>
    </w:p>
    <w:p w:rsidR="004B620C" w:rsidRDefault="00991E04" w:rsidP="00991E04">
      <w:pPr>
        <w:pStyle w:val="Heading1unnumbered"/>
      </w:pPr>
      <w:bookmarkStart w:id="0" w:name="Overview"/>
      <w:r>
        <w:lastRenderedPageBreak/>
        <w:t>Overview</w:t>
      </w:r>
    </w:p>
    <w:bookmarkEnd w:id="0"/>
    <w:p w:rsidR="00691364" w:rsidRDefault="00691364" w:rsidP="00691364">
      <w:r>
        <w:t>This financial report presents the Victorian general government sector financial statements for the three</w:t>
      </w:r>
      <w:r w:rsidR="008374C8">
        <w:t>-</w:t>
      </w:r>
      <w:r>
        <w:t>month period ending 30 September 2016.</w:t>
      </w:r>
    </w:p>
    <w:p w:rsidR="00691364" w:rsidRDefault="00691364" w:rsidP="00691364">
      <w:r>
        <w:t>Victoria</w:t>
      </w:r>
      <w:r w:rsidR="008A6DD6">
        <w:t>’</w:t>
      </w:r>
      <w:r>
        <w:t xml:space="preserve">s economy is expected to grow above trend in 2016-17 as the broadening of the national recovery in non-mining activity continues to benefit the diversified economy of the </w:t>
      </w:r>
      <w:r w:rsidR="00125E84">
        <w:t>S</w:t>
      </w:r>
      <w:r>
        <w:t>tate. The strength of the Victorian economy is reflected in the June quarter nationa</w:t>
      </w:r>
      <w:r w:rsidR="00125E84">
        <w:t>l accounts, which show Victoria</w:t>
      </w:r>
      <w:r w:rsidR="008A6DD6">
        <w:t>’</w:t>
      </w:r>
      <w:r>
        <w:t xml:space="preserve">s annual state final demand growth of 4.0 per cent over the financial year, the highest of all the states and the highest since 2007-08. Strong employment and housing market growth has helped support household consumption and dwelling investment and the labour market is expected to maintain the momentum in 2016-17. </w:t>
      </w:r>
      <w:r w:rsidR="002F0C29">
        <w:t xml:space="preserve">Victorian employment increased by over 31 000 in the September quarter, with a total of 105 000 jobs created over the year to September 2016. </w:t>
      </w:r>
      <w:r w:rsidR="002F0C29" w:rsidRPr="002F0C29">
        <w:t>T</w:t>
      </w:r>
      <w:r w:rsidRPr="002F0C29">
        <w:t>he annual pace of total and full-time job creation in Victoria is currently leading the nation.</w:t>
      </w:r>
      <w:r w:rsidR="002F0C29">
        <w:t xml:space="preserve"> The buoyant labour market resulted in Victoria</w:t>
      </w:r>
      <w:r w:rsidR="008A6DD6">
        <w:t>’</w:t>
      </w:r>
      <w:r w:rsidR="002F0C29">
        <w:t>s unemployment rate falling 0.5 percentage points in the year to 5.7 per cent in September 2016.</w:t>
      </w:r>
      <w:r>
        <w:t xml:space="preserve"> Improved business conditions, consumer sentiment and strong population growth are expected to further support economic activity in the state.</w:t>
      </w:r>
    </w:p>
    <w:p w:rsidR="004B620C" w:rsidRDefault="00691364" w:rsidP="004B620C">
      <w:r>
        <w:t>The Government continues to make significant investments</w:t>
      </w:r>
      <w:r w:rsidR="00125E84">
        <w:t>,</w:t>
      </w:r>
      <w:r>
        <w:t xml:space="preserve"> particularly in the transport and health sectors</w:t>
      </w:r>
      <w:r w:rsidR="00125E84">
        <w:t>,</w:t>
      </w:r>
      <w:r>
        <w:t xml:space="preserve"> to deliver high quality services and enhance economic productivity.</w:t>
      </w:r>
    </w:p>
    <w:p w:rsidR="004B620C" w:rsidRDefault="00991E04" w:rsidP="00991E04">
      <w:pPr>
        <w:pStyle w:val="Heading1unnumbered"/>
      </w:pPr>
      <w:bookmarkStart w:id="1" w:name="GGSectorOutcome"/>
      <w:r w:rsidRPr="00991E04">
        <w:t>General</w:t>
      </w:r>
      <w:r>
        <w:t xml:space="preserve"> government sector outcome</w:t>
      </w:r>
    </w:p>
    <w:p w:rsidR="004B620C" w:rsidRPr="004B620C" w:rsidRDefault="004B620C" w:rsidP="004B620C">
      <w:pPr>
        <w:pStyle w:val="Subheadingunderline"/>
      </w:pPr>
      <w:bookmarkStart w:id="2" w:name="FinancialPerformance"/>
      <w:bookmarkEnd w:id="1"/>
      <w:r w:rsidRPr="004B620C">
        <w:t>Financial performance</w:t>
      </w:r>
      <w:bookmarkEnd w:id="2"/>
    </w:p>
    <w:p w:rsidR="008B65E9" w:rsidRPr="00DB1072" w:rsidRDefault="008B65E9" w:rsidP="008B65E9">
      <w:r w:rsidRPr="00135C7F">
        <w:t>The general government sector net result from transactions for the three m</w:t>
      </w:r>
      <w:r>
        <w:t>onth period to 30 September 2016</w:t>
      </w:r>
      <w:r w:rsidRPr="00135C7F">
        <w:t xml:space="preserve"> </w:t>
      </w:r>
      <w:r w:rsidR="00943AB6">
        <w:t>was an operating surplus of $48</w:t>
      </w:r>
      <w:r>
        <w:t>0</w:t>
      </w:r>
      <w:r w:rsidRPr="00135C7F">
        <w:t> million.</w:t>
      </w:r>
      <w:r>
        <w:t xml:space="preserve"> This compares with the $519 million operating surplus recorded in the first quarter of 2015</w:t>
      </w:r>
      <w:r>
        <w:noBreakHyphen/>
        <w:t>16 and</w:t>
      </w:r>
      <w:r w:rsidRPr="00135C7F">
        <w:t xml:space="preserve"> is consistent with achieving a full year estima</w:t>
      </w:r>
      <w:r>
        <w:t>ted operating surplus of $2.9</w:t>
      </w:r>
      <w:r w:rsidRPr="00135C7F">
        <w:t> billion</w:t>
      </w:r>
      <w:r>
        <w:t xml:space="preserve"> for 2016</w:t>
      </w:r>
      <w:r>
        <w:noBreakHyphen/>
        <w:t>17</w:t>
      </w:r>
      <w:r w:rsidRPr="00135C7F">
        <w:t xml:space="preserve">, as forecast in the </w:t>
      </w:r>
      <w:r>
        <w:rPr>
          <w:i/>
        </w:rPr>
        <w:t>2016</w:t>
      </w:r>
      <w:r>
        <w:rPr>
          <w:i/>
        </w:rPr>
        <w:noBreakHyphen/>
        <w:t>17</w:t>
      </w:r>
      <w:r w:rsidRPr="00135C7F">
        <w:rPr>
          <w:i/>
        </w:rPr>
        <w:t xml:space="preserve"> Budget.</w:t>
      </w:r>
    </w:p>
    <w:p w:rsidR="008B65E9" w:rsidRPr="00122ABB" w:rsidRDefault="00900ED4" w:rsidP="008B65E9">
      <w:r>
        <w:br w:type="column"/>
      </w:r>
      <w:r w:rsidR="008B65E9" w:rsidRPr="00122ABB">
        <w:lastRenderedPageBreak/>
        <w:t>Similar to previous years, the first quarter result is influenced by seasonal factors such as the timing of certain revenue items, in particular:</w:t>
      </w:r>
    </w:p>
    <w:p w:rsidR="008B65E9" w:rsidRPr="00122ABB" w:rsidRDefault="008B65E9" w:rsidP="008B65E9">
      <w:pPr>
        <w:pStyle w:val="BulletText"/>
        <w:numPr>
          <w:ilvl w:val="0"/>
          <w:numId w:val="9"/>
        </w:numPr>
        <w:rPr>
          <w:sz w:val="22"/>
          <w:szCs w:val="22"/>
        </w:rPr>
      </w:pPr>
      <w:r w:rsidRPr="00122ABB">
        <w:rPr>
          <w:sz w:val="22"/>
          <w:szCs w:val="22"/>
        </w:rPr>
        <w:t>the majority of land tax revenue, which is not recognised until the March quarter;</w:t>
      </w:r>
      <w:r>
        <w:rPr>
          <w:sz w:val="22"/>
          <w:szCs w:val="22"/>
        </w:rPr>
        <w:t xml:space="preserve"> and</w:t>
      </w:r>
    </w:p>
    <w:p w:rsidR="008B65E9" w:rsidRPr="00122ABB" w:rsidRDefault="008B65E9" w:rsidP="008B65E9">
      <w:pPr>
        <w:pStyle w:val="BulletText"/>
        <w:numPr>
          <w:ilvl w:val="0"/>
          <w:numId w:val="9"/>
        </w:numPr>
        <w:rPr>
          <w:sz w:val="22"/>
          <w:szCs w:val="22"/>
        </w:rPr>
      </w:pPr>
      <w:r w:rsidRPr="00122ABB">
        <w:rPr>
          <w:sz w:val="22"/>
          <w:szCs w:val="22"/>
        </w:rPr>
        <w:t>dividends from public authorities, which are not recognised as revenue until determined generally in Oct</w:t>
      </w:r>
      <w:r>
        <w:rPr>
          <w:sz w:val="22"/>
          <w:szCs w:val="22"/>
        </w:rPr>
        <w:t>ober and April of each year.</w:t>
      </w:r>
    </w:p>
    <w:p w:rsidR="008B65E9" w:rsidRPr="00FC6048" w:rsidRDefault="008B65E9" w:rsidP="008B65E9">
      <w:r w:rsidRPr="00FC6048">
        <w:t>The timing of these revenue items is partially offset by the revenue from the Fire Services Property Levy, which is fully recognised in the September quarter.</w:t>
      </w:r>
    </w:p>
    <w:p w:rsidR="008B65E9" w:rsidRPr="00135C7F" w:rsidRDefault="008B65E9" w:rsidP="008B65E9">
      <w:r w:rsidRPr="00135C7F">
        <w:t>Revenu</w:t>
      </w:r>
      <w:r w:rsidR="00943AB6">
        <w:t>e for the quarter totalled $14.4</w:t>
      </w:r>
      <w:r w:rsidRPr="00135C7F">
        <w:t xml:space="preserve"> billion. </w:t>
      </w:r>
      <w:r w:rsidR="00943AB6">
        <w:t>This represented 23.8</w:t>
      </w:r>
      <w:r w:rsidRPr="00135C7F">
        <w:t> per cent</w:t>
      </w:r>
      <w:r>
        <w:t xml:space="preserve"> of the full year budget estimate, </w:t>
      </w:r>
      <w:r w:rsidRPr="00135C7F">
        <w:t>in line with</w:t>
      </w:r>
      <w:r>
        <w:t xml:space="preserve"> </w:t>
      </w:r>
      <w:r w:rsidRPr="00135C7F">
        <w:t xml:space="preserve">expectations. </w:t>
      </w:r>
    </w:p>
    <w:p w:rsidR="008B65E9" w:rsidRPr="00737887" w:rsidRDefault="008B65E9" w:rsidP="008B65E9">
      <w:r w:rsidRPr="00737887">
        <w:t>Taxation revenue</w:t>
      </w:r>
      <w:r>
        <w:t xml:space="preserve"> for the quarter represents 24.4</w:t>
      </w:r>
      <w:r w:rsidRPr="00737887">
        <w:t> per cent of the</w:t>
      </w:r>
      <w:r w:rsidR="00387A8C">
        <w:t xml:space="preserve"> annual</w:t>
      </w:r>
      <w:r w:rsidRPr="00737887">
        <w:t xml:space="preserve"> budget</w:t>
      </w:r>
      <w:r w:rsidRPr="00737887">
        <w:rPr>
          <w:i/>
        </w:rPr>
        <w:t xml:space="preserve"> </w:t>
      </w:r>
      <w:r w:rsidRPr="00737887">
        <w:t xml:space="preserve">estimate. </w:t>
      </w:r>
      <w:r w:rsidR="00954FF1">
        <w:t>The lower than pro rata</w:t>
      </w:r>
      <w:r w:rsidR="008374C8">
        <w:t xml:space="preserve"> result is primarily driven by land t</w:t>
      </w:r>
      <w:r w:rsidR="00954FF1">
        <w:t xml:space="preserve">ax revenue which is collected in the March quarter and </w:t>
      </w:r>
      <w:r w:rsidR="00954FF1" w:rsidRPr="00954FF1">
        <w:t>the timing of revenue associated with upfront port licence fees, which will be received upon the completion of the Port of Melbourne lease transaction in October.</w:t>
      </w:r>
      <w:r w:rsidR="00954FF1">
        <w:t xml:space="preserve"> </w:t>
      </w:r>
      <w:r w:rsidR="003E39F8">
        <w:t xml:space="preserve">The lower than pro rata outcome was partially offset by </w:t>
      </w:r>
      <w:r w:rsidR="0078791B">
        <w:t xml:space="preserve">higher than pro </w:t>
      </w:r>
      <w:r w:rsidR="00FE433B">
        <w:t>rata</w:t>
      </w:r>
      <w:r w:rsidR="003E39F8">
        <w:t xml:space="preserve"> revenue associated with </w:t>
      </w:r>
      <w:r w:rsidR="00125E84">
        <w:t>m</w:t>
      </w:r>
      <w:r w:rsidR="003E39F8">
        <w:t>etropolitan improvement levy and insurance taxes</w:t>
      </w:r>
      <w:r>
        <w:t xml:space="preserve"> </w:t>
      </w:r>
      <w:r w:rsidRPr="00737887">
        <w:t>and</w:t>
      </w:r>
      <w:r>
        <w:t xml:space="preserve"> </w:t>
      </w:r>
      <w:r w:rsidRPr="00135C7F">
        <w:t>Fire Services Property Levy</w:t>
      </w:r>
      <w:r w:rsidR="003E39F8">
        <w:t xml:space="preserve"> which is fully recognised in the September Quarter.</w:t>
      </w:r>
    </w:p>
    <w:p w:rsidR="008B65E9" w:rsidRDefault="008B65E9" w:rsidP="008B65E9">
      <w:r w:rsidRPr="00737887">
        <w:t>Grants reve</w:t>
      </w:r>
      <w:r>
        <w:t>nue for the first quarter was 24.4</w:t>
      </w:r>
      <w:r w:rsidRPr="00737887">
        <w:t> per cent of the</w:t>
      </w:r>
      <w:r w:rsidR="00387A8C">
        <w:t xml:space="preserve"> annual</w:t>
      </w:r>
      <w:r w:rsidRPr="00737887">
        <w:t xml:space="preserve"> budget estimate.</w:t>
      </w:r>
      <w:r w:rsidR="00CD38FD">
        <w:t xml:space="preserve"> T</w:t>
      </w:r>
      <w:r w:rsidRPr="00737887">
        <w:t>his</w:t>
      </w:r>
      <w:r w:rsidR="00CD38FD">
        <w:t xml:space="preserve"> </w:t>
      </w:r>
      <w:r w:rsidRPr="00737887">
        <w:t>reflects the timing of this revenue from the Commonwealth Government an</w:t>
      </w:r>
      <w:r w:rsidR="007449DC">
        <w:t>d is consistent with </w:t>
      </w:r>
      <w:r>
        <w:t>the full year</w:t>
      </w:r>
      <w:r w:rsidRPr="00737887">
        <w:t xml:space="preserve"> budget estimate.</w:t>
      </w:r>
    </w:p>
    <w:p w:rsidR="008B65E9" w:rsidRPr="00737887" w:rsidRDefault="00F52A51" w:rsidP="008B65E9">
      <w:r>
        <w:t>Dividends, i</w:t>
      </w:r>
      <w:r w:rsidR="008B65E9" w:rsidRPr="00737887">
        <w:t xml:space="preserve">ncome tax equivalent and rate equivalent </w:t>
      </w:r>
      <w:r w:rsidR="008B65E9">
        <w:t>revenue for the first quarter was 7.4</w:t>
      </w:r>
      <w:r w:rsidR="008B65E9" w:rsidRPr="00737887">
        <w:t> per cent of the full year budget estimate. This is consistent with expectations and the usual pattern of receipt.</w:t>
      </w:r>
    </w:p>
    <w:p w:rsidR="008B65E9" w:rsidRPr="005B4080" w:rsidRDefault="008B65E9" w:rsidP="008B65E9">
      <w:pPr>
        <w:shd w:val="clear" w:color="auto" w:fill="FFFFFF" w:themeFill="background1"/>
      </w:pPr>
      <w:r w:rsidRPr="00F52A51">
        <w:t>Other revenue was</w:t>
      </w:r>
      <w:r w:rsidR="00943AB6">
        <w:t xml:space="preserve"> slightly under pro rata at 19.8</w:t>
      </w:r>
      <w:r w:rsidRPr="00F52A51">
        <w:t xml:space="preserve"> per cent of the budget estimate, largely driven by the timing of </w:t>
      </w:r>
      <w:r w:rsidR="00387A8C">
        <w:t xml:space="preserve">the </w:t>
      </w:r>
      <w:r w:rsidR="00F52A51" w:rsidRPr="00F52A51">
        <w:t xml:space="preserve">transfer of Simmonds Stadium to the State from </w:t>
      </w:r>
      <w:r w:rsidR="001D4652">
        <w:t xml:space="preserve">the </w:t>
      </w:r>
      <w:r w:rsidR="00387A8C">
        <w:t xml:space="preserve">Geelong City Council; </w:t>
      </w:r>
      <w:r w:rsidRPr="00F52A51">
        <w:t>expected to take place later in the financial year.</w:t>
      </w:r>
    </w:p>
    <w:p w:rsidR="00900ED4" w:rsidRDefault="00900ED4">
      <w:r>
        <w:br w:type="page"/>
      </w:r>
    </w:p>
    <w:p w:rsidR="008B65E9" w:rsidRPr="00B25967" w:rsidRDefault="0001390E" w:rsidP="008B65E9">
      <w:r>
        <w:lastRenderedPageBreak/>
        <w:t>At 24.2</w:t>
      </w:r>
      <w:r w:rsidR="008B65E9" w:rsidRPr="00B25967">
        <w:t> per cent of the full year budget estimate, expenses from transactions totalled $13</w:t>
      </w:r>
      <w:r w:rsidR="00F52A51">
        <w:t>.</w:t>
      </w:r>
      <w:r w:rsidR="008B65E9">
        <w:t>9</w:t>
      </w:r>
      <w:r w:rsidR="008B65E9" w:rsidRPr="00B25967">
        <w:t> billion for the t</w:t>
      </w:r>
      <w:r w:rsidR="008B65E9">
        <w:t>hree months to 30 September 2016</w:t>
      </w:r>
      <w:r w:rsidR="008B65E9" w:rsidRPr="00B25967">
        <w:t>. This result primarily reflects the timing of expenditure</w:t>
      </w:r>
      <w:r w:rsidR="001D4652">
        <w:t xml:space="preserve">, </w:t>
      </w:r>
      <w:r w:rsidR="008B65E9">
        <w:t>consistent with full year budget expectations and previous year expenditure patterns</w:t>
      </w:r>
      <w:r w:rsidR="008B65E9" w:rsidRPr="00B25967">
        <w:t xml:space="preserve">. </w:t>
      </w:r>
    </w:p>
    <w:p w:rsidR="005A3090" w:rsidRDefault="008B65E9" w:rsidP="008B65E9">
      <w:r w:rsidRPr="008F2F39">
        <w:t>The comprehensive result showed a</w:t>
      </w:r>
      <w:r w:rsidR="00F52A51">
        <w:t>n</w:t>
      </w:r>
      <w:r w:rsidRPr="008F2F39">
        <w:t xml:space="preserve"> </w:t>
      </w:r>
      <w:r>
        <w:t>increase</w:t>
      </w:r>
      <w:r w:rsidRPr="008F2F39">
        <w:t xml:space="preserve"> in net worth </w:t>
      </w:r>
      <w:r w:rsidRPr="004607DB">
        <w:t>of $</w:t>
      </w:r>
      <w:r w:rsidR="00387A8C">
        <w:t>607</w:t>
      </w:r>
      <w:r>
        <w:t> m</w:t>
      </w:r>
      <w:r w:rsidRPr="004607DB">
        <w:t>illion</w:t>
      </w:r>
      <w:r w:rsidRPr="008F2F39">
        <w:t xml:space="preserve"> for the three m</w:t>
      </w:r>
      <w:r>
        <w:t>onth period to 30 September 2016</w:t>
      </w:r>
      <w:r w:rsidR="00F52A51">
        <w:t>, compared to a</w:t>
      </w:r>
      <w:r w:rsidRPr="008F2F39">
        <w:t xml:space="preserve"> </w:t>
      </w:r>
      <w:r>
        <w:t>decrease</w:t>
      </w:r>
      <w:r w:rsidRPr="008F2F39">
        <w:t xml:space="preserve"> of $</w:t>
      </w:r>
      <w:r>
        <w:t>1.5 b</w:t>
      </w:r>
      <w:r w:rsidRPr="008F2F39">
        <w:t xml:space="preserve">illion in the same period the previous year. </w:t>
      </w:r>
    </w:p>
    <w:p w:rsidR="008B65E9" w:rsidRDefault="008B65E9" w:rsidP="008B65E9">
      <w:r w:rsidRPr="008F2F39">
        <w:t>For 201</w:t>
      </w:r>
      <w:r>
        <w:t>6</w:t>
      </w:r>
      <w:r>
        <w:noBreakHyphen/>
        <w:t>17</w:t>
      </w:r>
      <w:r w:rsidRPr="008F2F39">
        <w:t xml:space="preserve">, the </w:t>
      </w:r>
      <w:r>
        <w:t>increase</w:t>
      </w:r>
      <w:r w:rsidRPr="008F2F39">
        <w:t xml:space="preserve"> in net worth mainly </w:t>
      </w:r>
      <w:r>
        <w:t>reflects the recording of</w:t>
      </w:r>
      <w:r w:rsidRPr="008F2F39">
        <w:t xml:space="preserve"> an actuarial </w:t>
      </w:r>
      <w:r>
        <w:t>gain</w:t>
      </w:r>
      <w:r w:rsidRPr="008F2F39">
        <w:t xml:space="preserve"> </w:t>
      </w:r>
      <w:r>
        <w:t>related to the State</w:t>
      </w:r>
      <w:r w:rsidR="008A6DD6">
        <w:t>’</w:t>
      </w:r>
      <w:r>
        <w:t>s</w:t>
      </w:r>
      <w:r w:rsidRPr="008F2F39">
        <w:t xml:space="preserve"> defined benefit</w:t>
      </w:r>
      <w:r>
        <w:t xml:space="preserve"> plan</w:t>
      </w:r>
      <w:r w:rsidRPr="008F2F39">
        <w:t xml:space="preserve"> superannuation</w:t>
      </w:r>
      <w:r>
        <w:t xml:space="preserve"> liabilities</w:t>
      </w:r>
      <w:r w:rsidRPr="008F2F39">
        <w:t xml:space="preserve"> in the quarter</w:t>
      </w:r>
      <w:r>
        <w:t>,</w:t>
      </w:r>
      <w:r w:rsidRPr="008F2F39">
        <w:t xml:space="preserve"> </w:t>
      </w:r>
      <w:r>
        <w:t>primarily reflecting the effect of financial market movements in bond rates on the valuation of the superannuation liability</w:t>
      </w:r>
      <w:r w:rsidR="001D4652">
        <w:t>.</w:t>
      </w:r>
    </w:p>
    <w:p w:rsidR="00E2513D" w:rsidRPr="004B620C" w:rsidRDefault="00E2513D" w:rsidP="00E2513D">
      <w:pPr>
        <w:pStyle w:val="Subheadingunderline"/>
      </w:pPr>
      <w:bookmarkStart w:id="3" w:name="FinancialPosition"/>
      <w:r w:rsidRPr="004B620C">
        <w:t>Financial position</w:t>
      </w:r>
    </w:p>
    <w:bookmarkEnd w:id="3"/>
    <w:p w:rsidR="00E2513D" w:rsidRPr="00493E7D" w:rsidRDefault="00E2513D" w:rsidP="00E2513D">
      <w:r>
        <w:t>Net assets increased</w:t>
      </w:r>
      <w:r w:rsidRPr="00493E7D">
        <w:t xml:space="preserve"> by $</w:t>
      </w:r>
      <w:r w:rsidR="00387A8C">
        <w:t>556</w:t>
      </w:r>
      <w:r>
        <w:t> m</w:t>
      </w:r>
      <w:r w:rsidRPr="00493E7D">
        <w:t>illion to $1</w:t>
      </w:r>
      <w:r w:rsidR="00943AB6">
        <w:t>52.3</w:t>
      </w:r>
      <w:r w:rsidRPr="00493E7D">
        <w:t> billion for the three months to 30 September</w:t>
      </w:r>
      <w:r w:rsidR="001E7357">
        <w:t xml:space="preserve"> </w:t>
      </w:r>
      <w:r>
        <w:t>2016</w:t>
      </w:r>
      <w:r w:rsidR="004C55B2">
        <w:t>. Total assets increased by $</w:t>
      </w:r>
      <w:r w:rsidR="005B47C5">
        <w:t xml:space="preserve">760 million to $229.0 </w:t>
      </w:r>
      <w:r>
        <w:t>billion in the quarter mainly driven by an increase on</w:t>
      </w:r>
      <w:r w:rsidR="00387A8C">
        <w:t xml:space="preserve"> the value of the State</w:t>
      </w:r>
      <w:r w:rsidR="008A6DD6">
        <w:t>’</w:t>
      </w:r>
      <w:r w:rsidR="00387A8C">
        <w:t>s</w:t>
      </w:r>
      <w:r>
        <w:t xml:space="preserve"> investment</w:t>
      </w:r>
      <w:r w:rsidR="00387A8C">
        <w:t xml:space="preserve"> interest</w:t>
      </w:r>
      <w:r>
        <w:t xml:space="preserve"> in public non-financial corporations. Total liab</w:t>
      </w:r>
      <w:r w:rsidR="005B47C5">
        <w:t>ilities remained relatively stable at $76.8</w:t>
      </w:r>
      <w:r>
        <w:t xml:space="preserve"> billion.</w:t>
      </w:r>
    </w:p>
    <w:p w:rsidR="00E2513D" w:rsidRDefault="00E2513D" w:rsidP="00E2513D">
      <w:r w:rsidRPr="00095770">
        <w:t>Net debt increased by $</w:t>
      </w:r>
      <w:r>
        <w:t>1.2 billion to $23.5</w:t>
      </w:r>
      <w:r w:rsidRPr="00095770">
        <w:t xml:space="preserve"> billion in the quarter, </w:t>
      </w:r>
      <w:r>
        <w:t xml:space="preserve">mainly </w:t>
      </w:r>
      <w:r w:rsidRPr="00095770">
        <w:t xml:space="preserve">reflecting </w:t>
      </w:r>
      <w:r>
        <w:t>the progressive delivery of the Government</w:t>
      </w:r>
      <w:r w:rsidR="008A6DD6">
        <w:t>’</w:t>
      </w:r>
      <w:r>
        <w:t>s infrastructure program</w:t>
      </w:r>
      <w:r w:rsidRPr="00095770">
        <w:t xml:space="preserve">. After allowing for </w:t>
      </w:r>
      <w:r>
        <w:t xml:space="preserve">the </w:t>
      </w:r>
      <w:r w:rsidRPr="00095770">
        <w:t xml:space="preserve">timing </w:t>
      </w:r>
      <w:r w:rsidR="00387A8C">
        <w:t>of</w:t>
      </w:r>
      <w:r>
        <w:t xml:space="preserve"> finalising the Port of Melbourne lease transaction</w:t>
      </w:r>
      <w:r w:rsidR="00D949D0">
        <w:t>,</w:t>
      </w:r>
      <w:r>
        <w:t xml:space="preserve"> </w:t>
      </w:r>
      <w:r w:rsidRPr="00014798">
        <w:t>the increase in net debt is consistent with budget expectations</w:t>
      </w:r>
      <w:r w:rsidR="00387A8C">
        <w:t xml:space="preserve"> a</w:t>
      </w:r>
      <w:r w:rsidR="00411FE9">
        <w:t>t</w:t>
      </w:r>
      <w:r w:rsidR="00387A8C">
        <w:t xml:space="preserve"> this time of year</w:t>
      </w:r>
      <w:r w:rsidRPr="00014798">
        <w:t>.</w:t>
      </w:r>
    </w:p>
    <w:p w:rsidR="004B620C" w:rsidRDefault="00900ED4" w:rsidP="004B620C">
      <w:pPr>
        <w:pStyle w:val="Subheadingunderline"/>
      </w:pPr>
      <w:bookmarkStart w:id="4" w:name="CashFlows"/>
      <w:r>
        <w:br w:type="column"/>
      </w:r>
      <w:r w:rsidR="004B620C">
        <w:lastRenderedPageBreak/>
        <w:t>Cash flows</w:t>
      </w:r>
      <w:bookmarkEnd w:id="4"/>
    </w:p>
    <w:p w:rsidR="000037C4" w:rsidRDefault="00FF6E84" w:rsidP="00AB77B2">
      <w:r w:rsidRPr="00135C7F">
        <w:t>Cash flow movements disclosed in the cash flow statement were consistent with the combined impact of the</w:t>
      </w:r>
      <w:r>
        <w:t xml:space="preserve"> previously</w:t>
      </w:r>
      <w:r w:rsidRPr="00135C7F">
        <w:t xml:space="preserve"> mentioned drivers associated with the operat</w:t>
      </w:r>
      <w:r w:rsidR="00CD5BA1">
        <w:t>ing statement and balance sheet.</w:t>
      </w:r>
    </w:p>
    <w:p w:rsidR="005A3090" w:rsidRDefault="005A3090" w:rsidP="005A3090">
      <w:pPr>
        <w:pStyle w:val="Subheadingunderline"/>
      </w:pPr>
      <w:bookmarkStart w:id="5" w:name="InfrastructureInvestment"/>
      <w:r w:rsidRPr="00FF6E84">
        <w:t>Infrastructure investment</w:t>
      </w:r>
    </w:p>
    <w:bookmarkEnd w:id="5"/>
    <w:p w:rsidR="005A3090" w:rsidRDefault="005A3090" w:rsidP="005A3090">
      <w:r>
        <w:t>The State continues to deliver its infrastructure program to support growing community needs and ongoing productivity improvement.</w:t>
      </w:r>
    </w:p>
    <w:p w:rsidR="005A3090" w:rsidRDefault="005A3090" w:rsidP="005A3090">
      <w:r>
        <w:t>For the three months to 30 September 2016, net investment in infrastructure totalled $1.6 billion, in line with full year budget expectations.</w:t>
      </w:r>
    </w:p>
    <w:p w:rsidR="005A3090" w:rsidRDefault="005A3090" w:rsidP="00AB77B2"/>
    <w:p w:rsidR="005A3090" w:rsidRDefault="005A3090" w:rsidP="00AB77B2">
      <w:pPr>
        <w:sectPr w:rsidR="005A3090" w:rsidSect="00991E04">
          <w:footerReference w:type="even" r:id="rId13"/>
          <w:footerReference w:type="default" r:id="rId14"/>
          <w:pgSz w:w="11906" w:h="16838" w:code="9"/>
          <w:pgMar w:top="1134" w:right="1134" w:bottom="1134" w:left="1134" w:header="624" w:footer="567" w:gutter="0"/>
          <w:pgNumType w:start="1"/>
          <w:cols w:num="2" w:space="708"/>
          <w:docGrid w:linePitch="360"/>
        </w:sectPr>
      </w:pPr>
    </w:p>
    <w:p w:rsidR="005A3090" w:rsidRDefault="005A3090"/>
    <w:p w:rsidR="005A3090" w:rsidRDefault="005A3090"/>
    <w:p w:rsidR="00CD5BA1" w:rsidRDefault="00CD5BA1">
      <w:r>
        <w:br w:type="page"/>
      </w:r>
    </w:p>
    <w:p w:rsidR="003A2715" w:rsidRDefault="003A2715" w:rsidP="003A2715">
      <w:pPr>
        <w:pStyle w:val="HighlightBoxHeading"/>
      </w:pPr>
      <w:r>
        <w:lastRenderedPageBreak/>
        <w:t>The Government</w:t>
      </w:r>
      <w:r w:rsidR="008A6DD6">
        <w:t>’</w:t>
      </w:r>
      <w:r>
        <w:t>s infrastructure scorecard as at 30 September 2016</w:t>
      </w:r>
    </w:p>
    <w:p w:rsidR="003A2715" w:rsidRDefault="003A2715" w:rsidP="003A2715">
      <w:pPr>
        <w:pStyle w:val="HighlightBoxText"/>
        <w:spacing w:before="120"/>
      </w:pPr>
      <w:r>
        <w:t>Major projects completed during the quarter include:</w:t>
      </w:r>
    </w:p>
    <w:p w:rsidR="003A2715" w:rsidRPr="0075680D" w:rsidRDefault="003A2715" w:rsidP="003A2715">
      <w:pPr>
        <w:pStyle w:val="HighlightBullet"/>
        <w:numPr>
          <w:ilvl w:val="0"/>
          <w:numId w:val="49"/>
        </w:numPr>
      </w:pPr>
      <w:r>
        <w:t>Box Hill Hospital redevelopment.</w:t>
      </w:r>
    </w:p>
    <w:p w:rsidR="003A2715" w:rsidRDefault="003A2715" w:rsidP="003A2715">
      <w:pPr>
        <w:pStyle w:val="HighlightBoxText"/>
        <w:spacing w:before="120"/>
      </w:pPr>
      <w:r>
        <w:t>Major projects in progress include:</w:t>
      </w:r>
    </w:p>
    <w:p w:rsidR="003A2715" w:rsidRDefault="003A2715" w:rsidP="003A2715">
      <w:pPr>
        <w:pStyle w:val="HighlightBullet"/>
        <w:numPr>
          <w:ilvl w:val="0"/>
          <w:numId w:val="49"/>
        </w:numPr>
      </w:pPr>
      <w:r w:rsidRPr="00D273C6">
        <w:t>Bendigo Hospital</w:t>
      </w:r>
      <w:r>
        <w:t>;</w:t>
      </w:r>
    </w:p>
    <w:p w:rsidR="003A2715" w:rsidRPr="0075680D" w:rsidRDefault="003A2715" w:rsidP="003A2715">
      <w:pPr>
        <w:pStyle w:val="HighlightBullet"/>
        <w:numPr>
          <w:ilvl w:val="0"/>
          <w:numId w:val="49"/>
        </w:numPr>
      </w:pPr>
      <w:r>
        <w:t xml:space="preserve">Casey Hospital </w:t>
      </w:r>
      <w:r w:rsidR="00125E84">
        <w:t>e</w:t>
      </w:r>
      <w:r>
        <w:t>xpansion;</w:t>
      </w:r>
    </w:p>
    <w:p w:rsidR="003A2715" w:rsidRPr="00D273C6" w:rsidRDefault="00125E84" w:rsidP="003A2715">
      <w:pPr>
        <w:pStyle w:val="HighlightBullet"/>
        <w:numPr>
          <w:ilvl w:val="0"/>
          <w:numId w:val="49"/>
        </w:numPr>
      </w:pPr>
      <w:proofErr w:type="spellStart"/>
      <w:r>
        <w:t>CityLink</w:t>
      </w:r>
      <w:proofErr w:type="spellEnd"/>
      <w:r>
        <w:t>–</w:t>
      </w:r>
      <w:proofErr w:type="spellStart"/>
      <w:r w:rsidR="003A2715" w:rsidRPr="00D273C6">
        <w:t>Tulla</w:t>
      </w:r>
      <w:proofErr w:type="spellEnd"/>
      <w:r w:rsidR="003A2715" w:rsidRPr="00D273C6">
        <w:t xml:space="preserve"> widening;</w:t>
      </w:r>
    </w:p>
    <w:p w:rsidR="003A2715" w:rsidRPr="00D273C6" w:rsidRDefault="003A2715" w:rsidP="003A2715">
      <w:pPr>
        <w:pStyle w:val="HighlightBullet"/>
        <w:numPr>
          <w:ilvl w:val="0"/>
          <w:numId w:val="49"/>
        </w:numPr>
      </w:pPr>
      <w:r>
        <w:t xml:space="preserve">Chandler Highway </w:t>
      </w:r>
      <w:r w:rsidR="00F72EE4">
        <w:t>Bridge duplication;</w:t>
      </w:r>
    </w:p>
    <w:p w:rsidR="003A2715" w:rsidRPr="00D273C6" w:rsidRDefault="003A2715" w:rsidP="003A2715">
      <w:pPr>
        <w:pStyle w:val="HighlightBullet"/>
        <w:numPr>
          <w:ilvl w:val="0"/>
          <w:numId w:val="49"/>
        </w:numPr>
      </w:pPr>
      <w:r w:rsidRPr="00D273C6">
        <w:t>Goulburn</w:t>
      </w:r>
      <w:r w:rsidRPr="00D273C6">
        <w:noBreakHyphen/>
        <w:t>Murray Water Connections Project (Northern Victoria Irrigation Renewal Project);</w:t>
      </w:r>
    </w:p>
    <w:p w:rsidR="003A2715" w:rsidRPr="00D273C6" w:rsidRDefault="003A2715" w:rsidP="003A2715">
      <w:pPr>
        <w:pStyle w:val="HighlightBullet"/>
        <w:numPr>
          <w:ilvl w:val="0"/>
          <w:numId w:val="49"/>
        </w:numPr>
      </w:pPr>
      <w:r w:rsidRPr="00D273C6">
        <w:t xml:space="preserve">Joan </w:t>
      </w:r>
      <w:proofErr w:type="spellStart"/>
      <w:r w:rsidRPr="00D273C6">
        <w:t>Kirner</w:t>
      </w:r>
      <w:proofErr w:type="spellEnd"/>
      <w:r w:rsidRPr="00D273C6">
        <w:t xml:space="preserve"> Women</w:t>
      </w:r>
      <w:r w:rsidR="008A6DD6">
        <w:t>’</w:t>
      </w:r>
      <w:r w:rsidRPr="00D273C6">
        <w:t>s and Children</w:t>
      </w:r>
      <w:r w:rsidR="008A6DD6">
        <w:t>’</w:t>
      </w:r>
      <w:r w:rsidRPr="00D273C6">
        <w:t>s Hospital;</w:t>
      </w:r>
    </w:p>
    <w:p w:rsidR="003A2715" w:rsidRPr="00D273C6" w:rsidRDefault="003A2715" w:rsidP="003A2715">
      <w:pPr>
        <w:pStyle w:val="HighlightBullet"/>
        <w:numPr>
          <w:ilvl w:val="0"/>
          <w:numId w:val="49"/>
        </w:numPr>
      </w:pPr>
      <w:r w:rsidRPr="00D273C6">
        <w:t>Level Crossing Removal Program;</w:t>
      </w:r>
    </w:p>
    <w:p w:rsidR="003A2715" w:rsidRPr="00D273C6" w:rsidRDefault="003A2715" w:rsidP="003A2715">
      <w:pPr>
        <w:pStyle w:val="HighlightBullet"/>
        <w:numPr>
          <w:ilvl w:val="0"/>
          <w:numId w:val="49"/>
        </w:numPr>
      </w:pPr>
      <w:r>
        <w:t>M80 Upgrade – Sunshine Avenue to Calder Freeway;</w:t>
      </w:r>
    </w:p>
    <w:p w:rsidR="003A2715" w:rsidRDefault="003A2715" w:rsidP="003A2715">
      <w:pPr>
        <w:pStyle w:val="HighlightBullet"/>
        <w:numPr>
          <w:ilvl w:val="0"/>
          <w:numId w:val="49"/>
        </w:numPr>
      </w:pPr>
      <w:r>
        <w:t xml:space="preserve">Melbourne Convention and Exhibition Centre </w:t>
      </w:r>
      <w:r w:rsidR="00125E84">
        <w:t xml:space="preserve">– </w:t>
      </w:r>
      <w:r>
        <w:t>Stage 2;</w:t>
      </w:r>
    </w:p>
    <w:p w:rsidR="00183D02" w:rsidRDefault="00183D02" w:rsidP="003A2715">
      <w:pPr>
        <w:pStyle w:val="HighlightBullet"/>
        <w:numPr>
          <w:ilvl w:val="0"/>
          <w:numId w:val="49"/>
        </w:numPr>
      </w:pPr>
      <w:r>
        <w:t>Melbourne Park Redevelopment – Stage 2;</w:t>
      </w:r>
    </w:p>
    <w:p w:rsidR="003A2715" w:rsidRDefault="003A2715" w:rsidP="003A2715">
      <w:pPr>
        <w:pStyle w:val="HighlightBullet"/>
        <w:numPr>
          <w:ilvl w:val="0"/>
          <w:numId w:val="49"/>
        </w:numPr>
      </w:pPr>
      <w:r>
        <w:t>Mernda Rail Extension Project;</w:t>
      </w:r>
    </w:p>
    <w:p w:rsidR="003A2715" w:rsidRDefault="003A2715" w:rsidP="003A2715">
      <w:pPr>
        <w:pStyle w:val="HighlightBullet"/>
        <w:numPr>
          <w:ilvl w:val="0"/>
          <w:numId w:val="49"/>
        </w:numPr>
      </w:pPr>
      <w:r>
        <w:t xml:space="preserve">Metro Tunnel – Early Works Package; </w:t>
      </w:r>
    </w:p>
    <w:p w:rsidR="003A2715" w:rsidRDefault="003A2715" w:rsidP="003A2715">
      <w:pPr>
        <w:pStyle w:val="HighlightBullet"/>
        <w:numPr>
          <w:ilvl w:val="0"/>
          <w:numId w:val="49"/>
        </w:numPr>
      </w:pPr>
      <w:r>
        <w:t>Metro Tunnel – Rail Systems Package;</w:t>
      </w:r>
    </w:p>
    <w:p w:rsidR="003A2715" w:rsidRPr="00D273C6" w:rsidRDefault="003A2715" w:rsidP="003A2715">
      <w:pPr>
        <w:pStyle w:val="HighlightBullet"/>
        <w:numPr>
          <w:ilvl w:val="0"/>
          <w:numId w:val="49"/>
        </w:numPr>
      </w:pPr>
      <w:r>
        <w:t>Metro Tunnel – Tunnel and Stations Package</w:t>
      </w:r>
      <w:r w:rsidR="00196EF7">
        <w:t>;</w:t>
      </w:r>
    </w:p>
    <w:p w:rsidR="003A2715" w:rsidRDefault="003A2715" w:rsidP="003A2715">
      <w:pPr>
        <w:pStyle w:val="HighlightBullet"/>
        <w:numPr>
          <w:ilvl w:val="0"/>
          <w:numId w:val="49"/>
        </w:numPr>
      </w:pPr>
      <w:r>
        <w:t>Monash Children</w:t>
      </w:r>
      <w:r w:rsidR="008A6DD6">
        <w:t>’</w:t>
      </w:r>
      <w:r>
        <w:t>s Hospital;</w:t>
      </w:r>
    </w:p>
    <w:p w:rsidR="003A2715" w:rsidRDefault="003A2715" w:rsidP="003A2715">
      <w:pPr>
        <w:pStyle w:val="HighlightBullet"/>
        <w:numPr>
          <w:ilvl w:val="0"/>
          <w:numId w:val="49"/>
        </w:numPr>
      </w:pPr>
      <w:r>
        <w:t>Murray Basin Rail Project;</w:t>
      </w:r>
    </w:p>
    <w:p w:rsidR="003A2715" w:rsidRDefault="003A2715" w:rsidP="003A2715">
      <w:pPr>
        <w:pStyle w:val="HighlightBullet"/>
        <w:numPr>
          <w:ilvl w:val="0"/>
          <w:numId w:val="49"/>
        </w:numPr>
      </w:pPr>
      <w:r>
        <w:t>New Schools (</w:t>
      </w:r>
      <w:r w:rsidR="00125E84">
        <w:t>private public partnership</w:t>
      </w:r>
      <w:r>
        <w:t>);</w:t>
      </w:r>
    </w:p>
    <w:p w:rsidR="003A2715" w:rsidRDefault="003A2715" w:rsidP="003A2715">
      <w:pPr>
        <w:pStyle w:val="HighlightBullet"/>
        <w:numPr>
          <w:ilvl w:val="0"/>
          <w:numId w:val="49"/>
        </w:numPr>
      </w:pPr>
      <w:r>
        <w:t>New trains, trams and associated infrastructure for Melbourne commuters;</w:t>
      </w:r>
    </w:p>
    <w:p w:rsidR="003A2715" w:rsidRDefault="003A2715" w:rsidP="003A2715">
      <w:pPr>
        <w:pStyle w:val="HighlightBullet"/>
        <w:numPr>
          <w:ilvl w:val="0"/>
          <w:numId w:val="49"/>
        </w:numPr>
      </w:pPr>
      <w:r>
        <w:t>Port capacity;</w:t>
      </w:r>
    </w:p>
    <w:p w:rsidR="003A2715" w:rsidRPr="00AD638D" w:rsidRDefault="003A2715" w:rsidP="003A2715">
      <w:pPr>
        <w:pStyle w:val="HighlightBullet"/>
        <w:numPr>
          <w:ilvl w:val="0"/>
          <w:numId w:val="49"/>
        </w:numPr>
      </w:pPr>
      <w:r>
        <w:t>Police communications upgrade</w:t>
      </w:r>
      <w:r w:rsidR="00196EF7">
        <w:t>;</w:t>
      </w:r>
    </w:p>
    <w:p w:rsidR="003A2715" w:rsidRDefault="003A2715" w:rsidP="003A2715">
      <w:pPr>
        <w:pStyle w:val="HighlightBullet"/>
        <w:numPr>
          <w:ilvl w:val="0"/>
          <w:numId w:val="49"/>
        </w:numPr>
      </w:pPr>
      <w:r>
        <w:t>Princes Highway duplication project – Winchelsea to Colac;</w:t>
      </w:r>
    </w:p>
    <w:p w:rsidR="003A2715" w:rsidRDefault="003A2715" w:rsidP="003A2715">
      <w:pPr>
        <w:pStyle w:val="HighlightBullet"/>
        <w:numPr>
          <w:ilvl w:val="0"/>
          <w:numId w:val="49"/>
        </w:numPr>
      </w:pPr>
      <w:r>
        <w:t>Princes Highway East – Traralgon to Sale duplication;</w:t>
      </w:r>
    </w:p>
    <w:p w:rsidR="003A2715" w:rsidRDefault="003A2715" w:rsidP="003A2715">
      <w:pPr>
        <w:pStyle w:val="HighlightBullet"/>
        <w:numPr>
          <w:ilvl w:val="0"/>
          <w:numId w:val="49"/>
        </w:numPr>
      </w:pPr>
      <w:r>
        <w:t>Ravenhall</w:t>
      </w:r>
      <w:r w:rsidR="00F72EE4">
        <w:t xml:space="preserve"> – New Male Prison</w:t>
      </w:r>
      <w:r>
        <w:t>;</w:t>
      </w:r>
    </w:p>
    <w:p w:rsidR="003A2715" w:rsidRDefault="003A2715" w:rsidP="003A2715">
      <w:pPr>
        <w:pStyle w:val="HighlightBullet"/>
        <w:numPr>
          <w:ilvl w:val="0"/>
          <w:numId w:val="49"/>
        </w:numPr>
      </w:pPr>
      <w:r>
        <w:t>Regional rolling stock;</w:t>
      </w:r>
    </w:p>
    <w:p w:rsidR="003A2715" w:rsidRDefault="003A2715" w:rsidP="003A2715">
      <w:pPr>
        <w:pStyle w:val="HighlightBullet"/>
        <w:numPr>
          <w:ilvl w:val="0"/>
          <w:numId w:val="49"/>
        </w:numPr>
      </w:pPr>
      <w:r>
        <w:t>Royal Victorian Eye and Ear Hospital</w:t>
      </w:r>
      <w:r w:rsidR="00183D02">
        <w:t xml:space="preserve"> r</w:t>
      </w:r>
      <w:r w:rsidR="00F72EE4">
        <w:t>edevelopment</w:t>
      </w:r>
      <w:r w:rsidR="00196EF7">
        <w:t>;</w:t>
      </w:r>
    </w:p>
    <w:p w:rsidR="003A2715" w:rsidRPr="00D273C6" w:rsidRDefault="003A2715" w:rsidP="003A2715">
      <w:pPr>
        <w:pStyle w:val="HighlightBullet"/>
        <w:numPr>
          <w:ilvl w:val="0"/>
          <w:numId w:val="49"/>
        </w:numPr>
      </w:pPr>
      <w:r w:rsidRPr="00D273C6">
        <w:t xml:space="preserve">Western </w:t>
      </w:r>
      <w:r>
        <w:t>Distributor; and</w:t>
      </w:r>
    </w:p>
    <w:p w:rsidR="003A2715" w:rsidRDefault="003A2715" w:rsidP="003A2715">
      <w:pPr>
        <w:pStyle w:val="HighlightBullet"/>
        <w:numPr>
          <w:ilvl w:val="0"/>
          <w:numId w:val="49"/>
        </w:numPr>
      </w:pPr>
      <w:r>
        <w:t>Western Highway duplication – Ballarat to Stawell.</w:t>
      </w:r>
    </w:p>
    <w:p w:rsidR="003A2715" w:rsidRDefault="003A2715">
      <w:pPr>
        <w:sectPr w:rsidR="003A2715" w:rsidSect="003A2715">
          <w:type w:val="continuous"/>
          <w:pgSz w:w="11906" w:h="16838" w:code="9"/>
          <w:pgMar w:top="1134" w:right="1134" w:bottom="1134" w:left="1134" w:header="624" w:footer="567" w:gutter="0"/>
          <w:cols w:space="708"/>
          <w:docGrid w:linePitch="360"/>
        </w:sectPr>
      </w:pPr>
    </w:p>
    <w:p w:rsidR="00F163B3" w:rsidRDefault="006932FC" w:rsidP="003239D0">
      <w:pPr>
        <w:pStyle w:val="Heading1unnumbered"/>
        <w:pageBreakBefore/>
      </w:pPr>
      <w:bookmarkStart w:id="6" w:name="ConsolidatedOS"/>
      <w:r w:rsidRPr="006932FC">
        <w:lastRenderedPageBreak/>
        <w:t>Consolidated comprehensive operating statement</w:t>
      </w:r>
      <w:bookmarkEnd w:id="6"/>
    </w:p>
    <w:p w:rsidR="00012598" w:rsidRPr="00012598" w:rsidRDefault="00F163B3" w:rsidP="00012598">
      <w:pPr>
        <w:pStyle w:val="Subheading"/>
        <w:rPr>
          <w:rStyle w:val="TableUnitsChar"/>
          <w:bCs/>
          <w:lang w:val="en-US"/>
        </w:rPr>
      </w:pPr>
      <w:r>
        <w:t>F</w:t>
      </w:r>
      <w:r w:rsidR="006932FC" w:rsidRPr="006932FC">
        <w:t>or the period ended 30 September</w:t>
      </w:r>
      <w:r>
        <w:tab/>
      </w:r>
      <w:r w:rsidRPr="00F163B3">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rHeight w:val="743"/>
          <w:tblHeader/>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pStyle w:val="Note"/>
              <w:rPr>
                <w:rFonts w:eastAsiaTheme="minorEastAsia" w:cs="Calibri"/>
                <w:iCs/>
                <w:color w:val="FFFFFF"/>
                <w:sz w:val="17"/>
                <w:szCs w:val="18"/>
                <w:lang w:eastAsia="en-AU"/>
              </w:rPr>
            </w:pPr>
            <w:r w:rsidRPr="00012598">
              <w:rPr>
                <w:rFonts w:eastAsiaTheme="minorEastAsia" w:cs="Calibri"/>
                <w:i/>
                <w:iCs/>
                <w:color w:val="FFFFFF"/>
                <w:sz w:val="17"/>
                <w:szCs w:val="18"/>
                <w:lang w:eastAsia="en-AU"/>
              </w:rPr>
              <w:t xml:space="preserve">2015-16 </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 xml:space="preserve">actual </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30 Sep</w:t>
            </w:r>
          </w:p>
        </w:tc>
        <w:tc>
          <w:tcPr>
            <w:tcW w:w="6009" w:type="dxa"/>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Notes</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 xml:space="preserve">2016-17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 xml:space="preserve">actual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 </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 xml:space="preserve">annual </w:t>
            </w:r>
          </w:p>
          <w:p w:rsidR="007449DC" w:rsidRPr="00012598" w:rsidRDefault="007449DC"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Revenue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5 061</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Taxation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2.1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5 265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21 594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Interest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168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881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Dividends, income tax equivalent and rate equivalent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2.2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1 059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1 661</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Sales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2.3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1 672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6 843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6 010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Grant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6 699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27 424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564</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2.5</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510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2 569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13 559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revenue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14 391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60 370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Expenses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4 768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Employee expenses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5 179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21 298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superannuation 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484EA4" w:rsidP="00012598">
            <w:pPr>
              <w:autoSpaceDE w:val="0"/>
              <w:autoSpaceDN w:val="0"/>
              <w:adjustRightInd w:val="0"/>
              <w:jc w:val="center"/>
              <w:rPr>
                <w:rFonts w:eastAsiaTheme="minorEastAsia" w:cs="Calibri"/>
                <w:color w:val="000000"/>
                <w:szCs w:val="18"/>
                <w:lang w:eastAsia="en-AU"/>
              </w:rPr>
            </w:pPr>
            <w:r>
              <w:rPr>
                <w:rFonts w:eastAsiaTheme="minorEastAsia" w:cs="Calibri"/>
                <w:color w:val="000000"/>
                <w:szCs w:val="18"/>
                <w:lang w:eastAsia="en-AU"/>
              </w:rPr>
              <w:t>3.3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199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554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484EA4" w:rsidP="00012598">
            <w:pPr>
              <w:autoSpaceDE w:val="0"/>
              <w:autoSpaceDN w:val="0"/>
              <w:adjustRightInd w:val="0"/>
              <w:jc w:val="center"/>
              <w:rPr>
                <w:rFonts w:eastAsiaTheme="minorEastAsia" w:cs="Calibri"/>
                <w:color w:val="000000"/>
                <w:szCs w:val="18"/>
                <w:lang w:eastAsia="en-AU"/>
              </w:rPr>
            </w:pPr>
            <w:r>
              <w:rPr>
                <w:rFonts w:eastAsiaTheme="minorEastAsia" w:cs="Calibri"/>
                <w:color w:val="000000"/>
                <w:szCs w:val="18"/>
                <w:lang w:eastAsia="en-AU"/>
              </w:rPr>
              <w:t>3.3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552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2 239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605</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4.2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2 620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513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2 433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2 172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Grant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2 587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9 451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4 204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operating expenses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4 295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18 669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13 040</w:t>
            </w:r>
          </w:p>
        </w:tc>
        <w:tc>
          <w:tcPr>
            <w:tcW w:w="6009"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expenses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2477E" w:rsidP="00012598">
            <w:pPr>
              <w:autoSpaceDE w:val="0"/>
              <w:autoSpaceDN w:val="0"/>
              <w:adjustRightInd w:val="0"/>
              <w:jc w:val="center"/>
              <w:rPr>
                <w:rFonts w:eastAsiaTheme="minorEastAsia" w:cs="Calibri"/>
                <w:bCs/>
                <w:color w:val="000000"/>
                <w:szCs w:val="18"/>
                <w:lang w:eastAsia="en-AU"/>
              </w:rPr>
            </w:pPr>
            <w:r>
              <w:rPr>
                <w:rFonts w:eastAsiaTheme="minorEastAsia" w:cs="Calibri"/>
                <w:bCs/>
                <w:color w:val="000000"/>
                <w:szCs w:val="18"/>
                <w:lang w:eastAsia="en-AU"/>
              </w:rPr>
              <w:t>3.4</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13 911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57 501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519</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result from transactions – net operating balance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480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2 869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Other economic flows included in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gain/(loss) on disposal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gain/(loss) on financial assets or liabilities at fair value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Share of net profit/(loss) from associates/joint venture entities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gains/(losses) from other economic flows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7.1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(124)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(318)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(166)</w:t>
            </w:r>
          </w:p>
        </w:tc>
        <w:tc>
          <w:tcPr>
            <w:tcW w:w="6009"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other economic flows included in net result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(110)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(234)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353</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result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370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2 635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Other economic flows – other comprehensive income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Items that will not be reclassified to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Changes in non-financial assets revaluation surplus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(93)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(1 934)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roofErr w:type="spellStart"/>
            <w:r w:rsidRPr="00012598">
              <w:rPr>
                <w:rFonts w:eastAsiaTheme="minorEastAsia" w:cs="Calibri"/>
                <w:color w:val="000000"/>
                <w:szCs w:val="18"/>
                <w:lang w:eastAsia="en-AU"/>
              </w:rPr>
              <w:t>Remeasurement</w:t>
            </w:r>
            <w:proofErr w:type="spellEnd"/>
            <w:r w:rsidRPr="00012598">
              <w:rPr>
                <w:rFonts w:eastAsiaTheme="minorEastAsia" w:cs="Calibri"/>
                <w:color w:val="000000"/>
                <w:szCs w:val="18"/>
                <w:lang w:eastAsia="en-AU"/>
              </w:rPr>
              <w:t xml:space="preserve"> of superannuation defined benefits plans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256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Other movements in equity </w:t>
            </w:r>
            <w:r w:rsidRPr="00012598">
              <w:rPr>
                <w:rFonts w:eastAsiaTheme="minorEastAsia" w:cs="Calibri"/>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Items that may be reclassified subsequently to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gain/(loss) on financial assets at fair value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gain/(loss) on equity investments in other sector entities at proportional share of the carrying amount of net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2 707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(1 892)</w:t>
            </w:r>
          </w:p>
        </w:tc>
        <w:tc>
          <w:tcPr>
            <w:tcW w:w="6009"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 xml:space="preserve">Total other economic flows – other comprehensive income </w:t>
            </w:r>
            <w:r w:rsidRPr="00012598">
              <w:rPr>
                <w:rFonts w:eastAsiaTheme="minorEastAsia" w:cs="Calibri"/>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236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3 693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(1 539)</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 xml:space="preserve">Comprehensive result – total change in net worth </w:t>
            </w:r>
            <w:r w:rsidRPr="00012598">
              <w:rPr>
                <w:rFonts w:eastAsiaTheme="minorEastAsia" w:cs="Calibri"/>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607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6 328</w:t>
            </w:r>
          </w:p>
        </w:tc>
      </w:tr>
      <w:tr w:rsidR="00012598" w:rsidRPr="00012598" w:rsidTr="00012598">
        <w:trPr>
          <w:trHeight w:hRule="exact" w:val="120"/>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KEY FISCAL AGGREGRATES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519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operating balance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480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2 869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Less: Net acquisition of non-financial assets from transactions </w:t>
            </w:r>
            <w:r w:rsidRPr="00012598">
              <w:rPr>
                <w:rFonts w:eastAsiaTheme="minorEastAsia" w:cs="Calibri"/>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2477E" w:rsidP="00012598">
            <w:pPr>
              <w:autoSpaceDE w:val="0"/>
              <w:autoSpaceDN w:val="0"/>
              <w:adjustRightInd w:val="0"/>
              <w:jc w:val="center"/>
              <w:rPr>
                <w:rFonts w:eastAsiaTheme="minorEastAsia" w:cs="Calibri"/>
                <w:color w:val="000000"/>
                <w:lang w:eastAsia="en-AU"/>
              </w:rPr>
            </w:pPr>
            <w:r>
              <w:rPr>
                <w:rFonts w:eastAsiaTheme="minorEastAsia" w:cs="Calibri"/>
                <w:color w:val="000000"/>
                <w:lang w:eastAsia="en-AU"/>
              </w:rPr>
              <w:t>3.6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1 104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437</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 xml:space="preserve">Net lending/(borrowing) </w:t>
            </w:r>
            <w:r w:rsidRPr="00012598">
              <w:rPr>
                <w:rFonts w:eastAsiaTheme="minorEastAsia" w:cs="Calibri"/>
                <w:b/>
                <w:bCs/>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472</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1 765</w:t>
            </w:r>
          </w:p>
        </w:tc>
      </w:tr>
    </w:tbl>
    <w:p w:rsidR="003433BF" w:rsidRDefault="003433BF" w:rsidP="003433BF">
      <w:pPr>
        <w:pStyle w:val="Note"/>
        <w:rPr>
          <w:szCs w:val="16"/>
        </w:rPr>
      </w:pPr>
      <w:r w:rsidRPr="003433BF">
        <w:rPr>
          <w:rStyle w:val="TableUnitsChar"/>
          <w:sz w:val="16"/>
          <w:szCs w:val="16"/>
        </w:rPr>
        <w:t xml:space="preserve">The accompanying notes form part of </w:t>
      </w:r>
      <w:r>
        <w:rPr>
          <w:szCs w:val="16"/>
        </w:rPr>
        <w:t>these financial statements.</w:t>
      </w:r>
    </w:p>
    <w:p w:rsidR="00C91879" w:rsidRDefault="00C91879" w:rsidP="003433BF">
      <w:pPr>
        <w:pStyle w:val="Note"/>
        <w:rPr>
          <w:szCs w:val="16"/>
        </w:rPr>
      </w:pPr>
    </w:p>
    <w:p w:rsidR="00C91879" w:rsidRDefault="00714E07" w:rsidP="003433BF">
      <w:pPr>
        <w:pStyle w:val="Note"/>
        <w:rPr>
          <w:szCs w:val="16"/>
        </w:rPr>
      </w:pPr>
      <w:r>
        <w:rPr>
          <w:szCs w:val="16"/>
        </w:rPr>
        <w:t>Note</w:t>
      </w:r>
      <w:r w:rsidR="001E7357">
        <w:rPr>
          <w:szCs w:val="16"/>
        </w:rPr>
        <w:t>s</w:t>
      </w:r>
      <w:r>
        <w:rPr>
          <w:szCs w:val="16"/>
        </w:rPr>
        <w:t>:</w:t>
      </w:r>
    </w:p>
    <w:p w:rsidR="00E521DA" w:rsidRDefault="00B52349" w:rsidP="00B52349">
      <w:pPr>
        <w:pStyle w:val="Note"/>
      </w:pPr>
      <w:r>
        <w:t>(a)</w:t>
      </w:r>
      <w:r>
        <w:tab/>
      </w:r>
      <w:r w:rsidR="001534AD">
        <w:t>September</w:t>
      </w:r>
      <w:r w:rsidR="00E521DA" w:rsidRPr="00CB7B9B">
        <w:t xml:space="preserve"> 2015</w:t>
      </w:r>
      <w:r w:rsidR="00AF7CAA">
        <w:t>-16</w:t>
      </w:r>
      <w:r w:rsidR="00E521DA" w:rsidRPr="00CB7B9B">
        <w:t xml:space="preserve"> comparative figures have been restated to finalise the allocation of equity balances between contributed capital and accumulated funds related to prior year machinery of government changes.</w:t>
      </w:r>
    </w:p>
    <w:p w:rsidR="00143FDA" w:rsidRPr="00787DF9" w:rsidRDefault="00143FDA" w:rsidP="00143FDA">
      <w:pPr>
        <w:pStyle w:val="Note"/>
      </w:pPr>
      <w:r>
        <w:rPr>
          <w:rStyle w:val="TableUnitsChar"/>
          <w:sz w:val="16"/>
        </w:rPr>
        <w:t>(b</w:t>
      </w:r>
      <w:r w:rsidRPr="00B52349">
        <w:rPr>
          <w:rStyle w:val="TableUnitsChar"/>
          <w:sz w:val="16"/>
        </w:rPr>
        <w:t>)</w:t>
      </w:r>
      <w:r w:rsidRPr="00B52349">
        <w:rPr>
          <w:rStyle w:val="TableUnitsChar"/>
          <w:sz w:val="16"/>
        </w:rPr>
        <w:tab/>
      </w:r>
      <w:r w:rsidRPr="009F357D">
        <w:t>September</w:t>
      </w:r>
      <w:r>
        <w:t xml:space="preserve"> 2015-16 comparative figures and </w:t>
      </w:r>
      <w:r w:rsidRPr="001E4B96">
        <w:rPr>
          <w:i w:val="0"/>
        </w:rPr>
        <w:t>2016-17 Budget</w:t>
      </w:r>
      <w:r>
        <w:t xml:space="preserve"> figures have been restated to reflect more current information.</w:t>
      </w:r>
    </w:p>
    <w:p w:rsidR="00143FDA" w:rsidRDefault="00143FDA" w:rsidP="00B52349">
      <w:pPr>
        <w:pStyle w:val="Note"/>
      </w:pPr>
    </w:p>
    <w:p w:rsidR="00F163B3" w:rsidRDefault="00F163B3" w:rsidP="003239D0">
      <w:pPr>
        <w:pStyle w:val="Heading1unnumbered"/>
        <w:pageBreakBefore/>
      </w:pPr>
      <w:bookmarkStart w:id="7" w:name="ConsolidatedBS"/>
      <w:r>
        <w:lastRenderedPageBreak/>
        <w:t>Consolidated balance sheet</w:t>
      </w:r>
      <w:bookmarkEnd w:id="7"/>
    </w:p>
    <w:p w:rsidR="00012598" w:rsidRPr="00012598" w:rsidRDefault="00F163B3" w:rsidP="00012598">
      <w:pPr>
        <w:pStyle w:val="Subheading"/>
        <w:rPr>
          <w:rStyle w:val="TableUnitsChar"/>
          <w:bCs/>
          <w:lang w:val="en-US"/>
        </w:rPr>
      </w:pPr>
      <w:r w:rsidRPr="00F163B3">
        <w:t>A</w:t>
      </w:r>
      <w:r w:rsidR="006932FC" w:rsidRPr="00F163B3">
        <w:t>s</w:t>
      </w:r>
      <w:r w:rsidR="006932FC" w:rsidRPr="006932FC">
        <w:t xml:space="preserve"> at 30 September</w:t>
      </w:r>
      <w:r>
        <w:tab/>
      </w:r>
      <w:r w:rsidRPr="00F163B3">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5272"/>
        <w:gridCol w:w="737"/>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rHeight w:val="743"/>
          <w:tblHeader/>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pStyle w:val="Note"/>
              <w:rPr>
                <w:rFonts w:eastAsiaTheme="minorEastAsia" w:cs="Calibri"/>
                <w:iCs/>
                <w:color w:val="FFFFFF"/>
                <w:sz w:val="17"/>
                <w:szCs w:val="18"/>
                <w:lang w:eastAsia="en-AU"/>
              </w:rPr>
            </w:pPr>
            <w:r w:rsidRPr="00012598">
              <w:rPr>
                <w:rFonts w:eastAsiaTheme="minorEastAsia" w:cs="Calibri"/>
                <w:i/>
                <w:iCs/>
                <w:color w:val="FFFFFF"/>
                <w:sz w:val="17"/>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30 Sep</w:t>
            </w:r>
          </w:p>
        </w:tc>
        <w:tc>
          <w:tcPr>
            <w:tcW w:w="5272" w:type="dxa"/>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right w:val="nil"/>
            </w:tcBorders>
            <w:shd w:val="solid" w:color="000000" w:fill="auto"/>
          </w:tcPr>
          <w:p w:rsidR="007449DC" w:rsidRPr="00012598" w:rsidRDefault="007449DC" w:rsidP="007449DC">
            <w:pPr>
              <w:autoSpaceDE w:val="0"/>
              <w:autoSpaceDN w:val="0"/>
              <w:adjustRightInd w:val="0"/>
              <w:jc w:val="center"/>
              <w:rPr>
                <w:rFonts w:eastAsiaTheme="minorEastAsia" w:cs="Calibri"/>
                <w:iCs/>
                <w:color w:val="FFFFFF"/>
                <w:lang w:eastAsia="en-AU"/>
              </w:rPr>
            </w:pPr>
            <w:r>
              <w:rPr>
                <w:rFonts w:eastAsiaTheme="minorEastAsia" w:cs="Calibri"/>
                <w:iCs/>
                <w:color w:val="FFFFFF"/>
                <w:lang w:eastAsia="en-AU"/>
              </w:rPr>
              <w:t>N</w:t>
            </w:r>
            <w:r w:rsidRPr="00012598">
              <w:rPr>
                <w:rFonts w:eastAsiaTheme="minorEastAsia" w:cs="Calibri"/>
                <w:iCs/>
                <w:color w:val="FFFFFF"/>
                <w:szCs w:val="18"/>
                <w:lang w:eastAsia="en-AU"/>
              </w:rPr>
              <w:t>otes</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 xml:space="preserve">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szCs w:val="18"/>
                <w:lang w:eastAsia="en-AU"/>
              </w:rPr>
              <w:t>1 Jul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2016-17</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 xml:space="preserve">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szCs w:val="18"/>
                <w:lang w:eastAsia="en-AU"/>
              </w:rPr>
              <w:t>30 Jun</w:t>
            </w:r>
            <w:r w:rsidRPr="00012598">
              <w:rPr>
                <w:rFonts w:eastAsiaTheme="minorEastAsia" w:cs="Calibri"/>
                <w:iCs/>
                <w:color w:val="FFFFFF"/>
                <w:szCs w:val="18"/>
                <w:vertAlign w:val="superscript"/>
                <w:lang w:eastAsia="en-AU"/>
              </w:rPr>
              <w:t xml:space="preserve"> (a)</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Assets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Financial assets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4 061</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Cash and deposits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7.2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4 772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4 079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5 201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4 567</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Advances paid</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4 582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4 586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10 118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5 897</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Receivables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5.1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5 566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5 866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5 601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3 440</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Investments, loans and placements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2 853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3 057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2 943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44</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Investments accounted for using the equity method</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82 548</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Investments in other sector entities </w:t>
            </w:r>
            <w:r w:rsidRPr="00012598">
              <w:rPr>
                <w:rFonts w:eastAsiaTheme="minorEastAsia" w:cs="Arial"/>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94 710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95 473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95 242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100 558</w:t>
            </w:r>
          </w:p>
        </w:tc>
        <w:tc>
          <w:tcPr>
            <w:tcW w:w="527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Total financial assets </w:t>
            </w:r>
            <w:r w:rsidRPr="00012598">
              <w:rPr>
                <w:rFonts w:eastAsiaTheme="minorEastAsia" w:cs="Arial"/>
                <w:b/>
                <w:bCs/>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73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112 531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113 108</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119 151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Non-financial assets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146</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Inventories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169</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Non-financial assets held for sale</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186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107 503</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Land, buildings, infrastructure, plant and equipment </w:t>
            </w:r>
            <w:r w:rsidRPr="00012598">
              <w:rPr>
                <w:rFonts w:eastAsiaTheme="minorEastAsia" w:cs="Arial"/>
                <w:color w:val="000000"/>
                <w:szCs w:val="18"/>
                <w:vertAlign w:val="superscript"/>
                <w:lang w:eastAsia="en-AU"/>
              </w:rPr>
              <w:t>(c)</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4.1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114 254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114 009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115 572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1 215</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Other non-financial assets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4.7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1 081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1 516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1 103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109 033</w:t>
            </w:r>
          </w:p>
        </w:tc>
        <w:tc>
          <w:tcPr>
            <w:tcW w:w="527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Total non-financial assets </w:t>
            </w:r>
            <w:r w:rsidRPr="00012598">
              <w:rPr>
                <w:rFonts w:eastAsiaTheme="minorEastAsia" w:cs="Arial"/>
                <w:b/>
                <w:bCs/>
                <w:color w:val="000000"/>
                <w:szCs w:val="18"/>
                <w:vertAlign w:val="superscript"/>
                <w:lang w:eastAsia="en-AU"/>
              </w:rPr>
              <w:t>(c)</w:t>
            </w:r>
          </w:p>
        </w:tc>
        <w:tc>
          <w:tcPr>
            <w:cnfStyle w:val="000010000000" w:firstRow="0" w:lastRow="0" w:firstColumn="0" w:lastColumn="0" w:oddVBand="1" w:evenVBand="0" w:oddHBand="0" w:evenHBand="0" w:firstRowFirstColumn="0" w:firstRowLastColumn="0" w:lastRowFirstColumn="0" w:lastRowLastColumn="0"/>
            <w:tcW w:w="73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115 711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115 895</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117 052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209 590</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Total assets </w:t>
            </w:r>
            <w:r w:rsidRPr="00012598">
              <w:rPr>
                <w:rFonts w:eastAsiaTheme="minorEastAsia" w:cs="Arial"/>
                <w:b/>
                <w:bCs/>
                <w:color w:val="000000"/>
                <w:szCs w:val="18"/>
                <w:vertAlign w:val="superscript"/>
                <w:lang w:eastAsia="en-AU"/>
              </w:rPr>
              <w:t>(b)(c)</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szCs w:val="18"/>
                <w:lang w:eastAsia="en-AU"/>
              </w:rPr>
            </w:pPr>
            <w:r w:rsidRPr="00012598">
              <w:rPr>
                <w:rFonts w:eastAsiaTheme="minorEastAsia" w:cs="Calibri"/>
                <w:bCs/>
                <w:color w:val="000000"/>
                <w:szCs w:val="18"/>
                <w:lang w:eastAsia="en-AU"/>
              </w:rPr>
              <w:t>4.8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228 242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229 002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236 203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Liabilities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471</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 xml:space="preserve">Deposits held and advances received </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717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6 288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5 355</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Payables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szCs w:val="18"/>
                <w:lang w:eastAsia="en-AU"/>
              </w:rPr>
            </w:pPr>
            <w:r w:rsidRPr="00012598">
              <w:rPr>
                <w:rFonts w:eastAsiaTheme="minorEastAsia" w:cs="Calibri"/>
                <w:color w:val="000000"/>
                <w:szCs w:val="18"/>
                <w:lang w:eastAsia="en-AU"/>
              </w:rPr>
              <w:t>5.2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5 773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5 481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5 663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34 597</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Borrowings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33 811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34 551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30 391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5 675</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Employee benefits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1C6945" w:rsidP="00012598">
            <w:pPr>
              <w:autoSpaceDE w:val="0"/>
              <w:autoSpaceDN w:val="0"/>
              <w:adjustRightInd w:val="0"/>
              <w:jc w:val="center"/>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6 137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6 098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6 534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27 885</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Superannuation</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29 291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29 044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28 453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754</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Other provisions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829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852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74 738</w:t>
            </w:r>
          </w:p>
        </w:tc>
        <w:tc>
          <w:tcPr>
            <w:tcW w:w="5272"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liabilities</w:t>
            </w:r>
          </w:p>
        </w:tc>
        <w:tc>
          <w:tcPr>
            <w:cnfStyle w:val="000010000000" w:firstRow="0" w:lastRow="0" w:firstColumn="0" w:lastColumn="0" w:oddVBand="1" w:evenVBand="0" w:oddHBand="0" w:evenHBand="0" w:firstRowFirstColumn="0" w:firstRowLastColumn="0" w:lastRowFirstColumn="0" w:lastRowLastColumn="0"/>
            <w:tcW w:w="737" w:type="dxa"/>
            <w:tcBorders>
              <w:top w:val="single" w:sz="6" w:space="0" w:color="000000"/>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76 547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76 751</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78 181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134 853</w:t>
            </w:r>
          </w:p>
        </w:tc>
        <w:tc>
          <w:tcPr>
            <w:tcW w:w="527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Net assets </w:t>
            </w:r>
            <w:r w:rsidRPr="00012598">
              <w:rPr>
                <w:rFonts w:eastAsiaTheme="minorEastAsia" w:cs="Arial"/>
                <w:b/>
                <w:bCs/>
                <w:color w:val="000000"/>
                <w:szCs w:val="18"/>
                <w:vertAlign w:val="superscript"/>
                <w:lang w:eastAsia="en-AU"/>
              </w:rPr>
              <w:t>(b)(c)</w:t>
            </w:r>
          </w:p>
        </w:tc>
        <w:tc>
          <w:tcPr>
            <w:cnfStyle w:val="000010000000" w:firstRow="0" w:lastRow="0" w:firstColumn="0" w:lastColumn="0" w:oddVBand="1" w:evenVBand="0" w:oddHBand="0" w:evenHBand="0" w:firstRowFirstColumn="0" w:firstRowLastColumn="0" w:lastRowFirstColumn="0" w:lastRowLastColumn="0"/>
            <w:tcW w:w="73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151 695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152 251</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158 022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44 213</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Accumulated surplus/(deficit) </w:t>
            </w:r>
            <w:r w:rsidRPr="00012598">
              <w:rPr>
                <w:rFonts w:eastAsiaTheme="minorEastAsia" w:cs="Arial"/>
                <w:color w:val="000000"/>
                <w:szCs w:val="18"/>
                <w:vertAlign w:val="superscript"/>
                <w:lang w:eastAsia="en-AU"/>
              </w:rPr>
              <w:t>(c)</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44 454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45 183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47 963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90 590</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Reserves </w:t>
            </w:r>
            <w:r w:rsidRPr="00012598">
              <w:rPr>
                <w:rFonts w:eastAsiaTheme="minorEastAsia" w:cs="Arial"/>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107 191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107 069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110 009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50</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Non-controlling interest</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134 853</w:t>
            </w:r>
          </w:p>
        </w:tc>
        <w:tc>
          <w:tcPr>
            <w:tcW w:w="527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Net worth </w:t>
            </w:r>
            <w:r w:rsidRPr="00012598">
              <w:rPr>
                <w:rFonts w:eastAsiaTheme="minorEastAsia" w:cs="Arial"/>
                <w:b/>
                <w:bCs/>
                <w:color w:val="000000"/>
                <w:szCs w:val="18"/>
                <w:vertAlign w:val="superscript"/>
                <w:lang w:eastAsia="en-AU"/>
              </w:rPr>
              <w:t>(b)(c)</w:t>
            </w:r>
          </w:p>
        </w:tc>
        <w:tc>
          <w:tcPr>
            <w:cnfStyle w:val="000010000000" w:firstRow="0" w:lastRow="0" w:firstColumn="0" w:lastColumn="0" w:oddVBand="1" w:evenVBand="0" w:oddHBand="0" w:evenHBand="0" w:firstRowFirstColumn="0" w:firstRowLastColumn="0" w:lastRowFirstColumn="0" w:lastRowLastColumn="0"/>
            <w:tcW w:w="73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151 695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152 251</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158 022</w:t>
            </w:r>
          </w:p>
        </w:tc>
      </w:tr>
      <w:tr w:rsidR="00012598" w:rsidRPr="00012598" w:rsidTr="00012598">
        <w:trPr>
          <w:trHeight w:hRule="exact" w:val="120"/>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FISCAL AGGREGATES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25 820</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vertAlign w:val="superscript"/>
                <w:lang w:eastAsia="en-AU"/>
              </w:rPr>
            </w:pPr>
            <w:r w:rsidRPr="00012598">
              <w:rPr>
                <w:rFonts w:eastAsiaTheme="minorEastAsia" w:cs="Arial"/>
                <w:color w:val="000000"/>
                <w:szCs w:val="16"/>
                <w:lang w:eastAsia="en-AU"/>
              </w:rPr>
              <w:t xml:space="preserve">Net financial worth </w:t>
            </w:r>
            <w:r w:rsidRPr="00012598">
              <w:rPr>
                <w:rFonts w:eastAsiaTheme="minorEastAsia" w:cs="Arial"/>
                <w:color w:val="000000"/>
                <w:szCs w:val="16"/>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35 984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36 357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40 970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56 728</w:t>
            </w:r>
          </w:p>
        </w:tc>
        <w:tc>
          <w:tcPr>
            <w:tcW w:w="5272"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Net financial liabilities</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58 727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59 116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54 272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23 000</w:t>
            </w:r>
          </w:p>
        </w:tc>
        <w:tc>
          <w:tcPr>
            <w:tcW w:w="5272" w:type="dxa"/>
            <w:tcBorders>
              <w:top w:val="nil"/>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Net debt</w:t>
            </w:r>
          </w:p>
        </w:tc>
        <w:tc>
          <w:tcPr>
            <w:cnfStyle w:val="000010000000" w:firstRow="0" w:lastRow="0" w:firstColumn="0" w:lastColumn="0" w:oddVBand="1" w:evenVBand="0" w:oddHBand="0" w:evenHBand="0" w:firstRowFirstColumn="0" w:firstRowLastColumn="0" w:lastRowFirstColumn="0" w:lastRowLastColumn="0"/>
            <w:tcW w:w="737" w:type="dxa"/>
            <w:tcBorders>
              <w:top w:val="nil"/>
              <w:left w:val="nil"/>
              <w:bottom w:val="single" w:sz="12" w:space="0" w:color="auto"/>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22 309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23 545</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18 418</w:t>
            </w:r>
          </w:p>
        </w:tc>
      </w:tr>
    </w:tbl>
    <w:p w:rsidR="006932FC" w:rsidRDefault="003433BF" w:rsidP="003433BF">
      <w:pPr>
        <w:pStyle w:val="Note"/>
      </w:pPr>
      <w:r>
        <w:t>The accompanying notes for</w:t>
      </w:r>
      <w:r w:rsidR="00125E84">
        <w:t>m</w:t>
      </w:r>
      <w:r>
        <w:t xml:space="preserve"> part of these financial statements.</w:t>
      </w:r>
    </w:p>
    <w:p w:rsidR="00AA5943" w:rsidRDefault="00AA5943" w:rsidP="003433BF">
      <w:pPr>
        <w:pStyle w:val="Note"/>
      </w:pPr>
    </w:p>
    <w:p w:rsidR="00AA5943" w:rsidRDefault="00AA5943" w:rsidP="003433BF">
      <w:pPr>
        <w:pStyle w:val="Note"/>
      </w:pPr>
      <w:r>
        <w:t>Notes:</w:t>
      </w:r>
    </w:p>
    <w:p w:rsidR="00AA5943" w:rsidRPr="00B52349" w:rsidRDefault="00B52349" w:rsidP="00B52349">
      <w:pPr>
        <w:pStyle w:val="Note"/>
      </w:pPr>
      <w:r>
        <w:t>(a)</w:t>
      </w:r>
      <w:r>
        <w:tab/>
      </w:r>
      <w:r w:rsidR="00C963C9" w:rsidRPr="00B52349">
        <w:t>Balances represent actual opening balances at 1 July 2016 plus 2016-17 budgeted movements.</w:t>
      </w:r>
    </w:p>
    <w:p w:rsidR="00C963C9" w:rsidRPr="00B52349" w:rsidRDefault="00B52349" w:rsidP="00B52349">
      <w:pPr>
        <w:pStyle w:val="Note"/>
      </w:pPr>
      <w:r>
        <w:t>(b)</w:t>
      </w:r>
      <w:r>
        <w:tab/>
      </w:r>
      <w:r w:rsidR="006A01A1">
        <w:t xml:space="preserve">September </w:t>
      </w:r>
      <w:r w:rsidR="00CB7B9B" w:rsidRPr="00B52349">
        <w:t xml:space="preserve">2015 comparative figures have been restated to reflect an adjustment to </w:t>
      </w:r>
      <w:proofErr w:type="spellStart"/>
      <w:r w:rsidR="00CB7B9B" w:rsidRPr="00B52349">
        <w:t>Coliban</w:t>
      </w:r>
      <w:proofErr w:type="spellEnd"/>
      <w:r w:rsidR="00CB7B9B" w:rsidRPr="00B52349">
        <w:t xml:space="preserve"> Water</w:t>
      </w:r>
      <w:r w:rsidR="008A6DD6">
        <w:t>’</w:t>
      </w:r>
      <w:r w:rsidR="00CB7B9B" w:rsidRPr="00B52349">
        <w:t>s deferred tax liability balances in the PNFC sector attributable to a change in valuation policy in 2015-16.</w:t>
      </w:r>
    </w:p>
    <w:p w:rsidR="00CB7B9B" w:rsidRPr="00B52349" w:rsidRDefault="00B52349" w:rsidP="00B52349">
      <w:pPr>
        <w:pStyle w:val="Note"/>
      </w:pPr>
      <w:r>
        <w:t>(c)</w:t>
      </w:r>
      <w:r>
        <w:tab/>
      </w:r>
      <w:r w:rsidR="001534AD">
        <w:t>September</w:t>
      </w:r>
      <w:r w:rsidR="00CB7B9B" w:rsidRPr="00B52349">
        <w:t xml:space="preserve"> 2015 comparative figures have been restated to finalise the allocation of equity balances between contributed capital and accumulated funds related to prior year machinery of government changes.</w:t>
      </w:r>
    </w:p>
    <w:p w:rsidR="00F163B3" w:rsidRDefault="00F163B3" w:rsidP="006932FC"/>
    <w:p w:rsidR="00F163B3" w:rsidRDefault="006932FC" w:rsidP="003239D0">
      <w:pPr>
        <w:pStyle w:val="Heading1unnumbered"/>
        <w:pageBreakBefore/>
      </w:pPr>
      <w:bookmarkStart w:id="8" w:name="ConsolidatedCF"/>
      <w:r w:rsidRPr="006932FC">
        <w:lastRenderedPageBreak/>
        <w:t>Consolidated cash flow statement</w:t>
      </w:r>
      <w:bookmarkEnd w:id="8"/>
      <w:r w:rsidRPr="006932FC">
        <w:t xml:space="preserve"> </w:t>
      </w:r>
    </w:p>
    <w:p w:rsidR="00012598" w:rsidRPr="00012598" w:rsidRDefault="00F163B3" w:rsidP="00012598">
      <w:pPr>
        <w:pStyle w:val="Subheading"/>
        <w:rPr>
          <w:rStyle w:val="TableUnitsChar"/>
          <w:bCs/>
          <w:lang w:val="en-US"/>
        </w:rPr>
      </w:pPr>
      <w:r>
        <w:t>F</w:t>
      </w:r>
      <w:r w:rsidR="006932FC" w:rsidRPr="006932FC">
        <w:t>or the period ended 30 September</w:t>
      </w:r>
      <w:r>
        <w:tab/>
      </w:r>
      <w:r w:rsidRPr="00F163B3">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pStyle w:val="Note"/>
              <w:spacing w:after="20"/>
              <w:rPr>
                <w:rFonts w:eastAsiaTheme="minorEastAsia" w:cs="Calibri"/>
                <w:iCs/>
                <w:color w:val="FFFFFF"/>
                <w:sz w:val="17"/>
                <w:szCs w:val="18"/>
                <w:lang w:eastAsia="en-AU"/>
              </w:rPr>
            </w:pPr>
            <w:r w:rsidRPr="00012598">
              <w:rPr>
                <w:rFonts w:eastAsiaTheme="minorEastAsia" w:cs="Calibri"/>
                <w:i/>
                <w:iCs/>
                <w:color w:val="FFFFFF"/>
                <w:sz w:val="17"/>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Notes</w:t>
            </w:r>
          </w:p>
        </w:tc>
        <w:tc>
          <w:tcPr>
            <w:tcW w:w="1814" w:type="dxa"/>
            <w:gridSpan w:val="2"/>
            <w:tcBorders>
              <w:top w:val="nil"/>
              <w:left w:val="nil"/>
              <w:bottom w:val="nil"/>
            </w:tcBorders>
            <w:shd w:val="solid" w:color="000000" w:fill="auto"/>
          </w:tcPr>
          <w:p w:rsidR="007449DC" w:rsidRPr="00012598" w:rsidRDefault="007449DC" w:rsidP="00012598">
            <w:pPr>
              <w:jc w:val="center"/>
              <w:cnfStyle w:val="100000000000" w:firstRow="1" w:lastRow="0" w:firstColumn="0" w:lastColumn="0" w:oddVBand="0" w:evenVBand="0" w:oddHBand="0" w:evenHBand="0" w:firstRowFirstColumn="0" w:firstRowLastColumn="0" w:lastRowFirstColumn="0" w:lastRowLastColumn="0"/>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jc w:val="center"/>
              <w:rPr>
                <w:rFonts w:eastAsiaTheme="minorEastAsia" w:cs="Calibri"/>
                <w:iCs/>
                <w:color w:val="FFFFFF"/>
                <w:szCs w:val="18"/>
                <w:lang w:eastAsia="en-AU"/>
              </w:rPr>
            </w:pP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Receipts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4 887</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Taxes received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5 078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21 483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6 008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Grants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6 699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27 424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1 782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Sales of goods and services </w:t>
            </w:r>
            <w:r w:rsidRPr="00012598">
              <w:rPr>
                <w:rFonts w:eastAsiaTheme="minorEastAsia" w:cs="Calibri"/>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1 891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A02CF2"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7 602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 xml:space="preserve">Interest received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169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881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Dividends, income tax equivalent and rate equivalent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1 079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439</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317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1 877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13 359</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14 260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A02CF2" w:rsidP="00012598">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60 345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Payments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(4 730)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Payments for employees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(5 227)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(20 902)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(773)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(743)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(2 991)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(531)</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Interest paid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(493)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(2 396)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(2 185)</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Grants and subsidies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(2 670)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(9 501)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(4 666)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Goods and services </w:t>
            </w:r>
            <w:r w:rsidRPr="00012598">
              <w:rPr>
                <w:rFonts w:eastAsiaTheme="minorEastAsia" w:cs="Calibri"/>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(4 563)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A02CF2" w:rsidP="00012598">
            <w:pPr>
              <w:autoSpaceDE w:val="0"/>
              <w:autoSpaceDN w:val="0"/>
              <w:adjustRightInd w:val="0"/>
            </w:pPr>
            <w:r>
              <w:rPr>
                <w:rFonts w:eastAsiaTheme="minorEastAsia" w:cs="Calibri"/>
                <w:color w:val="000000"/>
                <w:szCs w:val="18"/>
                <w:lang w:eastAsia="en-AU"/>
              </w:rPr>
              <w:t>(18 729</w:t>
            </w:r>
            <w:r w:rsidR="00012598">
              <w:rPr>
                <w:rFonts w:eastAsiaTheme="minorEastAsia" w:cs="Calibri"/>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payments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(194)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(13 078)</w:t>
            </w:r>
          </w:p>
        </w:tc>
        <w:tc>
          <w:tcPr>
            <w:tcW w:w="6009"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payments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(13 890)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D07441" w:rsidP="00012598">
            <w:pPr>
              <w:autoSpaceDE w:val="0"/>
              <w:autoSpaceDN w:val="0"/>
              <w:adjustRightInd w:val="0"/>
            </w:pPr>
            <w:r>
              <w:rPr>
                <w:rFonts w:eastAsiaTheme="minorEastAsia" w:cs="Calibri"/>
                <w:b/>
                <w:bCs/>
                <w:color w:val="000000"/>
                <w:szCs w:val="18"/>
                <w:lang w:eastAsia="en-AU"/>
              </w:rPr>
              <w:t>(55</w:t>
            </w:r>
            <w:r w:rsidR="00A02CF2">
              <w:rPr>
                <w:rFonts w:eastAsiaTheme="minorEastAsia" w:cs="Calibri"/>
                <w:b/>
                <w:bCs/>
                <w:color w:val="000000"/>
                <w:szCs w:val="18"/>
                <w:lang w:eastAsia="en-AU"/>
              </w:rPr>
              <w:t xml:space="preserve"> 143</w:t>
            </w:r>
            <w:r w:rsidR="00012598">
              <w:rPr>
                <w:rFonts w:eastAsiaTheme="minorEastAsia" w:cs="Calibri"/>
                <w:b/>
                <w:bCs/>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280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7.3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370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5 202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Cash flows from investing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(960)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Purchases of non-financial assets </w:t>
            </w:r>
            <w:r w:rsidRPr="00012598">
              <w:rPr>
                <w:rFonts w:eastAsiaTheme="minorEastAsia" w:cs="Calibri"/>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1C6945" w:rsidP="00012598">
            <w:pPr>
              <w:autoSpaceDE w:val="0"/>
              <w:autoSpaceDN w:val="0"/>
              <w:adjustRightInd w:val="0"/>
              <w:jc w:val="center"/>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(1 564)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(7 206)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Sales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487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(938)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 xml:space="preserve">Cash flows from investments in non-financial assets </w:t>
            </w:r>
            <w:r w:rsidRPr="00012598">
              <w:rPr>
                <w:rFonts w:eastAsiaTheme="minorEastAsia" w:cs="Calibri"/>
                <w:b/>
                <w:bCs/>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(1 540)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(6 720)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30</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Net cash flows from investments in financial assets for policy purposes </w:t>
            </w:r>
            <w:r w:rsidRPr="00012598">
              <w:rPr>
                <w:rFonts w:eastAsiaTheme="minorEastAsia" w:cs="Calibri"/>
                <w:color w:val="000000"/>
                <w:szCs w:val="18"/>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(90)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(908)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Sub-total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(1 630)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(6 328)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(74)</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cash flows from investments in financial assets for liquidity management purposes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(184)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(982)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cash flows from investing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(1 813)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(6 413)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Cash flows from financing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Advances received (net)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5 583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528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borrowings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740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(3 943)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(47)</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Deposits received (net)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481</w:t>
            </w:r>
          </w:p>
        </w:tc>
        <w:tc>
          <w:tcPr>
            <w:tcW w:w="6009"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Net cash flows from financing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750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1 640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(220)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Net increase/(decrease) in cash and cash equivalents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(693)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429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4 282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Cash and cash equivalents a</w:t>
            </w:r>
            <w:r w:rsidR="006B2918">
              <w:rPr>
                <w:rFonts w:eastAsiaTheme="minorEastAsia" w:cs="Calibri"/>
                <w:color w:val="000000"/>
                <w:szCs w:val="18"/>
                <w:lang w:eastAsia="en-AU"/>
              </w:rPr>
              <w:t>t beginning of reporting period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4 772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4 772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4 061</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Cash and cash equivalents</w:t>
            </w:r>
            <w:r w:rsidR="006B2918">
              <w:rPr>
                <w:rFonts w:eastAsiaTheme="minorEastAsia" w:cs="Calibri"/>
                <w:b/>
                <w:bCs/>
                <w:color w:val="000000"/>
                <w:szCs w:val="18"/>
                <w:lang w:eastAsia="en-AU"/>
              </w:rPr>
              <w:t xml:space="preserve"> at end of the reporting period</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jc w:val="center"/>
              <w:rPr>
                <w:rFonts w:eastAsiaTheme="minorEastAsia" w:cs="Calibri"/>
                <w:bCs/>
                <w:color w:val="000000"/>
                <w:szCs w:val="18"/>
                <w:lang w:eastAsia="en-AU"/>
              </w:rPr>
            </w:pPr>
            <w:r w:rsidRPr="00012598">
              <w:rPr>
                <w:rFonts w:eastAsiaTheme="minorEastAsia" w:cs="Calibri"/>
                <w:bCs/>
                <w:color w:val="000000"/>
                <w:szCs w:val="18"/>
                <w:lang w:eastAsia="en-AU"/>
              </w:rPr>
              <w:t>7.2</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4 079</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5 201</w:t>
            </w:r>
          </w:p>
        </w:tc>
      </w:tr>
      <w:tr w:rsidR="00012598" w:rsidRPr="00012598" w:rsidTr="00012598">
        <w:trPr>
          <w:trHeight w:hRule="exact" w:val="120"/>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12598">
              <w:rPr>
                <w:rFonts w:eastAsiaTheme="minorEastAsia" w:cs="Calibri"/>
                <w:b/>
                <w:bCs/>
                <w:color w:val="000000"/>
                <w:szCs w:val="16"/>
                <w:lang w:eastAsia="en-AU"/>
              </w:rPr>
              <w:t>FISCAL AGGREGATES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280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12598">
              <w:rPr>
                <w:rFonts w:eastAsiaTheme="minorEastAsia" w:cs="Calibri"/>
                <w:color w:val="000000"/>
                <w:szCs w:val="16"/>
                <w:lang w:eastAsia="en-AU"/>
              </w:rPr>
              <w:t>Net 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370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5 202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(938)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vertAlign w:val="superscript"/>
                <w:lang w:eastAsia="en-AU"/>
              </w:rPr>
            </w:pPr>
            <w:r w:rsidRPr="00012598">
              <w:rPr>
                <w:rFonts w:eastAsiaTheme="minorEastAsia" w:cs="Calibri"/>
                <w:color w:val="000000"/>
                <w:szCs w:val="16"/>
                <w:lang w:eastAsia="en-AU"/>
              </w:rPr>
              <w:t xml:space="preserve">Net cash flows from investments in non-financial assets </w:t>
            </w:r>
            <w:r w:rsidRPr="00012598">
              <w:rPr>
                <w:rFonts w:eastAsiaTheme="minorEastAsia" w:cs="Calibri"/>
                <w:color w:val="000000"/>
                <w:szCs w:val="16"/>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jc w:val="center"/>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(1 540)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(6 720)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(658)</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vertAlign w:val="superscript"/>
                <w:lang w:eastAsia="en-AU"/>
              </w:rPr>
            </w:pPr>
            <w:r w:rsidRPr="00012598">
              <w:rPr>
                <w:rFonts w:eastAsiaTheme="minorEastAsia" w:cs="Calibri"/>
                <w:b/>
                <w:bCs/>
                <w:color w:val="000000"/>
                <w:szCs w:val="16"/>
                <w:lang w:eastAsia="en-AU"/>
              </w:rPr>
              <w:t xml:space="preserve">Cash surplus/(deficit) </w:t>
            </w:r>
            <w:r w:rsidRPr="00012598">
              <w:rPr>
                <w:rFonts w:eastAsiaTheme="minorEastAsia" w:cs="Calibri"/>
                <w:b/>
                <w:bCs/>
                <w:color w:val="000000"/>
                <w:szCs w:val="16"/>
                <w:vertAlign w:val="superscript"/>
                <w:lang w:eastAsia="en-AU"/>
              </w:rPr>
              <w:t>(b)</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jc w:val="center"/>
              <w:rPr>
                <w:rFonts w:eastAsiaTheme="minorEastAsia" w:cs="Calibri"/>
                <w:bCs/>
                <w:color w:val="000000"/>
                <w:lang w:eastAsia="en-AU"/>
              </w:rPr>
            </w:pPr>
            <w:r w:rsidRPr="00012598">
              <w:rPr>
                <w:rFonts w:eastAsiaTheme="minorEastAsia" w:cs="Calibri"/>
                <w:bCs/>
                <w:color w:val="000000"/>
                <w:lang w:eastAsia="en-AU"/>
              </w:rPr>
              <w:t xml:space="preserve"> </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(1 170)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(1 518)</w:t>
            </w:r>
          </w:p>
        </w:tc>
      </w:tr>
    </w:tbl>
    <w:p w:rsidR="00F163B3" w:rsidRDefault="008214B2" w:rsidP="008214B2">
      <w:pPr>
        <w:pStyle w:val="Note"/>
      </w:pPr>
      <w:r>
        <w:t>The accompanying notes for</w:t>
      </w:r>
      <w:r w:rsidR="00125E84">
        <w:t>m</w:t>
      </w:r>
      <w:r>
        <w:t xml:space="preserve"> part of these financial statements.</w:t>
      </w:r>
    </w:p>
    <w:p w:rsidR="00DC6C05" w:rsidRDefault="00DC6C05" w:rsidP="008214B2">
      <w:pPr>
        <w:pStyle w:val="Note"/>
      </w:pPr>
    </w:p>
    <w:p w:rsidR="00DC6C05" w:rsidRDefault="00DC6C05" w:rsidP="008214B2">
      <w:pPr>
        <w:pStyle w:val="Note"/>
      </w:pPr>
      <w:r>
        <w:t>Notes:</w:t>
      </w:r>
    </w:p>
    <w:p w:rsidR="00DC6C05" w:rsidRPr="00B52349" w:rsidRDefault="00B52349" w:rsidP="00B52349">
      <w:pPr>
        <w:pStyle w:val="Note"/>
      </w:pPr>
      <w:r>
        <w:t>(a)</w:t>
      </w:r>
      <w:r>
        <w:tab/>
      </w:r>
      <w:r w:rsidR="00DC6C05" w:rsidRPr="00B52349">
        <w:t>These items are inclusive of goods and services tax.</w:t>
      </w:r>
    </w:p>
    <w:p w:rsidR="00DC6C05" w:rsidRPr="00B52349" w:rsidRDefault="00B52349" w:rsidP="00B52349">
      <w:pPr>
        <w:pStyle w:val="Note"/>
      </w:pPr>
      <w:r>
        <w:t>(b)</w:t>
      </w:r>
      <w:r>
        <w:tab/>
      </w:r>
      <w:r w:rsidR="007335E9">
        <w:t>September</w:t>
      </w:r>
      <w:r w:rsidR="007335E9" w:rsidRPr="00B52349">
        <w:t xml:space="preserve"> 2015</w:t>
      </w:r>
      <w:r w:rsidR="00AF7CAA">
        <w:t>-16</w:t>
      </w:r>
      <w:r w:rsidR="007335E9" w:rsidRPr="00B52349">
        <w:t xml:space="preserve"> comparative figures have been restated to finalise the allocation of equity balances between contributed capital and accumulated funds related to prior year machinery of government changes.</w:t>
      </w:r>
    </w:p>
    <w:p w:rsidR="00F163B3" w:rsidRDefault="00F163B3" w:rsidP="006932FC"/>
    <w:p w:rsidR="003239D0" w:rsidRDefault="003239D0" w:rsidP="006932FC">
      <w:pPr>
        <w:sectPr w:rsidR="003239D0" w:rsidSect="006932FC">
          <w:headerReference w:type="even" r:id="rId15"/>
          <w:headerReference w:type="default" r:id="rId16"/>
          <w:footerReference w:type="even" r:id="rId17"/>
          <w:footerReference w:type="default" r:id="rId18"/>
          <w:pgSz w:w="11906" w:h="16838" w:code="9"/>
          <w:pgMar w:top="1134" w:right="1134" w:bottom="1134" w:left="1134" w:header="624" w:footer="567" w:gutter="0"/>
          <w:cols w:space="708"/>
          <w:docGrid w:linePitch="360"/>
        </w:sectPr>
      </w:pPr>
    </w:p>
    <w:p w:rsidR="003239D0" w:rsidRDefault="003239D0" w:rsidP="003239D0">
      <w:pPr>
        <w:pStyle w:val="Heading1unnumbered"/>
      </w:pPr>
      <w:bookmarkStart w:id="9" w:name="ConsolidatedSOCIE"/>
      <w:r w:rsidRPr="006932FC">
        <w:lastRenderedPageBreak/>
        <w:t xml:space="preserve">Consolidated statement of changes in equity </w:t>
      </w:r>
    </w:p>
    <w:bookmarkEnd w:id="9"/>
    <w:p w:rsidR="00012598" w:rsidRPr="00012598" w:rsidRDefault="003239D0" w:rsidP="00012598">
      <w:pPr>
        <w:pStyle w:val="Subheading"/>
        <w:rPr>
          <w:rStyle w:val="TableUnitsChar"/>
          <w:bCs/>
          <w:lang w:val="en-US"/>
        </w:rPr>
      </w:pPr>
      <w:r w:rsidRPr="00F163B3">
        <w:t>For</w:t>
      </w:r>
      <w:r w:rsidRPr="006932FC">
        <w:t xml:space="preserve"> the period ended 30 September</w:t>
      </w:r>
      <w:r>
        <w:tab/>
      </w:r>
      <w:r>
        <w:tab/>
      </w:r>
      <w:r w:rsidRPr="003239D0">
        <w:rPr>
          <w:rStyle w:val="TableUnitsChar"/>
        </w:rPr>
        <w:t>($ million)</w:t>
      </w:r>
    </w:p>
    <w:tbl>
      <w:tblPr>
        <w:tblStyle w:val="DTFFinancialTable"/>
        <w:tblW w:w="14740" w:type="dxa"/>
        <w:tblInd w:w="45" w:type="dxa"/>
        <w:tblLayout w:type="fixed"/>
        <w:tblCellMar>
          <w:left w:w="45" w:type="dxa"/>
          <w:right w:w="45" w:type="dxa"/>
        </w:tblCellMar>
        <w:tblLook w:val="02A0" w:firstRow="1" w:lastRow="0" w:firstColumn="1" w:lastColumn="0" w:noHBand="1" w:noVBand="0"/>
      </w:tblPr>
      <w:tblGrid>
        <w:gridCol w:w="6094"/>
        <w:gridCol w:w="1559"/>
        <w:gridCol w:w="1417"/>
        <w:gridCol w:w="1843"/>
        <w:gridCol w:w="1701"/>
        <w:gridCol w:w="992"/>
        <w:gridCol w:w="1134"/>
      </w:tblGrid>
      <w:tr w:rsidR="00012598" w:rsidRPr="00012598" w:rsidTr="000125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General government sector</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Accumulated surplus/(deficit)</w:t>
            </w:r>
          </w:p>
        </w:tc>
        <w:tc>
          <w:tcPr>
            <w:tcW w:w="1417" w:type="dxa"/>
            <w:tcBorders>
              <w:top w:val="nil"/>
              <w:left w:val="nil"/>
              <w:bottom w:val="nil"/>
              <w:right w:val="nil"/>
            </w:tcBorders>
            <w:shd w:val="solid" w:color="000000" w:fill="auto"/>
          </w:tcPr>
          <w:p w:rsidR="00012598" w:rsidRPr="00012598" w:rsidRDefault="00012598"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Non-controlling interest</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Non-financial assets</w:t>
            </w:r>
          </w:p>
          <w:p w:rsidR="00012598" w:rsidRPr="00012598" w:rsidRDefault="00012598" w:rsidP="00012598">
            <w:pPr>
              <w:autoSpaceDE w:val="0"/>
              <w:autoSpaceDN w:val="0"/>
              <w:adjustRightInd w:val="0"/>
              <w:rPr>
                <w:rFonts w:eastAsiaTheme="minorEastAsia" w:cs="Calibri"/>
                <w:iCs/>
                <w:color w:val="FFFFFF"/>
                <w:szCs w:val="20"/>
                <w:vertAlign w:val="superscript"/>
                <w:lang w:eastAsia="en-AU"/>
              </w:rPr>
            </w:pPr>
            <w:r w:rsidRPr="00012598">
              <w:rPr>
                <w:rFonts w:eastAsiaTheme="minorEastAsia" w:cs="Calibri"/>
                <w:iCs/>
                <w:color w:val="FFFFFF"/>
                <w:szCs w:val="20"/>
                <w:lang w:eastAsia="en-AU"/>
              </w:rPr>
              <w:t xml:space="preserve"> revaluation surplus </w:t>
            </w:r>
            <w:r w:rsidRPr="00012598">
              <w:rPr>
                <w:rFonts w:eastAsiaTheme="minorEastAsia" w:cs="Calibri"/>
                <w:iCs/>
                <w:color w:val="FFFFFF"/>
                <w:szCs w:val="20"/>
                <w:vertAlign w:val="superscript"/>
                <w:lang w:eastAsia="en-AU"/>
              </w:rPr>
              <w:t>(a)</w:t>
            </w:r>
          </w:p>
        </w:tc>
        <w:tc>
          <w:tcPr>
            <w:tcW w:w="1701" w:type="dxa"/>
            <w:tcBorders>
              <w:top w:val="nil"/>
              <w:left w:val="nil"/>
              <w:bottom w:val="nil"/>
              <w:right w:val="nil"/>
            </w:tcBorders>
            <w:shd w:val="solid" w:color="000000" w:fill="auto"/>
          </w:tcPr>
          <w:p w:rsidR="00012598" w:rsidRPr="00012598" w:rsidRDefault="00012598"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Investment in other </w:t>
            </w:r>
          </w:p>
          <w:p w:rsidR="00012598" w:rsidRPr="00012598" w:rsidRDefault="00012598"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sector entities </w:t>
            </w:r>
          </w:p>
          <w:p w:rsidR="00012598" w:rsidRPr="00012598" w:rsidRDefault="00012598"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revaluation surplus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Other reserves</w:t>
            </w:r>
          </w:p>
        </w:tc>
        <w:tc>
          <w:tcPr>
            <w:tcW w:w="1134" w:type="dxa"/>
            <w:tcBorders>
              <w:top w:val="nil"/>
              <w:left w:val="nil"/>
              <w:bottom w:val="nil"/>
              <w:right w:val="nil"/>
            </w:tcBorders>
            <w:shd w:val="solid" w:color="000000" w:fill="auto"/>
          </w:tcPr>
          <w:p w:rsidR="00012598" w:rsidRPr="00012598" w:rsidRDefault="00012598"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Total</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2016-17</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Balance at 1 July 2016</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44 454</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49 613</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57 027</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551</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151 695</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Net result for the quarter</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370</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370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Other c</w:t>
            </w:r>
            <w:r w:rsidR="00821739">
              <w:rPr>
                <w:rFonts w:eastAsiaTheme="minorEastAsia" w:cs="Calibri"/>
                <w:color w:val="000000"/>
                <w:szCs w:val="20"/>
                <w:lang w:eastAsia="en-AU"/>
              </w:rPr>
              <w:t>omprehensive income for the quarter</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359</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(93)</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(29)</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236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Transactions with owners in their capacity as owners</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Total equity as at 30 September 2016</w:t>
            </w:r>
          </w:p>
        </w:tc>
        <w:tc>
          <w:tcPr>
            <w:cnfStyle w:val="000010000000" w:firstRow="0" w:lastRow="0" w:firstColumn="0" w:lastColumn="0" w:oddVBand="1" w:evenVBand="0" w:oddHBand="0" w:evenHBand="0" w:firstRowFirstColumn="0" w:firstRowLastColumn="0" w:lastRowFirstColumn="0" w:lastRowLastColumn="0"/>
            <w:tcW w:w="1559"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45 183</w:t>
            </w:r>
          </w:p>
        </w:tc>
        <w:tc>
          <w:tcPr>
            <w:tcW w:w="14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1843"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49 520</w:t>
            </w:r>
          </w:p>
        </w:tc>
        <w:tc>
          <w:tcPr>
            <w:tcW w:w="1701"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57 027</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20"/>
                <w:lang w:eastAsia="en-AU"/>
              </w:rPr>
              <w:t>522</w:t>
            </w:r>
          </w:p>
        </w:tc>
        <w:tc>
          <w:tcPr>
            <w:tcW w:w="113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152 251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vertAlign w:val="superscript"/>
                <w:lang w:eastAsia="en-AU"/>
              </w:rPr>
            </w:pPr>
            <w:r w:rsidRPr="00012598">
              <w:rPr>
                <w:rFonts w:eastAsiaTheme="minorEastAsia" w:cs="Calibri"/>
                <w:b/>
                <w:bCs/>
                <w:color w:val="000000"/>
                <w:szCs w:val="20"/>
                <w:lang w:eastAsia="en-AU"/>
              </w:rPr>
              <w:t>Budget equity as at 30 June 2017</w:t>
            </w:r>
            <w:r w:rsidRPr="00012598">
              <w:rPr>
                <w:rFonts w:eastAsiaTheme="minorEastAsia" w:cs="Calibri"/>
                <w:b/>
                <w:bCs/>
                <w:color w:val="000000"/>
                <w:szCs w:val="20"/>
                <w:vertAlign w:val="superscript"/>
                <w:lang w:eastAsia="en-AU"/>
              </w:rPr>
              <w:t xml:space="preserve"> (b)</w:t>
            </w:r>
          </w:p>
        </w:tc>
        <w:tc>
          <w:tcPr>
            <w:cnfStyle w:val="000010000000" w:firstRow="0" w:lastRow="0" w:firstColumn="0" w:lastColumn="0" w:oddVBand="1" w:evenVBand="0" w:oddHBand="0" w:evenHBand="0" w:firstRowFirstColumn="0" w:firstRowLastColumn="0" w:lastRowFirstColumn="0" w:lastRowLastColumn="0"/>
            <w:tcW w:w="1559"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47 963</w:t>
            </w:r>
          </w:p>
        </w:tc>
        <w:tc>
          <w:tcPr>
            <w:tcW w:w="14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843"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49 722</w:t>
            </w:r>
          </w:p>
        </w:tc>
        <w:tc>
          <w:tcPr>
            <w:tcW w:w="1701"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59 733</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20"/>
                <w:lang w:eastAsia="en-AU"/>
              </w:rPr>
              <w:t>554</w:t>
            </w:r>
          </w:p>
        </w:tc>
        <w:tc>
          <w:tcPr>
            <w:tcW w:w="113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158 022</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2015-16</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Balance at 1 July 2015 </w:t>
            </w:r>
            <w:r w:rsidRPr="00012598">
              <w:rPr>
                <w:rFonts w:eastAsiaTheme="minorEastAsia" w:cs="Calibri"/>
                <w:color w:val="000000"/>
                <w:szCs w:val="20"/>
                <w:vertAlign w:val="superscript"/>
                <w:lang w:eastAsia="en-AU"/>
              </w:rPr>
              <w:t>(c)(d)</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45 764</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43 355</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46 494</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728</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136 391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Net result for the quarter</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353</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353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vertAlign w:val="superscript"/>
                <w:lang w:eastAsia="en-AU"/>
              </w:rPr>
            </w:pPr>
            <w:r w:rsidRPr="00012598">
              <w:rPr>
                <w:rFonts w:eastAsiaTheme="minorEastAsia" w:cs="Calibri"/>
                <w:color w:val="000000"/>
                <w:szCs w:val="20"/>
                <w:lang w:eastAsia="en-AU"/>
              </w:rPr>
              <w:t>Other c</w:t>
            </w:r>
            <w:r w:rsidR="00821739">
              <w:rPr>
                <w:rFonts w:eastAsiaTheme="minorEastAsia" w:cs="Calibri"/>
                <w:color w:val="000000"/>
                <w:szCs w:val="20"/>
                <w:lang w:eastAsia="en-AU"/>
              </w:rPr>
              <w:t>omprehensive income for the quarter</w:t>
            </w:r>
            <w:r w:rsidRPr="00012598">
              <w:rPr>
                <w:rFonts w:eastAsiaTheme="minorEastAsia" w:cs="Calibri"/>
                <w:color w:val="000000"/>
                <w:szCs w:val="20"/>
                <w:lang w:eastAsia="en-AU"/>
              </w:rPr>
              <w:t xml:space="preserve"> </w:t>
            </w:r>
            <w:r w:rsidRPr="00012598">
              <w:rPr>
                <w:rFonts w:eastAsiaTheme="minorEastAsia" w:cs="Calibri"/>
                <w:color w:val="000000"/>
                <w:szCs w:val="20"/>
                <w:vertAlign w:val="superscript"/>
                <w:lang w:eastAsia="en-AU"/>
              </w:rPr>
              <w:t>(d)</w:t>
            </w:r>
          </w:p>
        </w:tc>
        <w:tc>
          <w:tcPr>
            <w:cnfStyle w:val="000010000000" w:firstRow="0" w:lastRow="0" w:firstColumn="0" w:lastColumn="0" w:oddVBand="1" w:evenVBand="0" w:oddHBand="0" w:evenHBand="0" w:firstRowFirstColumn="0" w:firstRowLastColumn="0" w:lastRowFirstColumn="0" w:lastRowLastColumn="0"/>
            <w:tcW w:w="155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(1 904)</w:t>
            </w:r>
          </w:p>
        </w:tc>
        <w:tc>
          <w:tcPr>
            <w:tcW w:w="141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1843"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32</w:t>
            </w:r>
          </w:p>
        </w:tc>
        <w:tc>
          <w:tcPr>
            <w:tcW w:w="1701"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(20)</w:t>
            </w:r>
          </w:p>
        </w:tc>
        <w:tc>
          <w:tcPr>
            <w:tcW w:w="1134"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(1 892)</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vertAlign w:val="superscript"/>
                <w:lang w:eastAsia="en-AU"/>
              </w:rPr>
            </w:pPr>
            <w:r w:rsidRPr="00012598">
              <w:rPr>
                <w:rFonts w:eastAsiaTheme="minorEastAsia" w:cs="Calibri"/>
                <w:b/>
                <w:bCs/>
                <w:color w:val="000000"/>
                <w:szCs w:val="20"/>
                <w:lang w:eastAsia="en-AU"/>
              </w:rPr>
              <w:t xml:space="preserve">Total equity as at 30 September 2015 </w:t>
            </w:r>
            <w:r w:rsidRPr="00012598">
              <w:rPr>
                <w:rFonts w:eastAsiaTheme="minorEastAsia" w:cs="Calibri"/>
                <w:b/>
                <w:bCs/>
                <w:color w:val="000000"/>
                <w:szCs w:val="20"/>
                <w:vertAlign w:val="superscript"/>
                <w:lang w:eastAsia="en-AU"/>
              </w:rPr>
              <w:t>(c)(d)</w:t>
            </w:r>
          </w:p>
        </w:tc>
        <w:tc>
          <w:tcPr>
            <w:cnfStyle w:val="000010000000" w:firstRow="0" w:lastRow="0" w:firstColumn="0" w:lastColumn="0" w:oddVBand="1" w:evenVBand="0" w:oddHBand="0" w:evenHBand="0" w:firstRowFirstColumn="0" w:firstRowLastColumn="0" w:lastRowFirstColumn="0" w:lastRowLastColumn="0"/>
            <w:tcW w:w="1559"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44 213</w:t>
            </w:r>
          </w:p>
        </w:tc>
        <w:tc>
          <w:tcPr>
            <w:tcW w:w="14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843"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43 387</w:t>
            </w:r>
          </w:p>
        </w:tc>
        <w:tc>
          <w:tcPr>
            <w:tcW w:w="1701"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46 494</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20"/>
                <w:lang w:eastAsia="en-AU"/>
              </w:rPr>
              <w:t>708</w:t>
            </w:r>
          </w:p>
        </w:tc>
        <w:tc>
          <w:tcPr>
            <w:tcW w:w="113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134 853</w:t>
            </w:r>
          </w:p>
        </w:tc>
      </w:tr>
    </w:tbl>
    <w:p w:rsidR="003239D0" w:rsidRDefault="008214B2" w:rsidP="008214B2">
      <w:pPr>
        <w:pStyle w:val="Note"/>
      </w:pPr>
      <w:r>
        <w:t>The accompanying notes form part of these financial statements.</w:t>
      </w:r>
    </w:p>
    <w:p w:rsidR="00C23474" w:rsidRDefault="00C23474" w:rsidP="008214B2">
      <w:pPr>
        <w:pStyle w:val="Note"/>
      </w:pPr>
    </w:p>
    <w:p w:rsidR="00C23474" w:rsidRDefault="00C23474" w:rsidP="008214B2">
      <w:pPr>
        <w:pStyle w:val="Note"/>
      </w:pPr>
      <w:r>
        <w:t>Notes:</w:t>
      </w:r>
    </w:p>
    <w:p w:rsidR="00C23474" w:rsidRPr="00B52349" w:rsidRDefault="00B52349" w:rsidP="00B52349">
      <w:pPr>
        <w:pStyle w:val="Note"/>
      </w:pPr>
      <w:r>
        <w:t>(a)</w:t>
      </w:r>
      <w:r>
        <w:tab/>
      </w:r>
      <w:r w:rsidR="006D19F4" w:rsidRPr="00B52349">
        <w:t>Non-financial assets revaluation surplus relates to land, buildings, infrastructure, plant and equipment.</w:t>
      </w:r>
    </w:p>
    <w:p w:rsidR="00892D57" w:rsidRPr="00B52349" w:rsidRDefault="00B52349" w:rsidP="00B52349">
      <w:pPr>
        <w:pStyle w:val="Note"/>
      </w:pPr>
      <w:r>
        <w:t>(b)</w:t>
      </w:r>
      <w:r>
        <w:tab/>
      </w:r>
      <w:r w:rsidR="00892D57" w:rsidRPr="00B52349">
        <w:t>Balances represent actual opening balances at 1 July 2016 plus 2016-17 budgeted movements.</w:t>
      </w:r>
    </w:p>
    <w:p w:rsidR="00892D57" w:rsidRPr="00B52349" w:rsidRDefault="00B52349" w:rsidP="00B52349">
      <w:pPr>
        <w:pStyle w:val="Note"/>
      </w:pPr>
      <w:r>
        <w:t>(c)</w:t>
      </w:r>
      <w:r>
        <w:tab/>
      </w:r>
      <w:r w:rsidR="00310612">
        <w:t>September</w:t>
      </w:r>
      <w:r w:rsidR="00125E84">
        <w:t xml:space="preserve"> </w:t>
      </w:r>
      <w:r w:rsidR="00DA75FB" w:rsidRPr="00B52349">
        <w:t xml:space="preserve">2015 comparative figures have been restated to reflect an adjustment to </w:t>
      </w:r>
      <w:proofErr w:type="spellStart"/>
      <w:r w:rsidR="00DA75FB" w:rsidRPr="00B52349">
        <w:t>Coliban</w:t>
      </w:r>
      <w:proofErr w:type="spellEnd"/>
      <w:r w:rsidR="00DA75FB" w:rsidRPr="00B52349">
        <w:t xml:space="preserve"> Water</w:t>
      </w:r>
      <w:r w:rsidR="008A6DD6">
        <w:t>’</w:t>
      </w:r>
      <w:r w:rsidR="00DA75FB" w:rsidRPr="00B52349">
        <w:t>s deferred tax liability balances in the PNFC sector attributable to a change in valuation policy in 2015-16.</w:t>
      </w:r>
    </w:p>
    <w:p w:rsidR="00DA75FB" w:rsidRPr="00B52349" w:rsidRDefault="00B52349" w:rsidP="00B52349">
      <w:pPr>
        <w:pStyle w:val="Note"/>
      </w:pPr>
      <w:r>
        <w:t>(d)</w:t>
      </w:r>
      <w:r>
        <w:tab/>
      </w:r>
      <w:r w:rsidR="00310612">
        <w:t>September</w:t>
      </w:r>
      <w:r w:rsidR="00DA75FB" w:rsidRPr="00B52349">
        <w:t xml:space="preserve"> 2015 comparative figures have been restated to finalise the allocation of equity balances between contributed capital and accumulated funds related to prior year machinery of government changes.</w:t>
      </w:r>
    </w:p>
    <w:p w:rsidR="008214B2" w:rsidRDefault="008214B2" w:rsidP="00310612">
      <w:pPr>
        <w:pStyle w:val="Note"/>
        <w:rPr>
          <w:b/>
        </w:rPr>
      </w:pPr>
    </w:p>
    <w:p w:rsidR="008214B2" w:rsidRPr="00FB5524" w:rsidRDefault="008214B2" w:rsidP="006932FC">
      <w:pPr>
        <w:rPr>
          <w:b/>
        </w:rPr>
        <w:sectPr w:rsidR="008214B2" w:rsidRPr="00FB5524" w:rsidSect="003239D0">
          <w:headerReference w:type="even" r:id="rId19"/>
          <w:headerReference w:type="default" r:id="rId20"/>
          <w:footerReference w:type="even" r:id="rId21"/>
          <w:footerReference w:type="default" r:id="rId22"/>
          <w:pgSz w:w="16838" w:h="11906" w:orient="landscape" w:code="9"/>
          <w:pgMar w:top="1134" w:right="1134" w:bottom="1134" w:left="1134" w:header="624" w:footer="567" w:gutter="0"/>
          <w:cols w:space="708"/>
          <w:docGrid w:linePitch="360"/>
        </w:sectPr>
      </w:pPr>
    </w:p>
    <w:p w:rsidR="008F3A78" w:rsidRPr="007B04AE" w:rsidRDefault="00991E04" w:rsidP="0023071C">
      <w:pPr>
        <w:pStyle w:val="Heading1"/>
      </w:pPr>
      <w:bookmarkStart w:id="10" w:name="_Toc465431995"/>
      <w:r>
        <w:lastRenderedPageBreak/>
        <w:t>A</w:t>
      </w:r>
      <w:r w:rsidR="00A92D1C">
        <w:t>bout this report</w:t>
      </w:r>
      <w:bookmarkEnd w:id="10"/>
    </w:p>
    <w:p w:rsidR="008F3A78" w:rsidRDefault="008F3A78" w:rsidP="008F3A78">
      <w:pPr>
        <w:pStyle w:val="Subheadingunderline"/>
        <w:sectPr w:rsidR="008F3A78" w:rsidSect="008F3A78">
          <w:headerReference w:type="even" r:id="rId23"/>
          <w:headerReference w:type="default" r:id="rId24"/>
          <w:footerReference w:type="even" r:id="rId25"/>
          <w:footerReference w:type="default" r:id="rId26"/>
          <w:pgSz w:w="11906" w:h="16838" w:code="9"/>
          <w:pgMar w:top="1134" w:right="1134" w:bottom="1134" w:left="1134" w:header="624" w:footer="567" w:gutter="0"/>
          <w:cols w:space="708"/>
          <w:docGrid w:linePitch="360"/>
        </w:sectPr>
      </w:pPr>
    </w:p>
    <w:p w:rsidR="008F3A78" w:rsidRDefault="00DA73C6" w:rsidP="00534213">
      <w:pPr>
        <w:pStyle w:val="Subheadingunderline"/>
      </w:pPr>
      <w:r>
        <w:lastRenderedPageBreak/>
        <w:t xml:space="preserve">Basis of </w:t>
      </w:r>
      <w:r w:rsidRPr="00534213">
        <w:t>preparation</w:t>
      </w:r>
    </w:p>
    <w:p w:rsidR="00483B1C" w:rsidRPr="009246FC" w:rsidRDefault="00483B1C" w:rsidP="00483B1C">
      <w:pPr>
        <w:rPr>
          <w:highlight w:val="yellow"/>
        </w:rPr>
      </w:pPr>
      <w:r>
        <w:t>This September Quarterly Financial Report presents the unaudited financial report for the general government sector for the three months ended 30 September 2016.</w:t>
      </w:r>
    </w:p>
    <w:p w:rsidR="00483B1C" w:rsidRDefault="00483B1C" w:rsidP="00483B1C">
      <w:r w:rsidRPr="00FC137E">
        <w:t xml:space="preserve">The accounting policies applied are consistent with those applied for the financial statements published in the </w:t>
      </w:r>
      <w:r w:rsidR="000E300F">
        <w:rPr>
          <w:i/>
        </w:rPr>
        <w:t>2015</w:t>
      </w:r>
      <w:r w:rsidR="000E300F">
        <w:rPr>
          <w:i/>
        </w:rPr>
        <w:noBreakHyphen/>
        <w:t>16</w:t>
      </w:r>
      <w:r w:rsidRPr="00FC137E">
        <w:rPr>
          <w:i/>
        </w:rPr>
        <w:t xml:space="preserve"> Financial Report</w:t>
      </w:r>
      <w:r w:rsidRPr="00FC137E">
        <w:t xml:space="preserve"> for the State of Victoria.</w:t>
      </w:r>
      <w:r>
        <w:t xml:space="preserve"> </w:t>
      </w:r>
      <w:r w:rsidR="003D4C0A">
        <w:t>T</w:t>
      </w:r>
      <w:r w:rsidRPr="00FC137E">
        <w:t>his quarterly financial report does not include all the notes normally included with t</w:t>
      </w:r>
      <w:r>
        <w:t>he annual financial report</w:t>
      </w:r>
      <w:r w:rsidRPr="00FC137E">
        <w:t xml:space="preserve">, this report should be read in conjunction with </w:t>
      </w:r>
      <w:r>
        <w:t xml:space="preserve">the </w:t>
      </w:r>
      <w:r w:rsidR="000E300F">
        <w:rPr>
          <w:i/>
        </w:rPr>
        <w:t>2015-16</w:t>
      </w:r>
      <w:r w:rsidRPr="009246FC">
        <w:rPr>
          <w:i/>
        </w:rPr>
        <w:t xml:space="preserve"> Financial Report</w:t>
      </w:r>
      <w:r>
        <w:t>.</w:t>
      </w:r>
    </w:p>
    <w:p w:rsidR="00483B1C" w:rsidRPr="009C433E" w:rsidRDefault="00483B1C" w:rsidP="00534213">
      <w:pPr>
        <w:pStyle w:val="Subheadingunderline"/>
      </w:pPr>
      <w:r w:rsidRPr="009C433E">
        <w:t>Statement of compliance</w:t>
      </w:r>
    </w:p>
    <w:p w:rsidR="00483B1C" w:rsidRDefault="00483B1C" w:rsidP="00483B1C">
      <w:r>
        <w:t xml:space="preserve">These financial statements have been prepared in accordance with </w:t>
      </w:r>
      <w:r w:rsidRPr="00A85A41">
        <w:t>s</w:t>
      </w:r>
      <w:r>
        <w:t>ection </w:t>
      </w:r>
      <w:r w:rsidRPr="00A85A41">
        <w:t>26</w:t>
      </w:r>
      <w:r>
        <w:t xml:space="preserve"> of the </w:t>
      </w:r>
      <w:r>
        <w:rPr>
          <w:i/>
        </w:rPr>
        <w:t>Financial Management Act 1994</w:t>
      </w:r>
      <w:r>
        <w:t xml:space="preserve">, having regard to the recognition and measurement principles of the applicable Australian Accounting Standards (AAS) </w:t>
      </w:r>
      <w:r w:rsidR="0050745F">
        <w:t xml:space="preserve">and </w:t>
      </w:r>
      <w:r>
        <w:t xml:space="preserve">Interpretations issued by the Australian Accounting Standards Board (AASB). The financial statements are also presented in a manner consistent with the requirements of AASB 1049 </w:t>
      </w:r>
      <w:r>
        <w:rPr>
          <w:i/>
        </w:rPr>
        <w:t>Whole of Government and General Government Sector Financial Reporting</w:t>
      </w:r>
      <w:r>
        <w:t>.</w:t>
      </w:r>
    </w:p>
    <w:p w:rsidR="00483B1C" w:rsidRPr="00CE6E8E" w:rsidRDefault="00483B1C" w:rsidP="00483B1C">
      <w:pPr>
        <w:ind w:right="-235"/>
      </w:pPr>
      <w:r w:rsidRPr="00CE6E8E">
        <w:t>Where applicable, those paragraphs of AAS applicable to not-for-profit entities have been applied.</w:t>
      </w:r>
    </w:p>
    <w:p w:rsidR="00483B1C" w:rsidRPr="009C433E" w:rsidRDefault="00483B1C" w:rsidP="00534213">
      <w:pPr>
        <w:pStyle w:val="Subheadingunderline"/>
      </w:pPr>
      <w:r w:rsidRPr="009C433E">
        <w:t>Basis of accounting and measurement</w:t>
      </w:r>
    </w:p>
    <w:p w:rsidR="00483B1C" w:rsidRDefault="00483B1C" w:rsidP="00483B1C">
      <w:r>
        <w:t xml:space="preserve">The accrual basis of accounting has been applied </w:t>
      </w:r>
      <w:r w:rsidR="0050745F">
        <w:t>where</w:t>
      </w:r>
      <w:r>
        <w:t xml:space="preserve"> assets, liabilities, equity, </w:t>
      </w:r>
      <w:r w:rsidR="0050745F">
        <w:t xml:space="preserve">income </w:t>
      </w:r>
      <w:r>
        <w:t>and expenses are recognised in the reporting period to which they relate, regardless of when cash is received or paid.</w:t>
      </w:r>
    </w:p>
    <w:p w:rsidR="00483B1C" w:rsidRPr="009C433E" w:rsidRDefault="00A53039" w:rsidP="00534213">
      <w:pPr>
        <w:pStyle w:val="Subheadingunderline"/>
      </w:pPr>
      <w:r>
        <w:br w:type="column"/>
      </w:r>
      <w:r w:rsidR="00483B1C" w:rsidRPr="009C433E">
        <w:lastRenderedPageBreak/>
        <w:t>Reporting entity</w:t>
      </w:r>
    </w:p>
    <w:p w:rsidR="00483B1C" w:rsidRDefault="00483B1C" w:rsidP="00483B1C">
      <w:r>
        <w:t>The general government sector includes all government departments, offices and other bodies engaged in providing services free of charge or at prices significantly below their cost of production.</w:t>
      </w:r>
      <w:r w:rsidRPr="006751D0">
        <w:t xml:space="preserve"> </w:t>
      </w:r>
      <w:r>
        <w:t>The primary function of entities in the general government sector is to provide public services (outputs), which are mainly non</w:t>
      </w:r>
      <w:r>
        <w:noBreakHyphen/>
        <w:t>market in nature, for the collective consumption of the community, and involve the transfer or redistribution of revenue</w:t>
      </w:r>
      <w:r w:rsidR="00125E84">
        <w:t>,</w:t>
      </w:r>
      <w:r>
        <w:t xml:space="preserve"> </w:t>
      </w:r>
      <w:r w:rsidR="00574E4F">
        <w:t>which</w:t>
      </w:r>
      <w:r>
        <w:t xml:space="preserve"> is financed mainly through taxes and other compulsory levies.</w:t>
      </w:r>
    </w:p>
    <w:p w:rsidR="00483B1C" w:rsidRDefault="00483B1C" w:rsidP="00483B1C">
      <w:r>
        <w:t>The general government sector is not a separate entity but represents a sector within the State of Victoria reporting entity. Unless otherwise noted, accounting policies applied by the State of Victoria apply equally to the general government sector.</w:t>
      </w:r>
    </w:p>
    <w:p w:rsidR="00483B1C" w:rsidRPr="009C433E" w:rsidRDefault="00483B1C" w:rsidP="00534213">
      <w:pPr>
        <w:pStyle w:val="Subheadingunderline"/>
      </w:pPr>
      <w:r w:rsidRPr="009C433E">
        <w:t>Basis of consolidation</w:t>
      </w:r>
    </w:p>
    <w:p w:rsidR="00483B1C" w:rsidRDefault="00483B1C" w:rsidP="00483B1C">
      <w:r>
        <w:t xml:space="preserve">The September Quarterly Financial Report includes </w:t>
      </w:r>
      <w:r w:rsidRPr="0012550E">
        <w:t xml:space="preserve">all reporting entities in the general government sector </w:t>
      </w:r>
      <w:r>
        <w:t xml:space="preserve">that are controlled by the State. Information on entities consolidated for the general government sector is included in </w:t>
      </w:r>
      <w:r w:rsidRPr="00B05683">
        <w:t xml:space="preserve">Note </w:t>
      </w:r>
      <w:r w:rsidR="00A757A9">
        <w:t>7.4</w:t>
      </w:r>
      <w:r w:rsidRPr="0069094A">
        <w:t>.</w:t>
      </w:r>
      <w:r>
        <w:t xml:space="preserve"> In the process of reporting the general government sector as a single economic entity, all material transactions and balances in the sector are eliminated.</w:t>
      </w:r>
    </w:p>
    <w:p w:rsidR="00483B1C" w:rsidRDefault="00483B1C" w:rsidP="008F3A78"/>
    <w:p w:rsidR="00483B1C" w:rsidRDefault="00483B1C" w:rsidP="008F3A78"/>
    <w:p w:rsidR="00483B1C" w:rsidRDefault="00483B1C" w:rsidP="008F3A78">
      <w:pPr>
        <w:sectPr w:rsidR="00483B1C" w:rsidSect="00E92C26">
          <w:type w:val="continuous"/>
          <w:pgSz w:w="11906" w:h="16838" w:code="9"/>
          <w:pgMar w:top="1134" w:right="1134" w:bottom="1134" w:left="1134" w:header="624" w:footer="567" w:gutter="0"/>
          <w:cols w:num="2" w:space="708"/>
          <w:docGrid w:linePitch="360"/>
        </w:sectPr>
      </w:pPr>
    </w:p>
    <w:p w:rsidR="006932FC" w:rsidRDefault="00E92C26" w:rsidP="0078791B">
      <w:pPr>
        <w:pStyle w:val="Heading1"/>
      </w:pPr>
      <w:bookmarkStart w:id="11" w:name="_Toc465431996"/>
      <w:r>
        <w:lastRenderedPageBreak/>
        <w:t>How funds are raised</w:t>
      </w:r>
      <w:bookmarkEnd w:id="11"/>
    </w:p>
    <w:p w:rsidR="00E92C26" w:rsidRDefault="00E92C26" w:rsidP="00E92C26">
      <w:pPr>
        <w:pStyle w:val="Subheadingunderline"/>
        <w:sectPr w:rsidR="00E92C26" w:rsidSect="006932FC">
          <w:headerReference w:type="even" r:id="rId27"/>
          <w:headerReference w:type="default" r:id="rId28"/>
          <w:footerReference w:type="even" r:id="rId29"/>
          <w:footerReference w:type="default" r:id="rId30"/>
          <w:pgSz w:w="11906" w:h="16838" w:code="9"/>
          <w:pgMar w:top="1134" w:right="1134" w:bottom="1134" w:left="1134" w:header="624" w:footer="567" w:gutter="0"/>
          <w:cols w:space="708"/>
          <w:docGrid w:linePitch="360"/>
        </w:sectPr>
      </w:pPr>
    </w:p>
    <w:p w:rsidR="00E92C26" w:rsidRDefault="00E92C26" w:rsidP="00E92C26">
      <w:pPr>
        <w:pStyle w:val="Subheadingunderline"/>
      </w:pPr>
      <w:r>
        <w:lastRenderedPageBreak/>
        <w:t>Introduction</w:t>
      </w:r>
    </w:p>
    <w:p w:rsidR="00E92C26" w:rsidRDefault="00E92C26" w:rsidP="006932FC">
      <w:pPr>
        <w:sectPr w:rsidR="00E92C26" w:rsidSect="00E92C26">
          <w:type w:val="continuous"/>
          <w:pgSz w:w="11906" w:h="16838" w:code="9"/>
          <w:pgMar w:top="1134" w:right="1134" w:bottom="1134" w:left="1134" w:header="624" w:footer="567" w:gutter="0"/>
          <w:cols w:num="2" w:space="708"/>
          <w:docGrid w:linePitch="360"/>
        </w:sectPr>
      </w:pPr>
    </w:p>
    <w:p w:rsidR="00E92C26" w:rsidRDefault="007603FB" w:rsidP="006932FC">
      <w:r>
        <w:lastRenderedPageBreak/>
        <w:t>This section presents the sources and amounts of revenue raised by the general government sector.</w:t>
      </w:r>
    </w:p>
    <w:p w:rsidR="00A53039" w:rsidRDefault="007603FB" w:rsidP="006932FC">
      <w:r>
        <w:t>Revenue from transactions is recognised to the extent that it is probable that the economic benefits will flow to the entity and the revenue can be reliably measured at fair value.</w:t>
      </w:r>
    </w:p>
    <w:p w:rsidR="007603FB" w:rsidRDefault="00A53039" w:rsidP="006932FC">
      <w:r>
        <w:br w:type="column"/>
      </w:r>
    </w:p>
    <w:p w:rsidR="007603FB" w:rsidRDefault="007603FB" w:rsidP="006932FC">
      <w:pPr>
        <w:sectPr w:rsidR="007603FB" w:rsidSect="007603FB">
          <w:headerReference w:type="even" r:id="rId31"/>
          <w:headerReference w:type="default" r:id="rId32"/>
          <w:footerReference w:type="even" r:id="rId33"/>
          <w:footerReference w:type="default" r:id="rId34"/>
          <w:type w:val="continuous"/>
          <w:pgSz w:w="11906" w:h="16838" w:code="9"/>
          <w:pgMar w:top="1134" w:right="1134" w:bottom="1134" w:left="1134" w:header="624" w:footer="567" w:gutter="0"/>
          <w:cols w:num="2" w:space="708"/>
          <w:docGrid w:linePitch="360"/>
        </w:sectPr>
      </w:pPr>
    </w:p>
    <w:p w:rsidR="00012598" w:rsidRPr="00012598" w:rsidRDefault="00E92C26" w:rsidP="00012598">
      <w:pPr>
        <w:pStyle w:val="Heading2"/>
        <w:rPr>
          <w:rStyle w:val="TableUnitsChar"/>
          <w:bCs/>
          <w:lang w:val="en-US"/>
        </w:rPr>
      </w:pPr>
      <w:r w:rsidRPr="00235612">
        <w:rPr>
          <w:szCs w:val="22"/>
        </w:rPr>
        <w:lastRenderedPageBreak/>
        <w:t>Taxation revenue</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1 357</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Taxes on employers</w:t>
            </w:r>
            <w:r w:rsidR="008A6DD6">
              <w:rPr>
                <w:rFonts w:eastAsiaTheme="minorEastAsia" w:cs="Calibri"/>
                <w:b/>
                <w:bCs/>
                <w:color w:val="000000"/>
                <w:szCs w:val="18"/>
                <w:lang w:eastAsia="en-AU"/>
              </w:rPr>
              <w:t>’</w:t>
            </w:r>
            <w:r w:rsidRPr="00012598">
              <w:rPr>
                <w:rFonts w:eastAsiaTheme="minorEastAsia" w:cs="Calibri"/>
                <w:b/>
                <w:bCs/>
                <w:color w:val="000000"/>
                <w:szCs w:val="18"/>
                <w:lang w:eastAsia="en-AU"/>
              </w:rPr>
              <w:t xml:space="preserve"> payroll and labour force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1 460</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5 671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Taxes on immovable property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Land tax</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2 225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653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Fire Services Property Levy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657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674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Congestion levy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115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Metropolitan improvement levy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157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Financial and capital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1 450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Land transfer duty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1 400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5 677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property duties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Metropolitan planning levy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Financial accommodation levy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149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Growth areas infrastructure contribution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2 319</w:t>
            </w:r>
          </w:p>
        </w:tc>
        <w:tc>
          <w:tcPr>
            <w:tcW w:w="691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taxes on property</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2 269</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9 162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Gambling taxes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Public lotteries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278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Electronic gaming machines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279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1 107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Casino</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251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Racing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Levies on statutory corporations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112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319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Taxes on insurance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343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1 220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804</w:t>
            </w:r>
          </w:p>
        </w:tc>
        <w:tc>
          <w:tcPr>
            <w:tcW w:w="691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taxes on the provision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822</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3 243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Motor vehicle taxes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367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Vehicle registration fees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1 532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Duty on vehicle registrations and transfers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Liquor licence fees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22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Other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1 161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581</w:t>
            </w:r>
          </w:p>
        </w:tc>
        <w:tc>
          <w:tcPr>
            <w:tcW w:w="6917"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taxes on the use of goods and performance of activities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714</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3 518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5 061</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taxation revenue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5 265</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21 594</w:t>
            </w:r>
          </w:p>
        </w:tc>
      </w:tr>
    </w:tbl>
    <w:p w:rsidR="00CF0CCB" w:rsidRPr="00787DF9" w:rsidRDefault="00CF0CCB" w:rsidP="005074EB"/>
    <w:p w:rsidR="00787DF9" w:rsidRDefault="00787DF9">
      <w:pPr>
        <w:rPr>
          <w:rFonts w:asciiTheme="majorHAnsi" w:eastAsiaTheme="majorEastAsia" w:hAnsiTheme="majorHAnsi" w:cstheme="majorBidi"/>
          <w:b/>
          <w:spacing w:val="-2"/>
        </w:rPr>
      </w:pPr>
      <w:r>
        <w:br w:type="page"/>
      </w:r>
    </w:p>
    <w:p w:rsidR="00012598" w:rsidRPr="00012598" w:rsidRDefault="00BC7A08" w:rsidP="00012598">
      <w:pPr>
        <w:pStyle w:val="Heading2"/>
        <w:rPr>
          <w:bCs/>
          <w:lang w:val="en-US"/>
        </w:rPr>
      </w:pPr>
      <w:r>
        <w:rPr>
          <w:szCs w:val="22"/>
        </w:rPr>
        <w:lastRenderedPageBreak/>
        <w:t xml:space="preserve">Dividends, </w:t>
      </w:r>
      <w:r w:rsidR="00E92C26" w:rsidRPr="00235612">
        <w:rPr>
          <w:szCs w:val="22"/>
        </w:rPr>
        <w:t>income tax equivalent and rate equivalent revenue</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Dividends from PFC sector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w:t>
            </w:r>
            <w:r w:rsidRPr="00012598">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Dividends from PNFC sector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250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Dividends from non-public sector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21</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Dividends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805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Income tax equivalent revenue from PFC sector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40</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Income tax equivalent revenue from PNFC sector</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45</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192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Income tax equivalent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243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Local government rate equivalent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59</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dividends, income tax equivalent and rate equivalent revenue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78</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1 059</w:t>
            </w:r>
          </w:p>
        </w:tc>
      </w:tr>
    </w:tbl>
    <w:p w:rsidR="00E92C26" w:rsidRPr="00787DF9" w:rsidRDefault="00E92C26" w:rsidP="005074EB"/>
    <w:p w:rsidR="00012598" w:rsidRPr="00012598" w:rsidRDefault="00E92C26" w:rsidP="00012598">
      <w:pPr>
        <w:pStyle w:val="Heading2"/>
        <w:rPr>
          <w:bCs/>
          <w:lang w:val="en-US"/>
        </w:rPr>
      </w:pPr>
      <w:r w:rsidRPr="00235612">
        <w:rPr>
          <w:szCs w:val="22"/>
        </w:rPr>
        <w:t>Sales of goods and services</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Motor vehicle regulatory fees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216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regulatory fees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499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Sale of goods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1 015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Provision of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1</w:t>
            </w:r>
            <w:r w:rsidRPr="00012598">
              <w:t xml:space="preserve"> 000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4 017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Rental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Refunds and reimbursements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435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Inter-sector capital asset charge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434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1 924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1 661</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sales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1 672</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6 843</w:t>
            </w:r>
          </w:p>
        </w:tc>
      </w:tr>
    </w:tbl>
    <w:p w:rsidR="00E92C26" w:rsidRPr="00787DF9" w:rsidRDefault="00E92C26" w:rsidP="005074EB"/>
    <w:p w:rsidR="00012598" w:rsidRPr="00012598" w:rsidRDefault="00E92C26" w:rsidP="00012598">
      <w:pPr>
        <w:pStyle w:val="Heading2"/>
        <w:rPr>
          <w:bCs/>
          <w:lang w:val="en-US"/>
        </w:rPr>
      </w:pPr>
      <w:r w:rsidRPr="00235612">
        <w:rPr>
          <w:szCs w:val="22"/>
        </w:rPr>
        <w:t>Grant revenue</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3 183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General purpose grants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3 471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13 885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745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Specific purpose grants for on-passing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855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3 576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2 058</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specific purpose grants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2 361</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9 731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5 987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6 687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27 192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contributions and grants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232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6 010</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grant revenue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6 699</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27 424</w:t>
            </w:r>
          </w:p>
        </w:tc>
      </w:tr>
    </w:tbl>
    <w:p w:rsidR="00E92C26" w:rsidRPr="00787DF9" w:rsidRDefault="00E92C26" w:rsidP="005074EB"/>
    <w:p w:rsidR="00012598" w:rsidRPr="00012598" w:rsidRDefault="00E92C26" w:rsidP="00012598">
      <w:pPr>
        <w:pStyle w:val="Heading2"/>
        <w:rPr>
          <w:bCs/>
          <w:lang w:val="en-US"/>
        </w:rPr>
      </w:pPr>
      <w:r w:rsidRPr="00235612">
        <w:rPr>
          <w:szCs w:val="22"/>
        </w:rPr>
        <w:t>Other revenue</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Fair value of assets received free of charge or for nominal consideration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290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167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Fines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776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Royalties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Donations and gifts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312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non-property rental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308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miscellaneous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238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1 084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564</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other revenue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510</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2 569</w:t>
            </w:r>
          </w:p>
        </w:tc>
      </w:tr>
    </w:tbl>
    <w:p w:rsidR="00E92C26" w:rsidRPr="00787DF9" w:rsidRDefault="00E92C26" w:rsidP="005074EB"/>
    <w:p w:rsidR="00E92C26" w:rsidRDefault="0023071C" w:rsidP="00E92C26">
      <w:r>
        <w:br w:type="page"/>
      </w:r>
    </w:p>
    <w:p w:rsidR="00E92C26" w:rsidRDefault="00E92C26" w:rsidP="0023071C">
      <w:pPr>
        <w:pStyle w:val="Heading1"/>
      </w:pPr>
      <w:bookmarkStart w:id="12" w:name="_Toc465431997"/>
      <w:r>
        <w:lastRenderedPageBreak/>
        <w:t xml:space="preserve">How funds are </w:t>
      </w:r>
      <w:r w:rsidR="00991E04">
        <w:t>spent</w:t>
      </w:r>
      <w:bookmarkEnd w:id="12"/>
    </w:p>
    <w:p w:rsidR="00E92C26" w:rsidRDefault="00E92C26" w:rsidP="00E92C26">
      <w:pPr>
        <w:pStyle w:val="Subheadingunderline"/>
        <w:sectPr w:rsidR="00E92C26" w:rsidSect="00E92C26">
          <w:type w:val="continuous"/>
          <w:pgSz w:w="11906" w:h="16838" w:code="9"/>
          <w:pgMar w:top="1134" w:right="1134" w:bottom="1134" w:left="1134" w:header="624" w:footer="567" w:gutter="0"/>
          <w:cols w:space="708"/>
          <w:docGrid w:linePitch="360"/>
        </w:sectPr>
      </w:pPr>
    </w:p>
    <w:p w:rsidR="00E92C26" w:rsidRDefault="00E92C26" w:rsidP="00E92C26">
      <w:pPr>
        <w:pStyle w:val="Subheadingunderline"/>
      </w:pPr>
      <w:r>
        <w:lastRenderedPageBreak/>
        <w:t>Introduction</w:t>
      </w:r>
    </w:p>
    <w:p w:rsidR="00E92C26" w:rsidRDefault="00E92C26" w:rsidP="00E92C26">
      <w:pPr>
        <w:sectPr w:rsidR="00E92C26" w:rsidSect="00E92C26">
          <w:type w:val="continuous"/>
          <w:pgSz w:w="11906" w:h="16838" w:code="9"/>
          <w:pgMar w:top="1134" w:right="1134" w:bottom="1134" w:left="1134" w:header="624" w:footer="567" w:gutter="0"/>
          <w:cols w:num="2" w:space="708"/>
          <w:docGrid w:linePitch="360"/>
        </w:sectPr>
      </w:pPr>
    </w:p>
    <w:p w:rsidR="000C4EE3" w:rsidRDefault="00C47B78" w:rsidP="00E92C26">
      <w:r>
        <w:lastRenderedPageBreak/>
        <w:t>This section accounts for the major components of expenditure incurred by the general government sector towards the operating activities (expenses from transactions) and on capital or infrastructure projects during the year, as well as any related obligations outstanding as at 30 September 2016.</w:t>
      </w:r>
    </w:p>
    <w:p w:rsidR="00820A9F" w:rsidRDefault="00820A9F" w:rsidP="00820A9F">
      <w:pPr>
        <w:pStyle w:val="Heading2"/>
        <w:numPr>
          <w:ilvl w:val="0"/>
          <w:numId w:val="0"/>
        </w:numPr>
      </w:pPr>
    </w:p>
    <w:p w:rsidR="00820A9F" w:rsidRDefault="00820A9F" w:rsidP="00820A9F"/>
    <w:p w:rsidR="00820A9F" w:rsidRPr="00820A9F" w:rsidRDefault="00820A9F" w:rsidP="00820A9F">
      <w:pPr>
        <w:sectPr w:rsidR="00820A9F" w:rsidRPr="00820A9F" w:rsidSect="000C4EE3">
          <w:headerReference w:type="even" r:id="rId35"/>
          <w:headerReference w:type="default" r:id="rId36"/>
          <w:footerReference w:type="even" r:id="rId37"/>
          <w:footerReference w:type="default" r:id="rId38"/>
          <w:type w:val="continuous"/>
          <w:pgSz w:w="11906" w:h="16838" w:code="9"/>
          <w:pgMar w:top="1134" w:right="1134" w:bottom="1134" w:left="1134" w:header="624" w:footer="567" w:gutter="0"/>
          <w:cols w:num="2" w:space="708"/>
          <w:docGrid w:linePitch="360"/>
        </w:sectPr>
      </w:pPr>
    </w:p>
    <w:p w:rsidR="00FA0EDB" w:rsidRDefault="00820A9F" w:rsidP="00820A9F">
      <w:pPr>
        <w:pStyle w:val="Heading2"/>
      </w:pPr>
      <w:r>
        <w:lastRenderedPageBreak/>
        <w:t>Employee expenses and provision for outstanding employee benefits</w:t>
      </w:r>
    </w:p>
    <w:p w:rsidR="00820A9F" w:rsidRDefault="00820A9F" w:rsidP="00E92C26">
      <w:pPr>
        <w:sectPr w:rsidR="00820A9F" w:rsidSect="00820A9F">
          <w:type w:val="continuous"/>
          <w:pgSz w:w="11906" w:h="16838" w:code="9"/>
          <w:pgMar w:top="1134" w:right="1134" w:bottom="1134" w:left="1134" w:header="624" w:footer="567" w:gutter="0"/>
          <w:cols w:space="708"/>
          <w:docGrid w:linePitch="360"/>
        </w:sectPr>
      </w:pPr>
    </w:p>
    <w:p w:rsidR="00820A9F" w:rsidRDefault="00820A9F" w:rsidP="00820A9F">
      <w:pPr>
        <w:pStyle w:val="Subheadingunderline"/>
      </w:pPr>
      <w:r>
        <w:lastRenderedPageBreak/>
        <w:t>Employee expenses (operating statement)</w:t>
      </w:r>
    </w:p>
    <w:p w:rsidR="0094240A" w:rsidRPr="0094240A" w:rsidRDefault="00820A9F" w:rsidP="0094240A">
      <w:r>
        <w:t xml:space="preserve">Employee expenses in the operating statement are a major component of operating costs and include all costs related to </w:t>
      </w:r>
      <w:r w:rsidR="0094240A">
        <w:t>employment, including wages and salaries, fringe benefits tax, leave entitlements and redundancy payments. The majority of employee expenses in the operating statement are wages and salaries.</w:t>
      </w:r>
      <w:r w:rsidR="00FB624F">
        <w:t xml:space="preserve"> </w:t>
      </w:r>
      <w:r w:rsidR="00AB7738">
        <w:t xml:space="preserve">Increases in employee </w:t>
      </w:r>
      <w:r w:rsidR="00E771FC">
        <w:t>expenses are mainly attributable to increased service delivery in the health, education and police sectors as well as salary growth consistent with wages policy.</w:t>
      </w:r>
    </w:p>
    <w:p w:rsidR="0094240A" w:rsidRDefault="0094240A" w:rsidP="0094240A">
      <w:pPr>
        <w:pStyle w:val="Subheadingunderline"/>
      </w:pPr>
      <w:r>
        <w:lastRenderedPageBreak/>
        <w:t>Employee expenses (balance sheet)</w:t>
      </w:r>
    </w:p>
    <w:p w:rsidR="0094240A" w:rsidRDefault="0094240A" w:rsidP="00E92C26">
      <w:r>
        <w:t>As part of annual operations, the State provides for benefits accruing to employees but payable in future periods in respect of wages and salaries, annual leave and long-service leave, and related on-costs for services rendered to the reporting date. The table below shows the key components of this provision at 30 September.</w:t>
      </w:r>
    </w:p>
    <w:p w:rsidR="000C4EE3" w:rsidRDefault="000C4EE3" w:rsidP="00E92C26"/>
    <w:p w:rsidR="000C4EE3" w:rsidRDefault="000C4EE3" w:rsidP="00E92C26">
      <w:pPr>
        <w:sectPr w:rsidR="000C4EE3" w:rsidSect="000C4EE3">
          <w:type w:val="continuous"/>
          <w:pgSz w:w="11906" w:h="16838" w:code="9"/>
          <w:pgMar w:top="1134" w:right="1134" w:bottom="1134" w:left="1134" w:header="624" w:footer="567" w:gutter="0"/>
          <w:cols w:num="2" w:space="708"/>
          <w:docGrid w:linePitch="360"/>
        </w:sectPr>
      </w:pPr>
    </w:p>
    <w:p w:rsidR="00012598" w:rsidRPr="00012598" w:rsidRDefault="00FA0EDB" w:rsidP="00012598">
      <w:pPr>
        <w:pStyle w:val="Heading2"/>
        <w:rPr>
          <w:bCs/>
          <w:lang w:val="en-US"/>
        </w:rPr>
      </w:pPr>
      <w:r>
        <w:rPr>
          <w:szCs w:val="22"/>
        </w:rPr>
        <w:lastRenderedPageBreak/>
        <w:t>Employee b</w:t>
      </w:r>
      <w:r w:rsidR="00F14F12" w:rsidRPr="00235612">
        <w:rPr>
          <w:szCs w:val="22"/>
        </w:rPr>
        <w:t>enefits</w:t>
      </w:r>
      <w:r>
        <w:rPr>
          <w:szCs w:val="22"/>
        </w:rPr>
        <w:t xml:space="preserve"> (balance sheet)</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7449DC" w:rsidRPr="00012598" w:rsidRDefault="007449DC" w:rsidP="007449DC">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Current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304</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Accrued salaries and wages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376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294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400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21</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Other employee benefits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1 626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Annual leave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1 504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1 439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1 574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3 005</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Long service leave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3 442</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3 538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3 657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4 956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current employee benefits and on-costs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5 347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b/>
                <w:bCs/>
                <w:color w:val="000000"/>
                <w:szCs w:val="18"/>
                <w:lang w:eastAsia="en-AU"/>
              </w:rPr>
              <w:t>5 291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5 656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Non-current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719</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Long service leave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791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878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Arial"/>
                <w:b/>
                <w:bCs/>
                <w:color w:val="000000"/>
                <w:szCs w:val="18"/>
                <w:lang w:eastAsia="en-AU"/>
              </w:rPr>
              <w:t>719</w:t>
            </w:r>
          </w:p>
        </w:tc>
        <w:tc>
          <w:tcPr>
            <w:tcW w:w="6009" w:type="dxa"/>
            <w:tcBorders>
              <w:top w:val="single" w:sz="6" w:space="0" w:color="000000"/>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non-current employee benefits and on-costs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791</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806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878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5 675</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employee benefits and on-costs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6 137</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b/>
                <w:bCs/>
                <w:color w:val="000000"/>
                <w:szCs w:val="18"/>
                <w:lang w:eastAsia="en-AU"/>
              </w:rPr>
              <w:t>6 098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6 534</w:t>
            </w:r>
          </w:p>
        </w:tc>
      </w:tr>
    </w:tbl>
    <w:p w:rsidR="00F14F12" w:rsidRPr="00787DF9" w:rsidRDefault="00F14F12" w:rsidP="005074EB"/>
    <w:p w:rsidR="005909F2" w:rsidRDefault="005909F2">
      <w:pPr>
        <w:rPr>
          <w:rFonts w:asciiTheme="majorHAnsi" w:eastAsiaTheme="majorEastAsia" w:hAnsiTheme="majorHAnsi" w:cstheme="majorBidi"/>
          <w:b/>
          <w:spacing w:val="-2"/>
          <w:sz w:val="24"/>
        </w:rPr>
      </w:pPr>
      <w:r>
        <w:br w:type="page"/>
      </w:r>
    </w:p>
    <w:p w:rsidR="00012598" w:rsidRPr="00012598" w:rsidRDefault="007B04AE" w:rsidP="00012598">
      <w:pPr>
        <w:pStyle w:val="Heading2"/>
        <w:rPr>
          <w:bCs/>
          <w:lang w:val="en-US"/>
        </w:rPr>
      </w:pPr>
      <w:r w:rsidRPr="00235612">
        <w:rPr>
          <w:szCs w:val="22"/>
        </w:rPr>
        <w:lastRenderedPageBreak/>
        <w:t>Superannuation</w:t>
      </w:r>
      <w:r w:rsidR="00D67928">
        <w:rPr>
          <w:szCs w:val="22"/>
        </w:rPr>
        <w:t xml:space="preserve"> (operating statement)</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Defined benefit plans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superannuation 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 xml:space="preserve">Current service cost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780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roofErr w:type="spellStart"/>
            <w:r w:rsidRPr="00012598">
              <w:rPr>
                <w:rFonts w:eastAsiaTheme="minorEastAsia" w:cs="Calibri"/>
                <w:color w:val="000000"/>
                <w:szCs w:val="18"/>
                <w:lang w:eastAsia="en-AU"/>
              </w:rPr>
              <w:t>Remeasurements</w:t>
            </w:r>
            <w:proofErr w:type="spellEnd"/>
            <w:r w:rsidRPr="00012598">
              <w:rPr>
                <w:rFonts w:eastAsiaTheme="minorEastAsia" w:cs="Calibri"/>
                <w:color w:val="000000"/>
                <w:szCs w:val="18"/>
                <w:lang w:eastAsia="en-AU"/>
              </w:rPr>
              <w: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Expected return on superannuation assets excluding interest income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691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actuarial (gain)/loss on superannuation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(287)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1 486</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Actuarial and other adjustments to unfunded superannuation liability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253</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2 366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(gain)/expenses recognised in respect of defined benefit plans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141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694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Defined contribution plans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321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 xml:space="preserve">Employer contributions to defined contribution plans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337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1 396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25</w:t>
            </w:r>
          </w:p>
        </w:tc>
        <w:tc>
          <w:tcPr>
            <w:tcW w:w="6917"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(including pensions)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346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expense recognised in respect of defined contribution plans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355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1 459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2 711</w:t>
            </w:r>
          </w:p>
        </w:tc>
        <w:tc>
          <w:tcPr>
            <w:tcW w:w="6917" w:type="dxa"/>
            <w:tcBorders>
              <w:top w:val="nil"/>
              <w:left w:val="nil"/>
              <w:bottom w:val="single" w:sz="12"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superannuation (gain)/expense recognised in operating statement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496</w:t>
            </w:r>
          </w:p>
        </w:tc>
        <w:tc>
          <w:tcPr>
            <w:tcW w:w="907" w:type="dxa"/>
            <w:tcBorders>
              <w:top w:val="nil"/>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2 153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Represented by: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223</w:t>
            </w:r>
          </w:p>
        </w:tc>
        <w:tc>
          <w:tcPr>
            <w:tcW w:w="6917" w:type="dxa"/>
            <w:tcBorders>
              <w:top w:val="nil"/>
              <w:left w:val="nil"/>
              <w:bottom w:val="nil"/>
              <w:right w:val="nil"/>
            </w:tcBorders>
          </w:tcPr>
          <w:p w:rsidR="00012598" w:rsidRPr="00012598" w:rsidRDefault="00CD6F2A" w:rsidP="00CD6F2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Net s</w:t>
            </w:r>
            <w:r w:rsidR="00012598" w:rsidRPr="00012598">
              <w:rPr>
                <w:rFonts w:eastAsiaTheme="minorEastAsia" w:cs="Calibri"/>
                <w:color w:val="000000"/>
                <w:szCs w:val="18"/>
                <w:lang w:eastAsia="en-AU"/>
              </w:rPr>
              <w:t>uperannuation 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791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554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552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2 239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777</w:t>
            </w:r>
          </w:p>
        </w:tc>
        <w:tc>
          <w:tcPr>
            <w:tcW w:w="6917"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Superannuation expense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752</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3 030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1 934</w:t>
            </w:r>
          </w:p>
        </w:tc>
        <w:tc>
          <w:tcPr>
            <w:tcW w:w="6917" w:type="dxa"/>
            <w:tcBorders>
              <w:top w:val="single" w:sz="6" w:space="0" w:color="000000"/>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roofErr w:type="spellStart"/>
            <w:r w:rsidRPr="00012598">
              <w:rPr>
                <w:rFonts w:eastAsiaTheme="minorEastAsia" w:cs="Calibri"/>
                <w:b/>
                <w:bCs/>
                <w:color w:val="000000"/>
                <w:szCs w:val="18"/>
                <w:lang w:eastAsia="en-AU"/>
              </w:rPr>
              <w:t>Remeasurement</w:t>
            </w:r>
            <w:proofErr w:type="spellEnd"/>
            <w:r w:rsidRPr="00012598">
              <w:rPr>
                <w:rFonts w:eastAsiaTheme="minorEastAsia" w:cs="Calibri"/>
                <w:b/>
                <w:bCs/>
                <w:color w:val="000000"/>
                <w:szCs w:val="18"/>
                <w:lang w:eastAsia="en-AU"/>
              </w:rPr>
              <w:t xml:space="preserve"> recognised in other comprehensive income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(256)</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(877)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2 711</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superannuation costs recognised in operating statement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496</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2 153</w:t>
            </w:r>
          </w:p>
        </w:tc>
      </w:tr>
    </w:tbl>
    <w:p w:rsidR="007B04AE" w:rsidRPr="00787DF9" w:rsidRDefault="007B04AE" w:rsidP="005074EB"/>
    <w:p w:rsidR="00322F0D" w:rsidRDefault="006938AE" w:rsidP="00CF0CCB">
      <w:pPr>
        <w:pStyle w:val="Heading2"/>
        <w:rPr>
          <w:rStyle w:val="TableUnitsChar"/>
        </w:rPr>
      </w:pPr>
      <w:r w:rsidRPr="00235612">
        <w:rPr>
          <w:szCs w:val="22"/>
        </w:rPr>
        <w:t>Total operating expenses</w:t>
      </w:r>
      <w:r w:rsidR="00364ACD" w:rsidRPr="00235612">
        <w:rPr>
          <w:szCs w:val="22"/>
        </w:rPr>
        <w:t xml:space="preserve"> by government purpose and by department</w:t>
      </w:r>
    </w:p>
    <w:p w:rsidR="00012598" w:rsidRPr="00012598" w:rsidRDefault="00FA5E8B" w:rsidP="00012598">
      <w:pPr>
        <w:pStyle w:val="Subheading"/>
        <w:rPr>
          <w:rStyle w:val="TableUnitsChar"/>
          <w:bCs/>
          <w:lang w:val="en-US"/>
        </w:rPr>
      </w:pPr>
      <w:r>
        <w:t>(a)</w:t>
      </w:r>
      <w:r>
        <w:tab/>
      </w:r>
      <w:r w:rsidRPr="00FA5E8B">
        <w:t>T</w:t>
      </w:r>
      <w:r w:rsidR="00C90F77" w:rsidRPr="00FA5E8B">
        <w:t>otal</w:t>
      </w:r>
      <w:r w:rsidR="00C90F77">
        <w:t xml:space="preserve"> expenses by government purpose classification</w:t>
      </w:r>
      <w:r>
        <w:tab/>
      </w:r>
      <w:r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20"/>
                <w:lang w:eastAsia="en-AU"/>
              </w:rPr>
            </w:pPr>
            <w:r w:rsidRPr="00012598">
              <w:rPr>
                <w:rFonts w:eastAsiaTheme="minorEastAsia" w:cs="Calibri"/>
                <w:iCs/>
                <w:color w:val="FFFFFF"/>
                <w:szCs w:val="20"/>
                <w:lang w:eastAsia="en-AU"/>
              </w:rPr>
              <w:t>2015-16</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20"/>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budget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618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General public services </w:t>
            </w:r>
            <w:r w:rsidRPr="00012598">
              <w:rPr>
                <w:rFonts w:eastAsiaTheme="minorEastAsia" w:cs="Calibri"/>
                <w:color w:val="000000"/>
                <w:szCs w:val="2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608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2 296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1 447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Public order and safety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1 571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6 645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3 424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Education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3 489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14 801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3 609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Health </w:t>
            </w:r>
            <w:r w:rsidRPr="00012598">
              <w:rPr>
                <w:rFonts w:eastAsiaTheme="minorEastAsia" w:cs="Calibri"/>
                <w:color w:val="000000"/>
                <w:szCs w:val="2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3 973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16 374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1 095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Social security and welfare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1 067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4 244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631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Housing and community amenities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707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3 226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171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Recreation and culture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206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743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Fuel and energy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201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Agriculture, forestry, fishing, and hunting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388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1 537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Transport and communications</w:t>
            </w:r>
            <w:r w:rsidRPr="00012598">
              <w:rPr>
                <w:rFonts w:eastAsiaTheme="minorEastAsia" w:cs="Calibri"/>
                <w:color w:val="000000"/>
                <w:szCs w:val="20"/>
                <w:vertAlign w:val="superscript"/>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1 559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6 751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233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Other economic affairs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450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993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336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Other purposes </w:t>
            </w:r>
            <w:r w:rsidRPr="00012598">
              <w:rPr>
                <w:rFonts w:eastAsiaTheme="minorEastAsia" w:cs="Calibri"/>
                <w:color w:val="000000"/>
                <w:szCs w:val="2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315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1 515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(151)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Not allocated by purpose </w:t>
            </w:r>
            <w:r w:rsidRPr="00012598">
              <w:rPr>
                <w:rFonts w:eastAsiaTheme="minorEastAsia" w:cs="Calibri"/>
                <w:color w:val="000000"/>
                <w:szCs w:val="2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(130)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(677)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13 040</w:t>
            </w:r>
          </w:p>
        </w:tc>
        <w:tc>
          <w:tcPr>
            <w:tcW w:w="69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 xml:space="preserve">Total expenses from transactions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13 911</w:t>
            </w:r>
          </w:p>
        </w:tc>
        <w:tc>
          <w:tcPr>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57 501</w:t>
            </w:r>
          </w:p>
        </w:tc>
      </w:tr>
    </w:tbl>
    <w:p w:rsidR="000F6A22" w:rsidRDefault="000F6A22" w:rsidP="000F6A22">
      <w:pPr>
        <w:pStyle w:val="Note"/>
      </w:pPr>
      <w:r>
        <w:t>Note:</w:t>
      </w:r>
    </w:p>
    <w:p w:rsidR="000F6A22" w:rsidRPr="00787DF9" w:rsidRDefault="00B52349" w:rsidP="00B52349">
      <w:pPr>
        <w:pStyle w:val="Note"/>
      </w:pPr>
      <w:r>
        <w:t>(a)</w:t>
      </w:r>
      <w:r>
        <w:tab/>
      </w:r>
      <w:r w:rsidR="000F6A22">
        <w:t>September 2015-16 comparative figures have been restated to reflect more current information.</w:t>
      </w:r>
    </w:p>
    <w:p w:rsidR="006938AE" w:rsidRPr="00FB5524" w:rsidRDefault="006938AE" w:rsidP="005074EB"/>
    <w:p w:rsidR="005909F2" w:rsidRDefault="005909F2">
      <w:pPr>
        <w:rPr>
          <w:rFonts w:asciiTheme="majorHAnsi" w:hAnsiTheme="majorHAnsi"/>
          <w:b/>
          <w:spacing w:val="-2"/>
        </w:rPr>
      </w:pPr>
      <w:r>
        <w:br w:type="page"/>
      </w:r>
    </w:p>
    <w:p w:rsidR="00012598" w:rsidRPr="00012598" w:rsidRDefault="00C90F77" w:rsidP="00012598">
      <w:pPr>
        <w:pStyle w:val="Subheading"/>
        <w:rPr>
          <w:rStyle w:val="TableUnitsChar"/>
          <w:bCs/>
          <w:lang w:val="en-US"/>
        </w:rPr>
      </w:pPr>
      <w:r>
        <w:lastRenderedPageBreak/>
        <w:t>(b)</w:t>
      </w:r>
      <w:r w:rsidR="00FA5E8B">
        <w:tab/>
      </w:r>
      <w:r w:rsidRPr="00FA5E8B">
        <w:t>Total</w:t>
      </w:r>
      <w:r>
        <w:t xml:space="preserve"> expenses by department</w:t>
      </w:r>
      <w:r w:rsidR="00FA5E8B">
        <w:tab/>
      </w:r>
      <w:r w:rsidR="00FA5E8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20"/>
                <w:lang w:eastAsia="en-AU"/>
              </w:rPr>
            </w:pPr>
            <w:r w:rsidRPr="00012598">
              <w:rPr>
                <w:rFonts w:eastAsiaTheme="minorEastAsia" w:cs="Calibri"/>
                <w:iCs/>
                <w:color w:val="FFFFFF"/>
                <w:szCs w:val="20"/>
                <w:lang w:eastAsia="en-AU"/>
              </w:rPr>
              <w:t>2015-16</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20"/>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budget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2 034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Economic Development, Jobs, Transport and Resources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2 254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8 726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3 802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Education and Training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3 891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16 526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634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Environment, Land, Water and Planning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733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2 892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5 129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Health and Human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5 541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22 235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1 380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Justice and Regulation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1 500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6 061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85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Premier and Cabinet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613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1 629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Treasury and Finance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1 650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7 132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Parliament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200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122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Courts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550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481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Regulatory bodies and other part funded agencies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506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2 103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15 339</w:t>
            </w:r>
          </w:p>
        </w:tc>
        <w:tc>
          <w:tcPr>
            <w:tcW w:w="6917"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 xml:space="preserve">Total expenses by department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16 353</w:t>
            </w:r>
          </w:p>
        </w:tc>
        <w:tc>
          <w:tcPr>
            <w:tcW w:w="907"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67 039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(2 299)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012598">
              <w:rPr>
                <w:rFonts w:eastAsiaTheme="minorEastAsia" w:cs="Calibri"/>
                <w:i/>
                <w:iCs/>
                <w:color w:val="000000"/>
                <w:szCs w:val="20"/>
                <w:lang w:eastAsia="en-AU"/>
              </w:rPr>
              <w:t>Less eliminations and adjustments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20"/>
                <w:lang w:eastAsia="en-AU"/>
              </w:rPr>
              <w:t xml:space="preserve">(2 </w:t>
            </w:r>
            <w:r w:rsidRPr="00012598">
              <w:t>442)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(9 539)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13 040</w:t>
            </w:r>
          </w:p>
        </w:tc>
        <w:tc>
          <w:tcPr>
            <w:tcW w:w="69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Total expenses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13 911</w:t>
            </w:r>
          </w:p>
        </w:tc>
        <w:tc>
          <w:tcPr>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57 501</w:t>
            </w:r>
          </w:p>
        </w:tc>
      </w:tr>
    </w:tbl>
    <w:p w:rsidR="00C90F77" w:rsidRPr="00FB5524" w:rsidRDefault="00C90F77" w:rsidP="005074EB"/>
    <w:p w:rsidR="00012598" w:rsidRPr="00012598" w:rsidRDefault="00222963" w:rsidP="00012598">
      <w:pPr>
        <w:pStyle w:val="Heading2"/>
        <w:rPr>
          <w:rStyle w:val="TableUnitsChar"/>
          <w:sz w:val="24"/>
          <w:szCs w:val="22"/>
        </w:rPr>
      </w:pPr>
      <w:r>
        <w:rPr>
          <w:szCs w:val="22"/>
        </w:rPr>
        <w:t>Purchase</w:t>
      </w:r>
      <w:r w:rsidR="00710A68">
        <w:rPr>
          <w:szCs w:val="22"/>
        </w:rPr>
        <w:t>s</w:t>
      </w:r>
      <w:r>
        <w:rPr>
          <w:szCs w:val="22"/>
        </w:rPr>
        <w:t xml:space="preserve"> of non-financial assets </w:t>
      </w:r>
      <w:r w:rsidR="00364ACD" w:rsidRPr="00235612">
        <w:rPr>
          <w:szCs w:val="22"/>
        </w:rPr>
        <w:t>by department</w:t>
      </w:r>
      <w:r>
        <w:rPr>
          <w:szCs w:val="22"/>
        </w:rPr>
        <w:tab/>
      </w:r>
      <w:r w:rsidR="00FA5E8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pStyle w:val="Note"/>
              <w:spacing w:after="20"/>
              <w:rPr>
                <w:rFonts w:eastAsiaTheme="minorEastAsia" w:cs="Calibri"/>
                <w:iCs/>
                <w:color w:val="FFFFFF"/>
                <w:sz w:val="17"/>
                <w:szCs w:val="20"/>
                <w:lang w:eastAsia="en-AU"/>
              </w:rPr>
            </w:pPr>
            <w:r w:rsidRPr="00012598">
              <w:rPr>
                <w:rFonts w:eastAsiaTheme="minorEastAsia" w:cs="Calibri"/>
                <w:i/>
                <w:iCs/>
                <w:color w:val="FFFFFF"/>
                <w:sz w:val="17"/>
                <w:szCs w:val="20"/>
                <w:lang w:eastAsia="en-AU"/>
              </w:rPr>
              <w:t>2015-16</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 w:val="0"/>
                <w:iCs/>
                <w:color w:val="FFFFFF"/>
                <w:szCs w:val="20"/>
                <w:lang w:eastAsia="en-AU"/>
              </w:rPr>
            </w:pPr>
            <w:r w:rsidRPr="00012598">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FFFFFF"/>
                <w:szCs w:val="20"/>
                <w:lang w:eastAsia="en-AU"/>
              </w:rPr>
            </w:pPr>
            <w:r w:rsidRPr="00012598">
              <w:rPr>
                <w:rFonts w:eastAsiaTheme="minorEastAsia" w:cs="Calibri"/>
                <w:iCs/>
                <w:color w:val="FFFFFF"/>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20"/>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7449DC" w:rsidRPr="00012598" w:rsidRDefault="007449DC"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budget  </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521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Economic Development, Jobs, Transport and Resources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1 063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3 488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Education and Training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152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850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Environment, Land, Water and Planning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116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Health and Human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192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1 367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221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Justice and Regulation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475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Premier and Cabinet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13</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Treasury and Finance </w:t>
            </w:r>
            <w:r w:rsidR="0001390E">
              <w:rPr>
                <w:rFonts w:eastAsiaTheme="minorEastAsia" w:cs="Calibri"/>
                <w:color w:val="000000"/>
                <w:szCs w:val="20"/>
                <w:vertAlign w:val="superscript"/>
                <w:lang w:eastAsia="en-AU"/>
              </w:rPr>
              <w:t>(b</w:t>
            </w:r>
            <w:r w:rsidR="0001390E" w:rsidRPr="0001390E">
              <w:rPr>
                <w:rFonts w:eastAsiaTheme="minorEastAsia" w:cs="Calibri"/>
                <w:color w:val="000000"/>
                <w:szCs w:val="20"/>
                <w:vertAlign w:val="superscript"/>
                <w:lang w:eastAsia="en-AU"/>
              </w:rPr>
              <w: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12</w:t>
            </w:r>
          </w:p>
        </w:tc>
        <w:tc>
          <w:tcPr>
            <w:tcW w:w="907" w:type="dxa"/>
            <w:tcBorders>
              <w:top w:val="nil"/>
              <w:left w:val="nil"/>
              <w:bottom w:val="nil"/>
              <w:right w:val="nil"/>
            </w:tcBorders>
          </w:tcPr>
          <w:p w:rsidR="00012598" w:rsidRPr="00012598" w:rsidRDefault="005D748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63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Parliament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29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Courts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49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27</w:t>
            </w:r>
          </w:p>
        </w:tc>
        <w:tc>
          <w:tcPr>
            <w:tcW w:w="6917" w:type="dxa"/>
            <w:tcBorders>
              <w:top w:val="nil"/>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Regulatory bodies and other part funded agencies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28</w:t>
            </w:r>
          </w:p>
        </w:tc>
        <w:tc>
          <w:tcPr>
            <w:tcW w:w="907" w:type="dxa"/>
            <w:tcBorders>
              <w:top w:val="nil"/>
              <w:left w:val="nil"/>
              <w:bottom w:val="single" w:sz="6"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166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20"/>
                <w:lang w:eastAsia="en-AU"/>
              </w:rPr>
              <w:t>919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Total purchases of non-financial assets by department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1 542</w:t>
            </w:r>
          </w:p>
        </w:tc>
        <w:tc>
          <w:tcPr>
            <w:tcW w:w="907" w:type="dxa"/>
            <w:tcBorders>
              <w:top w:val="nil"/>
              <w:left w:val="nil"/>
              <w:bottom w:val="nil"/>
              <w:right w:val="nil"/>
            </w:tcBorders>
          </w:tcPr>
          <w:p w:rsidR="00012598" w:rsidRPr="00012598" w:rsidRDefault="005D748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Pr>
                <w:rFonts w:eastAsiaTheme="minorEastAsia" w:cs="Calibri"/>
                <w:b/>
                <w:bCs/>
                <w:color w:val="000000"/>
                <w:szCs w:val="20"/>
                <w:lang w:eastAsia="en-AU"/>
              </w:rPr>
              <w:t>6 622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i/>
                <w:iCs/>
                <w:color w:val="000000"/>
                <w:szCs w:val="20"/>
                <w:lang w:eastAsia="en-AU"/>
              </w:rPr>
              <w:t xml:space="preserve">Less eliminations and adjustments </w:t>
            </w:r>
            <w:r w:rsidRPr="00012598">
              <w:rPr>
                <w:rFonts w:eastAsiaTheme="minorEastAsia" w:cs="Calibri"/>
                <w:i/>
                <w:iCs/>
                <w:color w:val="000000"/>
                <w:szCs w:val="20"/>
                <w:vertAlign w:val="superscript"/>
                <w:lang w:eastAsia="en-AU"/>
              </w:rPr>
              <w:t>(a)(</w:t>
            </w:r>
            <w:r w:rsidRPr="00012598">
              <w:rPr>
                <w:vertAlign w:val="superscript"/>
              </w:rPr>
              <w:t>b)</w:t>
            </w:r>
            <w:r w:rsidR="0001390E">
              <w:rPr>
                <w:vertAlign w:val="superscript"/>
              </w:rPr>
              <w:t>(c)</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23</w:t>
            </w:r>
          </w:p>
        </w:tc>
        <w:tc>
          <w:tcPr>
            <w:tcW w:w="907" w:type="dxa"/>
            <w:tcBorders>
              <w:top w:val="nil"/>
              <w:left w:val="nil"/>
              <w:bottom w:val="nil"/>
              <w:right w:val="nil"/>
            </w:tcBorders>
          </w:tcPr>
          <w:p w:rsidR="00012598" w:rsidRPr="00012598" w:rsidRDefault="005D748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584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20"/>
                <w:lang w:eastAsia="en-AU"/>
              </w:rPr>
              <w:t>960</w:t>
            </w:r>
          </w:p>
        </w:tc>
        <w:tc>
          <w:tcPr>
            <w:tcW w:w="69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vertAlign w:val="superscript"/>
                <w:lang w:eastAsia="en-AU"/>
              </w:rPr>
            </w:pPr>
            <w:r w:rsidRPr="00012598">
              <w:rPr>
                <w:rFonts w:eastAsiaTheme="minorEastAsia" w:cs="Calibri"/>
                <w:b/>
                <w:bCs/>
                <w:color w:val="000000"/>
                <w:szCs w:val="20"/>
                <w:lang w:eastAsia="en-AU"/>
              </w:rPr>
              <w:t xml:space="preserve">Total purchases of non-financial assets </w:t>
            </w:r>
            <w:r w:rsidRPr="00012598">
              <w:rPr>
                <w:rFonts w:eastAsiaTheme="minorEastAsia" w:cs="Calibri"/>
                <w:b/>
                <w:bCs/>
                <w:color w:val="000000"/>
                <w:szCs w:val="2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1 564</w:t>
            </w:r>
          </w:p>
        </w:tc>
        <w:tc>
          <w:tcPr>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7 206</w:t>
            </w:r>
          </w:p>
        </w:tc>
      </w:tr>
    </w:tbl>
    <w:p w:rsidR="000F6A22" w:rsidRDefault="000F6A22" w:rsidP="000F6A22">
      <w:pPr>
        <w:pStyle w:val="Note"/>
      </w:pPr>
      <w:r>
        <w:t>Note</w:t>
      </w:r>
      <w:r w:rsidR="00E672F0">
        <w:t>s</w:t>
      </w:r>
      <w:r>
        <w:t>:</w:t>
      </w:r>
    </w:p>
    <w:p w:rsidR="00C90F77" w:rsidRDefault="0001390E" w:rsidP="0001390E">
      <w:pPr>
        <w:pStyle w:val="Note"/>
      </w:pPr>
      <w:r w:rsidRPr="008903D9">
        <w:t>(a)</w:t>
      </w:r>
      <w:r>
        <w:tab/>
      </w:r>
      <w:r w:rsidR="00A515B8" w:rsidRPr="00A53039">
        <w:t xml:space="preserve">September 2015 </w:t>
      </w:r>
      <w:r w:rsidR="00983DF9">
        <w:t xml:space="preserve">-16 </w:t>
      </w:r>
      <w:r w:rsidR="00A515B8" w:rsidRPr="00A53039">
        <w:t>comparative figures have been restated to finalise the allocation of equity balances between contributed capital and accumulated funds related to prior year machinery of government changes.</w:t>
      </w:r>
    </w:p>
    <w:p w:rsidR="0001390E" w:rsidRPr="0001390E" w:rsidRDefault="0001390E" w:rsidP="0001390E">
      <w:pPr>
        <w:pStyle w:val="Note"/>
      </w:pPr>
      <w:r>
        <w:t>(b)</w:t>
      </w:r>
      <w:r>
        <w:tab/>
      </w:r>
      <w:r>
        <w:rPr>
          <w:i w:val="0"/>
        </w:rPr>
        <w:t>20</w:t>
      </w:r>
      <w:bookmarkStart w:id="13" w:name="_GoBack"/>
      <w:bookmarkEnd w:id="13"/>
      <w:r>
        <w:rPr>
          <w:i w:val="0"/>
        </w:rPr>
        <w:t xml:space="preserve">16-17 Budget </w:t>
      </w:r>
      <w:r>
        <w:t>figures have been restated to reflect more current information.</w:t>
      </w:r>
    </w:p>
    <w:p w:rsidR="00012598" w:rsidRPr="00A53039" w:rsidRDefault="0001390E" w:rsidP="0001390E">
      <w:pPr>
        <w:pStyle w:val="Note"/>
      </w:pPr>
      <w:r>
        <w:t>(c</w:t>
      </w:r>
      <w:r w:rsidR="00A53039">
        <w:t>)</w:t>
      </w:r>
      <w:r w:rsidR="00A53039">
        <w:tab/>
      </w:r>
      <w:r w:rsidR="00E672F0" w:rsidRPr="00A53039">
        <w:t>Budget includes contingencies not allocated to departments and estimated departmental underspend.</w:t>
      </w:r>
    </w:p>
    <w:p w:rsidR="00012598" w:rsidRPr="00012598" w:rsidRDefault="00FB3FE4" w:rsidP="00012598">
      <w:pPr>
        <w:pStyle w:val="Heading2"/>
        <w:rPr>
          <w:rStyle w:val="TableUnitsChar"/>
          <w:bCs/>
          <w:lang w:val="en-US"/>
        </w:rPr>
      </w:pPr>
      <w:r w:rsidRPr="00235612">
        <w:rPr>
          <w:szCs w:val="22"/>
        </w:rPr>
        <w:t>Net acquisition of non-financial assets from transactions</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958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vertAlign w:val="superscript"/>
                <w:lang w:eastAsia="en-AU"/>
              </w:rPr>
            </w:pPr>
            <w:r w:rsidRPr="00012598">
              <w:rPr>
                <w:rFonts w:eastAsiaTheme="minorEastAsia" w:cs="Calibri"/>
                <w:color w:val="000000"/>
                <w:szCs w:val="18"/>
                <w:lang w:eastAsia="en-AU"/>
              </w:rPr>
              <w:t xml:space="preserve">Purchases of non-financial assets (including change in inventories) </w:t>
            </w:r>
            <w:r w:rsidRPr="00012598">
              <w:rPr>
                <w:rFonts w:eastAsiaTheme="minorEastAsia" w:cs="Calibri"/>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 xml:space="preserve">1 </w:t>
            </w:r>
            <w:r w:rsidRPr="00012598">
              <w:t>564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7 247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Less: Sales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(487)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(605)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Less: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(627)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(2 620)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Plus: Other movements in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(905)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(3 037)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82</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vertAlign w:val="superscript"/>
                <w:lang w:eastAsia="en-AU"/>
              </w:rPr>
            </w:pPr>
            <w:r w:rsidRPr="00012598">
              <w:rPr>
                <w:rFonts w:eastAsiaTheme="minorEastAsia" w:cs="Calibri"/>
                <w:b/>
                <w:bCs/>
                <w:color w:val="000000"/>
                <w:szCs w:val="18"/>
                <w:lang w:eastAsia="en-AU"/>
              </w:rPr>
              <w:t xml:space="preserve">Total net acquisition of non-financial assets from transactions </w:t>
            </w:r>
            <w:r w:rsidRPr="00012598">
              <w:rPr>
                <w:rFonts w:eastAsiaTheme="minorEastAsia" w:cs="Calibri"/>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8</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1 104</w:t>
            </w:r>
          </w:p>
        </w:tc>
      </w:tr>
    </w:tbl>
    <w:p w:rsidR="00FB3FE4" w:rsidRPr="00B52349" w:rsidRDefault="00B52349" w:rsidP="00B52349">
      <w:pPr>
        <w:pStyle w:val="Note"/>
        <w:rPr>
          <w:rStyle w:val="TableUnitsChar"/>
          <w:sz w:val="16"/>
        </w:rPr>
      </w:pPr>
      <w:r w:rsidRPr="00B52349">
        <w:rPr>
          <w:rStyle w:val="TableUnitsChar"/>
          <w:sz w:val="16"/>
        </w:rPr>
        <w:t>Note:</w:t>
      </w:r>
    </w:p>
    <w:p w:rsidR="0028088A" w:rsidRPr="00787DF9" w:rsidRDefault="00B52349" w:rsidP="0028088A">
      <w:pPr>
        <w:pStyle w:val="Note"/>
      </w:pPr>
      <w:r w:rsidRPr="00B52349">
        <w:rPr>
          <w:rStyle w:val="TableUnitsChar"/>
          <w:sz w:val="16"/>
        </w:rPr>
        <w:t>(a)</w:t>
      </w:r>
      <w:r w:rsidRPr="00B52349">
        <w:rPr>
          <w:rStyle w:val="TableUnitsChar"/>
          <w:sz w:val="16"/>
        </w:rPr>
        <w:tab/>
      </w:r>
      <w:r w:rsidR="0028088A" w:rsidRPr="009F357D">
        <w:t>September</w:t>
      </w:r>
      <w:r w:rsidR="0028088A">
        <w:t xml:space="preserve"> 2015-16 comparative figures and </w:t>
      </w:r>
      <w:r w:rsidR="0028088A" w:rsidRPr="001E4B96">
        <w:rPr>
          <w:i w:val="0"/>
        </w:rPr>
        <w:t>2016-17 Budget</w:t>
      </w:r>
      <w:r w:rsidR="0028088A">
        <w:t xml:space="preserve"> figures have been restated to reflect more current information.</w:t>
      </w:r>
    </w:p>
    <w:p w:rsidR="00B52349" w:rsidRPr="00B52349" w:rsidRDefault="00B52349" w:rsidP="00B52349">
      <w:pPr>
        <w:pStyle w:val="Note"/>
      </w:pPr>
    </w:p>
    <w:p w:rsidR="0023071C" w:rsidRPr="00C3469D" w:rsidRDefault="0023071C" w:rsidP="00C3469D">
      <w:r w:rsidRPr="00C3469D">
        <w:br w:type="page"/>
      </w:r>
    </w:p>
    <w:p w:rsidR="007B04AE" w:rsidRDefault="007B04AE" w:rsidP="0023071C">
      <w:pPr>
        <w:pStyle w:val="Heading1"/>
      </w:pPr>
      <w:bookmarkStart w:id="14" w:name="_Toc465431998"/>
      <w:r>
        <w:lastRenderedPageBreak/>
        <w:t>Major assets and investments</w:t>
      </w:r>
      <w:bookmarkEnd w:id="14"/>
    </w:p>
    <w:p w:rsidR="007B04AE" w:rsidRDefault="007B04AE" w:rsidP="007B04AE">
      <w:pPr>
        <w:pStyle w:val="Subheadingunderline"/>
        <w:sectPr w:rsidR="007B04AE" w:rsidSect="00E92C26">
          <w:type w:val="continuous"/>
          <w:pgSz w:w="11906" w:h="16838" w:code="9"/>
          <w:pgMar w:top="1134" w:right="1134" w:bottom="1134" w:left="1134" w:header="624" w:footer="567" w:gutter="0"/>
          <w:cols w:space="708"/>
          <w:docGrid w:linePitch="360"/>
        </w:sectPr>
      </w:pPr>
    </w:p>
    <w:p w:rsidR="007B04AE" w:rsidRDefault="007B04AE" w:rsidP="007B04AE">
      <w:pPr>
        <w:pStyle w:val="Subheadingunderline"/>
      </w:pPr>
      <w:r>
        <w:lastRenderedPageBreak/>
        <w:t>Introduction</w:t>
      </w:r>
    </w:p>
    <w:p w:rsidR="007B04AE" w:rsidRDefault="007B04AE" w:rsidP="007B04AE">
      <w:pPr>
        <w:sectPr w:rsidR="007B04AE" w:rsidSect="00E92C26">
          <w:type w:val="continuous"/>
          <w:pgSz w:w="11906" w:h="16838" w:code="9"/>
          <w:pgMar w:top="1134" w:right="1134" w:bottom="1134" w:left="1134" w:header="624" w:footer="567" w:gutter="0"/>
          <w:cols w:num="2" w:space="708"/>
          <w:docGrid w:linePitch="360"/>
        </w:sectPr>
      </w:pPr>
    </w:p>
    <w:p w:rsidR="007B04AE" w:rsidRDefault="00CE2FF7" w:rsidP="007B04AE">
      <w:r>
        <w:lastRenderedPageBreak/>
        <w:t>This section outlines those assets that the general government sector controls, reflecting investing activities in the current and prior years.</w:t>
      </w:r>
    </w:p>
    <w:p w:rsidR="00CE2FF7" w:rsidRDefault="00CE2FF7" w:rsidP="00CF0CCB">
      <w:pPr>
        <w:pStyle w:val="Heading2"/>
        <w:rPr>
          <w:szCs w:val="22"/>
        </w:rPr>
        <w:sectPr w:rsidR="00CE2FF7" w:rsidSect="00CE2FF7">
          <w:headerReference w:type="even" r:id="rId39"/>
          <w:headerReference w:type="default" r:id="rId40"/>
          <w:footerReference w:type="even" r:id="rId41"/>
          <w:footerReference w:type="default" r:id="rId42"/>
          <w:type w:val="continuous"/>
          <w:pgSz w:w="11906" w:h="16838" w:code="9"/>
          <w:pgMar w:top="1134" w:right="1134" w:bottom="1134" w:left="1134" w:header="624" w:footer="567" w:gutter="0"/>
          <w:cols w:num="2" w:space="708"/>
          <w:docGrid w:linePitch="360"/>
        </w:sectPr>
      </w:pPr>
    </w:p>
    <w:p w:rsidR="00012598" w:rsidRPr="00012598" w:rsidRDefault="00D643D5" w:rsidP="00012598">
      <w:pPr>
        <w:pStyle w:val="Heading2"/>
        <w:rPr>
          <w:rStyle w:val="TableUnitsChar"/>
          <w:bCs/>
          <w:lang w:val="en-US"/>
        </w:rPr>
      </w:pPr>
      <w:r w:rsidRPr="00235612">
        <w:rPr>
          <w:szCs w:val="22"/>
        </w:rPr>
        <w:lastRenderedPageBreak/>
        <w:t>Total l</w:t>
      </w:r>
      <w:r w:rsidR="007B04AE" w:rsidRPr="00235612">
        <w:rPr>
          <w:szCs w:val="22"/>
        </w:rPr>
        <w:t>and, buildings, infrastructure, plant and equipment</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7449DC" w:rsidRPr="00012598" w:rsidRDefault="007449DC" w:rsidP="007449DC">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25 932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 xml:space="preserve">Buildings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27 612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27 561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27 171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40 712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Land and national parks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44 724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44 737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44 646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2 465</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buildings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4 002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4 005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4 923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1 410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Infrastructure systems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1 320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1 333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1 354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2 197</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Plant, equipment and vehicles </w:t>
            </w:r>
            <w:r w:rsidRPr="00012598">
              <w:rPr>
                <w:rFonts w:eastAsiaTheme="minorEastAsia" w:cs="Arial"/>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2 326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2 205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2 423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158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plant, equipment and vehicles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162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142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20 856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Roads and road infrastructure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20 031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20 032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20 601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584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roads and road infrastructure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573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565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7 690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Earthworks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7 913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7 913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8 149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5 497</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Cultural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5 592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5 488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5 596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107 503</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Total land, buildings, infrastructure, plant and equipment </w:t>
            </w:r>
            <w:r w:rsidRPr="00012598">
              <w:rPr>
                <w:rFonts w:eastAsiaTheme="minorEastAsia" w:cs="Arial"/>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114 254</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114 009</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115 572</w:t>
            </w:r>
          </w:p>
        </w:tc>
      </w:tr>
    </w:tbl>
    <w:p w:rsidR="007B04AE" w:rsidRPr="00A07FAF" w:rsidRDefault="00A07FAF" w:rsidP="00A07FAF">
      <w:pPr>
        <w:pStyle w:val="Note"/>
        <w:rPr>
          <w:rStyle w:val="TableUnitsChar"/>
          <w:sz w:val="16"/>
        </w:rPr>
      </w:pPr>
      <w:r>
        <w:t>Note:</w:t>
      </w:r>
    </w:p>
    <w:p w:rsidR="00A07FAF" w:rsidRPr="00A07FAF" w:rsidRDefault="00A07FAF" w:rsidP="00A07FAF">
      <w:pPr>
        <w:pStyle w:val="Note"/>
      </w:pPr>
      <w:r w:rsidRPr="00A07FAF">
        <w:t xml:space="preserve">(a) </w:t>
      </w:r>
      <w:r>
        <w:tab/>
      </w:r>
      <w:r w:rsidR="00DC3D6C">
        <w:t>September</w:t>
      </w:r>
      <w:r w:rsidRPr="00A07FAF">
        <w:t xml:space="preserve"> 2015 comparative figures have been restated to finalise the allocation of equity balances between contributed capital and accumulated funds related to prior year machinery of government changes.</w:t>
      </w:r>
    </w:p>
    <w:p w:rsidR="00A07FAF" w:rsidRPr="00787DF9" w:rsidRDefault="00A07FAF" w:rsidP="005074EB"/>
    <w:p w:rsidR="00012598" w:rsidRPr="00012598" w:rsidRDefault="00A92D1C" w:rsidP="00012598">
      <w:pPr>
        <w:pStyle w:val="Heading2"/>
        <w:rPr>
          <w:bCs/>
          <w:lang w:val="en-US"/>
        </w:rPr>
      </w:pPr>
      <w:r w:rsidRPr="00235612">
        <w:rPr>
          <w:szCs w:val="22"/>
        </w:rPr>
        <w:t>Depreciation</w:t>
      </w:r>
      <w:r w:rsidR="005074EB" w:rsidRPr="00235612">
        <w:rPr>
          <w:szCs w:val="22"/>
        </w:rPr>
        <w:tab/>
      </w:r>
      <w:r w:rsidR="005074EB"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7449DC" w:rsidRPr="00012598" w:rsidRDefault="007449DC" w:rsidP="00012598">
            <w:pPr>
              <w:jc w:val="cente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Buildings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270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1 141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Leased buildings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108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Infrastructure systems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w:t>
            </w:r>
          </w:p>
        </w:tc>
        <w:tc>
          <w:tcPr>
            <w:tcW w:w="907" w:type="dxa"/>
            <w:tcBorders>
              <w:top w:val="nil"/>
              <w:left w:val="nil"/>
              <w:bottom w:val="nil"/>
              <w:right w:val="nil"/>
            </w:tcBorders>
          </w:tcPr>
          <w:p w:rsidR="00012598" w:rsidRPr="00012598" w:rsidRDefault="0002477E"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Leased Infrastructure systems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Plant, equipment and vehicles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555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Lease</w:t>
            </w:r>
            <w:r w:rsidR="003E5B08">
              <w:rPr>
                <w:rFonts w:eastAsiaTheme="minorEastAsia" w:cs="Calibri"/>
                <w:color w:val="000000"/>
                <w:szCs w:val="18"/>
                <w:lang w:eastAsia="en-AU"/>
              </w:rPr>
              <w:t>d</w:t>
            </w:r>
            <w:r w:rsidRPr="00012598">
              <w:rPr>
                <w:rFonts w:eastAsiaTheme="minorEastAsia" w:cs="Calibri"/>
                <w:color w:val="000000"/>
                <w:szCs w:val="18"/>
                <w:lang w:eastAsia="en-AU"/>
              </w:rPr>
              <w:t xml:space="preserve"> plant, equipment and vehicles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151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Road and road networks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153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621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Leased roads and road infrastructure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Cultural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Intangible produced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121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605</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627</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2 620</w:t>
            </w:r>
          </w:p>
        </w:tc>
      </w:tr>
    </w:tbl>
    <w:p w:rsidR="00B52349" w:rsidRPr="00B52349" w:rsidRDefault="00B52349" w:rsidP="00B52349">
      <w:pPr>
        <w:pStyle w:val="Note"/>
      </w:pPr>
    </w:p>
    <w:p w:rsidR="00D37828" w:rsidRDefault="00D37828">
      <w:pPr>
        <w:rPr>
          <w:rFonts w:asciiTheme="majorHAnsi" w:eastAsiaTheme="majorEastAsia" w:hAnsiTheme="majorHAnsi" w:cstheme="majorBidi"/>
          <w:b/>
          <w:spacing w:val="-2"/>
          <w:sz w:val="24"/>
        </w:rPr>
      </w:pPr>
      <w:r>
        <w:br w:type="page"/>
      </w:r>
    </w:p>
    <w:p w:rsidR="00012598" w:rsidRPr="00012598" w:rsidRDefault="00D643D5" w:rsidP="00012598">
      <w:pPr>
        <w:pStyle w:val="Heading2"/>
        <w:rPr>
          <w:rStyle w:val="TableUnitsChar"/>
          <w:bCs/>
          <w:lang w:val="en-US"/>
        </w:rPr>
      </w:pPr>
      <w:r w:rsidRPr="00235612">
        <w:rPr>
          <w:szCs w:val="22"/>
        </w:rPr>
        <w:lastRenderedPageBreak/>
        <w:t>Land and buildings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7449DC" w:rsidRPr="00012598" w:rsidRDefault="007449DC" w:rsidP="007449DC">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28 432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Buildings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29 437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29 601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30 220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(2 500)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(1 825)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(2 040)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(3 049)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25 932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 xml:space="preserve">Buildings (net carrying amount)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27 612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27 561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27 171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2 991</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buildings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4 467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4 501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5 496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(526)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buildings 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(465)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(496)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(573)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2 465</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 xml:space="preserve">Leased buildings (net carrying amount)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4 002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4 005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4 923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39 651</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Land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43 688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43 700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43 619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1 062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 xml:space="preserve">National parks and other </w:t>
            </w:r>
            <w:r w:rsidR="008A6DD6">
              <w:rPr>
                <w:rFonts w:eastAsiaTheme="minorEastAsia" w:cs="Arial"/>
                <w:color w:val="000000"/>
                <w:szCs w:val="18"/>
                <w:lang w:eastAsia="en-AU"/>
              </w:rPr>
              <w:t>‘</w:t>
            </w:r>
            <w:r w:rsidRPr="00012598">
              <w:rPr>
                <w:rFonts w:eastAsiaTheme="minorEastAsia" w:cs="Arial"/>
                <w:color w:val="000000"/>
                <w:szCs w:val="18"/>
                <w:lang w:eastAsia="en-AU"/>
              </w:rPr>
              <w:t>land only</w:t>
            </w:r>
            <w:r w:rsidR="008A6DD6">
              <w:rPr>
                <w:rFonts w:eastAsiaTheme="minorEastAsia" w:cs="Arial"/>
                <w:color w:val="000000"/>
                <w:szCs w:val="18"/>
                <w:lang w:eastAsia="en-AU"/>
              </w:rPr>
              <w:t>’</w:t>
            </w:r>
            <w:r w:rsidRPr="00012598">
              <w:rPr>
                <w:rFonts w:eastAsiaTheme="minorEastAsia" w:cs="Arial"/>
                <w:color w:val="000000"/>
                <w:szCs w:val="18"/>
                <w:lang w:eastAsia="en-AU"/>
              </w:rPr>
              <w:t xml:space="preserve"> holdings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1 036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1 036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1 027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40 712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Land and national parks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44 724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44 737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44 646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69 109</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land and buildings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76 339</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76 303</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76 741</w:t>
            </w:r>
          </w:p>
        </w:tc>
      </w:tr>
    </w:tbl>
    <w:p w:rsidR="00D643D5" w:rsidRPr="00787DF9" w:rsidRDefault="00D643D5" w:rsidP="005074EB"/>
    <w:p w:rsidR="00012598" w:rsidRPr="00012598" w:rsidRDefault="00D643D5" w:rsidP="00012598">
      <w:pPr>
        <w:pStyle w:val="Heading2"/>
        <w:rPr>
          <w:rStyle w:val="TableUnitsChar"/>
          <w:bCs/>
          <w:lang w:val="en-US"/>
        </w:rPr>
      </w:pPr>
      <w:r w:rsidRPr="00235612">
        <w:rPr>
          <w:szCs w:val="22"/>
        </w:rPr>
        <w:t>Plant, equipment, vehicles, and infrastructure systems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7449DC"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7449DC" w:rsidRPr="00012598" w:rsidRDefault="007449DC" w:rsidP="007449DC">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1 866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Infrastructure systems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1 775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1 779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1 838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(456)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(455)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(446)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1 410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Infrastructure systems (net carrying amount)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1 320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1 333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1 354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5 954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Plant, equipment and vehicles </w:t>
            </w:r>
            <w:r w:rsidRPr="00012598">
              <w:rPr>
                <w:rFonts w:eastAsiaTheme="minorEastAsia" w:cs="Arial"/>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5 884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5 811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6 433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(3 757)</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(3 558)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(3 607)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(4 010)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373</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plant, equipment and vehicles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396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407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(215)</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(238)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(245)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(254)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2 356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Plant, equipment and vehicles (net carrying amount) </w:t>
            </w:r>
            <w:r w:rsidRPr="00012598">
              <w:rPr>
                <w:rFonts w:eastAsiaTheme="minorEastAsia" w:cs="Arial"/>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2 484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2 367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2 565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3 766</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vertAlign w:val="superscript"/>
                <w:lang w:eastAsia="en-AU"/>
              </w:rPr>
            </w:pPr>
            <w:r w:rsidRPr="00012598">
              <w:rPr>
                <w:rFonts w:eastAsiaTheme="minorEastAsia" w:cs="Arial"/>
                <w:b/>
                <w:bCs/>
                <w:color w:val="000000"/>
                <w:szCs w:val="18"/>
                <w:lang w:eastAsia="en-AU"/>
              </w:rPr>
              <w:t xml:space="preserve">Total plant, equipment and vehicles, and infrastructure systems </w:t>
            </w:r>
            <w:r w:rsidRPr="00012598">
              <w:rPr>
                <w:rFonts w:eastAsiaTheme="minorEastAsia" w:cs="Arial"/>
                <w:b/>
                <w:bCs/>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3 804</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3 700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3 919</w:t>
            </w:r>
          </w:p>
        </w:tc>
      </w:tr>
    </w:tbl>
    <w:p w:rsidR="00A07FAF" w:rsidRPr="00A07FAF" w:rsidRDefault="00A07FAF" w:rsidP="00A07FAF">
      <w:pPr>
        <w:pStyle w:val="Note"/>
        <w:rPr>
          <w:rStyle w:val="TableUnitsChar"/>
          <w:sz w:val="16"/>
        </w:rPr>
      </w:pPr>
      <w:r>
        <w:t>Note:</w:t>
      </w:r>
    </w:p>
    <w:p w:rsidR="00A07FAF" w:rsidRPr="00A07FAF" w:rsidRDefault="00A07FAF" w:rsidP="00A07FAF">
      <w:pPr>
        <w:pStyle w:val="Note"/>
      </w:pPr>
      <w:r w:rsidRPr="00A07FAF">
        <w:t xml:space="preserve">(a) </w:t>
      </w:r>
      <w:r>
        <w:tab/>
      </w:r>
      <w:r w:rsidR="00DC3D6C">
        <w:t>September</w:t>
      </w:r>
      <w:r w:rsidRPr="00A07FAF">
        <w:t xml:space="preserve"> 2015 comparative figures have been restated to finalise the allocation of equity balances between contributed capital and accumulated funds related to prior year machinery of government changes.</w:t>
      </w:r>
    </w:p>
    <w:p w:rsidR="00A07FAF" w:rsidRPr="00787DF9" w:rsidRDefault="00A07FAF" w:rsidP="005074EB"/>
    <w:p w:rsidR="00012598" w:rsidRPr="00012598" w:rsidRDefault="00D643D5" w:rsidP="00012598">
      <w:pPr>
        <w:pStyle w:val="Heading2"/>
        <w:rPr>
          <w:rStyle w:val="TableUnitsChar"/>
          <w:bCs/>
          <w:lang w:val="en-US"/>
        </w:rPr>
      </w:pPr>
      <w:r w:rsidRPr="00235612">
        <w:rPr>
          <w:szCs w:val="22"/>
        </w:rPr>
        <w:t>Roads, road infrastructure and earthworks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342BF7"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342BF7" w:rsidRPr="00012598" w:rsidRDefault="00342BF7" w:rsidP="00342BF7">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7449DC"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7449DC" w:rsidRPr="00012598" w:rsidRDefault="007449DC"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7449DC" w:rsidRPr="00012598" w:rsidRDefault="007449DC"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7449DC" w:rsidRPr="00012598" w:rsidRDefault="007449DC"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7449DC" w:rsidRPr="00012598" w:rsidRDefault="007449DC"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7449DC" w:rsidRPr="00012598" w:rsidRDefault="007449DC"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39 088</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Roads and roads infrastructure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38 705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38 857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39 895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(18 232)</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(18 673)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(18 825)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(19 294)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20 856</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Roads and roads infrastructure (net carrying amount)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20 031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20 032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20 601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584</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Leased road and road infrastructure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584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584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w:t>
            </w:r>
          </w:p>
        </w:tc>
      </w:tr>
      <w:tr w:rsidR="00012598" w:rsidRPr="00D236ED"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D236ED" w:rsidRDefault="00012598" w:rsidP="00012598">
            <w:pPr>
              <w:autoSpaceDE w:val="0"/>
              <w:autoSpaceDN w:val="0"/>
              <w:adjustRightInd w:val="0"/>
              <w:rPr>
                <w:b/>
              </w:rPr>
            </w:pPr>
            <w:r w:rsidRPr="00D236ED">
              <w:rPr>
                <w:rFonts w:eastAsiaTheme="minorEastAsia" w:cs="Arial"/>
                <w:b/>
                <w:color w:val="000000"/>
                <w:szCs w:val="18"/>
                <w:lang w:eastAsia="en-AU"/>
              </w:rPr>
              <w:t>584</w:t>
            </w:r>
          </w:p>
        </w:tc>
        <w:tc>
          <w:tcPr>
            <w:tcW w:w="6009" w:type="dxa"/>
            <w:tcBorders>
              <w:top w:val="nil"/>
              <w:left w:val="nil"/>
              <w:bottom w:val="nil"/>
              <w:right w:val="nil"/>
            </w:tcBorders>
          </w:tcPr>
          <w:p w:rsidR="00012598" w:rsidRPr="00D236ED"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color w:val="000000"/>
                <w:szCs w:val="18"/>
                <w:lang w:eastAsia="en-AU"/>
              </w:rPr>
            </w:pPr>
            <w:r w:rsidRPr="00D236ED">
              <w:rPr>
                <w:rFonts w:eastAsiaTheme="minorEastAsia" w:cs="Arial"/>
                <w:b/>
                <w:color w:val="000000"/>
                <w:szCs w:val="18"/>
                <w:lang w:eastAsia="en-AU"/>
              </w:rPr>
              <w:t>Leased road and road infrastructure (net carrying amount)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D236ED" w:rsidRDefault="00012598" w:rsidP="00012598">
            <w:pPr>
              <w:autoSpaceDE w:val="0"/>
              <w:autoSpaceDN w:val="0"/>
              <w:adjustRightInd w:val="0"/>
              <w:rPr>
                <w:b/>
              </w:rPr>
            </w:pPr>
            <w:r w:rsidRPr="00D236ED">
              <w:rPr>
                <w:rFonts w:eastAsiaTheme="minorEastAsia" w:cs="Calibri"/>
                <w:b/>
                <w:color w:val="000000"/>
                <w:szCs w:val="18"/>
                <w:lang w:eastAsia="en-AU"/>
              </w:rPr>
              <w:t>575</w:t>
            </w:r>
          </w:p>
        </w:tc>
        <w:tc>
          <w:tcPr>
            <w:tcW w:w="907" w:type="dxa"/>
            <w:tcBorders>
              <w:top w:val="nil"/>
              <w:left w:val="nil"/>
              <w:bottom w:val="nil"/>
              <w:right w:val="nil"/>
            </w:tcBorders>
          </w:tcPr>
          <w:p w:rsidR="00012598" w:rsidRPr="00D236ED"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D236ED">
              <w:rPr>
                <w:rFonts w:eastAsiaTheme="minorEastAsia" w:cs="Calibri"/>
                <w:b/>
                <w:color w:val="000000"/>
                <w:szCs w:val="18"/>
                <w:lang w:eastAsia="en-AU"/>
              </w:rPr>
              <w:t>573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D236ED" w:rsidRDefault="00012598" w:rsidP="00012598">
            <w:pPr>
              <w:autoSpaceDE w:val="0"/>
              <w:autoSpaceDN w:val="0"/>
              <w:adjustRightInd w:val="0"/>
              <w:rPr>
                <w:b/>
              </w:rPr>
            </w:pPr>
            <w:r w:rsidRPr="00D236ED">
              <w:rPr>
                <w:rFonts w:eastAsiaTheme="minorEastAsia" w:cs="Calibri"/>
                <w:b/>
                <w:color w:val="000000"/>
                <w:szCs w:val="18"/>
                <w:lang w:eastAsia="en-AU"/>
              </w:rPr>
              <w:t>565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7 690</w:t>
            </w:r>
          </w:p>
        </w:tc>
        <w:tc>
          <w:tcPr>
            <w:tcW w:w="6009"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Earthworks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7 913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7 913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8 149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29 130</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road networks and earthworks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28 519</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28 517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29 315</w:t>
            </w:r>
          </w:p>
        </w:tc>
      </w:tr>
    </w:tbl>
    <w:p w:rsidR="00D643D5" w:rsidRPr="00787DF9" w:rsidRDefault="00D643D5" w:rsidP="005074EB"/>
    <w:p w:rsidR="00012598" w:rsidRPr="00012598" w:rsidRDefault="00D643D5" w:rsidP="001E7357">
      <w:pPr>
        <w:pStyle w:val="Heading2"/>
        <w:rPr>
          <w:bCs/>
          <w:lang w:val="en-US"/>
        </w:rPr>
      </w:pPr>
      <w:r w:rsidRPr="00235612">
        <w:rPr>
          <w:szCs w:val="22"/>
        </w:rPr>
        <w:t>Cultural assets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342BF7"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342BF7" w:rsidRPr="00012598" w:rsidRDefault="00342BF7" w:rsidP="00342BF7">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342BF7"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342BF7" w:rsidRPr="00012598" w:rsidRDefault="00342BF7"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5 636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Cultural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5 814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5 697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5 838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(139)</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(209)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5 497</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cultural assets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5 592</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b/>
                <w:bCs/>
                <w:color w:val="000000"/>
                <w:szCs w:val="18"/>
                <w:lang w:eastAsia="en-AU"/>
              </w:rPr>
              <w:t>5 488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5 596</w:t>
            </w:r>
          </w:p>
        </w:tc>
      </w:tr>
    </w:tbl>
    <w:p w:rsidR="00012598" w:rsidRPr="00012598" w:rsidRDefault="009A7863" w:rsidP="00012598">
      <w:pPr>
        <w:pStyle w:val="Heading2"/>
        <w:rPr>
          <w:bCs/>
          <w:lang w:val="en-US"/>
        </w:rPr>
      </w:pPr>
      <w:r w:rsidRPr="00235612">
        <w:rPr>
          <w:szCs w:val="22"/>
        </w:rPr>
        <w:lastRenderedPageBreak/>
        <w:t>Other non-financial assets</w:t>
      </w:r>
      <w:r w:rsidR="005074EB" w:rsidRPr="00235612">
        <w:rPr>
          <w:szCs w:val="22"/>
        </w:rPr>
        <w:tab/>
      </w:r>
      <w:r w:rsidR="005074EB" w:rsidRPr="005074EB">
        <w:rPr>
          <w:rStyle w:val="TableUnitsChar"/>
        </w:rPr>
        <w:t>($ million)</w:t>
      </w:r>
    </w:p>
    <w:tbl>
      <w:tblPr>
        <w:tblStyle w:val="DTFFinancialTable"/>
        <w:tblW w:w="9639"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9"/>
      </w:tblGrid>
      <w:tr w:rsidR="00342BF7"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3" w:type="dxa"/>
            <w:gridSpan w:val="3"/>
            <w:tcBorders>
              <w:top w:val="nil"/>
              <w:left w:val="nil"/>
              <w:bottom w:val="nil"/>
              <w:right w:val="nil"/>
            </w:tcBorders>
            <w:shd w:val="solid" w:color="000000" w:fill="auto"/>
          </w:tcPr>
          <w:p w:rsidR="00342BF7" w:rsidRPr="00012598" w:rsidRDefault="00342BF7" w:rsidP="00342BF7">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342BF7" w:rsidRPr="00012598" w:rsidTr="00342BF7">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342BF7" w:rsidRPr="00012598" w:rsidRDefault="00342BF7"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342BF7" w:rsidRPr="00012598" w:rsidRDefault="00342BF7"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1 252</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 xml:space="preserve">Intangible produced assets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1 421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1 435</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1 467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(693)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(799)</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(879)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143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 xml:space="preserve">Intangible non-produced assets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110</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(62)</w:t>
            </w:r>
          </w:p>
        </w:tc>
        <w:tc>
          <w:tcPr>
            <w:tcW w:w="6009" w:type="dxa"/>
            <w:tcBorders>
              <w:top w:val="nil"/>
              <w:left w:val="nil"/>
              <w:bottom w:val="single" w:sz="6" w:space="0" w:color="000000"/>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Accumulated amortisation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(36)</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(37)</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b/>
                <w:bCs/>
                <w:color w:val="000000"/>
                <w:szCs w:val="18"/>
                <w:lang w:eastAsia="en-AU"/>
              </w:rPr>
              <w:t>640</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 xml:space="preserve">Total intangibles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709</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660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69</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Investment properties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151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151</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143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4</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vertAlign w:val="superscript"/>
                <w:lang w:eastAsia="en-AU"/>
              </w:rPr>
            </w:pPr>
            <w:r w:rsidRPr="00012598">
              <w:rPr>
                <w:rFonts w:eastAsiaTheme="minorEastAsia" w:cs="Arial"/>
                <w:color w:val="000000"/>
                <w:szCs w:val="18"/>
                <w:lang w:eastAsia="en-AU"/>
              </w:rPr>
              <w:t xml:space="preserve">Biological assets </w:t>
            </w:r>
            <w:r w:rsidRPr="00012598">
              <w:rPr>
                <w:rFonts w:eastAsiaTheme="minorEastAsia" w:cs="Arial"/>
                <w:color w:val="000000"/>
                <w:szCs w:val="18"/>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502</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Other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654</w:t>
            </w:r>
          </w:p>
        </w:tc>
        <w:tc>
          <w:tcPr>
            <w:cnfStyle w:val="000010000000" w:firstRow="0" w:lastRow="0" w:firstColumn="0" w:lastColumn="0" w:oddVBand="1" w:evenVBand="0" w:oddHBand="0" w:evenHBand="0" w:firstRowFirstColumn="0" w:firstRowLastColumn="0" w:lastRowFirstColumn="0" w:lastRowLastColumn="0"/>
            <w:tcW w:w="909"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296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1 215</w:t>
            </w:r>
          </w:p>
        </w:tc>
        <w:tc>
          <w:tcPr>
            <w:tcW w:w="60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other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1 081</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b/>
                <w:bCs/>
                <w:color w:val="000000"/>
                <w:szCs w:val="18"/>
                <w:lang w:eastAsia="en-AU"/>
              </w:rPr>
              <w:t>1 516</w:t>
            </w:r>
          </w:p>
        </w:tc>
        <w:tc>
          <w:tcPr>
            <w:cnfStyle w:val="000010000000" w:firstRow="0" w:lastRow="0" w:firstColumn="0" w:lastColumn="0" w:oddVBand="1" w:evenVBand="0" w:oddHBand="0" w:evenHBand="0" w:firstRowFirstColumn="0" w:firstRowLastColumn="0" w:lastRowFirstColumn="0" w:lastRowLastColumn="0"/>
            <w:tcW w:w="909"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1 103</w:t>
            </w:r>
          </w:p>
        </w:tc>
      </w:tr>
    </w:tbl>
    <w:p w:rsidR="00D643D5" w:rsidRDefault="00B52349" w:rsidP="00B52349">
      <w:pPr>
        <w:pStyle w:val="Note"/>
      </w:pPr>
      <w:r>
        <w:t>Note:</w:t>
      </w:r>
    </w:p>
    <w:p w:rsidR="00B52349" w:rsidRDefault="00B52349" w:rsidP="00B52349">
      <w:pPr>
        <w:pStyle w:val="Note"/>
      </w:pPr>
      <w:r>
        <w:t>(a)</w:t>
      </w:r>
      <w:r>
        <w:tab/>
      </w:r>
      <w:r w:rsidR="00DC3D6C">
        <w:t>The majority of biological assets comprises of commercial forests and also includes any living animal, plant or agricultural produce, which is the harvested product of biological assets.</w:t>
      </w:r>
    </w:p>
    <w:p w:rsidR="00DC3D6C" w:rsidRDefault="00DC3D6C" w:rsidP="00DC3D6C">
      <w:pPr>
        <w:pStyle w:val="Note"/>
        <w:ind w:left="0" w:firstLine="0"/>
      </w:pPr>
    </w:p>
    <w:p w:rsidR="00012598" w:rsidRPr="00012598" w:rsidRDefault="00551965" w:rsidP="00012598">
      <w:pPr>
        <w:pStyle w:val="Heading2"/>
      </w:pPr>
      <w:r>
        <w:t>Total assets by government purpose classification</w:t>
      </w:r>
      <w:r w:rsidR="0001390E">
        <w:t xml:space="preserve"> </w:t>
      </w:r>
      <w:r w:rsidR="0001390E" w:rsidRPr="0001390E">
        <w:rPr>
          <w:vertAlign w:val="superscript"/>
        </w:rPr>
        <w:t>(a)</w:t>
      </w:r>
      <w:r w:rsidR="004C4802">
        <w:tab/>
      </w:r>
      <w:r w:rsidR="004C4802"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342BF7"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342BF7" w:rsidRPr="00012598" w:rsidRDefault="00342BF7" w:rsidP="00012598">
            <w:pPr>
              <w:autoSpaceDE w:val="0"/>
              <w:autoSpaceDN w:val="0"/>
              <w:adjustRightInd w:val="0"/>
              <w:rPr>
                <w:rFonts w:eastAsiaTheme="minorEastAsia" w:cs="Calibri"/>
                <w:i w:val="0"/>
                <w:iCs/>
                <w:color w:val="FFFFFF"/>
                <w:szCs w:val="20"/>
                <w:lang w:eastAsia="en-AU"/>
              </w:rPr>
            </w:pPr>
            <w:r w:rsidRPr="00012598">
              <w:rPr>
                <w:rFonts w:eastAsiaTheme="minorEastAsia" w:cs="Calibri"/>
                <w:iCs/>
                <w:color w:val="FFFFFF"/>
                <w:szCs w:val="20"/>
                <w:lang w:eastAsia="en-AU"/>
              </w:rPr>
              <w:t>2015-16</w:t>
            </w:r>
          </w:p>
          <w:p w:rsidR="00342BF7" w:rsidRPr="00012598" w:rsidRDefault="00342BF7"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342BF7" w:rsidRPr="00012598" w:rsidRDefault="00342BF7"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342BF7" w:rsidRPr="00012598" w:rsidRDefault="00342BF7" w:rsidP="00012598">
            <w:pPr>
              <w:jc w:val="center"/>
            </w:pPr>
            <w:r w:rsidRPr="00012598">
              <w:rPr>
                <w:rFonts w:eastAsiaTheme="minorEastAsia" w:cs="Calibri"/>
                <w:iCs/>
                <w:color w:val="FFFFFF"/>
                <w:szCs w:val="20"/>
                <w:lang w:eastAsia="en-AU"/>
              </w:rPr>
              <w:t>2016-17</w:t>
            </w:r>
          </w:p>
        </w:tc>
      </w:tr>
      <w:tr w:rsidR="00342BF7" w:rsidRPr="00012598" w:rsidTr="00342BF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bottom w:val="nil"/>
              <w:right w:val="nil"/>
            </w:tcBorders>
            <w:shd w:val="solid" w:color="000000" w:fill="auto"/>
          </w:tcPr>
          <w:p w:rsidR="00342BF7" w:rsidRPr="00012598" w:rsidRDefault="00342BF7" w:rsidP="00012598">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342BF7" w:rsidRPr="00012598" w:rsidRDefault="00342BF7"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shd w:val="solid" w:color="000000" w:fill="auto"/>
          </w:tcPr>
          <w:p w:rsidR="00342BF7" w:rsidRPr="00012598" w:rsidRDefault="00342BF7"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 xml:space="preserve">actual </w:t>
            </w:r>
          </w:p>
          <w:p w:rsidR="00342BF7" w:rsidRPr="00012598" w:rsidRDefault="00342BF7" w:rsidP="00012598">
            <w:pPr>
              <w:autoSpaceDE w:val="0"/>
              <w:autoSpaceDN w:val="0"/>
              <w:adjustRightInd w:val="0"/>
              <w:rPr>
                <w:rFonts w:eastAsiaTheme="minorEastAsia" w:cs="Calibri"/>
                <w:iCs/>
                <w:color w:val="FFFFFF"/>
                <w:szCs w:val="20"/>
                <w:lang w:eastAsia="en-AU"/>
              </w:rPr>
            </w:pPr>
            <w:r w:rsidRPr="00012598">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budget  </w:t>
            </w:r>
          </w:p>
          <w:p w:rsidR="00342BF7" w:rsidRPr="00012598" w:rsidRDefault="00342BF7"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012598">
              <w:rPr>
                <w:rFonts w:eastAsiaTheme="minorEastAsia" w:cs="Calibri"/>
                <w:iCs/>
                <w:color w:val="FFFFFF"/>
                <w:szCs w:val="20"/>
                <w:lang w:eastAsia="en-AU"/>
              </w:rPr>
              <w:t xml:space="preserve">30 Jun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1 531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General public services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1 613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20"/>
                <w:lang w:eastAsia="en-AU"/>
              </w:rPr>
              <w:t>1</w:t>
            </w:r>
            <w:r w:rsidRPr="00012598">
              <w:t xml:space="preserve"> 609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8 754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Public order and safety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9 331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9 504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19 060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Education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22 075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22 619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12 214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Health</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13 998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14 399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2 039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Social security and welfare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2 075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2 066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7 140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Housing and community amenities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8 239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8 342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8 090</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Recreation and culture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8 806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8 942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46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Fuel and energy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23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557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Agriculture, forestry, fishing, and hunting</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601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622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49 269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Transport and communications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48 872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49 628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727</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Other economic affairs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534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879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Other purposes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20"/>
                <w:lang w:eastAsia="en-AU"/>
              </w:rPr>
              <w:t>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100 162</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vertAlign w:val="superscript"/>
                <w:lang w:eastAsia="en-AU"/>
              </w:rPr>
            </w:pPr>
            <w:r w:rsidRPr="00012598">
              <w:rPr>
                <w:rFonts w:eastAsiaTheme="minorEastAsia" w:cs="Calibri"/>
                <w:color w:val="000000"/>
                <w:szCs w:val="20"/>
                <w:lang w:eastAsia="en-AU"/>
              </w:rPr>
              <w:t xml:space="preserve">Not allocated by purpose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112 832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117 568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209 590</w:t>
            </w:r>
          </w:p>
        </w:tc>
        <w:tc>
          <w:tcPr>
            <w:tcW w:w="69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Total assets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20"/>
                <w:lang w:eastAsia="en-AU"/>
              </w:rPr>
            </w:pPr>
            <w:r w:rsidRPr="00012598">
              <w:rPr>
                <w:rFonts w:eastAsiaTheme="minorEastAsia" w:cs="Calibri"/>
                <w:b/>
                <w:bCs/>
                <w:color w:val="000000"/>
                <w:szCs w:val="20"/>
                <w:lang w:eastAsia="en-AU"/>
              </w:rPr>
              <w:t>229 002</w:t>
            </w:r>
          </w:p>
        </w:tc>
        <w:tc>
          <w:tcPr>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012598">
              <w:rPr>
                <w:rFonts w:eastAsiaTheme="minorEastAsia" w:cs="Calibri"/>
                <w:b/>
                <w:bCs/>
                <w:color w:val="000000"/>
                <w:szCs w:val="20"/>
                <w:lang w:eastAsia="en-AU"/>
              </w:rPr>
              <w:t>236 203</w:t>
            </w:r>
          </w:p>
        </w:tc>
      </w:tr>
    </w:tbl>
    <w:p w:rsidR="004C4802" w:rsidRDefault="004C4802" w:rsidP="004C4802">
      <w:pPr>
        <w:pStyle w:val="Note"/>
      </w:pPr>
      <w:r>
        <w:t>Note:</w:t>
      </w:r>
    </w:p>
    <w:p w:rsidR="004C4802" w:rsidRPr="00787DF9" w:rsidRDefault="004C4802" w:rsidP="004C4802">
      <w:pPr>
        <w:pStyle w:val="Note"/>
      </w:pPr>
      <w:r>
        <w:t>(a)</w:t>
      </w:r>
      <w:r>
        <w:tab/>
      </w:r>
      <w:r w:rsidRPr="009F357D">
        <w:t>September</w:t>
      </w:r>
      <w:r w:rsidR="00983DF9">
        <w:t xml:space="preserve"> 2015</w:t>
      </w:r>
      <w:r>
        <w:t xml:space="preserve"> comparative figures and </w:t>
      </w:r>
      <w:r w:rsidRPr="001E4B96">
        <w:rPr>
          <w:i w:val="0"/>
        </w:rPr>
        <w:t>2016-17 Budget</w:t>
      </w:r>
      <w:r>
        <w:t xml:space="preserve"> figures have been restated to reflect more current information.</w:t>
      </w:r>
    </w:p>
    <w:p w:rsidR="004124DF" w:rsidRPr="00235612" w:rsidRDefault="004124DF"/>
    <w:p w:rsidR="000B32E4" w:rsidRDefault="000B32E4">
      <w:pPr>
        <w:rPr>
          <w:rFonts w:asciiTheme="majorHAnsi" w:eastAsiaTheme="majorEastAsia" w:hAnsiTheme="majorHAnsi" w:cstheme="majorBidi"/>
          <w:b/>
          <w:bCs/>
          <w:caps/>
          <w:color w:val="0063A6" w:themeColor="accent1"/>
          <w:spacing w:val="-2"/>
          <w:sz w:val="32"/>
          <w:szCs w:val="28"/>
        </w:rPr>
      </w:pPr>
      <w:r>
        <w:br w:type="page"/>
      </w:r>
    </w:p>
    <w:p w:rsidR="004124DF" w:rsidRDefault="00991E04" w:rsidP="0023071C">
      <w:pPr>
        <w:pStyle w:val="Heading1"/>
      </w:pPr>
      <w:bookmarkStart w:id="15" w:name="_Toc465431999"/>
      <w:r>
        <w:lastRenderedPageBreak/>
        <w:t>O</w:t>
      </w:r>
      <w:r w:rsidR="004124DF">
        <w:t>ther assets and liabilities</w:t>
      </w:r>
      <w:bookmarkEnd w:id="15"/>
    </w:p>
    <w:p w:rsidR="004124DF" w:rsidRDefault="004124DF" w:rsidP="004124DF">
      <w:pPr>
        <w:pStyle w:val="Subheadingunderline"/>
        <w:sectPr w:rsidR="004124DF" w:rsidSect="00E92C26">
          <w:type w:val="continuous"/>
          <w:pgSz w:w="11906" w:h="16838" w:code="9"/>
          <w:pgMar w:top="1134" w:right="1134" w:bottom="1134" w:left="1134" w:header="624" w:footer="567" w:gutter="0"/>
          <w:cols w:space="708"/>
          <w:docGrid w:linePitch="360"/>
        </w:sectPr>
      </w:pPr>
    </w:p>
    <w:p w:rsidR="004124DF" w:rsidRDefault="004124DF" w:rsidP="004124DF">
      <w:pPr>
        <w:pStyle w:val="Subheadingunderline"/>
      </w:pPr>
      <w:r>
        <w:lastRenderedPageBreak/>
        <w:t>Introduction</w:t>
      </w:r>
    </w:p>
    <w:p w:rsidR="004124DF" w:rsidRDefault="004124DF" w:rsidP="004124DF">
      <w:pPr>
        <w:sectPr w:rsidR="004124DF" w:rsidSect="00E92C26">
          <w:type w:val="continuous"/>
          <w:pgSz w:w="11906" w:h="16838" w:code="9"/>
          <w:pgMar w:top="1134" w:right="1134" w:bottom="1134" w:left="1134" w:header="624" w:footer="567" w:gutter="0"/>
          <w:cols w:num="2" w:space="708"/>
          <w:docGrid w:linePitch="360"/>
        </w:sectPr>
      </w:pPr>
    </w:p>
    <w:p w:rsidR="004124DF" w:rsidRDefault="00AF35DF" w:rsidP="004124DF">
      <w:r>
        <w:lastRenderedPageBreak/>
        <w:t xml:space="preserve">This section sets out other assets and liabilities that arise </w:t>
      </w:r>
      <w:r w:rsidR="001A2229">
        <w:t xml:space="preserve">from </w:t>
      </w:r>
      <w:r>
        <w:t>the general government sector</w:t>
      </w:r>
      <w:r w:rsidR="008A6DD6">
        <w:t>’</w:t>
      </w:r>
      <w:r>
        <w:t>s operations.</w:t>
      </w:r>
    </w:p>
    <w:p w:rsidR="00AF35DF" w:rsidRDefault="00AF35DF" w:rsidP="004124DF">
      <w:pPr>
        <w:sectPr w:rsidR="00AF35DF" w:rsidSect="00AF35DF">
          <w:headerReference w:type="even" r:id="rId43"/>
          <w:headerReference w:type="default" r:id="rId44"/>
          <w:footerReference w:type="even" r:id="rId45"/>
          <w:footerReference w:type="default" r:id="rId46"/>
          <w:type w:val="continuous"/>
          <w:pgSz w:w="11906" w:h="16838" w:code="9"/>
          <w:pgMar w:top="1134" w:right="1134" w:bottom="1134" w:left="1134" w:header="624" w:footer="567" w:gutter="0"/>
          <w:cols w:num="2" w:space="708"/>
          <w:docGrid w:linePitch="360"/>
        </w:sectPr>
      </w:pPr>
    </w:p>
    <w:p w:rsidR="004124DF" w:rsidRDefault="004124DF" w:rsidP="004124DF"/>
    <w:p w:rsidR="00012598" w:rsidRPr="00012598" w:rsidRDefault="004124DF" w:rsidP="00012598">
      <w:pPr>
        <w:pStyle w:val="Heading2"/>
        <w:rPr>
          <w:bCs/>
          <w:lang w:val="en-US"/>
        </w:rPr>
      </w:pPr>
      <w:r w:rsidRPr="00235612">
        <w:rPr>
          <w:szCs w:val="22"/>
        </w:rPr>
        <w:t>Receivables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830FB5" w:rsidRPr="00012598" w:rsidTr="004E5D6A">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Helvetica"/>
                <w:i w:val="0"/>
                <w:iCs/>
                <w:color w:val="FFFFFF"/>
                <w:szCs w:val="18"/>
                <w:lang w:eastAsia="en-AU"/>
              </w:rPr>
            </w:pPr>
            <w:r w:rsidRPr="00012598">
              <w:rPr>
                <w:rFonts w:eastAsiaTheme="minorEastAsia" w:cs="Helvetica"/>
                <w:iCs/>
                <w:color w:val="FFFFFF"/>
                <w:szCs w:val="18"/>
                <w:lang w:eastAsia="en-AU"/>
              </w:rPr>
              <w:t>2015-16</w:t>
            </w:r>
          </w:p>
          <w:p w:rsidR="00830FB5" w:rsidRPr="00012598" w:rsidRDefault="00830FB5" w:rsidP="00012598">
            <w:pPr>
              <w:autoSpaceDE w:val="0"/>
              <w:autoSpaceDN w:val="0"/>
              <w:adjustRightInd w:val="0"/>
              <w:rPr>
                <w:rFonts w:eastAsiaTheme="minorEastAsia" w:cs="Helvetica"/>
                <w:i w:val="0"/>
                <w:iCs/>
                <w:color w:val="FFFFFF"/>
                <w:szCs w:val="18"/>
                <w:lang w:eastAsia="en-AU"/>
              </w:rPr>
            </w:pPr>
            <w:r w:rsidRPr="00012598">
              <w:rPr>
                <w:rFonts w:eastAsiaTheme="minorEastAsia" w:cs="Helvetica"/>
                <w:iCs/>
                <w:color w:val="FFFFFF"/>
                <w:szCs w:val="18"/>
                <w:lang w:eastAsia="en-AU"/>
              </w:rPr>
              <w:t>actual</w:t>
            </w:r>
          </w:p>
          <w:p w:rsidR="00830FB5" w:rsidRPr="00012598" w:rsidRDefault="00830FB5" w:rsidP="00012598">
            <w:pPr>
              <w:autoSpaceDE w:val="0"/>
              <w:autoSpaceDN w:val="0"/>
              <w:adjustRightInd w:val="0"/>
              <w:rPr>
                <w:rFonts w:eastAsiaTheme="minorEastAsia" w:cs="Helvetica"/>
                <w:iCs/>
                <w:color w:val="FFFFFF"/>
                <w:szCs w:val="18"/>
                <w:lang w:eastAsia="en-AU"/>
              </w:rPr>
            </w:pPr>
            <w:r w:rsidRPr="00012598">
              <w:rPr>
                <w:rFonts w:eastAsiaTheme="minorEastAsia" w:cs="Helvetica"/>
                <w:iCs/>
                <w:color w:val="FFFFFF"/>
                <w:szCs w:val="18"/>
                <w:lang w:eastAsia="en-AU"/>
              </w:rPr>
              <w:t>30 Sep</w:t>
            </w:r>
          </w:p>
        </w:tc>
        <w:tc>
          <w:tcPr>
            <w:tcW w:w="6009"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830FB5" w:rsidRPr="00012598" w:rsidRDefault="00830FB5" w:rsidP="00830FB5">
            <w:pPr>
              <w:autoSpaceDE w:val="0"/>
              <w:autoSpaceDN w:val="0"/>
              <w:adjustRightInd w:val="0"/>
              <w:jc w:val="center"/>
              <w:rPr>
                <w:rFonts w:eastAsiaTheme="minorEastAsia" w:cs="Calibri"/>
                <w:iCs/>
                <w:color w:val="FFFFFF"/>
                <w:lang w:eastAsia="en-AU"/>
              </w:rPr>
            </w:pPr>
            <w:r w:rsidRPr="00012598">
              <w:rPr>
                <w:rFonts w:eastAsiaTheme="minorEastAsia" w:cs="Helvetica"/>
                <w:iCs/>
                <w:color w:val="FFFFFF"/>
                <w:szCs w:val="18"/>
                <w:lang w:eastAsia="en-AU"/>
              </w:rPr>
              <w:t>2016-17</w:t>
            </w:r>
          </w:p>
        </w:tc>
      </w:tr>
      <w:tr w:rsidR="00830FB5" w:rsidRPr="00012598" w:rsidTr="00CF010E">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Helvetica"/>
                <w:iCs/>
                <w:color w:val="FFFFFF"/>
                <w:szCs w:val="18"/>
                <w:lang w:eastAsia="en-AU"/>
              </w:rPr>
            </w:pPr>
          </w:p>
        </w:tc>
        <w:tc>
          <w:tcPr>
            <w:tcW w:w="6009"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Helvetica"/>
                <w:i w:val="0"/>
                <w:iCs/>
                <w:color w:val="FFFFFF"/>
                <w:szCs w:val="18"/>
                <w:lang w:eastAsia="en-AU"/>
              </w:rPr>
            </w:pPr>
            <w:r w:rsidRPr="00012598">
              <w:rPr>
                <w:rFonts w:eastAsiaTheme="minorEastAsia" w:cs="Helvetica"/>
                <w:iCs/>
                <w:color w:val="FFFFFF"/>
                <w:szCs w:val="18"/>
                <w:lang w:eastAsia="en-AU"/>
              </w:rPr>
              <w:t>opening</w:t>
            </w:r>
          </w:p>
          <w:p w:rsidR="00830FB5" w:rsidRPr="00012598" w:rsidRDefault="00830FB5" w:rsidP="00012598">
            <w:pPr>
              <w:autoSpaceDE w:val="0"/>
              <w:autoSpaceDN w:val="0"/>
              <w:adjustRightInd w:val="0"/>
              <w:rPr>
                <w:rFonts w:eastAsiaTheme="minorEastAsia" w:cs="Helvetica"/>
                <w:iCs/>
                <w:color w:val="FFFFFF"/>
                <w:szCs w:val="18"/>
                <w:lang w:eastAsia="en-AU"/>
              </w:rPr>
            </w:pPr>
            <w:r w:rsidRPr="00012598">
              <w:rPr>
                <w:rFonts w:eastAsiaTheme="minorEastAsia" w:cs="Helvetica"/>
                <w:iCs/>
                <w:color w:val="FFFFFF"/>
                <w:szCs w:val="18"/>
                <w:lang w:eastAsia="en-AU"/>
              </w:rPr>
              <w:t>1 Jul</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 w:val="0"/>
                <w:iCs/>
                <w:color w:val="FFFFFF"/>
                <w:szCs w:val="18"/>
                <w:lang w:eastAsia="en-AU"/>
              </w:rPr>
            </w:pPr>
            <w:r w:rsidRPr="00012598">
              <w:rPr>
                <w:rFonts w:eastAsiaTheme="minorEastAsia" w:cs="Helvetica"/>
                <w:iCs/>
                <w:color w:val="FFFFFF"/>
                <w:szCs w:val="18"/>
                <w:lang w:eastAsia="en-AU"/>
              </w:rPr>
              <w:t>actual</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012598">
              <w:rPr>
                <w:rFonts w:eastAsiaTheme="minorEastAsia" w:cs="Helvetica"/>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Helvetica"/>
                <w:i w:val="0"/>
                <w:iCs/>
                <w:color w:val="FFFFFF"/>
                <w:szCs w:val="18"/>
                <w:lang w:eastAsia="en-AU"/>
              </w:rPr>
            </w:pPr>
            <w:r w:rsidRPr="00012598">
              <w:rPr>
                <w:rFonts w:eastAsiaTheme="minorEastAsia" w:cs="Helvetica"/>
                <w:iCs/>
                <w:color w:val="FFFFFF"/>
                <w:szCs w:val="18"/>
                <w:lang w:eastAsia="en-AU"/>
              </w:rPr>
              <w:t>budget</w:t>
            </w:r>
          </w:p>
          <w:p w:rsidR="00830FB5" w:rsidRPr="00012598" w:rsidRDefault="00830FB5" w:rsidP="00012598">
            <w:pPr>
              <w:autoSpaceDE w:val="0"/>
              <w:autoSpaceDN w:val="0"/>
              <w:adjustRightInd w:val="0"/>
              <w:rPr>
                <w:rFonts w:eastAsiaTheme="minorEastAsia" w:cs="Helvetica"/>
                <w:iCs/>
                <w:color w:val="FFFFFF"/>
                <w:szCs w:val="18"/>
                <w:lang w:eastAsia="en-AU"/>
              </w:rPr>
            </w:pPr>
            <w:r w:rsidRPr="00012598">
              <w:rPr>
                <w:rFonts w:eastAsiaTheme="minorEastAsia" w:cs="Helvetica"/>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Contractual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846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Sales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739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843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741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23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Accrued investment income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18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16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19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1 306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Other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Helvetica"/>
                <w:color w:val="000000"/>
                <w:szCs w:val="18"/>
                <w:lang w:eastAsia="en-AU"/>
              </w:rPr>
              <w:t>1 021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Helvetica"/>
                <w:color w:val="000000"/>
                <w:szCs w:val="18"/>
                <w:lang w:eastAsia="en-AU"/>
              </w:rPr>
              <w:t>1</w:t>
            </w:r>
            <w:r w:rsidRPr="00012598">
              <w:t xml:space="preserve"> 101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984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(85)</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Provision for doubtful contractual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(90)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(96)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(90)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Statutory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2</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Sales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2 669</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Taxes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Helvetica"/>
                <w:color w:val="000000"/>
                <w:szCs w:val="18"/>
                <w:lang w:eastAsia="en-AU"/>
              </w:rPr>
              <w:t>2 491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Helvetica"/>
                <w:color w:val="000000"/>
                <w:szCs w:val="18"/>
                <w:lang w:eastAsia="en-AU"/>
              </w:rPr>
              <w:t>2 646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Helvetica"/>
                <w:color w:val="000000"/>
                <w:szCs w:val="18"/>
                <w:lang w:eastAsia="en-AU"/>
              </w:rPr>
            </w:pPr>
            <w:r w:rsidRPr="00012598">
              <w:rPr>
                <w:rFonts w:eastAsiaTheme="minorEastAsia" w:cs="Helvetica"/>
                <w:color w:val="000000"/>
                <w:szCs w:val="18"/>
                <w:lang w:eastAsia="en-AU"/>
              </w:rPr>
              <w:t>2 434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1 803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Fines and regulatory fees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Helvetica"/>
                <w:color w:val="000000"/>
                <w:szCs w:val="18"/>
                <w:lang w:eastAsia="en-AU"/>
              </w:rPr>
              <w:t>1 896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Helvetica"/>
                <w:color w:val="000000"/>
                <w:szCs w:val="18"/>
                <w:lang w:eastAsia="en-AU"/>
              </w:rPr>
              <w:t>1 961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Helvetica"/>
                <w:color w:val="000000"/>
                <w:szCs w:val="18"/>
                <w:lang w:eastAsia="en-AU"/>
              </w:rPr>
            </w:pPr>
            <w:r w:rsidRPr="00012598">
              <w:rPr>
                <w:rFonts w:eastAsiaTheme="minorEastAsia" w:cs="Helvetica"/>
                <w:color w:val="000000"/>
                <w:szCs w:val="18"/>
                <w:lang w:eastAsia="en-AU"/>
              </w:rPr>
              <w:t>2 168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196</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GST input tax credits recoverable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324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253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325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(863)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Provision for doubtful statutory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(839)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(864)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(984)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5 897</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sidRPr="00012598">
              <w:rPr>
                <w:rFonts w:eastAsiaTheme="minorEastAsia" w:cs="Helvetica"/>
                <w:b/>
                <w:bCs/>
                <w:color w:val="000000"/>
                <w:szCs w:val="18"/>
                <w:lang w:eastAsia="en-AU"/>
              </w:rPr>
              <w:t>5 566</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Helvetica"/>
                <w:b/>
                <w:bCs/>
                <w:color w:val="000000"/>
                <w:szCs w:val="18"/>
                <w:lang w:eastAsia="en-AU"/>
              </w:rPr>
              <w:t>5 866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Helvetica"/>
                <w:b/>
                <w:bCs/>
                <w:color w:val="000000"/>
                <w:szCs w:val="18"/>
                <w:lang w:eastAsia="en-AU"/>
              </w:rPr>
            </w:pPr>
            <w:r w:rsidRPr="00012598">
              <w:rPr>
                <w:rFonts w:eastAsiaTheme="minorEastAsia" w:cs="Helvetica"/>
                <w:b/>
                <w:bCs/>
                <w:color w:val="000000"/>
                <w:szCs w:val="18"/>
                <w:lang w:eastAsia="en-AU"/>
              </w:rPr>
              <w:t>5 601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Represented by: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4 785</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Current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Helvetica"/>
                <w:color w:val="000000"/>
                <w:szCs w:val="18"/>
                <w:lang w:eastAsia="en-AU"/>
              </w:rPr>
              <w:t>4 828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Helvetica"/>
                <w:color w:val="000000"/>
                <w:szCs w:val="18"/>
                <w:lang w:eastAsia="en-AU"/>
              </w:rPr>
              <w:t>5 125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Helvetica"/>
                <w:color w:val="000000"/>
                <w:szCs w:val="18"/>
                <w:lang w:eastAsia="en-AU"/>
              </w:rPr>
            </w:pPr>
            <w:r w:rsidRPr="00012598">
              <w:rPr>
                <w:rFonts w:eastAsiaTheme="minorEastAsia" w:cs="Helvetica"/>
                <w:color w:val="000000"/>
                <w:szCs w:val="18"/>
                <w:lang w:eastAsia="en-AU"/>
              </w:rPr>
              <w:t>4 866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1 112</w:t>
            </w:r>
          </w:p>
        </w:tc>
        <w:tc>
          <w:tcPr>
            <w:tcW w:w="6009" w:type="dxa"/>
            <w:tcBorders>
              <w:top w:val="nil"/>
              <w:left w:val="nil"/>
              <w:bottom w:val="single" w:sz="12" w:space="0" w:color="auto"/>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Non-current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738</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741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Helvetica"/>
                <w:color w:val="000000"/>
                <w:szCs w:val="18"/>
                <w:lang w:eastAsia="en-AU"/>
              </w:rPr>
              <w:t>736</w:t>
            </w:r>
          </w:p>
        </w:tc>
      </w:tr>
    </w:tbl>
    <w:p w:rsidR="004124DF" w:rsidRPr="00787DF9" w:rsidRDefault="004124DF" w:rsidP="005074EB"/>
    <w:p w:rsidR="00012598" w:rsidRPr="00012598" w:rsidRDefault="004124DF" w:rsidP="00012598">
      <w:pPr>
        <w:pStyle w:val="Heading2"/>
        <w:rPr>
          <w:bCs/>
          <w:lang w:val="en-US"/>
        </w:rPr>
      </w:pPr>
      <w:r w:rsidRPr="00235612">
        <w:rPr>
          <w:szCs w:val="22"/>
        </w:rPr>
        <w:t>Payables</w:t>
      </w:r>
      <w:r w:rsidR="005074EB" w:rsidRPr="00235612">
        <w:rPr>
          <w:szCs w:val="22"/>
        </w:rPr>
        <w:tab/>
      </w:r>
      <w:r w:rsidR="005074EB" w:rsidRPr="005074EB">
        <w:rPr>
          <w:rStyle w:val="TableUnitsChar"/>
        </w:rPr>
        <w:t>($ million)</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07"/>
        <w:gridCol w:w="6009"/>
        <w:gridCol w:w="907"/>
        <w:gridCol w:w="907"/>
        <w:gridCol w:w="907"/>
      </w:tblGrid>
      <w:tr w:rsidR="00830FB5" w:rsidRPr="00012598" w:rsidTr="000D225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2721" w:type="dxa"/>
            <w:gridSpan w:val="3"/>
            <w:tcBorders>
              <w:top w:val="nil"/>
              <w:left w:val="nil"/>
              <w:bottom w:val="nil"/>
              <w:right w:val="nil"/>
            </w:tcBorders>
            <w:shd w:val="solid" w:color="000000" w:fill="auto"/>
          </w:tcPr>
          <w:p w:rsidR="00830FB5" w:rsidRPr="00012598" w:rsidRDefault="00830FB5" w:rsidP="00830FB5">
            <w:pPr>
              <w:autoSpaceDE w:val="0"/>
              <w:autoSpaceDN w:val="0"/>
              <w:adjustRightInd w:val="0"/>
              <w:jc w:val="center"/>
              <w:rPr>
                <w:rFonts w:eastAsiaTheme="minorEastAsia" w:cs="Calibri"/>
                <w:iCs/>
                <w:color w:val="FFFFFF"/>
                <w:lang w:eastAsia="en-AU"/>
              </w:rPr>
            </w:pPr>
            <w:r w:rsidRPr="00012598">
              <w:rPr>
                <w:rFonts w:eastAsiaTheme="minorEastAsia" w:cs="Calibri"/>
                <w:iCs/>
                <w:color w:val="FFFFFF"/>
                <w:szCs w:val="18"/>
                <w:lang w:eastAsia="en-AU"/>
              </w:rPr>
              <w:t>2016-17</w:t>
            </w:r>
          </w:p>
        </w:tc>
      </w:tr>
      <w:tr w:rsidR="00830FB5" w:rsidRPr="00012598" w:rsidTr="00C44D69">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opening</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budget</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Jun</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Contractual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1 238</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Accounts payable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1 290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1</w:t>
            </w:r>
            <w:r w:rsidRPr="00012598">
              <w:t xml:space="preserve"> 019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1 297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1 673</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Accrued expenses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2 187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2 076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2 130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2 405</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Unearned income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2 258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2 349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2 198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Statutory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8"/>
                <w:lang w:eastAsia="en-AU"/>
              </w:rPr>
              <w:t>39</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Accrued taxes payable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8"/>
                <w:lang w:eastAsia="en-AU"/>
              </w:rPr>
            </w:pPr>
            <w:r w:rsidRPr="00012598">
              <w:rPr>
                <w:rFonts w:eastAsiaTheme="minorEastAsia" w:cs="Arial"/>
                <w:b/>
                <w:bCs/>
                <w:color w:val="000000"/>
                <w:szCs w:val="18"/>
                <w:lang w:eastAsia="en-AU"/>
              </w:rPr>
              <w:t>5 355</w:t>
            </w:r>
          </w:p>
        </w:tc>
        <w:tc>
          <w:tcPr>
            <w:tcW w:w="6009"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Total payables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sidRPr="00012598">
              <w:rPr>
                <w:rFonts w:eastAsiaTheme="minorEastAsia" w:cs="Calibri"/>
                <w:b/>
                <w:bCs/>
                <w:color w:val="000000"/>
                <w:szCs w:val="18"/>
                <w:lang w:eastAsia="en-AU"/>
              </w:rPr>
              <w:t>5 773</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b/>
                <w:bCs/>
                <w:color w:val="000000"/>
                <w:szCs w:val="18"/>
                <w:lang w:eastAsia="en-AU"/>
              </w:rPr>
              <w:t>5 481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5 663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12598">
              <w:rPr>
                <w:rFonts w:eastAsiaTheme="minorEastAsia" w:cs="Arial"/>
                <w:b/>
                <w:bCs/>
                <w:color w:val="000000"/>
                <w:szCs w:val="18"/>
                <w:lang w:eastAsia="en-AU"/>
              </w:rPr>
              <w:t>Represented by: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3 424</w:t>
            </w:r>
          </w:p>
        </w:tc>
        <w:tc>
          <w:tcPr>
            <w:tcW w:w="6009" w:type="dxa"/>
            <w:tcBorders>
              <w:top w:val="nil"/>
              <w:left w:val="nil"/>
              <w:bottom w:val="nil"/>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Current payables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4 053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3 753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4 011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8"/>
                <w:lang w:eastAsia="en-AU"/>
              </w:rPr>
            </w:pPr>
            <w:r w:rsidRPr="00012598">
              <w:rPr>
                <w:rFonts w:eastAsiaTheme="minorEastAsia" w:cs="Arial"/>
                <w:color w:val="000000"/>
                <w:szCs w:val="18"/>
                <w:lang w:eastAsia="en-AU"/>
              </w:rPr>
              <w:t>1 931</w:t>
            </w:r>
          </w:p>
        </w:tc>
        <w:tc>
          <w:tcPr>
            <w:tcW w:w="6009" w:type="dxa"/>
            <w:tcBorders>
              <w:top w:val="nil"/>
              <w:left w:val="nil"/>
              <w:bottom w:val="single" w:sz="12" w:space="0" w:color="auto"/>
              <w:right w:val="nil"/>
            </w:tcBorders>
          </w:tcPr>
          <w:p w:rsidR="00012598" w:rsidRPr="00012598" w:rsidRDefault="00012598" w:rsidP="00012598">
            <w:pPr>
              <w:autoSpaceDE w:val="0"/>
              <w:autoSpaceDN w:val="0"/>
              <w:adjustRightInd w:val="0"/>
              <w:ind w:left="113"/>
              <w:jc w:val="left"/>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12598">
              <w:rPr>
                <w:rFonts w:eastAsiaTheme="minorEastAsia" w:cs="Arial"/>
                <w:color w:val="000000"/>
                <w:szCs w:val="18"/>
                <w:lang w:eastAsia="en-AU"/>
              </w:rPr>
              <w:t>Non-current payables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pPr>
            <w:r w:rsidRPr="00012598">
              <w:rPr>
                <w:rFonts w:eastAsiaTheme="minorEastAsia" w:cs="Calibri"/>
                <w:color w:val="000000"/>
                <w:szCs w:val="18"/>
                <w:lang w:eastAsia="en-AU"/>
              </w:rPr>
              <w:t>1 720</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12598">
              <w:rPr>
                <w:rFonts w:eastAsiaTheme="minorEastAsia" w:cs="Calibri"/>
                <w:color w:val="000000"/>
                <w:szCs w:val="18"/>
                <w:lang w:eastAsia="en-AU"/>
              </w:rPr>
              <w:t>1 728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1 653</w:t>
            </w:r>
          </w:p>
        </w:tc>
      </w:tr>
    </w:tbl>
    <w:p w:rsidR="007B04AE" w:rsidRPr="00787DF9" w:rsidRDefault="007B04AE" w:rsidP="005074EB">
      <w:pPr>
        <w:rPr>
          <w:rStyle w:val="TableUnitsChar"/>
          <w:sz w:val="22"/>
        </w:rPr>
      </w:pPr>
    </w:p>
    <w:p w:rsidR="00CF0CCB" w:rsidRPr="00CF0CCB" w:rsidRDefault="00CF0CCB" w:rsidP="00CF0CCB">
      <w:pPr>
        <w:rPr>
          <w:rFonts w:asciiTheme="majorHAnsi" w:eastAsiaTheme="majorEastAsia" w:hAnsiTheme="majorHAnsi" w:cstheme="majorBidi"/>
          <w:b/>
          <w:spacing w:val="-2"/>
          <w:sz w:val="24"/>
          <w:szCs w:val="26"/>
        </w:rPr>
      </w:pPr>
      <w:r>
        <w:rPr>
          <w:rFonts w:asciiTheme="majorHAnsi" w:eastAsiaTheme="majorEastAsia" w:hAnsiTheme="majorHAnsi" w:cstheme="majorBidi"/>
          <w:b/>
          <w:spacing w:val="-2"/>
          <w:sz w:val="24"/>
          <w:szCs w:val="26"/>
        </w:rPr>
        <w:br w:type="page"/>
      </w:r>
    </w:p>
    <w:p w:rsidR="007B04AE" w:rsidRDefault="007B04AE" w:rsidP="0023071C">
      <w:pPr>
        <w:pStyle w:val="Heading1"/>
      </w:pPr>
      <w:bookmarkStart w:id="16" w:name="_Toc465432000"/>
      <w:r>
        <w:lastRenderedPageBreak/>
        <w:t>Public account</w:t>
      </w:r>
      <w:bookmarkEnd w:id="16"/>
    </w:p>
    <w:p w:rsidR="007B04AE" w:rsidRDefault="007B04AE" w:rsidP="007B04AE">
      <w:pPr>
        <w:pStyle w:val="Subheadingunderline"/>
        <w:sectPr w:rsidR="007B04AE" w:rsidSect="00E92C26">
          <w:type w:val="continuous"/>
          <w:pgSz w:w="11906" w:h="16838" w:code="9"/>
          <w:pgMar w:top="1134" w:right="1134" w:bottom="1134" w:left="1134" w:header="624" w:footer="567" w:gutter="0"/>
          <w:cols w:space="708"/>
          <w:docGrid w:linePitch="360"/>
        </w:sectPr>
      </w:pPr>
    </w:p>
    <w:p w:rsidR="007B04AE" w:rsidRDefault="007B04AE" w:rsidP="007B04AE">
      <w:pPr>
        <w:pStyle w:val="Subheadingunderline"/>
      </w:pPr>
      <w:r>
        <w:lastRenderedPageBreak/>
        <w:t>Introduction</w:t>
      </w:r>
    </w:p>
    <w:p w:rsidR="007B04AE" w:rsidRDefault="007B04AE" w:rsidP="007B04AE">
      <w:pPr>
        <w:sectPr w:rsidR="007B04AE" w:rsidSect="00E92C26">
          <w:type w:val="continuous"/>
          <w:pgSz w:w="11906" w:h="16838" w:code="9"/>
          <w:pgMar w:top="1134" w:right="1134" w:bottom="1134" w:left="1134" w:header="624" w:footer="567" w:gutter="0"/>
          <w:cols w:num="2" w:space="708"/>
          <w:docGrid w:linePitch="360"/>
        </w:sectPr>
      </w:pPr>
    </w:p>
    <w:p w:rsidR="007B04AE" w:rsidRDefault="00C67B0B" w:rsidP="007B04AE">
      <w:r>
        <w:lastRenderedPageBreak/>
        <w:t xml:space="preserve">This section provides disclosure of information in respect of the Public Account, in accordance with the requirements of the </w:t>
      </w:r>
      <w:r>
        <w:rPr>
          <w:i/>
        </w:rPr>
        <w:t>Financial Management Act, No. 18 of 1994</w:t>
      </w:r>
      <w:r>
        <w:t xml:space="preserve"> (FMA).</w:t>
      </w:r>
    </w:p>
    <w:p w:rsidR="00C67B0B" w:rsidRPr="00C67B0B" w:rsidRDefault="00C67B0B" w:rsidP="007B04AE"/>
    <w:p w:rsidR="00C67B0B" w:rsidRDefault="00C67B0B" w:rsidP="007B04AE">
      <w:pPr>
        <w:sectPr w:rsidR="00C67B0B" w:rsidSect="00C67B0B">
          <w:headerReference w:type="even" r:id="rId47"/>
          <w:headerReference w:type="default" r:id="rId48"/>
          <w:footerReference w:type="even" r:id="rId49"/>
          <w:footerReference w:type="default" r:id="rId50"/>
          <w:type w:val="continuous"/>
          <w:pgSz w:w="11906" w:h="16838" w:code="9"/>
          <w:pgMar w:top="1134" w:right="1134" w:bottom="1134" w:left="1134" w:header="624" w:footer="567" w:gutter="0"/>
          <w:cols w:num="2" w:space="708"/>
          <w:docGrid w:linePitch="360"/>
        </w:sectPr>
      </w:pPr>
    </w:p>
    <w:p w:rsidR="007B04AE" w:rsidRDefault="007B04AE" w:rsidP="007B04AE"/>
    <w:p w:rsidR="00012598" w:rsidRPr="00012598" w:rsidRDefault="007B04AE" w:rsidP="00012598">
      <w:pPr>
        <w:pStyle w:val="Heading2"/>
        <w:rPr>
          <w:rStyle w:val="TableUnitsChar"/>
          <w:bCs/>
          <w:lang w:val="en-US"/>
        </w:rPr>
      </w:pPr>
      <w:r w:rsidRPr="00CF15CA">
        <w:t>Consolidated</w:t>
      </w:r>
      <w:r w:rsidRPr="00235612">
        <w:rPr>
          <w:szCs w:val="22"/>
        </w:rPr>
        <w:t xml:space="preserve"> fund receipts and payments</w:t>
      </w:r>
      <w:r w:rsidRPr="00235612">
        <w:rPr>
          <w:szCs w:val="22"/>
        </w:rPr>
        <w:tab/>
      </w:r>
      <w:r w:rsidRPr="005074EB">
        <w:rPr>
          <w:rStyle w:val="TableUnitsChar"/>
        </w:rPr>
        <w:t xml:space="preserve">($ </w:t>
      </w:r>
      <w:r w:rsidR="00556BD9">
        <w:rPr>
          <w:rStyle w:val="TableUnitsChar"/>
        </w:rPr>
        <w:t>million</w:t>
      </w:r>
      <w:r w:rsidRPr="005074EB">
        <w:rPr>
          <w:rStyle w:val="TableUnitsChar"/>
        </w:rPr>
        <w:t>)</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820"/>
        <w:gridCol w:w="952"/>
        <w:gridCol w:w="959"/>
      </w:tblGrid>
      <w:tr w:rsidR="00830FB5" w:rsidRPr="00012598" w:rsidTr="005144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2015-16</w:t>
            </w:r>
          </w:p>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 actual </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to Sep</w:t>
            </w:r>
          </w:p>
        </w:tc>
        <w:tc>
          <w:tcPr>
            <w:tcW w:w="6820"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911" w:type="dxa"/>
            <w:gridSpan w:val="2"/>
            <w:tcBorders>
              <w:top w:val="nil"/>
              <w:left w:val="nil"/>
              <w:bottom w:val="nil"/>
            </w:tcBorders>
            <w:shd w:val="solid" w:color="000000" w:fill="auto"/>
          </w:tcPr>
          <w:p w:rsidR="00830FB5" w:rsidRPr="00012598" w:rsidRDefault="00830FB5" w:rsidP="00012598">
            <w:pPr>
              <w:jc w:val="center"/>
            </w:pPr>
            <w:r w:rsidRPr="00012598">
              <w:rPr>
                <w:rFonts w:eastAsiaTheme="minorEastAsia" w:cs="Calibri"/>
                <w:iCs/>
                <w:color w:val="FFFFFF"/>
                <w:lang w:eastAsia="en-AU"/>
              </w:rPr>
              <w:t>2016-17</w:t>
            </w:r>
          </w:p>
        </w:tc>
      </w:tr>
      <w:tr w:rsidR="00830FB5" w:rsidRPr="00012598" w:rsidTr="002D005A">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lang w:eastAsia="en-AU"/>
              </w:rPr>
            </w:pPr>
          </w:p>
        </w:tc>
        <w:tc>
          <w:tcPr>
            <w:tcW w:w="6820"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actual </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to Sep</w:t>
            </w:r>
          </w:p>
        </w:tc>
        <w:tc>
          <w:tcPr>
            <w:tcW w:w="959"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annual</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budget</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i/>
                <w:iCs/>
                <w:color w:val="FFFFFF"/>
                <w:lang w:eastAsia="en-AU"/>
              </w:rPr>
            </w:pPr>
            <w:r w:rsidRPr="00012598">
              <w:rPr>
                <w:rFonts w:eastAsiaTheme="minorEastAsia" w:cs="Calibri"/>
                <w:i/>
                <w:iCs/>
                <w:color w:val="FFFFFF"/>
                <w:lang w:eastAsia="en-AU"/>
              </w:rPr>
              <w:t xml:space="preserve"> </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Receipts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i/>
                <w:iCs/>
                <w:color w:val="FFFFFF"/>
                <w:lang w:eastAsia="en-AU"/>
              </w:rPr>
            </w:pPr>
            <w:r w:rsidRPr="00012598">
              <w:rPr>
                <w:rFonts w:eastAsiaTheme="minorEastAsia" w:cs="Calibri"/>
                <w:i/>
                <w:iCs/>
                <w:color w:val="FFFFFF"/>
                <w:lang w:eastAsia="en-AU"/>
              </w:rPr>
              <w:t xml:space="preserve"> </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lang w:eastAsia="en-AU"/>
              </w:rPr>
            </w:pPr>
            <w:r w:rsidRPr="00012598">
              <w:rPr>
                <w:rFonts w:eastAsiaTheme="minorEastAsia" w:cs="Calibri"/>
                <w:i/>
                <w:iCs/>
                <w:color w:val="FFFFFF"/>
                <w:lang w:eastAsia="en-AU"/>
              </w:rPr>
              <w:t xml:space="preserve"> </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4 883</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Taxation</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5 019</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20 906</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199</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Fines and regulatory fees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212</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878</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3 986</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Grants received</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4 290</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18 218</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1 449</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Sales of goods and services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1 475</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6 126</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123</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Interest received</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114</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518</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38</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Public authority receipts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85</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1 051</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51</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Other receipts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12</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542</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10 729</w:t>
            </w:r>
          </w:p>
        </w:tc>
        <w:tc>
          <w:tcPr>
            <w:tcW w:w="6820"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Total operating activities</w:t>
            </w:r>
          </w:p>
        </w:tc>
        <w:tc>
          <w:tcPr>
            <w:cnfStyle w:val="000010000000" w:firstRow="0" w:lastRow="0" w:firstColumn="0" w:lastColumn="0" w:oddVBand="1" w:evenVBand="0" w:oddHBand="0" w:evenHBand="0" w:firstRowFirstColumn="0" w:firstRowLastColumn="0" w:lastRowFirstColumn="0" w:lastRowLastColumn="0"/>
            <w:tcW w:w="95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11 206</w:t>
            </w:r>
          </w:p>
        </w:tc>
        <w:tc>
          <w:tcPr>
            <w:tcW w:w="959"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48 240</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696</w:t>
            </w:r>
          </w:p>
        </w:tc>
        <w:tc>
          <w:tcPr>
            <w:tcW w:w="6820" w:type="dxa"/>
            <w:tcBorders>
              <w:top w:val="nil"/>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Total inflows/(outflows) from investing and financing</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13</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12 511</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11 425</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Total receipts</w:t>
            </w:r>
          </w:p>
        </w:tc>
        <w:tc>
          <w:tcPr>
            <w:cnfStyle w:val="000010000000" w:firstRow="0" w:lastRow="0" w:firstColumn="0" w:lastColumn="0" w:oddVBand="1" w:evenVBand="0" w:oddHBand="0" w:evenHBand="0" w:firstRowFirstColumn="0" w:firstRowLastColumn="0" w:lastRowFirstColumn="0" w:lastRowLastColumn="0"/>
            <w:tcW w:w="95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11 218</w:t>
            </w:r>
          </w:p>
        </w:tc>
        <w:tc>
          <w:tcPr>
            <w:tcW w:w="959"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60 750</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Payments to departments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Calibri"/>
                <w:color w:val="000000"/>
                <w:lang w:eastAsia="en-AU"/>
              </w:rPr>
              <w:t xml:space="preserve">2 </w:t>
            </w:r>
            <w:r w:rsidRPr="00012598">
              <w:t>122</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Economic Development, Jobs, Transport and Resources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2 397</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9 755</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2 972</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Education and Training</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3 081</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12 513</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456</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Environment, Land, Water and Planning</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578</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2 080</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4 085</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Health and Human Services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4 340</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15 199</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1 643</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Justice and Regulation</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1 607</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6 263</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80</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Premier and Cabinet</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101</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568</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953</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Treasury and Finance</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844</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16 201</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42</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Parliament</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48</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215</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131</w:t>
            </w:r>
          </w:p>
        </w:tc>
        <w:tc>
          <w:tcPr>
            <w:tcW w:w="6820"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Courts</w:t>
            </w:r>
          </w:p>
        </w:tc>
        <w:tc>
          <w:tcPr>
            <w:cnfStyle w:val="000010000000" w:firstRow="0" w:lastRow="0" w:firstColumn="0" w:lastColumn="0" w:oddVBand="1" w:evenVBand="0" w:oddHBand="0" w:evenHBand="0" w:firstRowFirstColumn="0" w:firstRowLastColumn="0" w:lastRowFirstColumn="0" w:lastRowLastColumn="0"/>
            <w:tcW w:w="95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128</w:t>
            </w:r>
          </w:p>
        </w:tc>
        <w:tc>
          <w:tcPr>
            <w:tcW w:w="959"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554</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12 483</w:t>
            </w:r>
          </w:p>
        </w:tc>
        <w:tc>
          <w:tcPr>
            <w:tcW w:w="6820"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Total payments </w:t>
            </w:r>
          </w:p>
        </w:tc>
        <w:tc>
          <w:tcPr>
            <w:cnfStyle w:val="000010000000" w:firstRow="0" w:lastRow="0" w:firstColumn="0" w:lastColumn="0" w:oddVBand="1" w:evenVBand="0" w:oddHBand="0" w:evenHBand="0" w:firstRowFirstColumn="0" w:firstRowLastColumn="0" w:lastRowFirstColumn="0" w:lastRowLastColumn="0"/>
            <w:tcW w:w="95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13 124</w:t>
            </w:r>
          </w:p>
        </w:tc>
        <w:tc>
          <w:tcPr>
            <w:tcW w:w="959"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63 349</w:t>
            </w:r>
          </w:p>
        </w:tc>
      </w:tr>
      <w:tr w:rsidR="00012598" w:rsidRPr="00012598" w:rsidTr="00830FB5">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(1 058)</w:t>
            </w:r>
          </w:p>
        </w:tc>
        <w:tc>
          <w:tcPr>
            <w:tcW w:w="6820"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Net receipts/(payments) </w:t>
            </w:r>
          </w:p>
        </w:tc>
        <w:tc>
          <w:tcPr>
            <w:cnfStyle w:val="000010000000" w:firstRow="0" w:lastRow="0" w:firstColumn="0" w:lastColumn="0" w:oddVBand="1" w:evenVBand="0" w:oddHBand="0" w:evenHBand="0" w:firstRowFirstColumn="0" w:firstRowLastColumn="0" w:lastRowFirstColumn="0" w:lastRowLastColumn="0"/>
            <w:tcW w:w="95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(1 905)</w:t>
            </w:r>
          </w:p>
        </w:tc>
        <w:tc>
          <w:tcPr>
            <w:tcW w:w="959"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(2 598)</w:t>
            </w:r>
          </w:p>
        </w:tc>
      </w:tr>
    </w:tbl>
    <w:p w:rsidR="000B45B4" w:rsidRPr="00CF15CA" w:rsidRDefault="000B45B4" w:rsidP="000B45B4"/>
    <w:p w:rsidR="00CF15CA" w:rsidRDefault="00CF15CA">
      <w:pPr>
        <w:rPr>
          <w:rFonts w:asciiTheme="majorHAnsi" w:eastAsiaTheme="majorEastAsia" w:hAnsiTheme="majorHAnsi" w:cstheme="majorBidi"/>
          <w:b/>
          <w:spacing w:val="-2"/>
        </w:rPr>
      </w:pPr>
      <w:r>
        <w:br w:type="page"/>
      </w:r>
    </w:p>
    <w:p w:rsidR="00012598" w:rsidRPr="00012598" w:rsidRDefault="007B04AE" w:rsidP="00012598">
      <w:pPr>
        <w:pStyle w:val="Heading2"/>
        <w:rPr>
          <w:rStyle w:val="TableUnitsChar"/>
          <w:rFonts w:eastAsia="Times New Roman" w:cs="Times New Roman"/>
          <w:bCs/>
          <w:szCs w:val="20"/>
          <w:lang w:val="en-US" w:eastAsia="en-AU"/>
        </w:rPr>
      </w:pPr>
      <w:r w:rsidRPr="00235612">
        <w:rPr>
          <w:szCs w:val="22"/>
        </w:rPr>
        <w:lastRenderedPageBreak/>
        <w:t>Trust fund cash flow statement</w:t>
      </w:r>
      <w:r w:rsidRPr="00235612">
        <w:rPr>
          <w:szCs w:val="22"/>
        </w:rPr>
        <w:tab/>
      </w:r>
      <w:r w:rsidRPr="005074EB">
        <w:rPr>
          <w:rStyle w:val="TableUnitsChar"/>
        </w:rPr>
        <w:t xml:space="preserve">($ </w:t>
      </w:r>
      <w:r w:rsidR="00556BD9">
        <w:rPr>
          <w:rStyle w:val="TableUnitsChar"/>
        </w:rPr>
        <w:t>million</w:t>
      </w:r>
      <w:r w:rsidRPr="005074EB">
        <w:rPr>
          <w:rStyle w:val="TableUnitsChar"/>
        </w:rPr>
        <w:t>)</w:t>
      </w:r>
    </w:p>
    <w:tbl>
      <w:tblPr>
        <w:tblStyle w:val="DTFFinancialTable"/>
        <w:tblW w:w="9637" w:type="dxa"/>
        <w:tblInd w:w="45" w:type="dxa"/>
        <w:tblLayout w:type="fixed"/>
        <w:tblCellMar>
          <w:left w:w="45" w:type="dxa"/>
          <w:right w:w="45" w:type="dxa"/>
        </w:tblCellMar>
        <w:tblLook w:val="0220" w:firstRow="1" w:lastRow="0" w:firstColumn="0" w:lastColumn="0" w:noHBand="1" w:noVBand="0"/>
      </w:tblPr>
      <w:tblGrid>
        <w:gridCol w:w="992"/>
        <w:gridCol w:w="6661"/>
        <w:gridCol w:w="992"/>
        <w:gridCol w:w="992"/>
      </w:tblGrid>
      <w:tr w:rsidR="00830FB5" w:rsidRPr="00012598" w:rsidTr="00C6643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92" w:type="dxa"/>
            <w:vMerge w:val="restart"/>
            <w:tcBorders>
              <w:top w:val="nil"/>
              <w:left w:val="nil"/>
              <w:right w:val="nil"/>
            </w:tcBorders>
            <w:shd w:val="solid" w:color="000000" w:fill="auto"/>
          </w:tcPr>
          <w:p w:rsidR="00830FB5" w:rsidRPr="00012598" w:rsidRDefault="00830FB5" w:rsidP="00012598">
            <w:pPr>
              <w:pStyle w:val="Notes"/>
              <w:spacing w:after="20"/>
              <w:rPr>
                <w:rFonts w:asciiTheme="majorHAnsi" w:eastAsiaTheme="minorEastAsia" w:hAnsiTheme="majorHAnsi" w:cs="Calibri"/>
                <w:iCs/>
                <w:color w:val="FFFFFF"/>
                <w:sz w:val="17"/>
              </w:rPr>
            </w:pPr>
            <w:r w:rsidRPr="00012598">
              <w:rPr>
                <w:rFonts w:asciiTheme="majorHAnsi" w:eastAsiaTheme="minorEastAsia" w:hAnsiTheme="majorHAnsi" w:cs="Calibri"/>
                <w:i/>
                <w:iCs/>
                <w:color w:val="FFFFFF"/>
                <w:sz w:val="17"/>
              </w:rPr>
              <w:t>2015-16</w:t>
            </w:r>
          </w:p>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actual </w:t>
            </w:r>
          </w:p>
          <w:p w:rsidR="00830FB5" w:rsidRPr="00012598" w:rsidRDefault="00830FB5" w:rsidP="00012598">
            <w:pPr>
              <w:autoSpaceDE w:val="0"/>
              <w:autoSpaceDN w:val="0"/>
              <w:adjustRightInd w:val="0"/>
              <w:rPr>
                <w:rFonts w:eastAsiaTheme="minorEastAsia" w:cs="Calibri"/>
                <w:i w:val="0"/>
                <w:iCs/>
                <w:color w:val="FFFFFF"/>
              </w:rPr>
            </w:pPr>
            <w:r w:rsidRPr="00012598">
              <w:rPr>
                <w:rFonts w:eastAsiaTheme="minorEastAsia" w:cs="Calibri"/>
                <w:iCs/>
                <w:color w:val="FFFFFF"/>
                <w:lang w:eastAsia="en-AU"/>
              </w:rPr>
              <w:t>to Sep</w:t>
            </w:r>
          </w:p>
        </w:tc>
        <w:tc>
          <w:tcPr>
            <w:tcW w:w="6661"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984" w:type="dxa"/>
            <w:gridSpan w:val="2"/>
            <w:tcBorders>
              <w:top w:val="nil"/>
              <w:left w:val="nil"/>
              <w:bottom w:val="nil"/>
            </w:tcBorders>
            <w:shd w:val="solid" w:color="000000" w:fill="auto"/>
          </w:tcPr>
          <w:p w:rsidR="00830FB5" w:rsidRPr="00012598" w:rsidRDefault="00830FB5" w:rsidP="00012598">
            <w:pPr>
              <w:jc w:val="center"/>
            </w:pPr>
            <w:r w:rsidRPr="00012598">
              <w:rPr>
                <w:rFonts w:eastAsiaTheme="minorEastAsia" w:cs="Calibri"/>
                <w:iCs/>
                <w:color w:val="FFFFFF"/>
                <w:lang w:eastAsia="en-AU"/>
              </w:rPr>
              <w:t>2016-17</w:t>
            </w:r>
          </w:p>
        </w:tc>
      </w:tr>
      <w:tr w:rsidR="00830FB5" w:rsidRPr="00012598" w:rsidTr="00FF4931">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92"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lang w:eastAsia="en-AU"/>
              </w:rPr>
            </w:pPr>
          </w:p>
        </w:tc>
        <w:tc>
          <w:tcPr>
            <w:tcW w:w="6661"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actual </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to Sep</w:t>
            </w:r>
          </w:p>
        </w:tc>
        <w:tc>
          <w:tcPr>
            <w:tcW w:w="992"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annual</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661"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Cash flows from operating activities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20"/>
                <w:lang w:eastAsia="en-AU"/>
              </w:rPr>
            </w:pPr>
            <w:r w:rsidRPr="00012598">
              <w:rPr>
                <w:rFonts w:eastAsiaTheme="minorEastAsia" w:cs="Calibri"/>
                <w:color w:val="000000"/>
                <w:szCs w:val="2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012598">
              <w:rPr>
                <w:rFonts w:eastAsiaTheme="minorEastAsia" w:cs="Calibri"/>
                <w:color w:val="000000"/>
                <w:szCs w:val="2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Receipts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157</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Taxation</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626163" w:rsidP="00012598">
            <w:pPr>
              <w:autoSpaceDE w:val="0"/>
              <w:autoSpaceDN w:val="0"/>
              <w:adjustRightInd w:val="0"/>
            </w:pPr>
            <w:r>
              <w:rPr>
                <w:rFonts w:eastAsiaTheme="minorEastAsia" w:cs="Calibri"/>
                <w:color w:val="000000"/>
                <w:lang w:eastAsia="en-AU"/>
              </w:rPr>
              <w:t>166</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1 276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Regulatory fees and fines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14</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3 637</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vertAlign w:val="superscript"/>
                <w:lang w:eastAsia="en-AU"/>
              </w:rPr>
            </w:pPr>
            <w:r w:rsidRPr="00012598">
              <w:rPr>
                <w:rFonts w:eastAsiaTheme="minorEastAsia" w:cs="Calibri"/>
                <w:color w:val="000000"/>
                <w:lang w:eastAsia="en-AU"/>
              </w:rPr>
              <w:t xml:space="preserve">Grants received </w:t>
            </w:r>
            <w:r w:rsidRPr="00012598">
              <w:rPr>
                <w:rFonts w:eastAsiaTheme="minorEastAsia" w:cs="Calibri"/>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3 957</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14 046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22</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Sale</w:t>
            </w:r>
            <w:r w:rsidR="00983DF9">
              <w:rPr>
                <w:rFonts w:eastAsiaTheme="minorEastAsia" w:cs="Calibri"/>
                <w:color w:val="000000"/>
                <w:lang w:eastAsia="en-AU"/>
              </w:rPr>
              <w:t>s</w:t>
            </w:r>
            <w:r w:rsidRPr="00012598">
              <w:rPr>
                <w:rFonts w:eastAsiaTheme="minorEastAsia" w:cs="Calibri"/>
                <w:color w:val="000000"/>
                <w:lang w:eastAsia="en-AU"/>
              </w:rPr>
              <w:t xml:space="preserve"> of goods and services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626163" w:rsidP="00012598">
            <w:pPr>
              <w:autoSpaceDE w:val="0"/>
              <w:autoSpaceDN w:val="0"/>
              <w:adjustRightInd w:val="0"/>
            </w:pPr>
            <w:r>
              <w:rPr>
                <w:rFonts w:eastAsiaTheme="minorEastAsia" w:cs="Calibri"/>
                <w:color w:val="000000"/>
                <w:lang w:eastAsia="en-AU"/>
              </w:rPr>
              <w:t>57</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138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29</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Interest received</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18</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182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2 452</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Net transfers from consolidated fund</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824</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7 862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5</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Dividend received</w:t>
            </w:r>
            <w:r w:rsidR="001E5109">
              <w:rPr>
                <w:rFonts w:eastAsiaTheme="minorEastAsia" w:cs="Calibri"/>
                <w:color w:val="000000"/>
                <w:lang w:eastAsia="en-AU"/>
              </w:rPr>
              <w:t xml:space="preserve"> </w:t>
            </w:r>
            <w:r w:rsidR="001E5109" w:rsidRPr="001E5109">
              <w:rPr>
                <w:rFonts w:eastAsiaTheme="minorEastAsia" w:cs="Calibri"/>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16</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23</w:t>
            </w:r>
          </w:p>
        </w:tc>
        <w:tc>
          <w:tcPr>
            <w:tcW w:w="6661" w:type="dxa"/>
            <w:tcBorders>
              <w:top w:val="nil"/>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Other receipts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25</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141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6 332</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012598">
              <w:rPr>
                <w:rFonts w:eastAsiaTheme="minorEastAsia" w:cs="Calibri"/>
                <w:b/>
                <w:bCs/>
                <w:color w:val="000000"/>
                <w:lang w:eastAsia="en-AU"/>
              </w:rPr>
              <w:t xml:space="preserve">Total receipts </w:t>
            </w:r>
            <w:r w:rsidRPr="00012598">
              <w:rPr>
                <w:rFonts w:eastAsiaTheme="minorEastAsia" w:cs="Calibri"/>
                <w:b/>
                <w:bCs/>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5 077</w:t>
            </w:r>
          </w:p>
        </w:tc>
        <w:tc>
          <w:tcPr>
            <w:tcW w:w="992"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23 669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Payments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(36)</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Payments for employees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(44)</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(170)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(3)</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Superannuation</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Interest paid</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(5 706)</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vertAlign w:val="superscript"/>
                <w:lang w:eastAsia="en-AU"/>
              </w:rPr>
            </w:pPr>
            <w:r w:rsidRPr="00012598">
              <w:rPr>
                <w:rFonts w:eastAsiaTheme="minorEastAsia" w:cs="Calibri"/>
                <w:color w:val="000000"/>
                <w:lang w:eastAsia="en-AU"/>
              </w:rPr>
              <w:t xml:space="preserve">Grants and subsidies </w:t>
            </w:r>
            <w:r w:rsidRPr="00012598">
              <w:rPr>
                <w:rFonts w:eastAsiaTheme="minorEastAsia" w:cs="Calibri"/>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(4 361)</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(20 056)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(583)</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Goods and services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(456)</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(2 256)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6"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(6 329)</w:t>
            </w:r>
          </w:p>
        </w:tc>
        <w:tc>
          <w:tcPr>
            <w:tcW w:w="6661" w:type="dxa"/>
            <w:tcBorders>
              <w:top w:val="single" w:sz="6" w:space="0" w:color="auto"/>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012598">
              <w:rPr>
                <w:rFonts w:eastAsiaTheme="minorEastAsia" w:cs="Calibri"/>
                <w:b/>
                <w:bCs/>
                <w:color w:val="000000"/>
                <w:lang w:eastAsia="en-AU"/>
              </w:rPr>
              <w:t xml:space="preserve">Total payments </w:t>
            </w:r>
            <w:r w:rsidRPr="00012598">
              <w:rPr>
                <w:rFonts w:eastAsiaTheme="minorEastAsia" w:cs="Calibri"/>
                <w:b/>
                <w:bCs/>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6"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(4 866)</w:t>
            </w:r>
          </w:p>
        </w:tc>
        <w:tc>
          <w:tcPr>
            <w:tcW w:w="992" w:type="dxa"/>
            <w:tcBorders>
              <w:top w:val="single" w:sz="6" w:space="0" w:color="auto"/>
              <w:left w:val="nil"/>
              <w:bottom w:val="single" w:sz="6"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(22 503)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3</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012598">
              <w:rPr>
                <w:rFonts w:eastAsiaTheme="minorEastAsia" w:cs="Calibri"/>
                <w:b/>
                <w:bCs/>
                <w:color w:val="000000"/>
                <w:lang w:eastAsia="en-AU"/>
              </w:rPr>
              <w:t xml:space="preserve">Net cash flows from operating activities </w:t>
            </w:r>
            <w:r w:rsidRPr="00012598">
              <w:rPr>
                <w:rFonts w:eastAsiaTheme="minorEastAsia" w:cs="Calibri"/>
                <w:b/>
                <w:bCs/>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211</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1 166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Cash flows from investing activities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Purchases of non-financial assets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(21)</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(1 407)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9</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Sales of non-financial assets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7</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34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(28)</w:t>
            </w:r>
          </w:p>
        </w:tc>
        <w:tc>
          <w:tcPr>
            <w:tcW w:w="6661" w:type="dxa"/>
            <w:tcBorders>
              <w:top w:val="nil"/>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Other investing activities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(57)</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315</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22583A" w:rsidP="00012598">
            <w:pPr>
              <w:autoSpaceDE w:val="0"/>
              <w:autoSpaceDN w:val="0"/>
              <w:adjustRightInd w:val="0"/>
            </w:pPr>
            <w:r>
              <w:rPr>
                <w:rFonts w:eastAsiaTheme="minorEastAsia" w:cs="Calibri"/>
                <w:b/>
                <w:bCs/>
                <w:color w:val="000000"/>
                <w:lang w:eastAsia="en-AU"/>
              </w:rPr>
              <w:t>(15</w:t>
            </w:r>
            <w:r w:rsidR="00012598">
              <w:rPr>
                <w:rFonts w:eastAsiaTheme="minorEastAsia" w:cs="Calibri"/>
                <w:b/>
                <w:bCs/>
                <w:color w:val="000000"/>
                <w:lang w:eastAsia="en-AU"/>
              </w:rPr>
              <w:t>)</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Net cash flows from investing activities</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(71)</w:t>
            </w:r>
          </w:p>
        </w:tc>
        <w:tc>
          <w:tcPr>
            <w:tcW w:w="992"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(1 058)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Cash flows from financing activities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(457)</w:t>
            </w:r>
          </w:p>
        </w:tc>
        <w:tc>
          <w:tcPr>
            <w:tcW w:w="6661"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Net proceeds (repayments) from borrowings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(35)</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(457)</w:t>
            </w:r>
          </w:p>
        </w:tc>
        <w:tc>
          <w:tcPr>
            <w:tcW w:w="6661" w:type="dxa"/>
            <w:tcBorders>
              <w:top w:val="single" w:sz="6" w:space="0" w:color="auto"/>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Net cash flows from financing activities </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(35)</w:t>
            </w:r>
          </w:p>
        </w:tc>
        <w:tc>
          <w:tcPr>
            <w:tcW w:w="992"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(24)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(469)</w:t>
            </w:r>
          </w:p>
        </w:tc>
        <w:tc>
          <w:tcPr>
            <w:tcW w:w="6661"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012598">
              <w:rPr>
                <w:rFonts w:eastAsiaTheme="minorEastAsia" w:cs="Calibri"/>
                <w:b/>
                <w:bCs/>
                <w:color w:val="000000"/>
                <w:lang w:eastAsia="en-AU"/>
              </w:rPr>
              <w:t xml:space="preserve">Net cash inflow/(outflow) </w:t>
            </w:r>
            <w:r w:rsidRPr="00012598">
              <w:rPr>
                <w:rFonts w:eastAsiaTheme="minorEastAsia" w:cs="Calibri"/>
                <w:b/>
                <w:bCs/>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106</w:t>
            </w:r>
          </w:p>
        </w:tc>
        <w:tc>
          <w:tcPr>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84</w:t>
            </w:r>
          </w:p>
        </w:tc>
      </w:tr>
    </w:tbl>
    <w:p w:rsidR="000B45B4" w:rsidRDefault="000C60C5" w:rsidP="000C60C5">
      <w:pPr>
        <w:pStyle w:val="Notes"/>
        <w:rPr>
          <w:rStyle w:val="TableUnitsChar"/>
          <w:sz w:val="16"/>
          <w:szCs w:val="16"/>
        </w:rPr>
      </w:pPr>
      <w:r w:rsidRPr="000C60C5">
        <w:rPr>
          <w:rStyle w:val="TableUnitsChar"/>
          <w:sz w:val="16"/>
          <w:szCs w:val="16"/>
        </w:rPr>
        <w:t>Note:</w:t>
      </w:r>
    </w:p>
    <w:p w:rsidR="00F57AB3" w:rsidRDefault="00F57AB3" w:rsidP="000C60C5">
      <w:pPr>
        <w:pStyle w:val="Notes"/>
        <w:rPr>
          <w:rStyle w:val="TableUnitsChar"/>
          <w:sz w:val="16"/>
          <w:szCs w:val="16"/>
        </w:rPr>
      </w:pPr>
      <w:r>
        <w:rPr>
          <w:rStyle w:val="TableUnitsChar"/>
          <w:sz w:val="16"/>
          <w:szCs w:val="16"/>
        </w:rPr>
        <w:t>(a)</w:t>
      </w:r>
      <w:r>
        <w:rPr>
          <w:rStyle w:val="TableUnitsChar"/>
          <w:sz w:val="16"/>
          <w:szCs w:val="16"/>
        </w:rPr>
        <w:tab/>
        <w:t>September 2015 comparative figures have been restated to reflect more current information.</w:t>
      </w:r>
    </w:p>
    <w:p w:rsidR="00012598" w:rsidRPr="000C60C5" w:rsidRDefault="00012598" w:rsidP="00012598"/>
    <w:p w:rsidR="00012598" w:rsidRPr="00012598" w:rsidRDefault="007B04AE" w:rsidP="00012598">
      <w:pPr>
        <w:pStyle w:val="Heading2"/>
        <w:rPr>
          <w:rStyle w:val="TableUnitsChar"/>
          <w:bCs/>
          <w:lang w:val="en-US"/>
        </w:rPr>
      </w:pPr>
      <w:r w:rsidRPr="00235612">
        <w:rPr>
          <w:szCs w:val="22"/>
        </w:rPr>
        <w:t>Reconciliation of cash flows to balances held</w:t>
      </w:r>
      <w:r w:rsidRPr="00235612">
        <w:rPr>
          <w:szCs w:val="22"/>
        </w:rPr>
        <w:tab/>
      </w:r>
      <w:r w:rsidRPr="005074EB">
        <w:rPr>
          <w:rStyle w:val="TableUnitsChar"/>
        </w:rPr>
        <w:t xml:space="preserve">($ </w:t>
      </w:r>
      <w:r w:rsidR="00556BD9">
        <w:rPr>
          <w:rStyle w:val="TableUnitsChar"/>
        </w:rPr>
        <w:t>million</w:t>
      </w:r>
      <w:r w:rsidRPr="005074EB">
        <w:rPr>
          <w:rStyle w:val="TableUnitsChar"/>
        </w:rPr>
        <w:t>)</w:t>
      </w:r>
    </w:p>
    <w:tbl>
      <w:tblPr>
        <w:tblStyle w:val="DTFFinancialTable"/>
        <w:tblW w:w="9637" w:type="dxa"/>
        <w:tblInd w:w="45" w:type="dxa"/>
        <w:tblLayout w:type="fixed"/>
        <w:tblCellMar>
          <w:left w:w="45" w:type="dxa"/>
          <w:right w:w="45" w:type="dxa"/>
        </w:tblCellMar>
        <w:tblLook w:val="02A0" w:firstRow="1" w:lastRow="0" w:firstColumn="1" w:lastColumn="0" w:noHBand="1" w:noVBand="0"/>
      </w:tblPr>
      <w:tblGrid>
        <w:gridCol w:w="6661"/>
        <w:gridCol w:w="992"/>
        <w:gridCol w:w="992"/>
        <w:gridCol w:w="992"/>
      </w:tblGrid>
      <w:tr w:rsidR="00830FB5" w:rsidRPr="00012598" w:rsidTr="00232EA8">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6661"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color w:val="FFFFFF"/>
                <w:lang w:eastAsia="en-AU"/>
              </w:rPr>
            </w:pPr>
            <w:r w:rsidRPr="00012598">
              <w:rPr>
                <w:rFonts w:eastAsiaTheme="minorEastAsia" w:cs="Calibri"/>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Balances </w:t>
            </w:r>
          </w:p>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held at</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30 Jun 2016</w:t>
            </w:r>
          </w:p>
        </w:tc>
        <w:tc>
          <w:tcPr>
            <w:tcW w:w="992"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Sep</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movement</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YTD</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Balances </w:t>
            </w:r>
          </w:p>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held at</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30 Sep 2016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Cash and deposits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Cash balances outside the Public Account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Deposits held with the Public Account – specific trusts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776</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64</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840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single" w:sz="6" w:space="0" w:color="auto"/>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Other balances held in the Public Account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3 019</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(1 866)</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1 153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Total cash and deposits</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3 795</w:t>
            </w:r>
          </w:p>
        </w:tc>
        <w:tc>
          <w:tcPr>
            <w:tcW w:w="992" w:type="dxa"/>
            <w:tcBorders>
              <w:top w:val="single" w:sz="6" w:space="0" w:color="auto"/>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(1 803)</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1 992</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Investments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Investments held with the Public Account – specific trusts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903</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55</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958</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Total investments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single" w:sz="6"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903</w:t>
            </w:r>
          </w:p>
        </w:tc>
        <w:tc>
          <w:tcPr>
            <w:tcW w:w="992" w:type="dxa"/>
            <w:tcBorders>
              <w:top w:val="nil"/>
              <w:left w:val="nil"/>
              <w:bottom w:val="single" w:sz="6"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55</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single" w:sz="6"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958</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Total fund balances</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4 698</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(1 748)</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2 950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Less funds held outside the Public Account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Cash </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lang w:eastAsia="en-AU"/>
              </w:rPr>
              <w:t>(1)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Total fund balances held outside the Public Account</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single" w:sz="6"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w:t>
            </w:r>
          </w:p>
        </w:tc>
        <w:tc>
          <w:tcPr>
            <w:tcW w:w="992"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(1)</w:t>
            </w:r>
          </w:p>
        </w:tc>
        <w:tc>
          <w:tcPr>
            <w:cnfStyle w:val="000010000000" w:firstRow="0" w:lastRow="0" w:firstColumn="0" w:lastColumn="0" w:oddVBand="1" w:evenVBand="0" w:oddHBand="0" w:evenHBand="0" w:firstRowFirstColumn="0" w:firstRowLastColumn="0" w:lastRowFirstColumn="0" w:lastRowLastColumn="0"/>
            <w:tcW w:w="992" w:type="dxa"/>
            <w:tcBorders>
              <w:top w:val="nil"/>
              <w:left w:val="nil"/>
              <w:bottom w:val="single" w:sz="6" w:space="0" w:color="auto"/>
              <w:right w:val="nil"/>
            </w:tcBorders>
          </w:tcPr>
          <w:p w:rsidR="00012598" w:rsidRPr="00012598" w:rsidRDefault="00012598" w:rsidP="00012598">
            <w:pPr>
              <w:autoSpaceDE w:val="0"/>
              <w:autoSpaceDN w:val="0"/>
              <w:adjustRightInd w:val="0"/>
            </w:pPr>
            <w:r>
              <w:rPr>
                <w:rFonts w:eastAsiaTheme="minorEastAsia" w:cs="Calibri"/>
                <w:b/>
                <w:bCs/>
                <w:color w:val="000000"/>
                <w:lang w:eastAsia="en-AU"/>
              </w:rPr>
              <w:t>(1)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6661"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vertAlign w:val="superscript"/>
                <w:lang w:eastAsia="en-AU"/>
              </w:rPr>
            </w:pPr>
            <w:r w:rsidRPr="00012598">
              <w:rPr>
                <w:rFonts w:eastAsiaTheme="minorEastAsia" w:cs="Calibri"/>
                <w:b/>
                <w:bCs/>
                <w:color w:val="000000"/>
                <w:lang w:eastAsia="en-AU"/>
              </w:rPr>
              <w:t xml:space="preserve">Total funds held in the Public Account </w:t>
            </w:r>
            <w:r w:rsidRPr="00012598">
              <w:rPr>
                <w:rFonts w:eastAsiaTheme="minorEastAsia" w:cs="Calibri"/>
                <w:b/>
                <w:bCs/>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4 698</w:t>
            </w:r>
          </w:p>
        </w:tc>
        <w:tc>
          <w:tcPr>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(1 747)</w:t>
            </w:r>
          </w:p>
        </w:tc>
        <w:tc>
          <w:tcPr>
            <w:cnfStyle w:val="000010000000" w:firstRow="0" w:lastRow="0" w:firstColumn="0" w:lastColumn="0" w:oddVBand="1" w:evenVBand="0" w:oddHBand="0" w:evenHBand="0" w:firstRowFirstColumn="0" w:firstRowLastColumn="0" w:lastRowFirstColumn="0" w:lastRowLastColumn="0"/>
            <w:tcW w:w="992"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2 951</w:t>
            </w:r>
          </w:p>
        </w:tc>
      </w:tr>
    </w:tbl>
    <w:p w:rsidR="000B45B4" w:rsidRDefault="00BA1BF8" w:rsidP="00BA1BF8">
      <w:pPr>
        <w:pStyle w:val="Note"/>
      </w:pPr>
      <w:r>
        <w:t>Note:</w:t>
      </w:r>
    </w:p>
    <w:p w:rsidR="00BA1BF8" w:rsidRPr="00CF15CA" w:rsidRDefault="009F357D" w:rsidP="009F357D">
      <w:pPr>
        <w:pStyle w:val="Note"/>
      </w:pPr>
      <w:r>
        <w:t>(a)</w:t>
      </w:r>
      <w:r>
        <w:tab/>
      </w:r>
      <w:r w:rsidR="00BA1BF8" w:rsidRPr="009F357D">
        <w:t>See</w:t>
      </w:r>
      <w:r w:rsidR="00BA1BF8">
        <w:t xml:space="preserve"> Note 6.4 below for details of securities and investments including amounts held in the Public Account on behalf of trust accounts.</w:t>
      </w:r>
    </w:p>
    <w:p w:rsidR="00012598" w:rsidRPr="00012598" w:rsidRDefault="007B04AE" w:rsidP="00012598">
      <w:pPr>
        <w:pStyle w:val="Heading2"/>
        <w:rPr>
          <w:rStyle w:val="TableUnitsChar"/>
          <w:rFonts w:eastAsia="Times New Roman" w:cs="Times New Roman"/>
          <w:bCs/>
          <w:szCs w:val="20"/>
          <w:lang w:val="en-US" w:eastAsia="en-AU"/>
        </w:rPr>
      </w:pPr>
      <w:r w:rsidRPr="00235612">
        <w:rPr>
          <w:szCs w:val="22"/>
        </w:rPr>
        <w:lastRenderedPageBreak/>
        <w:t>Details of securities held</w:t>
      </w:r>
      <w:r w:rsidRPr="00235612">
        <w:rPr>
          <w:szCs w:val="22"/>
        </w:rPr>
        <w:tab/>
      </w:r>
      <w:r w:rsidRPr="005074EB">
        <w:rPr>
          <w:rStyle w:val="TableUnitsChar"/>
        </w:rPr>
        <w:t xml:space="preserve">($ </w:t>
      </w:r>
      <w:r w:rsidR="00556BD9">
        <w:rPr>
          <w:rStyle w:val="TableUnitsChar"/>
        </w:rPr>
        <w:t>million</w:t>
      </w:r>
      <w:r w:rsidRPr="005074EB">
        <w:rPr>
          <w:rStyle w:val="TableUnitsChar"/>
        </w:rPr>
        <w:t>)</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830FB5" w:rsidRPr="00012598" w:rsidTr="00E37A1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830FB5" w:rsidRPr="00012598" w:rsidRDefault="00830FB5" w:rsidP="00012598">
            <w:pPr>
              <w:pStyle w:val="Notes"/>
              <w:spacing w:after="20"/>
              <w:rPr>
                <w:rFonts w:asciiTheme="majorHAnsi" w:eastAsiaTheme="minorEastAsia" w:hAnsiTheme="majorHAnsi" w:cs="Calibri"/>
                <w:iCs/>
                <w:color w:val="FFFFFF"/>
                <w:sz w:val="17"/>
              </w:rPr>
            </w:pPr>
            <w:r w:rsidRPr="00012598">
              <w:rPr>
                <w:rFonts w:asciiTheme="majorHAnsi" w:eastAsiaTheme="minorEastAsia" w:hAnsiTheme="majorHAnsi" w:cs="Calibri"/>
                <w:i/>
                <w:iCs/>
                <w:color w:val="FFFFFF"/>
                <w:sz w:val="17"/>
              </w:rPr>
              <w:t>2015-16</w:t>
            </w:r>
          </w:p>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actual </w:t>
            </w:r>
          </w:p>
          <w:p w:rsidR="00830FB5" w:rsidRPr="00012598" w:rsidRDefault="00830FB5" w:rsidP="00012598">
            <w:pPr>
              <w:autoSpaceDE w:val="0"/>
              <w:autoSpaceDN w:val="0"/>
              <w:adjustRightInd w:val="0"/>
              <w:rPr>
                <w:rFonts w:eastAsiaTheme="minorEastAsia" w:cs="Calibri"/>
                <w:i w:val="0"/>
                <w:iCs/>
                <w:color w:val="FFFFFF"/>
              </w:rPr>
            </w:pPr>
            <w:r w:rsidRPr="00012598">
              <w:rPr>
                <w:rFonts w:eastAsiaTheme="minorEastAsia" w:cs="Calibri"/>
                <w:iCs/>
                <w:color w:val="FFFFFF"/>
                <w:lang w:eastAsia="en-AU"/>
              </w:rPr>
              <w:t>to Sep</w:t>
            </w:r>
          </w:p>
        </w:tc>
        <w:tc>
          <w:tcPr>
            <w:tcW w:w="6917"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830FB5" w:rsidRPr="00012598" w:rsidRDefault="00830FB5" w:rsidP="00012598">
            <w:pPr>
              <w:jc w:val="center"/>
            </w:pPr>
            <w:r w:rsidRPr="00012598">
              <w:rPr>
                <w:rFonts w:eastAsiaTheme="minorEastAsia" w:cs="Calibri"/>
                <w:iCs/>
                <w:color w:val="FFFFFF"/>
                <w:lang w:eastAsia="en-AU"/>
              </w:rPr>
              <w:t>2016-17</w:t>
            </w:r>
          </w:p>
        </w:tc>
      </w:tr>
      <w:tr w:rsidR="00830FB5" w:rsidRPr="00012598" w:rsidTr="00DF7CEF">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lang w:eastAsia="en-AU"/>
              </w:rPr>
            </w:pPr>
          </w:p>
        </w:tc>
        <w:tc>
          <w:tcPr>
            <w:tcW w:w="6917"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opening</w:t>
            </w:r>
          </w:p>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1 Jul</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012598">
              <w:rPr>
                <w:rFonts w:eastAsiaTheme="minorEastAsia" w:cs="Calibri"/>
                <w:iCs/>
                <w:color w:val="FFFFFF"/>
                <w:lang w:eastAsia="en-AU"/>
              </w:rPr>
              <w:t xml:space="preserve">actual </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30 Sep</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1 626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Amounts invested on behalf of specific trust accounts </w:t>
            </w:r>
            <w:r w:rsidRPr="00012598">
              <w:rPr>
                <w:rFonts w:eastAsiaTheme="minorEastAsia" w:cs="Calibri"/>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1 679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1 798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1 773</w:t>
            </w:r>
          </w:p>
        </w:tc>
        <w:tc>
          <w:tcPr>
            <w:tcW w:w="6917" w:type="dxa"/>
            <w:tcBorders>
              <w:top w:val="nil"/>
              <w:left w:val="nil"/>
              <w:bottom w:val="single" w:sz="6"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General account balances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3 019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1 153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3 399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Total Public Account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4 698</w:t>
            </w:r>
          </w:p>
        </w:tc>
        <w:tc>
          <w:tcPr>
            <w:tcW w:w="907" w:type="dxa"/>
            <w:tcBorders>
              <w:top w:val="single" w:sz="6" w:space="0" w:color="auto"/>
              <w:left w:val="nil"/>
              <w:bottom w:val="nil"/>
              <w:right w:val="nil"/>
            </w:tcBorders>
            <w:shd w:val="solid" w:color="FFFFFF" w:fill="auto"/>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2 951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Represented by:</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shd w:val="solid" w:color="FFFFFF" w:fill="auto"/>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2 124</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Stock, securities, cash and investments</w:t>
            </w:r>
            <w:r w:rsidR="001E5109">
              <w:rPr>
                <w:rFonts w:eastAsiaTheme="minorEastAsia" w:cs="Calibri"/>
                <w:color w:val="000000"/>
                <w:lang w:eastAsia="en-AU"/>
              </w:rPr>
              <w:t xml:space="preserve"> </w:t>
            </w:r>
            <w:r w:rsidR="001E5109" w:rsidRPr="001E5109">
              <w:rPr>
                <w:rFonts w:eastAsiaTheme="minorEastAsia" w:cs="Calibri"/>
                <w:color w:val="000000"/>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3 351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1 126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1 275</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12598">
              <w:rPr>
                <w:rFonts w:eastAsiaTheme="minorEastAsia" w:cs="Calibri"/>
                <w:color w:val="000000"/>
                <w:lang w:eastAsia="en-AU"/>
              </w:rPr>
              <w:t xml:space="preserve">Advances pursuant to sections 36 and 37 of the </w:t>
            </w:r>
            <w:r w:rsidRPr="00012598">
              <w:rPr>
                <w:rFonts w:eastAsiaTheme="minorEastAsia" w:cs="Calibri"/>
                <w:i/>
                <w:iCs/>
                <w:color w:val="000000"/>
                <w:lang w:eastAsia="en-AU"/>
              </w:rPr>
              <w:t>Financial Management Act 1994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1 348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1 826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3 399</w:t>
            </w:r>
          </w:p>
        </w:tc>
        <w:tc>
          <w:tcPr>
            <w:tcW w:w="691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Total Public Account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4 698</w:t>
            </w:r>
          </w:p>
        </w:tc>
        <w:tc>
          <w:tcPr>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2 951</w:t>
            </w:r>
          </w:p>
        </w:tc>
      </w:tr>
    </w:tbl>
    <w:p w:rsidR="00457074" w:rsidRDefault="000C60C5" w:rsidP="000C60C5">
      <w:pPr>
        <w:pStyle w:val="Notes"/>
        <w:rPr>
          <w:rStyle w:val="TableUnitsChar"/>
          <w:sz w:val="16"/>
          <w:szCs w:val="16"/>
        </w:rPr>
      </w:pPr>
      <w:r w:rsidRPr="000C60C5">
        <w:rPr>
          <w:rStyle w:val="TableUnitsChar"/>
          <w:sz w:val="16"/>
          <w:szCs w:val="16"/>
        </w:rPr>
        <w:t>Note:</w:t>
      </w:r>
    </w:p>
    <w:p w:rsidR="000C60C5" w:rsidRPr="000C60C5" w:rsidRDefault="00A53039" w:rsidP="00A53039">
      <w:pPr>
        <w:pStyle w:val="Note"/>
      </w:pPr>
      <w:r>
        <w:t>(a)</w:t>
      </w:r>
      <w:r>
        <w:tab/>
      </w:r>
      <w:r w:rsidR="000C60C5">
        <w:t>September 2015 comparative figures have been restated to reflect more current information.</w:t>
      </w:r>
    </w:p>
    <w:p w:rsidR="00364ACD" w:rsidRPr="00210BA8" w:rsidRDefault="00364ACD" w:rsidP="009313CF">
      <w:pPr>
        <w:rPr>
          <w:b/>
        </w:rPr>
      </w:pPr>
      <w:r w:rsidRPr="00210BA8">
        <w:rPr>
          <w:b/>
        </w:rPr>
        <w:br w:type="page"/>
      </w:r>
    </w:p>
    <w:p w:rsidR="00364ACD" w:rsidRPr="007B04AE" w:rsidRDefault="00364ACD" w:rsidP="0023071C">
      <w:pPr>
        <w:pStyle w:val="Heading1"/>
      </w:pPr>
      <w:bookmarkStart w:id="17" w:name="_Toc465432001"/>
      <w:r>
        <w:lastRenderedPageBreak/>
        <w:t>Other disclosures</w:t>
      </w:r>
      <w:bookmarkEnd w:id="17"/>
    </w:p>
    <w:p w:rsidR="00364ACD" w:rsidRDefault="00364ACD" w:rsidP="00364ACD">
      <w:pPr>
        <w:pStyle w:val="Subheadingunderline"/>
        <w:sectPr w:rsidR="00364ACD" w:rsidSect="00E92C26">
          <w:type w:val="continuous"/>
          <w:pgSz w:w="11906" w:h="16838" w:code="9"/>
          <w:pgMar w:top="1134" w:right="1134" w:bottom="1134" w:left="1134" w:header="624" w:footer="567" w:gutter="0"/>
          <w:cols w:space="708"/>
          <w:docGrid w:linePitch="360"/>
        </w:sectPr>
      </w:pPr>
    </w:p>
    <w:p w:rsidR="00364ACD" w:rsidRDefault="00364ACD" w:rsidP="00364ACD">
      <w:pPr>
        <w:pStyle w:val="Subheadingunderline"/>
      </w:pPr>
      <w:r>
        <w:lastRenderedPageBreak/>
        <w:t>Introduction</w:t>
      </w:r>
    </w:p>
    <w:p w:rsidR="004D66A6" w:rsidRDefault="004D66A6" w:rsidP="007B04AE">
      <w:pPr>
        <w:sectPr w:rsidR="004D66A6" w:rsidSect="00991E04">
          <w:headerReference w:type="even" r:id="rId51"/>
          <w:headerReference w:type="default" r:id="rId52"/>
          <w:footerReference w:type="even" r:id="rId53"/>
          <w:footerReference w:type="default" r:id="rId54"/>
          <w:type w:val="continuous"/>
          <w:pgSz w:w="11906" w:h="16838" w:code="9"/>
          <w:pgMar w:top="1134" w:right="1134" w:bottom="1134" w:left="1134" w:header="624" w:footer="567" w:gutter="0"/>
          <w:cols w:num="2" w:space="708"/>
          <w:docGrid w:linePitch="360"/>
        </w:sectPr>
      </w:pPr>
    </w:p>
    <w:p w:rsidR="007B04AE" w:rsidRDefault="004D66A6" w:rsidP="007B04AE">
      <w:r>
        <w:lastRenderedPageBreak/>
        <w:t xml:space="preserve">This section includes </w:t>
      </w:r>
      <w:r w:rsidR="008E4022">
        <w:t xml:space="preserve">several </w:t>
      </w:r>
      <w:r>
        <w:t xml:space="preserve">additional disclosures that </w:t>
      </w:r>
      <w:r w:rsidR="008E4022">
        <w:t xml:space="preserve">assist </w:t>
      </w:r>
      <w:r>
        <w:t>the understanding of this financial report.</w:t>
      </w:r>
    </w:p>
    <w:p w:rsidR="004D66A6" w:rsidRDefault="004D66A6" w:rsidP="007B04AE"/>
    <w:p w:rsidR="004D66A6" w:rsidRDefault="004D66A6" w:rsidP="00235612">
      <w:pPr>
        <w:pStyle w:val="Heading2"/>
        <w:rPr>
          <w:szCs w:val="22"/>
        </w:rPr>
        <w:sectPr w:rsidR="004D66A6" w:rsidSect="004D66A6">
          <w:type w:val="continuous"/>
          <w:pgSz w:w="11906" w:h="16838" w:code="9"/>
          <w:pgMar w:top="1134" w:right="1134" w:bottom="1134" w:left="1134" w:header="624" w:footer="567" w:gutter="0"/>
          <w:cols w:num="2" w:space="708"/>
          <w:docGrid w:linePitch="360"/>
        </w:sectPr>
      </w:pPr>
    </w:p>
    <w:p w:rsidR="00012598" w:rsidRPr="00012598" w:rsidRDefault="00A92D1C" w:rsidP="00012598">
      <w:pPr>
        <w:pStyle w:val="Heading2"/>
        <w:rPr>
          <w:bCs/>
          <w:lang w:val="en-US"/>
        </w:rPr>
      </w:pPr>
      <w:r w:rsidRPr="00235612">
        <w:rPr>
          <w:szCs w:val="22"/>
        </w:rPr>
        <w:lastRenderedPageBreak/>
        <w:t xml:space="preserve">Other </w:t>
      </w:r>
      <w:r w:rsidR="00384C70" w:rsidRPr="00235612">
        <w:rPr>
          <w:szCs w:val="22"/>
        </w:rPr>
        <w:t>gains/(losses) from other economic flows</w:t>
      </w:r>
      <w:r w:rsidR="00D86F60">
        <w:rPr>
          <w:szCs w:val="22"/>
        </w:rPr>
        <w:tab/>
      </w:r>
      <w:r w:rsidR="00D86F60"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6917"/>
        <w:gridCol w:w="907"/>
        <w:gridCol w:w="907"/>
      </w:tblGrid>
      <w:tr w:rsidR="00830FB5" w:rsidRPr="00012598" w:rsidTr="005C618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vMerge w:val="restart"/>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1814" w:type="dxa"/>
            <w:gridSpan w:val="2"/>
            <w:tcBorders>
              <w:top w:val="nil"/>
              <w:left w:val="nil"/>
              <w:bottom w:val="nil"/>
            </w:tcBorders>
            <w:shd w:val="solid" w:color="000000" w:fill="auto"/>
          </w:tcPr>
          <w:p w:rsidR="00830FB5" w:rsidRPr="00012598" w:rsidRDefault="00830FB5" w:rsidP="00012598">
            <w:pPr>
              <w:jc w:val="center"/>
            </w:pPr>
            <w:r w:rsidRPr="00012598">
              <w:rPr>
                <w:rFonts w:eastAsiaTheme="minorEastAsia" w:cs="Calibri"/>
                <w:iCs/>
                <w:color w:val="FFFFFF"/>
                <w:szCs w:val="18"/>
                <w:lang w:eastAsia="en-AU"/>
              </w:rPr>
              <w:t>2016-17</w:t>
            </w:r>
          </w:p>
        </w:tc>
      </w:tr>
      <w:tr w:rsidR="00830FB5" w:rsidRPr="00012598" w:rsidTr="00BD3322">
        <w:trPr>
          <w:cnfStyle w:val="100000000000" w:firstRow="1" w:lastRow="0" w:firstColumn="0" w:lastColumn="0" w:oddVBand="0" w:evenVBand="0" w:oddHBand="0" w:evenHBand="0" w:firstRowFirstColumn="0" w:firstRowLastColumn="0" w:lastRowFirstColumn="0" w:lastRowLastColumn="0"/>
          <w:trHeight w:val="495"/>
          <w:tblHeader/>
        </w:trPr>
        <w:tc>
          <w:tcPr>
            <w:cnfStyle w:val="000010000000" w:firstRow="0" w:lastRow="0" w:firstColumn="0" w:lastColumn="0" w:oddVBand="1" w:evenVBand="0" w:oddHBand="0" w:evenHBand="0" w:firstRowFirstColumn="0" w:firstRowLastColumn="0" w:lastRowFirstColumn="0" w:lastRowLastColumn="0"/>
            <w:tcW w:w="907" w:type="dxa"/>
            <w:vMerge/>
            <w:tcBorders>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012598">
              <w:rPr>
                <w:rFonts w:eastAsiaTheme="minorEastAsia" w:cs="Calibri"/>
                <w:iCs/>
                <w:color w:val="FFFFFF"/>
                <w:szCs w:val="18"/>
                <w:lang w:eastAsia="en-AU"/>
              </w:rPr>
              <w:t>annual</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12598">
              <w:rPr>
                <w:rFonts w:eastAsiaTheme="minorEastAsia" w:cs="Calibri"/>
                <w:iCs/>
                <w:color w:val="FFFFFF"/>
                <w:szCs w:val="18"/>
                <w:lang w:eastAsia="en-AU"/>
              </w:rPr>
              <w:t>budget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(88)</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Net (increase)/decrease in provision for doubtful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(159)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Amortisation of intangible non-produced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Bad debts written off</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(154)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(29)</w:t>
            </w:r>
          </w:p>
        </w:tc>
        <w:tc>
          <w:tcPr>
            <w:tcW w:w="6917"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Other gains/(losses)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(124)</w:t>
            </w:r>
          </w:p>
        </w:tc>
        <w:tc>
          <w:tcPr>
            <w:tcW w:w="691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Total other gains/(losses) from other economic flows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(124)</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(318)</w:t>
            </w:r>
          </w:p>
        </w:tc>
      </w:tr>
    </w:tbl>
    <w:p w:rsidR="00364ACD" w:rsidRPr="00787DF9" w:rsidRDefault="00364ACD" w:rsidP="00AC6CCC"/>
    <w:p w:rsidR="00012598" w:rsidRPr="00012598" w:rsidRDefault="00A92D1C" w:rsidP="00012598">
      <w:pPr>
        <w:pStyle w:val="Heading2"/>
        <w:rPr>
          <w:rStyle w:val="TableUnitsChar"/>
          <w:bCs/>
          <w:lang w:val="en-US"/>
        </w:rPr>
      </w:pPr>
      <w:r w:rsidRPr="00235612">
        <w:rPr>
          <w:szCs w:val="22"/>
        </w:rPr>
        <w:t>Reconciliation of cash and cash equivalents</w:t>
      </w:r>
      <w:r w:rsidRPr="00235612">
        <w:rPr>
          <w:szCs w:val="22"/>
        </w:rPr>
        <w:tab/>
      </w:r>
      <w:r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7824"/>
        <w:gridCol w:w="907"/>
      </w:tblGrid>
      <w:tr w:rsidR="00830FB5" w:rsidRPr="00012598" w:rsidTr="002E2685">
        <w:trPr>
          <w:cnfStyle w:val="100000000000" w:firstRow="1" w:lastRow="0" w:firstColumn="0" w:lastColumn="0" w:oddVBand="0" w:evenVBand="0" w:oddHBand="0" w:evenHBand="0" w:firstRowFirstColumn="0" w:firstRowLastColumn="0" w:lastRowFirstColumn="0" w:lastRowLastColumn="0"/>
          <w:trHeight w:val="743"/>
          <w:tblHeader/>
        </w:trPr>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2015-16</w:t>
            </w:r>
          </w:p>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c>
          <w:tcPr>
            <w:tcW w:w="7824" w:type="dxa"/>
            <w:tcBorders>
              <w:top w:val="nil"/>
              <w:left w:val="nil"/>
              <w:right w:val="nil"/>
            </w:tcBorders>
            <w:shd w:val="solid" w:color="000000" w:fill="auto"/>
          </w:tcPr>
          <w:p w:rsidR="00830FB5" w:rsidRPr="00012598" w:rsidRDefault="00830FB5"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2016-17</w:t>
            </w:r>
          </w:p>
          <w:p w:rsidR="00830FB5" w:rsidRPr="00012598" w:rsidRDefault="00830FB5" w:rsidP="00012598">
            <w:pPr>
              <w:autoSpaceDE w:val="0"/>
              <w:autoSpaceDN w:val="0"/>
              <w:adjustRightInd w:val="0"/>
              <w:rPr>
                <w:rFonts w:eastAsiaTheme="minorEastAsia" w:cs="Calibri"/>
                <w:i w:val="0"/>
                <w:iCs/>
                <w:color w:val="FFFFFF"/>
                <w:szCs w:val="18"/>
                <w:lang w:eastAsia="en-AU"/>
              </w:rPr>
            </w:pPr>
            <w:r w:rsidRPr="00012598">
              <w:rPr>
                <w:rFonts w:eastAsiaTheme="minorEastAsia" w:cs="Calibri"/>
                <w:iCs/>
                <w:color w:val="FFFFFF"/>
                <w:szCs w:val="18"/>
                <w:lang w:eastAsia="en-AU"/>
              </w:rPr>
              <w:t>actual</w:t>
            </w:r>
          </w:p>
          <w:p w:rsidR="00830FB5" w:rsidRPr="00012598" w:rsidRDefault="00830FB5" w:rsidP="00012598">
            <w:pPr>
              <w:autoSpaceDE w:val="0"/>
              <w:autoSpaceDN w:val="0"/>
              <w:adjustRightInd w:val="0"/>
              <w:rPr>
                <w:rFonts w:eastAsiaTheme="minorEastAsia" w:cs="Calibri"/>
                <w:iCs/>
                <w:color w:val="FFFFFF"/>
                <w:szCs w:val="18"/>
                <w:lang w:eastAsia="en-AU"/>
              </w:rPr>
            </w:pPr>
            <w:r w:rsidRPr="00012598">
              <w:rPr>
                <w:rFonts w:eastAsiaTheme="minorEastAsia" w:cs="Calibri"/>
                <w:iCs/>
                <w:color w:val="FFFFFF"/>
                <w:szCs w:val="18"/>
                <w:lang w:eastAsia="en-AU"/>
              </w:rPr>
              <w:t>30 Sep</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1 567</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Cash</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1 477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2 494</w:t>
            </w:r>
          </w:p>
        </w:tc>
        <w:tc>
          <w:tcPr>
            <w:tcW w:w="7824" w:type="dxa"/>
            <w:tcBorders>
              <w:top w:val="nil"/>
              <w:left w:val="nil"/>
              <w:bottom w:val="single" w:sz="6" w:space="0" w:color="000000"/>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Deposits at call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2 602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4 061</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Cash and cash equivalents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4 079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47611F"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r w:rsidR="00012598" w:rsidRPr="00012598">
              <w:rPr>
                <w:rFonts w:eastAsiaTheme="minorEastAsia" w:cs="Calibri"/>
                <w:color w:val="000000"/>
                <w:szCs w:val="18"/>
                <w:lang w:eastAsia="en-AU"/>
              </w:rPr>
              <w:t xml:space="preserve"> </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Bank overdraft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47611F"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r w:rsidR="00012598" w:rsidRPr="00012598">
              <w:rPr>
                <w:rFonts w:eastAsiaTheme="minorEastAsia" w:cs="Calibri"/>
                <w:color w:val="000000"/>
                <w:szCs w:val="18"/>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4 061</w:t>
            </w:r>
          </w:p>
        </w:tc>
        <w:tc>
          <w:tcPr>
            <w:tcW w:w="7824"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Balances as per cash flow statement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4 079</w:t>
            </w:r>
          </w:p>
        </w:tc>
      </w:tr>
    </w:tbl>
    <w:p w:rsidR="00D86F60" w:rsidRPr="00787DF9" w:rsidRDefault="00D86F60" w:rsidP="00D86F60"/>
    <w:p w:rsidR="00787DF9" w:rsidRDefault="00787DF9">
      <w:pPr>
        <w:rPr>
          <w:rFonts w:asciiTheme="majorHAnsi" w:eastAsiaTheme="majorEastAsia" w:hAnsiTheme="majorHAnsi" w:cstheme="majorBidi"/>
          <w:b/>
          <w:spacing w:val="-2"/>
        </w:rPr>
      </w:pPr>
      <w:r>
        <w:br w:type="page"/>
      </w:r>
    </w:p>
    <w:p w:rsidR="00012598" w:rsidRPr="00012598" w:rsidRDefault="00A92D1C" w:rsidP="00012598">
      <w:pPr>
        <w:pStyle w:val="Heading2"/>
        <w:rPr>
          <w:rStyle w:val="TableUnitsChar"/>
          <w:bCs/>
          <w:lang w:val="en-US"/>
        </w:rPr>
      </w:pPr>
      <w:r w:rsidRPr="00235612">
        <w:rPr>
          <w:szCs w:val="22"/>
        </w:rPr>
        <w:lastRenderedPageBreak/>
        <w:t>Reconciliation of net result to net cash flows from operating activities</w:t>
      </w:r>
      <w:r w:rsidRPr="00235612">
        <w:rPr>
          <w:szCs w:val="22"/>
        </w:rPr>
        <w:tab/>
      </w:r>
      <w:r w:rsidRPr="005074EB">
        <w:rPr>
          <w:rStyle w:val="TableUnitsChar"/>
        </w:rPr>
        <w:t>($ million)</w:t>
      </w:r>
    </w:p>
    <w:tbl>
      <w:tblPr>
        <w:tblStyle w:val="DTFFinancialTable"/>
        <w:tblW w:w="9638" w:type="dxa"/>
        <w:tblInd w:w="45" w:type="dxa"/>
        <w:tblLayout w:type="fixed"/>
        <w:tblCellMar>
          <w:left w:w="45" w:type="dxa"/>
          <w:right w:w="45" w:type="dxa"/>
        </w:tblCellMar>
        <w:tblLook w:val="0220" w:firstRow="1" w:lastRow="0" w:firstColumn="0" w:lastColumn="0" w:noHBand="1" w:noVBand="0"/>
      </w:tblPr>
      <w:tblGrid>
        <w:gridCol w:w="907"/>
        <w:gridCol w:w="7824"/>
        <w:gridCol w:w="907"/>
      </w:tblGrid>
      <w:tr w:rsidR="00012598" w:rsidRPr="00012598" w:rsidTr="00012598">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single" w:sz="6" w:space="0" w:color="auto"/>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2015-16</w:t>
            </w:r>
          </w:p>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actual</w:t>
            </w:r>
          </w:p>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to Sep</w:t>
            </w:r>
          </w:p>
        </w:tc>
        <w:tc>
          <w:tcPr>
            <w:tcW w:w="7824" w:type="dxa"/>
            <w:tcBorders>
              <w:top w:val="single" w:sz="6" w:space="0" w:color="auto"/>
              <w:left w:val="nil"/>
              <w:bottom w:val="nil"/>
              <w:right w:val="nil"/>
            </w:tcBorders>
            <w:shd w:val="solid" w:color="000000" w:fill="auto"/>
          </w:tcPr>
          <w:p w:rsidR="00012598" w:rsidRPr="00012598" w:rsidRDefault="00012598" w:rsidP="0001259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shd w:val="solid" w:color="000000" w:fill="auto"/>
          </w:tcPr>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2016-17</w:t>
            </w:r>
          </w:p>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actual</w:t>
            </w:r>
          </w:p>
          <w:p w:rsidR="00012598" w:rsidRPr="00012598" w:rsidRDefault="00012598"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 xml:space="preserve"> to Sep</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353</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370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Non-cash movements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606</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Depreciation and amortisation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628</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29</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Revaluation of investments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(17)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Assets (received)/provided free of charge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217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Assets not previously/no longer recognised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Revaluation of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636</w:t>
            </w:r>
          </w:p>
        </w:tc>
        <w:tc>
          <w:tcPr>
            <w:tcW w:w="7824"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Non-cash items total</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826</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Movements included in investing and financing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Net gain/loss from sale of investments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1</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13</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Net revenues from sale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11</w:t>
            </w:r>
          </w:p>
        </w:tc>
        <w:tc>
          <w:tcPr>
            <w:tcW w:w="7824" w:type="dxa"/>
            <w:tcBorders>
              <w:top w:val="single" w:sz="6" w:space="0" w:color="auto"/>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Items included in investing and financing activities total</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Movements in assets and liabilities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40</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provision for doubtful debts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(193)</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payables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(97)</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70</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employee benefits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(40)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5</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(54)</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other provisions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32</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(382)</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(330)</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(205)</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(Increase)/decrease in other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Pr>
                <w:rFonts w:eastAsiaTheme="minorEastAsia" w:cs="Calibri"/>
                <w:color w:val="000000"/>
                <w:lang w:eastAsia="en-AU"/>
              </w:rPr>
              <w:t>(434)</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(719)</w:t>
            </w:r>
          </w:p>
        </w:tc>
        <w:tc>
          <w:tcPr>
            <w:tcW w:w="7824" w:type="dxa"/>
            <w:tcBorders>
              <w:top w:val="nil"/>
              <w:left w:val="nil"/>
              <w:bottom w:val="nil"/>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Changes in assets and liabilities total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(829)</w:t>
            </w:r>
          </w:p>
        </w:tc>
      </w:tr>
      <w:tr w:rsidR="00012598" w:rsidRPr="00012598" w:rsidTr="00012598">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280</w:t>
            </w:r>
          </w:p>
        </w:tc>
        <w:tc>
          <w:tcPr>
            <w:tcW w:w="7824"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Net 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370</w:t>
            </w:r>
          </w:p>
        </w:tc>
      </w:tr>
    </w:tbl>
    <w:p w:rsidR="0003217D" w:rsidRPr="00787DF9" w:rsidRDefault="0003217D" w:rsidP="0003217D"/>
    <w:p w:rsidR="00FD296C" w:rsidRDefault="00FD296C">
      <w:pPr>
        <w:rPr>
          <w:rFonts w:asciiTheme="majorHAnsi" w:eastAsiaTheme="majorEastAsia" w:hAnsiTheme="majorHAnsi" w:cstheme="majorBidi"/>
          <w:b/>
          <w:spacing w:val="-2"/>
          <w:sz w:val="24"/>
          <w:szCs w:val="26"/>
        </w:rPr>
      </w:pPr>
      <w:r>
        <w:br w:type="page"/>
      </w:r>
    </w:p>
    <w:p w:rsidR="00364ACD" w:rsidRDefault="00364ACD" w:rsidP="00DE547E">
      <w:pPr>
        <w:pStyle w:val="Heading2"/>
        <w:rPr>
          <w:rStyle w:val="TableUnitsChar"/>
          <w:sz w:val="22"/>
          <w:szCs w:val="22"/>
        </w:rPr>
      </w:pPr>
      <w:r w:rsidRPr="00235612">
        <w:lastRenderedPageBreak/>
        <w:t>Controlled entities</w:t>
      </w:r>
    </w:p>
    <w:p w:rsidR="00FF6E84" w:rsidRDefault="00FF6E84" w:rsidP="00FF6E84">
      <w:pPr>
        <w:sectPr w:rsidR="00FF6E84" w:rsidSect="00E92C26">
          <w:type w:val="continuous"/>
          <w:pgSz w:w="11906" w:h="16838" w:code="9"/>
          <w:pgMar w:top="1134" w:right="1134" w:bottom="1134" w:left="1134" w:header="624" w:footer="567" w:gutter="0"/>
          <w:cols w:space="708"/>
          <w:docGrid w:linePitch="360"/>
        </w:sectPr>
      </w:pPr>
    </w:p>
    <w:p w:rsidR="00FD296C" w:rsidRDefault="004046D7" w:rsidP="004046D7">
      <w:pPr>
        <w:spacing w:after="200" w:line="276" w:lineRule="auto"/>
      </w:pPr>
      <w:r>
        <w:lastRenderedPageBreak/>
        <w:t>Note 9.7</w:t>
      </w:r>
      <w:r w:rsidRPr="008A3A8D">
        <w:t xml:space="preserve"> Controlled </w:t>
      </w:r>
      <w:r w:rsidR="00125E84">
        <w:t>e</w:t>
      </w:r>
      <w:r w:rsidRPr="008A3A8D">
        <w:t xml:space="preserve">ntities in the </w:t>
      </w:r>
      <w:r>
        <w:rPr>
          <w:i/>
        </w:rPr>
        <w:t>2015-16</w:t>
      </w:r>
      <w:r w:rsidRPr="008A3A8D">
        <w:rPr>
          <w:i/>
        </w:rPr>
        <w:t xml:space="preserve"> Financial Report </w:t>
      </w:r>
      <w:r>
        <w:t>for</w:t>
      </w:r>
      <w:r w:rsidRPr="00344534">
        <w:t xml:space="preserve"> the State of Victoria</w:t>
      </w:r>
      <w:r w:rsidRPr="008A3A8D">
        <w:t xml:space="preserve"> contains a list of significant controlled entities</w:t>
      </w:r>
      <w:r w:rsidR="00125E84">
        <w:t>,</w:t>
      </w:r>
      <w:r w:rsidRPr="008A3A8D">
        <w:t xml:space="preserve"> which have been consolidated for the purposes of the financial report.</w:t>
      </w:r>
      <w:r w:rsidR="00FD296C" w:rsidRPr="00FD296C">
        <w:t xml:space="preserve"> </w:t>
      </w:r>
    </w:p>
    <w:p w:rsidR="00FD296C" w:rsidRDefault="00FD296C" w:rsidP="004046D7">
      <w:pPr>
        <w:spacing w:after="200" w:line="276" w:lineRule="auto"/>
      </w:pPr>
      <w:r>
        <w:br w:type="column"/>
      </w:r>
      <w:r>
        <w:lastRenderedPageBreak/>
        <w:t>The following are changes from 1 July 2016</w:t>
      </w:r>
      <w:r w:rsidRPr="008A3A8D">
        <w:t>, of general government sector entities</w:t>
      </w:r>
      <w:r w:rsidR="00125E84">
        <w:t>,</w:t>
      </w:r>
      <w:r w:rsidRPr="008A3A8D">
        <w:t xml:space="preserve"> which have been consolidated for the p</w:t>
      </w:r>
      <w:r>
        <w:t>urposes of the financial report:</w:t>
      </w:r>
    </w:p>
    <w:p w:rsidR="00FD296C" w:rsidRDefault="00FD296C" w:rsidP="004046D7">
      <w:pPr>
        <w:spacing w:after="200" w:line="276" w:lineRule="auto"/>
        <w:sectPr w:rsidR="00FD296C" w:rsidSect="00FD296C">
          <w:footerReference w:type="even" r:id="rId55"/>
          <w:type w:val="continuous"/>
          <w:pgSz w:w="11906" w:h="16838" w:code="9"/>
          <w:pgMar w:top="1134" w:right="1134" w:bottom="1134" w:left="1134" w:header="624" w:footer="567" w:gutter="0"/>
          <w:cols w:num="2" w:space="708"/>
          <w:docGrid w:linePitch="360"/>
        </w:sectPr>
      </w:pPr>
    </w:p>
    <w:p w:rsidR="00FD296C" w:rsidRDefault="00FD296C" w:rsidP="00FD296C">
      <w:pPr>
        <w:pStyle w:val="ControlledEntitiesHeading1"/>
      </w:pPr>
      <w:bookmarkStart w:id="18" w:name="OLE_LINK1"/>
      <w:r>
        <w:lastRenderedPageBreak/>
        <w:t>General government</w:t>
      </w:r>
    </w:p>
    <w:p w:rsidR="00FD296C" w:rsidRDefault="00FD296C" w:rsidP="00FD296C">
      <w:pPr>
        <w:pStyle w:val="ControlledEntitiesHeading1"/>
        <w:sectPr w:rsidR="00FD296C" w:rsidSect="007A0115">
          <w:type w:val="continuous"/>
          <w:pgSz w:w="11906" w:h="16838" w:code="9"/>
          <w:pgMar w:top="1134" w:right="1134" w:bottom="1134" w:left="1134" w:header="624" w:footer="567" w:gutter="0"/>
          <w:cols w:space="708"/>
          <w:docGrid w:linePitch="360"/>
        </w:sectPr>
      </w:pPr>
    </w:p>
    <w:p w:rsidR="00FD296C" w:rsidRDefault="00FD296C" w:rsidP="00FD296C">
      <w:pPr>
        <w:pStyle w:val="ControlledEntitiesHeading2"/>
      </w:pPr>
      <w:r>
        <w:lastRenderedPageBreak/>
        <w:t>Departme</w:t>
      </w:r>
      <w:r w:rsidR="00E252F6">
        <w:t>nt of Health and Human Services</w:t>
      </w:r>
    </w:p>
    <w:p w:rsidR="00FD296C" w:rsidRDefault="00FD296C" w:rsidP="00507A5B">
      <w:pPr>
        <w:pStyle w:val="ControlledEntitiesText"/>
      </w:pPr>
      <w:r>
        <w:t xml:space="preserve">West Wimmera Health Service </w:t>
      </w:r>
      <w:r>
        <w:rPr>
          <w:vertAlign w:val="superscript"/>
        </w:rPr>
        <w:t>(a</w:t>
      </w:r>
      <w:r w:rsidRPr="00F755F9">
        <w:rPr>
          <w:vertAlign w:val="superscript"/>
        </w:rPr>
        <w:t>)</w:t>
      </w:r>
      <w:r w:rsidRPr="00FD296C">
        <w:t xml:space="preserve"> </w:t>
      </w:r>
    </w:p>
    <w:p w:rsidR="00FD296C" w:rsidRDefault="00FD296C" w:rsidP="00507A5B">
      <w:pPr>
        <w:pStyle w:val="ControlledEntitiesText"/>
      </w:pPr>
      <w:proofErr w:type="spellStart"/>
      <w:r>
        <w:t>Dunmunkle</w:t>
      </w:r>
      <w:proofErr w:type="spellEnd"/>
      <w:r>
        <w:t xml:space="preserve"> Health Services </w:t>
      </w:r>
      <w:r w:rsidRPr="00FD296C">
        <w:rPr>
          <w:vertAlign w:val="superscript"/>
        </w:rPr>
        <w:t>(a)</w:t>
      </w:r>
    </w:p>
    <w:p w:rsidR="00FD296C" w:rsidRDefault="00FD296C" w:rsidP="00FD296C">
      <w:pPr>
        <w:pStyle w:val="Notes"/>
      </w:pPr>
    </w:p>
    <w:p w:rsidR="00FD296C" w:rsidRPr="00FD296C" w:rsidRDefault="00FD296C" w:rsidP="00FD296C">
      <w:pPr>
        <w:spacing w:before="120" w:line="240" w:lineRule="auto"/>
        <w:rPr>
          <w:rFonts w:ascii="Calibri" w:hAnsi="Calibri"/>
          <w:b/>
          <w:vanish/>
          <w:sz w:val="18"/>
        </w:rPr>
      </w:pPr>
    </w:p>
    <w:p w:rsidR="00FD296C" w:rsidRPr="00FD296C" w:rsidRDefault="00FD296C" w:rsidP="00FD296C">
      <w:pPr>
        <w:pStyle w:val="ControlledEntitiesHeading2"/>
      </w:pPr>
      <w:r w:rsidRPr="00FD296C">
        <w:lastRenderedPageBreak/>
        <w:t>Department of Economic Development, Jobs, Transport and Resources</w:t>
      </w:r>
    </w:p>
    <w:p w:rsidR="00FD296C" w:rsidRDefault="00FD296C" w:rsidP="00FD296C">
      <w:pPr>
        <w:pStyle w:val="ControlledEntitiesText"/>
      </w:pPr>
      <w:r>
        <w:t xml:space="preserve">Australian Synchrotron Holding Company </w:t>
      </w:r>
      <w:r>
        <w:rPr>
          <w:vertAlign w:val="superscript"/>
        </w:rPr>
        <w:t>(b</w:t>
      </w:r>
      <w:r w:rsidRPr="00BF6B3C">
        <w:rPr>
          <w:vertAlign w:val="superscript"/>
        </w:rPr>
        <w:t>)</w:t>
      </w:r>
    </w:p>
    <w:p w:rsidR="00FD296C" w:rsidRDefault="00FD296C" w:rsidP="00E252F6">
      <w:pPr>
        <w:pStyle w:val="ControlledEntitiesText"/>
      </w:pPr>
      <w:r>
        <w:t xml:space="preserve">Energy Safe Victoria </w:t>
      </w:r>
      <w:r>
        <w:rPr>
          <w:vertAlign w:val="superscript"/>
        </w:rPr>
        <w:t>(c</w:t>
      </w:r>
      <w:r w:rsidRPr="004A097E">
        <w:rPr>
          <w:vertAlign w:val="superscript"/>
        </w:rPr>
        <w:t>)</w:t>
      </w:r>
    </w:p>
    <w:p w:rsidR="00FD296C" w:rsidRDefault="00FD296C" w:rsidP="00FD296C">
      <w:pPr>
        <w:pStyle w:val="ControlledEntitiesText"/>
      </w:pPr>
      <w:r>
        <w:t xml:space="preserve">Tourism Victoria </w:t>
      </w:r>
      <w:r w:rsidR="00E252F6">
        <w:rPr>
          <w:vertAlign w:val="superscript"/>
        </w:rPr>
        <w:t>(d</w:t>
      </w:r>
      <w:r w:rsidRPr="00BF6B3C">
        <w:rPr>
          <w:vertAlign w:val="superscript"/>
        </w:rPr>
        <w:t>)</w:t>
      </w:r>
    </w:p>
    <w:p w:rsidR="00FD296C" w:rsidRPr="00BF6B3C" w:rsidRDefault="00FD296C" w:rsidP="00FD296C">
      <w:pPr>
        <w:pStyle w:val="ControlledEntitiesText"/>
        <w:rPr>
          <w:sz w:val="16"/>
        </w:rPr>
      </w:pPr>
      <w:r>
        <w:t xml:space="preserve">Visit Victoria </w:t>
      </w:r>
      <w:r w:rsidRPr="00BF6B3C">
        <w:rPr>
          <w:vertAlign w:val="superscript"/>
        </w:rPr>
        <w:t>(</w:t>
      </w:r>
      <w:r w:rsidR="00E252F6">
        <w:rPr>
          <w:vertAlign w:val="superscript"/>
        </w:rPr>
        <w:t>d</w:t>
      </w:r>
      <w:r w:rsidRPr="00BF6B3C">
        <w:rPr>
          <w:vertAlign w:val="superscript"/>
        </w:rPr>
        <w:t>)</w:t>
      </w:r>
    </w:p>
    <w:p w:rsidR="00FD296C" w:rsidRDefault="00FD296C" w:rsidP="00FD296C">
      <w:pPr>
        <w:pStyle w:val="ControlledEntitiesHeading2"/>
        <w:sectPr w:rsidR="00FD296C" w:rsidSect="00FD296C">
          <w:footerReference w:type="even" r:id="rId56"/>
          <w:type w:val="continuous"/>
          <w:pgSz w:w="11906" w:h="16838" w:code="9"/>
          <w:pgMar w:top="1134" w:right="992" w:bottom="1134" w:left="1134" w:header="624" w:footer="567" w:gutter="0"/>
          <w:cols w:num="2" w:space="454"/>
          <w:docGrid w:linePitch="360"/>
        </w:sectPr>
      </w:pPr>
    </w:p>
    <w:bookmarkEnd w:id="18"/>
    <w:p w:rsidR="00FD296C" w:rsidRDefault="00FD296C" w:rsidP="00FD296C">
      <w:pPr>
        <w:pStyle w:val="ControlledEntitiesText"/>
        <w:sectPr w:rsidR="00FD296C" w:rsidSect="00FD296C">
          <w:type w:val="continuous"/>
          <w:pgSz w:w="11906" w:h="16838" w:code="9"/>
          <w:pgMar w:top="1134" w:right="1134" w:bottom="1134" w:left="1134" w:header="624" w:footer="567" w:gutter="0"/>
          <w:cols w:num="2" w:space="454"/>
          <w:docGrid w:linePitch="360"/>
        </w:sectPr>
      </w:pPr>
    </w:p>
    <w:p w:rsidR="00FD296C" w:rsidRPr="00507A5B" w:rsidRDefault="00FD296C" w:rsidP="00507A5B">
      <w:pPr>
        <w:pStyle w:val="Notes"/>
      </w:pPr>
      <w:r w:rsidRPr="00507A5B">
        <w:lastRenderedPageBreak/>
        <w:t>Notes:</w:t>
      </w:r>
    </w:p>
    <w:p w:rsidR="00FD296C" w:rsidRPr="00507A5B" w:rsidRDefault="00507A5B" w:rsidP="00507A5B">
      <w:pPr>
        <w:pStyle w:val="Notes"/>
      </w:pPr>
      <w:r>
        <w:t>(a)</w:t>
      </w:r>
      <w:r>
        <w:tab/>
      </w:r>
      <w:r w:rsidR="00FD296C" w:rsidRPr="00507A5B">
        <w:t xml:space="preserve">On 1 July 2016, by </w:t>
      </w:r>
      <w:r w:rsidR="00E01E23">
        <w:t>O</w:t>
      </w:r>
      <w:r w:rsidR="00FD296C" w:rsidRPr="00507A5B">
        <w:t xml:space="preserve">rder of the Governor-in-Council, </w:t>
      </w:r>
      <w:proofErr w:type="spellStart"/>
      <w:r w:rsidR="00FD296C" w:rsidRPr="00507A5B">
        <w:t>Dunmunkle</w:t>
      </w:r>
      <w:proofErr w:type="spellEnd"/>
      <w:r w:rsidR="00FD296C" w:rsidRPr="00507A5B">
        <w:t xml:space="preserve"> Health Service and West Wimmera Health Service were amalgamated to form a new registered funded agency named West Wimmera Health Service.</w:t>
      </w:r>
    </w:p>
    <w:p w:rsidR="00900ED4" w:rsidRDefault="00FD296C" w:rsidP="00507A5B">
      <w:pPr>
        <w:pStyle w:val="Notes"/>
      </w:pPr>
      <w:r w:rsidRPr="00507A5B">
        <w:t>(b)</w:t>
      </w:r>
      <w:r w:rsidRPr="00507A5B">
        <w:tab/>
        <w:t xml:space="preserve">The Australian Synchrotron </w:t>
      </w:r>
      <w:r w:rsidR="0082473B">
        <w:t xml:space="preserve">Holding Company </w:t>
      </w:r>
      <w:r w:rsidRPr="00507A5B">
        <w:t xml:space="preserve">was transferred from the State of Victoria to the Australian Nuclear Science and Technology Organisation (ANSTO) on 1 July 2016. </w:t>
      </w:r>
    </w:p>
    <w:p w:rsidR="00900ED4" w:rsidRDefault="00900ED4" w:rsidP="00507A5B">
      <w:pPr>
        <w:pStyle w:val="Notes"/>
      </w:pPr>
      <w:r>
        <w:t>(c)</w:t>
      </w:r>
      <w:r>
        <w:tab/>
      </w:r>
      <w:r w:rsidR="00FD296C" w:rsidRPr="00507A5B">
        <w:t>Effective from 1 July 2016, Energy Safe Victoria was transferred from the Department of Economic Development, Jobs, Transport and Resources to the Department of Environment, Lan</w:t>
      </w:r>
      <w:r w:rsidR="002233B3">
        <w:t>d</w:t>
      </w:r>
      <w:r w:rsidR="00FD296C" w:rsidRPr="00507A5B">
        <w:t>,</w:t>
      </w:r>
      <w:r w:rsidR="002233B3">
        <w:t xml:space="preserve"> </w:t>
      </w:r>
      <w:r w:rsidR="00830FB5">
        <w:t>Water and Planning.</w:t>
      </w:r>
    </w:p>
    <w:p w:rsidR="00FD296C" w:rsidRPr="00507A5B" w:rsidRDefault="00900ED4" w:rsidP="00507A5B">
      <w:pPr>
        <w:pStyle w:val="Notes"/>
      </w:pPr>
      <w:r>
        <w:br w:type="column"/>
      </w:r>
      <w:r>
        <w:lastRenderedPageBreak/>
        <w:t>(d)</w:t>
      </w:r>
      <w:r>
        <w:tab/>
      </w:r>
      <w:r w:rsidR="00FD296C" w:rsidRPr="00507A5B">
        <w:t>Effective 1 July 2016, Visit Victoria commenced operations and took over the responsibilities of Tourism Victoria and the Victorian Major Events Company Limited. Tourism Victoria ceased to operate but will remain in existence until its legislation is repealed. Effective from 1 July 2016, Victorian Major Events Company ceased to exist.</w:t>
      </w:r>
    </w:p>
    <w:p w:rsidR="00FD296C" w:rsidRDefault="00FD296C" w:rsidP="00E252F6">
      <w:pPr>
        <w:pStyle w:val="Notes"/>
        <w:ind w:left="0" w:firstLine="0"/>
        <w:rPr>
          <w:rFonts w:cstheme="minorHAnsi"/>
          <w:i w:val="0"/>
          <w:color w:val="FFFFFF" w:themeColor="background1"/>
        </w:rPr>
      </w:pPr>
    </w:p>
    <w:p w:rsidR="00FF6E84" w:rsidRDefault="00FF6E84" w:rsidP="00FF6E84"/>
    <w:p w:rsidR="00FF6E84" w:rsidRDefault="00FF6E84" w:rsidP="00FF6E84">
      <w:pPr>
        <w:sectPr w:rsidR="00FF6E84" w:rsidSect="00FF6E84">
          <w:type w:val="continuous"/>
          <w:pgSz w:w="11906" w:h="16838" w:code="9"/>
          <w:pgMar w:top="1134" w:right="1134" w:bottom="1134" w:left="1134" w:header="624" w:footer="567" w:gutter="0"/>
          <w:cols w:num="2" w:space="708"/>
          <w:docGrid w:linePitch="360"/>
        </w:sectPr>
      </w:pPr>
    </w:p>
    <w:p w:rsidR="00900ED4" w:rsidRPr="00900ED4" w:rsidRDefault="00900ED4" w:rsidP="00900ED4"/>
    <w:p w:rsidR="00364ACD" w:rsidRDefault="00CF2B1C" w:rsidP="005D0348">
      <w:pPr>
        <w:pStyle w:val="Heading2"/>
        <w:rPr>
          <w:rStyle w:val="TableUnitsChar"/>
          <w:sz w:val="22"/>
          <w:szCs w:val="22"/>
        </w:rPr>
      </w:pPr>
      <w:r w:rsidRPr="00235612">
        <w:rPr>
          <w:szCs w:val="22"/>
        </w:rPr>
        <w:t>Glossary of technical terms</w:t>
      </w:r>
      <w:r w:rsidR="00364ACD" w:rsidRPr="00235612">
        <w:rPr>
          <w:szCs w:val="22"/>
        </w:rPr>
        <w:tab/>
      </w:r>
    </w:p>
    <w:p w:rsidR="00FF6E84" w:rsidRDefault="00FF6E84" w:rsidP="00FF6E84">
      <w:pPr>
        <w:sectPr w:rsidR="00FF6E84" w:rsidSect="00E92C26">
          <w:type w:val="continuous"/>
          <w:pgSz w:w="11906" w:h="16838" w:code="9"/>
          <w:pgMar w:top="1134" w:right="1134" w:bottom="1134" w:left="1134" w:header="624" w:footer="567" w:gutter="0"/>
          <w:cols w:space="708"/>
          <w:docGrid w:linePitch="360"/>
        </w:sectPr>
      </w:pPr>
    </w:p>
    <w:p w:rsidR="00FF6E84" w:rsidRDefault="00FF6E84" w:rsidP="00FF6E84">
      <w:r>
        <w:lastRenderedPageBreak/>
        <w:t xml:space="preserve">The </w:t>
      </w:r>
      <w:r>
        <w:rPr>
          <w:i/>
        </w:rPr>
        <w:t>2015-16 Financial Report</w:t>
      </w:r>
      <w:r>
        <w:t xml:space="preserve"> for the State of Victoria (Note 9.8) contains a summary of the major technical terms used in this report.</w:t>
      </w:r>
    </w:p>
    <w:p w:rsidR="00FF6E84" w:rsidRDefault="00FF6E84" w:rsidP="00FF6E84"/>
    <w:p w:rsidR="00FF6E84" w:rsidRPr="00FF6E84" w:rsidRDefault="00FF6E84" w:rsidP="00FF6E84"/>
    <w:p w:rsidR="00FF6E84" w:rsidRDefault="00FF6E84">
      <w:pPr>
        <w:sectPr w:rsidR="00FF6E84" w:rsidSect="00FF6E84">
          <w:type w:val="continuous"/>
          <w:pgSz w:w="11906" w:h="16838" w:code="9"/>
          <w:pgMar w:top="1134" w:right="1134" w:bottom="1134" w:left="1134" w:header="624" w:footer="567" w:gutter="0"/>
          <w:cols w:num="2" w:space="708"/>
          <w:docGrid w:linePitch="360"/>
        </w:sectPr>
      </w:pPr>
    </w:p>
    <w:p w:rsidR="009F357D" w:rsidRDefault="009F357D"/>
    <w:p w:rsidR="0023071C" w:rsidRDefault="0023071C">
      <w:pPr>
        <w:rPr>
          <w:rFonts w:asciiTheme="majorHAnsi" w:eastAsiaTheme="majorEastAsia" w:hAnsiTheme="majorHAnsi" w:cstheme="majorBidi"/>
          <w:b/>
          <w:bCs/>
          <w:caps/>
          <w:color w:val="0063A6" w:themeColor="accent1"/>
          <w:spacing w:val="-2"/>
          <w:sz w:val="32"/>
          <w:szCs w:val="28"/>
        </w:rPr>
      </w:pPr>
      <w:r>
        <w:br w:type="page"/>
      </w:r>
    </w:p>
    <w:p w:rsidR="007B04AE" w:rsidRPr="007B04AE" w:rsidRDefault="00012598" w:rsidP="005D0348">
      <w:pPr>
        <w:pStyle w:val="Heading1"/>
      </w:pPr>
      <w:bookmarkStart w:id="19" w:name="_Toc465432002"/>
      <w:r>
        <w:lastRenderedPageBreak/>
        <w:t>Results quarter by quarter –</w:t>
      </w:r>
      <w:r w:rsidR="007B04AE">
        <w:br/>
        <w:t>Victorian general government sector</w:t>
      </w:r>
      <w:bookmarkEnd w:id="19"/>
    </w:p>
    <w:p w:rsidR="007B04AE" w:rsidRDefault="007B04AE" w:rsidP="007B04AE">
      <w:pPr>
        <w:pStyle w:val="Subheadingunderline"/>
        <w:sectPr w:rsidR="007B04AE" w:rsidSect="00E92C26">
          <w:footerReference w:type="even" r:id="rId57"/>
          <w:type w:val="continuous"/>
          <w:pgSz w:w="11906" w:h="16838" w:code="9"/>
          <w:pgMar w:top="1134" w:right="1134" w:bottom="1134" w:left="1134" w:header="624" w:footer="567" w:gutter="0"/>
          <w:cols w:space="708"/>
          <w:docGrid w:linePitch="360"/>
        </w:sectPr>
      </w:pPr>
    </w:p>
    <w:p w:rsidR="007B04AE" w:rsidRDefault="007B04AE" w:rsidP="007B04AE">
      <w:pPr>
        <w:pStyle w:val="Subheadingunderline"/>
      </w:pPr>
      <w:r>
        <w:lastRenderedPageBreak/>
        <w:t>Introduction</w:t>
      </w:r>
    </w:p>
    <w:p w:rsidR="007B04AE" w:rsidRDefault="007B04AE" w:rsidP="007B04AE">
      <w:pPr>
        <w:sectPr w:rsidR="007B04AE" w:rsidSect="00E92C26">
          <w:type w:val="continuous"/>
          <w:pgSz w:w="11906" w:h="16838" w:code="9"/>
          <w:pgMar w:top="1134" w:right="1134" w:bottom="1134" w:left="1134" w:header="624" w:footer="567" w:gutter="0"/>
          <w:cols w:num="2" w:space="708"/>
          <w:docGrid w:linePitch="360"/>
        </w:sectPr>
      </w:pPr>
    </w:p>
    <w:p w:rsidR="00830FB5" w:rsidRDefault="0099199E" w:rsidP="007B04AE">
      <w:r>
        <w:lastRenderedPageBreak/>
        <w:t xml:space="preserve">This section includes the comprehensive operating statement, balance sheet and cash flow statement for the past five quarters in accordance with the requirements of the </w:t>
      </w:r>
      <w:r>
        <w:rPr>
          <w:i/>
        </w:rPr>
        <w:t>Financial Management Act 1994</w:t>
      </w:r>
      <w:r>
        <w:t>.</w:t>
      </w:r>
    </w:p>
    <w:p w:rsidR="0099199E" w:rsidRDefault="00830FB5" w:rsidP="007B04AE">
      <w:r>
        <w:br w:type="column"/>
      </w:r>
    </w:p>
    <w:p w:rsidR="0099199E" w:rsidRDefault="0099199E" w:rsidP="007B04AE">
      <w:pPr>
        <w:sectPr w:rsidR="0099199E" w:rsidSect="0099199E">
          <w:type w:val="continuous"/>
          <w:pgSz w:w="11906" w:h="16838" w:code="9"/>
          <w:pgMar w:top="1134" w:right="1134" w:bottom="1134" w:left="1134" w:header="624" w:footer="567" w:gutter="0"/>
          <w:cols w:num="2" w:space="708"/>
          <w:docGrid w:linePitch="360"/>
        </w:sectPr>
      </w:pPr>
    </w:p>
    <w:p w:rsidR="00012598" w:rsidRPr="00012598" w:rsidRDefault="00B21D72" w:rsidP="001E7357">
      <w:pPr>
        <w:pStyle w:val="Subheading"/>
        <w:rPr>
          <w:rStyle w:val="TableUnitsChar"/>
          <w:bCs/>
          <w:lang w:val="en-US"/>
        </w:rPr>
      </w:pPr>
      <w:bookmarkStart w:id="20" w:name="ConsolidatedOS_QBQ"/>
      <w:r>
        <w:lastRenderedPageBreak/>
        <w:t>Consolidated comprehensive operating statement for the past five quarters</w:t>
      </w:r>
      <w:bookmarkEnd w:id="20"/>
      <w:r>
        <w:tab/>
      </w:r>
      <w:r w:rsidRPr="00E92C26">
        <w:rPr>
          <w:rStyle w:val="TableUnitsChar"/>
        </w:rPr>
        <w:t>($ million)</w:t>
      </w:r>
    </w:p>
    <w:tbl>
      <w:tblPr>
        <w:tblStyle w:val="DTFFinancialTable"/>
        <w:tblW w:w="9637" w:type="dxa"/>
        <w:tblInd w:w="45" w:type="dxa"/>
        <w:tblLayout w:type="fixed"/>
        <w:tblCellMar>
          <w:left w:w="45" w:type="dxa"/>
          <w:right w:w="45" w:type="dxa"/>
        </w:tblCellMar>
        <w:tblLook w:val="02A0" w:firstRow="1" w:lastRow="0" w:firstColumn="1" w:lastColumn="0" w:noHBand="1" w:noVBand="0"/>
      </w:tblPr>
      <w:tblGrid>
        <w:gridCol w:w="5102"/>
        <w:gridCol w:w="907"/>
        <w:gridCol w:w="907"/>
        <w:gridCol w:w="907"/>
        <w:gridCol w:w="907"/>
        <w:gridCol w:w="907"/>
      </w:tblGrid>
      <w:tr w:rsidR="00830FB5" w:rsidRPr="00012598" w:rsidTr="00A7534B">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830FB5" w:rsidRPr="008A6DD6" w:rsidRDefault="00830FB5" w:rsidP="008A6DD6">
            <w:pPr>
              <w:ind w:left="0" w:firstLine="0"/>
              <w:rPr>
                <w:i w:val="0"/>
              </w:rPr>
            </w:pPr>
            <w:r w:rsidRPr="00012598">
              <w:rPr>
                <w:lang w:eastAsia="en-AU"/>
              </w:rPr>
              <w:t xml:space="preserve"> </w:t>
            </w:r>
          </w:p>
          <w:p w:rsidR="00830FB5" w:rsidRPr="008A6DD6" w:rsidRDefault="00830FB5" w:rsidP="00012598">
            <w:pPr>
              <w:autoSpaceDE w:val="0"/>
              <w:autoSpaceDN w:val="0"/>
              <w:adjustRightInd w:val="0"/>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2015-16</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Sep</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012598">
              <w:rPr>
                <w:rFonts w:eastAsiaTheme="minorEastAsia" w:cs="Calibri"/>
                <w:iCs/>
                <w:color w:val="FFFFFF"/>
                <w:szCs w:val="16"/>
                <w:lang w:eastAsia="en-AU"/>
              </w:rPr>
              <w:t xml:space="preserve"> </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8"/>
                <w:lang w:eastAsia="en-AU"/>
              </w:rPr>
              <w:t>Dec</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 xml:space="preserve"> </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Mar</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012598">
              <w:rPr>
                <w:rFonts w:eastAsiaTheme="minorEastAsia" w:cs="Calibri"/>
                <w:iCs/>
                <w:color w:val="FFFFFF"/>
                <w:szCs w:val="16"/>
                <w:lang w:eastAsia="en-AU"/>
              </w:rPr>
              <w:t xml:space="preserve"> </w:t>
            </w:r>
          </w:p>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8"/>
                <w:lang w:eastAsia="en-AU"/>
              </w:rPr>
              <w:t xml:space="preserve">Jun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2016-17</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Sep</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Revenue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Taxation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5 061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4 615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5 866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4 353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5 265</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Interest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190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168</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Dividends, income tax equivalent and rate equivalent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78</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Sales of goods and services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1 661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1 671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1 461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1 879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1 672</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Grant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6 010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6 878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6 699</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Other revenue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564</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1 162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489</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510</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Total revenue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13 559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14 321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14 989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13 847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14 391</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Expenses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Employee expenses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4 768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4 997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4 870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5 367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5 179</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Net superannuation 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218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218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218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199</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Other 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554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552</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Depreciation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605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595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606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698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627</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Interest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521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522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472</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Grant expense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2 172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2 143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2 672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1 577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2 587</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Other operating expenses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4 204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4 253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3 899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5 549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4 295</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Total expenses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13 040</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13 333</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13 260</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14 418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13 911</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Net result from transactions – net operating balance</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519</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988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1 729</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(572)</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480</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Other economic flows included in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Net gain/(loss) on disposal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Net gain/(loss) on financial assets or liabilities at fair value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16</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FA7E34">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Share of net profit/(loss) from ass</w:t>
            </w:r>
            <w:r w:rsidR="00FA7E34">
              <w:rPr>
                <w:rFonts w:eastAsiaTheme="minorEastAsia" w:cs="Calibri"/>
                <w:color w:val="000000"/>
                <w:szCs w:val="18"/>
                <w:lang w:eastAsia="en-AU"/>
              </w:rPr>
              <w:t>ociates/joint venture entities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Other gains/(losses) from other economic flows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(136)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(303)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(124)</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Total other economic flows included in net result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(166)</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(101)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(150)</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(429)</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(110)</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Net result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353</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887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1 579</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(1 001)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370</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Other economic flows – other comprehensive income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Items that will not be reclassified to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Changes in non-financial assets revaluation surplus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6 258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(93)</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proofErr w:type="spellStart"/>
            <w:r w:rsidRPr="00012598">
              <w:rPr>
                <w:rFonts w:eastAsiaTheme="minorEastAsia" w:cs="Calibri"/>
                <w:color w:val="000000"/>
                <w:szCs w:val="18"/>
                <w:lang w:eastAsia="en-AU"/>
              </w:rPr>
              <w:t>Remeasurement</w:t>
            </w:r>
            <w:proofErr w:type="spellEnd"/>
            <w:r w:rsidRPr="00012598">
              <w:rPr>
                <w:rFonts w:eastAsiaTheme="minorEastAsia" w:cs="Calibri"/>
                <w:color w:val="000000"/>
                <w:szCs w:val="18"/>
                <w:lang w:eastAsia="en-AU"/>
              </w:rPr>
              <w:t xml:space="preserve"> of superannuation defined benefits plans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(1 934)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1 230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(1 274)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(1 243)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256</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 xml:space="preserve">Other movements in equity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68</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Items that may be reclassified subsequently to net result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Net gain/(loss) on financial assets at fair value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 xml:space="preserve">Net gain/(loss) on equity investments in other sector entities at proportional share of the carrying amount of net assets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10 860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Total other economic flows – other comprehensive income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(1 892)</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817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(1 297)</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15 857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236</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Comprehensive result – total change in net worth </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(1 539)</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1 704</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282</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14 856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607</w:t>
            </w:r>
          </w:p>
        </w:tc>
      </w:tr>
      <w:tr w:rsidR="00012598" w:rsidRPr="00012598" w:rsidTr="008A6DD6">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KEY FISCAL AGGREGATES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12598">
              <w:rPr>
                <w:rFonts w:eastAsiaTheme="minorEastAsia" w:cs="Calibri"/>
                <w:b/>
                <w:bCs/>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lang w:eastAsia="en-AU"/>
              </w:rPr>
            </w:pPr>
            <w:r w:rsidRPr="00012598">
              <w:rPr>
                <w:rFonts w:eastAsiaTheme="minorEastAsia" w:cs="Calibri"/>
                <w:b/>
                <w:bCs/>
                <w:color w:val="000000"/>
                <w:lang w:eastAsia="en-AU"/>
              </w:rPr>
              <w:t xml:space="preserve"> </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Net operating balance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6"/>
                <w:lang w:eastAsia="en-AU"/>
              </w:rPr>
              <w:t>519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6"/>
                <w:lang w:eastAsia="en-AU"/>
              </w:rPr>
              <w:t>988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1 729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6"/>
                <w:lang w:eastAsia="en-AU"/>
              </w:rPr>
              <w:t>(572)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6"/>
                <w:lang w:eastAsia="en-AU"/>
              </w:rPr>
              <w:t>480</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Less: Net acquisition of non-financial assets from transactions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6"/>
                <w:lang w:eastAsia="en-AU"/>
              </w:rPr>
              <w:t>82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6"/>
                <w:lang w:eastAsia="en-AU"/>
              </w:rPr>
              <w:t>280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6"/>
                <w:lang w:eastAsia="en-AU"/>
              </w:rPr>
              <w:t>189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6"/>
                <w:lang w:eastAsia="en-AU"/>
              </w:rPr>
              <w:t>236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2477E" w:rsidP="00012598">
            <w:pPr>
              <w:autoSpaceDE w:val="0"/>
              <w:autoSpaceDN w:val="0"/>
              <w:adjustRightInd w:val="0"/>
            </w:pPr>
            <w:r>
              <w:rPr>
                <w:rFonts w:eastAsiaTheme="minorEastAsia" w:cs="Calibri"/>
                <w:color w:val="000000"/>
                <w:szCs w:val="16"/>
                <w:lang w:eastAsia="en-AU"/>
              </w:rPr>
              <w:t>8</w:t>
            </w:r>
          </w:p>
        </w:tc>
      </w:tr>
      <w:tr w:rsidR="00012598" w:rsidRPr="00012598" w:rsidTr="008A6DD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Net lending/(borrowing)</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6"/>
                <w:lang w:eastAsia="en-AU"/>
              </w:rPr>
              <w:t>437</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6"/>
                <w:lang w:eastAsia="en-AU"/>
              </w:rPr>
              <w:t>708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1 540</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6"/>
                <w:lang w:eastAsia="en-AU"/>
              </w:rPr>
              <w:t>(808)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2477E" w:rsidP="00012598">
            <w:pPr>
              <w:autoSpaceDE w:val="0"/>
              <w:autoSpaceDN w:val="0"/>
              <w:adjustRightInd w:val="0"/>
            </w:pPr>
            <w:r>
              <w:rPr>
                <w:rFonts w:eastAsiaTheme="minorEastAsia" w:cs="Calibri"/>
                <w:b/>
                <w:bCs/>
                <w:color w:val="000000"/>
                <w:szCs w:val="16"/>
                <w:lang w:eastAsia="en-AU"/>
              </w:rPr>
              <w:t>472</w:t>
            </w:r>
          </w:p>
        </w:tc>
      </w:tr>
    </w:tbl>
    <w:p w:rsidR="008A6DD6" w:rsidRDefault="008A6DD6" w:rsidP="00830FB5">
      <w:pPr>
        <w:rPr>
          <w:rStyle w:val="TableUnitsChar"/>
          <w:b/>
        </w:rPr>
      </w:pPr>
      <w:bookmarkStart w:id="21" w:name="ConsolidatedBS_QBQ"/>
    </w:p>
    <w:p w:rsidR="00012598" w:rsidRPr="00012598" w:rsidRDefault="00B21D72" w:rsidP="00012598">
      <w:pPr>
        <w:pStyle w:val="Subheading"/>
        <w:rPr>
          <w:rStyle w:val="TableUnitsChar"/>
          <w:bCs/>
          <w:lang w:val="en-US"/>
        </w:rPr>
      </w:pPr>
      <w:r>
        <w:lastRenderedPageBreak/>
        <w:t>Consolidated balance sheet as at the end of the quarter</w:t>
      </w:r>
      <w:bookmarkEnd w:id="21"/>
      <w:r>
        <w:tab/>
      </w:r>
      <w:r w:rsidRPr="00E92C26">
        <w:rPr>
          <w:rStyle w:val="TableUnitsChar"/>
        </w:rPr>
        <w:t>($ million)</w:t>
      </w:r>
    </w:p>
    <w:tbl>
      <w:tblPr>
        <w:tblStyle w:val="DTFFinancialTable"/>
        <w:tblW w:w="9637" w:type="dxa"/>
        <w:tblInd w:w="45" w:type="dxa"/>
        <w:tblLayout w:type="fixed"/>
        <w:tblCellMar>
          <w:left w:w="45" w:type="dxa"/>
          <w:right w:w="45" w:type="dxa"/>
        </w:tblCellMar>
        <w:tblLook w:val="02A0" w:firstRow="1" w:lastRow="0" w:firstColumn="1" w:lastColumn="0" w:noHBand="1" w:noVBand="0"/>
      </w:tblPr>
      <w:tblGrid>
        <w:gridCol w:w="5102"/>
        <w:gridCol w:w="907"/>
        <w:gridCol w:w="907"/>
        <w:gridCol w:w="907"/>
        <w:gridCol w:w="907"/>
        <w:gridCol w:w="907"/>
      </w:tblGrid>
      <w:tr w:rsidR="00830FB5" w:rsidRPr="00012598" w:rsidTr="00F7378F">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2015-16</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6"/>
                <w:lang w:eastAsia="en-AU"/>
              </w:rPr>
              <w:t>Sep</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6"/>
                <w:lang w:eastAsia="en-AU"/>
              </w:rPr>
              <w:t>Dec</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6"/>
                <w:lang w:eastAsia="en-AU"/>
              </w:rPr>
              <w:t>Mar</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6"/>
                <w:lang w:eastAsia="en-AU"/>
              </w:rPr>
              <w:t>Jun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2016-17</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6"/>
                <w:lang w:eastAsia="en-AU"/>
              </w:rPr>
              <w:t>Sep</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Cash and deposits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4 061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4 112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4 415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4 772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4 079</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Advances paid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4 567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4 550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4 539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4 582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4 586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Receivables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5 897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5 907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6 450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5 566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5 866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Investments, loans and placements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3 440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3 389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3 745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2 853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3 057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Investments accounted for using the equity method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44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44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44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46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47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Investments in other sector entities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82 548</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82 563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82 818</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94 710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95 473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Total 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100 558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100 566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102 011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112 531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113 108</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Inventories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146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154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188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186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Non-financial assets held for sale</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169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165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165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188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183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Land, buildings, infrastructure, plant and equipment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107 503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107 750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107 948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114 254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114 009</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Other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1 215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1 195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1 068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1 081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1 516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Total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109 033</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109 265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109 356</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115 711</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115 895</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Total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209 590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209 830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211 368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228 242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229 002</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Liabilities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 xml:space="preserve">Deposits held and advances received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471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485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529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706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717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Payables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5 355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5 188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5 413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5 773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5 481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 xml:space="preserve">Borrowings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34 597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34 301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34 078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33 811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34 551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Employee benefits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5 675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5 769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5 676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6 137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6 098</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27 885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26 722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28 032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29 291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29 044</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Other provisions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754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809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802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829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861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Total liabilities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74 738</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73 274</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74 529</w:t>
            </w:r>
          </w:p>
        </w:tc>
        <w:tc>
          <w:tcPr>
            <w:tcW w:w="907" w:type="dxa"/>
            <w:tcBorders>
              <w:top w:val="single" w:sz="6" w:space="0" w:color="000000"/>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76 547</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76 751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Net assets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134 853</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136 556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136 838</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151 695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152 251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Accumulated surplus/(deficit)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44 213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46 304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46 586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44 454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45 183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Reserves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90 590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90 203</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90 203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107 191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107 069</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Non-controlling interest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50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50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Arial"/>
                <w:color w:val="000000"/>
                <w:szCs w:val="16"/>
                <w:lang w:eastAsia="en-AU"/>
              </w:rPr>
              <w:t>50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Arial"/>
                <w:color w:val="000000"/>
                <w:szCs w:val="16"/>
                <w:lang w:eastAsia="en-AU"/>
              </w:rPr>
              <w:t>50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sidRPr="00012598">
              <w:rPr>
                <w:rFonts w:eastAsiaTheme="minorEastAsia" w:cs="Arial"/>
                <w:color w:val="000000"/>
                <w:szCs w:val="16"/>
                <w:lang w:eastAsia="en-AU"/>
              </w:rPr>
              <w:t>..</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Net worth</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134 853</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136 556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136 838</w:t>
            </w:r>
          </w:p>
        </w:tc>
        <w:tc>
          <w:tcPr>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151 695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000000"/>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152 251</w:t>
            </w:r>
          </w:p>
        </w:tc>
      </w:tr>
      <w:tr w:rsidR="00012598" w:rsidRPr="00012598" w:rsidTr="00012598">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FISCAL AGGREGATES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b/>
                <w:bCs/>
                <w:color w:val="000000"/>
                <w:szCs w:val="16"/>
                <w:lang w:eastAsia="en-AU"/>
              </w:rPr>
            </w:pPr>
            <w:r w:rsidRPr="00012598">
              <w:rPr>
                <w:rFonts w:eastAsiaTheme="minorEastAsia" w:cs="Arial"/>
                <w:b/>
                <w:bCs/>
                <w:color w:val="000000"/>
                <w:szCs w:val="16"/>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Net financial worth</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25 820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27 292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27 482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35 984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36 357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Net financial liabilities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56 728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55 271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55 336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58 727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59 116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Net debt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23 000</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22 735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21 908</w:t>
            </w:r>
          </w:p>
        </w:tc>
        <w:tc>
          <w:tcPr>
            <w:tcW w:w="907" w:type="dxa"/>
            <w:tcBorders>
              <w:top w:val="nil"/>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012598">
              <w:rPr>
                <w:rFonts w:eastAsiaTheme="minorEastAsia" w:cs="Arial"/>
                <w:color w:val="000000"/>
                <w:szCs w:val="16"/>
                <w:lang w:eastAsia="en-AU"/>
              </w:rPr>
              <w:t>22 309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12" w:space="0" w:color="auto"/>
              <w:right w:val="nil"/>
            </w:tcBorders>
          </w:tcPr>
          <w:p w:rsidR="00012598" w:rsidRPr="00012598" w:rsidRDefault="00012598" w:rsidP="00012598">
            <w:pPr>
              <w:autoSpaceDE w:val="0"/>
              <w:autoSpaceDN w:val="0"/>
              <w:adjustRightInd w:val="0"/>
              <w:rPr>
                <w:rFonts w:eastAsiaTheme="minorEastAsia" w:cs="Arial"/>
                <w:color w:val="000000"/>
                <w:szCs w:val="16"/>
                <w:lang w:eastAsia="en-AU"/>
              </w:rPr>
            </w:pPr>
            <w:r w:rsidRPr="00012598">
              <w:rPr>
                <w:rFonts w:eastAsiaTheme="minorEastAsia" w:cs="Arial"/>
                <w:color w:val="000000"/>
                <w:szCs w:val="16"/>
                <w:lang w:eastAsia="en-AU"/>
              </w:rPr>
              <w:t>23 545</w:t>
            </w:r>
          </w:p>
        </w:tc>
      </w:tr>
    </w:tbl>
    <w:p w:rsidR="00B21D72" w:rsidRPr="00787DF9" w:rsidRDefault="00B21D72" w:rsidP="00B21D72"/>
    <w:p w:rsidR="00634949" w:rsidRDefault="00634949">
      <w:pPr>
        <w:rPr>
          <w:rFonts w:asciiTheme="majorHAnsi" w:hAnsiTheme="majorHAnsi"/>
          <w:b/>
          <w:spacing w:val="-2"/>
        </w:rPr>
      </w:pPr>
      <w:r>
        <w:br w:type="page"/>
      </w:r>
    </w:p>
    <w:p w:rsidR="00012598" w:rsidRPr="00012598" w:rsidRDefault="00B21D72" w:rsidP="00012598">
      <w:pPr>
        <w:pStyle w:val="Subheading"/>
        <w:rPr>
          <w:rStyle w:val="TableUnitsChar"/>
          <w:bCs/>
          <w:lang w:val="en-US"/>
        </w:rPr>
      </w:pPr>
      <w:bookmarkStart w:id="22" w:name="ConsolidatedCF_QBQ"/>
      <w:r>
        <w:lastRenderedPageBreak/>
        <w:t>Consolidated cash flow statement for the past five quarters</w:t>
      </w:r>
      <w:bookmarkEnd w:id="22"/>
      <w:r>
        <w:tab/>
      </w:r>
      <w:r w:rsidRPr="00E92C26">
        <w:rPr>
          <w:rStyle w:val="TableUnitsChar"/>
        </w:rPr>
        <w:t>($ million)</w:t>
      </w:r>
    </w:p>
    <w:tbl>
      <w:tblPr>
        <w:tblStyle w:val="DTFFinancialTable"/>
        <w:tblW w:w="9637" w:type="dxa"/>
        <w:tblInd w:w="45" w:type="dxa"/>
        <w:tblLayout w:type="fixed"/>
        <w:tblCellMar>
          <w:left w:w="45" w:type="dxa"/>
          <w:right w:w="45" w:type="dxa"/>
        </w:tblCellMar>
        <w:tblLook w:val="02A0" w:firstRow="1" w:lastRow="0" w:firstColumn="1" w:lastColumn="0" w:noHBand="1" w:noVBand="0"/>
      </w:tblPr>
      <w:tblGrid>
        <w:gridCol w:w="5102"/>
        <w:gridCol w:w="907"/>
        <w:gridCol w:w="907"/>
        <w:gridCol w:w="907"/>
        <w:gridCol w:w="907"/>
        <w:gridCol w:w="907"/>
      </w:tblGrid>
      <w:tr w:rsidR="00830FB5" w:rsidRPr="00012598" w:rsidTr="00DD046B">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lang w:eastAsia="en-AU"/>
              </w:rPr>
            </w:pPr>
            <w:r w:rsidRPr="00012598">
              <w:rPr>
                <w:rFonts w:eastAsiaTheme="minorEastAsia" w:cs="Calibri"/>
                <w:iCs/>
                <w:color w:val="FFFFFF"/>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2015-16</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Sep</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8"/>
                <w:lang w:eastAsia="en-AU"/>
              </w:rPr>
              <w:t>Dec</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Mar</w:t>
            </w:r>
          </w:p>
        </w:tc>
        <w:tc>
          <w:tcPr>
            <w:tcW w:w="907" w:type="dxa"/>
            <w:tcBorders>
              <w:top w:val="nil"/>
              <w:left w:val="nil"/>
              <w:right w:val="nil"/>
            </w:tcBorders>
            <w:shd w:val="solid" w:color="000000" w:fill="auto"/>
          </w:tcPr>
          <w:p w:rsidR="00830FB5" w:rsidRPr="00012598" w:rsidRDefault="00830FB5" w:rsidP="000125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12598">
              <w:rPr>
                <w:rFonts w:eastAsiaTheme="minorEastAsia" w:cs="Calibri"/>
                <w:iCs/>
                <w:color w:val="FFFFFF"/>
                <w:szCs w:val="18"/>
                <w:lang w:eastAsia="en-AU"/>
              </w:rPr>
              <w:t>Jun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right w:val="nil"/>
            </w:tcBorders>
            <w:shd w:val="solid" w:color="000000" w:fill="auto"/>
          </w:tcPr>
          <w:p w:rsidR="00830FB5" w:rsidRPr="00012598" w:rsidRDefault="00830FB5" w:rsidP="00012598">
            <w:pPr>
              <w:autoSpaceDE w:val="0"/>
              <w:autoSpaceDN w:val="0"/>
              <w:adjustRightInd w:val="0"/>
              <w:rPr>
                <w:rFonts w:eastAsiaTheme="minorEastAsia" w:cs="Calibri"/>
                <w:i w:val="0"/>
                <w:iCs/>
                <w:color w:val="FFFFFF"/>
                <w:szCs w:val="16"/>
                <w:lang w:eastAsia="en-AU"/>
              </w:rPr>
            </w:pPr>
            <w:r w:rsidRPr="00012598">
              <w:rPr>
                <w:rFonts w:eastAsiaTheme="minorEastAsia" w:cs="Calibri"/>
                <w:iCs/>
                <w:color w:val="FFFFFF"/>
                <w:szCs w:val="16"/>
                <w:lang w:eastAsia="en-AU"/>
              </w:rPr>
              <w:t>2016-17</w:t>
            </w:r>
          </w:p>
          <w:p w:rsidR="00830FB5" w:rsidRPr="00012598" w:rsidRDefault="00830FB5" w:rsidP="00012598">
            <w:pPr>
              <w:autoSpaceDE w:val="0"/>
              <w:autoSpaceDN w:val="0"/>
              <w:adjustRightInd w:val="0"/>
              <w:rPr>
                <w:rFonts w:eastAsiaTheme="minorEastAsia" w:cs="Calibri"/>
                <w:iCs/>
                <w:color w:val="FFFFFF"/>
                <w:szCs w:val="16"/>
                <w:lang w:eastAsia="en-AU"/>
              </w:rPr>
            </w:pPr>
            <w:r w:rsidRPr="00012598">
              <w:rPr>
                <w:rFonts w:eastAsiaTheme="minorEastAsia" w:cs="Calibri"/>
                <w:iCs/>
                <w:color w:val="FFFFFF"/>
                <w:szCs w:val="18"/>
                <w:lang w:eastAsia="en-AU"/>
              </w:rPr>
              <w:t>Sep</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 xml:space="preserve">Receipts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Taxes received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4 887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5 048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4 748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5 092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5 078</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Grants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6 008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6 875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6 200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6 699</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vertAlign w:val="superscript"/>
                <w:lang w:eastAsia="en-AU"/>
              </w:rPr>
            </w:pPr>
            <w:r w:rsidRPr="00012598">
              <w:rPr>
                <w:rFonts w:eastAsiaTheme="minorEastAsia" w:cs="Calibri"/>
                <w:color w:val="000000"/>
                <w:szCs w:val="16"/>
                <w:lang w:eastAsia="en-AU"/>
              </w:rPr>
              <w:t xml:space="preserve">Sales of goods and services </w:t>
            </w:r>
            <w:r w:rsidRPr="00012598">
              <w:rPr>
                <w:rFonts w:eastAsiaTheme="minorEastAsia" w:cs="Calibri"/>
                <w:color w:val="000000"/>
                <w:szCs w:val="16"/>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1 782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1 745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1 667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2 060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1 891</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 xml:space="preserve">Interest received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179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231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169</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Dividends, income tax equivalent and rate equivalent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556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88</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106</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Other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439</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499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942</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556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317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Total receipts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13 359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14 319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14 523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14 227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14 260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 xml:space="preserve">Payments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Payments for employees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(4 730)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(4 892)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(4 972)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(5 026)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(5 227)</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Superannuation</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(773)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(757)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(658)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(689)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(743)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Interest paid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(531)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(500)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(519)</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(491)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(493)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Grants and subsidies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(2 185)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(2 151)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(2 693)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(1 509)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(2 670)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vertAlign w:val="superscript"/>
                <w:lang w:eastAsia="en-AU"/>
              </w:rPr>
            </w:pPr>
            <w:r w:rsidRPr="00012598">
              <w:rPr>
                <w:rFonts w:eastAsiaTheme="minorEastAsia" w:cs="Calibri"/>
                <w:color w:val="000000"/>
                <w:szCs w:val="16"/>
                <w:lang w:eastAsia="en-AU"/>
              </w:rPr>
              <w:t xml:space="preserve">Goods and services </w:t>
            </w:r>
            <w:r w:rsidRPr="00012598">
              <w:rPr>
                <w:rFonts w:eastAsiaTheme="minorEastAsia" w:cs="Calibri"/>
                <w:color w:val="000000"/>
                <w:szCs w:val="16"/>
                <w:vertAlign w:val="superscript"/>
                <w:lang w:eastAsia="en-AU"/>
              </w:rPr>
              <w:t>(a)</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(4 666)</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(4 301)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(3 644)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(4 646)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(4 563)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Other payments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(176)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(161)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(204)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(194)</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Total payments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(13 078)</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(12 778)</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(12 647)</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(12 566)</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(13 890)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Net 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280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1 541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1 877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1 661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370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flows from investing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Purchases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(960)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(1 077)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(954)</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(1 429)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(1 564)</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Sales of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30</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87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24</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flows from investments in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(938)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(1 026)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(1 341)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(1 540)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Net cash flows from investments in financial assets for policy purposes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30</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(220)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(77)</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359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Sub-total</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(908)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(1 245)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(1 001)</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(982)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(1 630)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Net cash flows from investments in financial assets for liquidity management purposes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(74)</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40</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(392)</w:t>
            </w:r>
          </w:p>
        </w:tc>
        <w:tc>
          <w:tcPr>
            <w:tcW w:w="907" w:type="dxa"/>
            <w:tcBorders>
              <w:top w:val="nil"/>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961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(184)</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Net cash flows from investing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(982)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(1 205)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(1 393)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(22)</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(1 813)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flows from financing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Advances received (net)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Net borrowings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528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(299)</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(1 336)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740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Deposits received (net)</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43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54</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Net cash flows from financing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481</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(285)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(181)</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(1 282)</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750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 xml:space="preserve">Net increase/(decrease) in cash and cash equivalents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(220)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51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303</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357</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(693)</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Cash and cash equivalents at beginning of reporting period</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4 282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4 061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4 112</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4 415</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4 772</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and cash equivalents at end of the financial year</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4 061</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4 112</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4 415</w:t>
            </w:r>
          </w:p>
        </w:tc>
        <w:tc>
          <w:tcPr>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4 772</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4 079</w:t>
            </w:r>
          </w:p>
        </w:tc>
      </w:tr>
      <w:tr w:rsidR="00012598" w:rsidRPr="00012598" w:rsidTr="00012598">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12598">
              <w:rPr>
                <w:rFonts w:eastAsiaTheme="minorEastAsia" w:cs="Calibri"/>
                <w:color w:val="000000"/>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lang w:eastAsia="en-AU"/>
              </w:rPr>
            </w:pPr>
            <w:r w:rsidRPr="00012598">
              <w:rPr>
                <w:rFonts w:eastAsiaTheme="minorEastAsia" w:cs="Calibri"/>
                <w:color w:val="000000"/>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FISCAL AGGREGATES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b/>
                <w:bCs/>
                <w:color w:val="000000"/>
                <w:szCs w:val="18"/>
                <w:lang w:eastAsia="en-AU"/>
              </w:rPr>
            </w:pPr>
            <w:r w:rsidRPr="00012598">
              <w:rPr>
                <w:rFonts w:eastAsiaTheme="minorEastAsia" w:cs="Calibri"/>
                <w:b/>
                <w:bCs/>
                <w:color w:val="000000"/>
                <w:szCs w:val="18"/>
                <w:lang w:eastAsia="en-AU"/>
              </w:rPr>
              <w:t xml:space="preserve"> </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Net cash flows from operating activities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280</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1 541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8"/>
                <w:lang w:eastAsia="en-AU"/>
              </w:rPr>
            </w:pPr>
            <w:r w:rsidRPr="00012598">
              <w:rPr>
                <w:rFonts w:eastAsiaTheme="minorEastAsia" w:cs="Calibri"/>
                <w:color w:val="000000"/>
                <w:szCs w:val="18"/>
                <w:lang w:eastAsia="en-AU"/>
              </w:rPr>
              <w:t>1 877</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12598">
              <w:rPr>
                <w:rFonts w:eastAsiaTheme="minorEastAsia" w:cs="Calibri"/>
                <w:color w:val="000000"/>
                <w:szCs w:val="18"/>
                <w:lang w:eastAsia="en-AU"/>
              </w:rPr>
              <w:t>1 661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370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12598" w:rsidRPr="00012598" w:rsidRDefault="00012598" w:rsidP="00012598">
            <w:pPr>
              <w:autoSpaceDE w:val="0"/>
              <w:autoSpaceDN w:val="0"/>
              <w:adjustRightInd w:val="0"/>
              <w:rPr>
                <w:rFonts w:eastAsiaTheme="minorEastAsia" w:cs="Calibri"/>
                <w:color w:val="000000"/>
                <w:szCs w:val="16"/>
                <w:lang w:eastAsia="en-AU"/>
              </w:rPr>
            </w:pPr>
            <w:r w:rsidRPr="00012598">
              <w:rPr>
                <w:rFonts w:eastAsiaTheme="minorEastAsia" w:cs="Calibri"/>
                <w:color w:val="000000"/>
                <w:szCs w:val="16"/>
                <w:lang w:eastAsia="en-AU"/>
              </w:rPr>
              <w:t>Net cash flows from investments in non-financial assets</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(938)</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(1 026)</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(925)</w:t>
            </w:r>
          </w:p>
        </w:tc>
        <w:tc>
          <w:tcPr>
            <w:tcW w:w="907" w:type="dxa"/>
            <w:tcBorders>
              <w:top w:val="nil"/>
              <w:left w:val="nil"/>
              <w:bottom w:val="nil"/>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8"/>
                <w:lang w:eastAsia="en-AU"/>
              </w:rPr>
              <w:t>(1 341)</w:t>
            </w:r>
          </w:p>
        </w:tc>
        <w:tc>
          <w:tcPr>
            <w:cnfStyle w:val="000010000000" w:firstRow="0" w:lastRow="0" w:firstColumn="0" w:lastColumn="0" w:oddVBand="1" w:evenVBand="0" w:oddHBand="0" w:evenHBand="0" w:firstRowFirstColumn="0" w:firstRowLastColumn="0" w:lastRowFirstColumn="0" w:lastRowLastColumn="0"/>
            <w:tcW w:w="907" w:type="dxa"/>
            <w:tcBorders>
              <w:top w:val="nil"/>
              <w:left w:val="nil"/>
              <w:bottom w:val="nil"/>
              <w:right w:val="nil"/>
            </w:tcBorders>
          </w:tcPr>
          <w:p w:rsidR="00012598" w:rsidRPr="00012598" w:rsidRDefault="00012598" w:rsidP="00012598">
            <w:pPr>
              <w:autoSpaceDE w:val="0"/>
              <w:autoSpaceDN w:val="0"/>
              <w:adjustRightInd w:val="0"/>
            </w:pPr>
            <w:r>
              <w:rPr>
                <w:rFonts w:eastAsiaTheme="minorEastAsia" w:cs="Calibri"/>
                <w:color w:val="000000"/>
                <w:szCs w:val="18"/>
                <w:lang w:eastAsia="en-AU"/>
              </w:rPr>
              <w:t>(1 540)</w:t>
            </w:r>
          </w:p>
        </w:tc>
      </w:tr>
      <w:tr w:rsidR="00012598" w:rsidRPr="00012598" w:rsidTr="00012598">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rPr>
                <w:rFonts w:eastAsiaTheme="minorEastAsia" w:cs="Calibri"/>
                <w:b/>
                <w:bCs/>
                <w:color w:val="000000"/>
                <w:szCs w:val="16"/>
                <w:lang w:eastAsia="en-AU"/>
              </w:rPr>
            </w:pPr>
            <w:r w:rsidRPr="00012598">
              <w:rPr>
                <w:rFonts w:eastAsiaTheme="minorEastAsia" w:cs="Calibri"/>
                <w:b/>
                <w:bCs/>
                <w:color w:val="000000"/>
                <w:szCs w:val="16"/>
                <w:lang w:eastAsia="en-AU"/>
              </w:rPr>
              <w:t>Cash surplus/(deficit)</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(658)</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515</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952</w:t>
            </w:r>
          </w:p>
        </w:tc>
        <w:tc>
          <w:tcPr>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8"/>
                <w:lang w:eastAsia="en-AU"/>
              </w:rPr>
              <w:t>320</w:t>
            </w:r>
          </w:p>
        </w:tc>
        <w:tc>
          <w:tcPr>
            <w:cnfStyle w:val="000010000000" w:firstRow="0" w:lastRow="0" w:firstColumn="0" w:lastColumn="0" w:oddVBand="1" w:evenVBand="0" w:oddHBand="0" w:evenHBand="0" w:firstRowFirstColumn="0" w:firstRowLastColumn="0" w:lastRowFirstColumn="0" w:lastRowLastColumn="0"/>
            <w:tcW w:w="907" w:type="dxa"/>
            <w:tcBorders>
              <w:top w:val="single" w:sz="6" w:space="0" w:color="000000"/>
              <w:left w:val="nil"/>
              <w:bottom w:val="single" w:sz="12" w:space="0" w:color="auto"/>
              <w:right w:val="nil"/>
            </w:tcBorders>
          </w:tcPr>
          <w:p w:rsidR="00012598" w:rsidRPr="00012598" w:rsidRDefault="00012598" w:rsidP="00012598">
            <w:pPr>
              <w:autoSpaceDE w:val="0"/>
              <w:autoSpaceDN w:val="0"/>
              <w:adjustRightInd w:val="0"/>
            </w:pPr>
            <w:r>
              <w:rPr>
                <w:rFonts w:eastAsiaTheme="minorEastAsia" w:cs="Calibri"/>
                <w:b/>
                <w:bCs/>
                <w:color w:val="000000"/>
                <w:szCs w:val="18"/>
                <w:lang w:eastAsia="en-AU"/>
              </w:rPr>
              <w:t>(1 170)</w:t>
            </w:r>
          </w:p>
        </w:tc>
      </w:tr>
    </w:tbl>
    <w:p w:rsidR="00B21D72" w:rsidRDefault="00CD4985" w:rsidP="00CD4985">
      <w:pPr>
        <w:pStyle w:val="Note"/>
      </w:pPr>
      <w:r>
        <w:t>Note:</w:t>
      </w:r>
    </w:p>
    <w:p w:rsidR="00CD4985" w:rsidRDefault="00C7022B" w:rsidP="00C7022B">
      <w:pPr>
        <w:pStyle w:val="Note"/>
      </w:pPr>
      <w:r>
        <w:t>(a)</w:t>
      </w:r>
      <w:r>
        <w:tab/>
      </w:r>
      <w:r w:rsidR="00CD4985">
        <w:t>These items are inclusive of goods and services tax.</w:t>
      </w:r>
    </w:p>
    <w:p w:rsidR="00991E04" w:rsidRDefault="00991E04">
      <w:pPr>
        <w:rPr>
          <w:rFonts w:asciiTheme="majorHAnsi" w:hAnsiTheme="majorHAnsi"/>
          <w:i/>
          <w:spacing w:val="-2"/>
          <w:sz w:val="16"/>
        </w:rPr>
      </w:pPr>
      <w:r>
        <w:br w:type="page"/>
      </w:r>
    </w:p>
    <w:p w:rsidR="00991E04" w:rsidRPr="0050132E" w:rsidRDefault="00991E04" w:rsidP="00991E04">
      <w:pPr>
        <w:pStyle w:val="Heading1unnumbered"/>
      </w:pPr>
      <w:bookmarkStart w:id="23" w:name="_Toc371927806"/>
      <w:bookmarkStart w:id="24" w:name="_Toc435107524"/>
      <w:bookmarkStart w:id="25" w:name="StyleConventions"/>
      <w:r w:rsidRPr="0050132E">
        <w:lastRenderedPageBreak/>
        <w:t>Style conventions</w:t>
      </w:r>
      <w:bookmarkEnd w:id="23"/>
      <w:bookmarkEnd w:id="24"/>
    </w:p>
    <w:bookmarkEnd w:id="25"/>
    <w:p w:rsidR="00991E04" w:rsidRPr="0050132E" w:rsidRDefault="00991E04" w:rsidP="00991E04">
      <w:r w:rsidRPr="0050132E">
        <w:t>Figures in the tables and in the text have been rounded. Discrepancies in tables between totals and sums of components reflect rounding. Percentage changes in all tables are based on the underlying unrounded amounts.</w:t>
      </w:r>
    </w:p>
    <w:p w:rsidR="00991E04" w:rsidRPr="0050132E" w:rsidRDefault="00991E04" w:rsidP="00991E04">
      <w:r w:rsidRPr="0050132E">
        <w:t>The notation used in the tables is as follows:</w:t>
      </w:r>
    </w:p>
    <w:p w:rsidR="00991E04" w:rsidRPr="0050132E" w:rsidRDefault="00991E04" w:rsidP="00991E04">
      <w:pPr>
        <w:pStyle w:val="NormalIndent"/>
        <w:tabs>
          <w:tab w:val="left" w:pos="1985"/>
        </w:tabs>
      </w:pPr>
      <w:proofErr w:type="spellStart"/>
      <w:r w:rsidRPr="0050132E">
        <w:t>n.a</w:t>
      </w:r>
      <w:proofErr w:type="spellEnd"/>
      <w:r w:rsidRPr="0050132E">
        <w:t xml:space="preserve">. or </w:t>
      </w:r>
      <w:proofErr w:type="spellStart"/>
      <w:r w:rsidRPr="0050132E">
        <w:t>na</w:t>
      </w:r>
      <w:proofErr w:type="spellEnd"/>
      <w:r w:rsidRPr="0050132E">
        <w:tab/>
        <w:t>not available or not applicable</w:t>
      </w:r>
    </w:p>
    <w:p w:rsidR="00991E04" w:rsidRPr="0050132E" w:rsidRDefault="00991E04" w:rsidP="00991E04">
      <w:pPr>
        <w:pStyle w:val="NormalIndent"/>
        <w:tabs>
          <w:tab w:val="left" w:pos="1985"/>
        </w:tabs>
      </w:pPr>
      <w:r w:rsidRPr="0050132E">
        <w:t>1 billion</w:t>
      </w:r>
      <w:r w:rsidRPr="0050132E">
        <w:tab/>
        <w:t>1 000 million</w:t>
      </w:r>
    </w:p>
    <w:p w:rsidR="00991E04" w:rsidRPr="0050132E" w:rsidRDefault="00991E04" w:rsidP="00991E04">
      <w:pPr>
        <w:pStyle w:val="NormalIndent"/>
        <w:tabs>
          <w:tab w:val="left" w:pos="1985"/>
        </w:tabs>
      </w:pPr>
      <w:r w:rsidRPr="0050132E">
        <w:t>1 basis point</w:t>
      </w:r>
      <w:r w:rsidRPr="0050132E">
        <w:tab/>
        <w:t>0.01 per cent</w:t>
      </w:r>
    </w:p>
    <w:p w:rsidR="00991E04" w:rsidRPr="0050132E" w:rsidRDefault="00991E04" w:rsidP="00991E04">
      <w:pPr>
        <w:pStyle w:val="NormalIndent"/>
        <w:tabs>
          <w:tab w:val="left" w:pos="1985"/>
        </w:tabs>
      </w:pPr>
      <w:r w:rsidRPr="0050132E">
        <w:t>..</w:t>
      </w:r>
      <w:r w:rsidRPr="0050132E">
        <w:tab/>
        <w:t>zero, or rounded to zero</w:t>
      </w:r>
    </w:p>
    <w:p w:rsidR="00991E04" w:rsidRPr="0050132E" w:rsidRDefault="00991E04" w:rsidP="00991E04">
      <w:pPr>
        <w:pStyle w:val="NormalIndent"/>
        <w:tabs>
          <w:tab w:val="left" w:pos="1985"/>
        </w:tabs>
      </w:pPr>
      <w:r w:rsidRPr="0050132E">
        <w:t>(</w:t>
      </w:r>
      <w:proofErr w:type="spellStart"/>
      <w:r w:rsidRPr="0050132E">
        <w:t>xxx.x</w:t>
      </w:r>
      <w:proofErr w:type="spellEnd"/>
      <w:r w:rsidRPr="0050132E">
        <w:t>)</w:t>
      </w:r>
      <w:r w:rsidRPr="0050132E">
        <w:tab/>
        <w:t xml:space="preserve">negative numbers </w:t>
      </w:r>
    </w:p>
    <w:p w:rsidR="00991E04" w:rsidRPr="00787DF9" w:rsidRDefault="00991E04" w:rsidP="00C7022B">
      <w:pPr>
        <w:pStyle w:val="Note"/>
      </w:pPr>
    </w:p>
    <w:sectPr w:rsidR="00991E04" w:rsidRPr="00787DF9" w:rsidSect="00E92C26">
      <w:footerReference w:type="even" r:id="rId58"/>
      <w:type w:val="continuous"/>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F7" w:rsidRDefault="00342BF7" w:rsidP="00F0409B">
      <w:pPr>
        <w:spacing w:after="0" w:line="240" w:lineRule="auto"/>
      </w:pPr>
      <w:r>
        <w:separator/>
      </w:r>
    </w:p>
  </w:endnote>
  <w:endnote w:type="continuationSeparator" w:id="0">
    <w:p w:rsidR="00342BF7" w:rsidRDefault="00342BF7" w:rsidP="00F0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1E545A" w:rsidRDefault="00342BF7" w:rsidP="001E545A">
    <w:pPr>
      <w:pStyle w:val="BodyTex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8</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342BF7">
      <w:rPr>
        <w:noProof/>
      </w:rPr>
      <w:t>9</w:t>
    </w:r>
    <w:r w:rsidR="00342BF7" w:rsidRPr="00B862F0">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Pr>
        <w:noProof/>
      </w:rPr>
      <w:t>10</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9</w:t>
    </w:r>
    <w:r w:rsidR="00342BF7" w:rsidRPr="00B862F0">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10</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11</w:t>
    </w:r>
    <w:r w:rsidR="00342BF7" w:rsidRPr="00B862F0">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12</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13</w:t>
    </w:r>
    <w:r w:rsidR="00342BF7" w:rsidRPr="00B862F0">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16</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15</w:t>
    </w:r>
    <w:r w:rsidR="00342BF7" w:rsidRPr="00B862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Pr>
        <w:noProof/>
      </w:rPr>
      <w:t>2</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18</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342BF7">
      <w:rPr>
        <w:noProof/>
      </w:rPr>
      <w:t>19</w:t>
    </w:r>
    <w:r w:rsidR="00342BF7" w:rsidRPr="00B862F0">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20</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21</w:t>
    </w:r>
    <w:r w:rsidR="00342BF7" w:rsidRPr="00B862F0">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C92342">
    <w:pPr>
      <w:pStyle w:val="FooterEvenpage"/>
    </w:pPr>
    <w:r w:rsidRPr="00B862F0">
      <w:fldChar w:fldCharType="begin"/>
    </w:r>
    <w:r w:rsidRPr="00B862F0">
      <w:instrText xml:space="preserve"> PAGE  \* Arabic  \* MERGEFORMAT </w:instrText>
    </w:r>
    <w:r w:rsidRPr="00B862F0">
      <w:fldChar w:fldCharType="separate"/>
    </w:r>
    <w:r w:rsidR="008903D9">
      <w:rPr>
        <w:noProof/>
      </w:rPr>
      <w:t>22</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27</w:t>
    </w:r>
    <w:r w:rsidR="00342BF7" w:rsidRPr="00B862F0">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943AB6">
    <w:pPr>
      <w:pStyle w:val="FooterEvenpage"/>
    </w:pPr>
    <w:r w:rsidRPr="00B862F0">
      <w:fldChar w:fldCharType="begin"/>
    </w:r>
    <w:r w:rsidRPr="00B862F0">
      <w:instrText xml:space="preserve"> PAGE  \* Arabic  \* MERGEFORMAT </w:instrText>
    </w:r>
    <w:r w:rsidRPr="00B862F0">
      <w:fldChar w:fldCharType="separate"/>
    </w:r>
    <w:r>
      <w:rPr>
        <w:noProof/>
      </w:rPr>
      <w:t>24</w:t>
    </w:r>
    <w:r w:rsidRPr="00B862F0">
      <w:fldChar w:fldCharType="end"/>
    </w:r>
    <w:r w:rsidRPr="00B862F0">
      <w:tab/>
    </w:r>
    <w:r>
      <w:t>Chapter 4</w:t>
    </w:r>
    <w:r w:rsidRPr="00B862F0">
      <w:tab/>
    </w:r>
    <w:fldSimple w:instr=" DOCPROPERTY  Title  \* MERGEFORMAT ">
      <w:r w:rsidR="00534213">
        <w:t>Quarterly Financial Report for the Victorian general government sector – September 2016</w:t>
      </w:r>
    </w:fldSimple>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C92342">
    <w:pPr>
      <w:pStyle w:val="FooterEvenpage"/>
    </w:pPr>
    <w:r w:rsidRPr="00B862F0">
      <w:fldChar w:fldCharType="begin"/>
    </w:r>
    <w:r w:rsidRPr="00B862F0">
      <w:instrText xml:space="preserve"> PAGE  \* Arabic  \* MERGEFORMAT </w:instrText>
    </w:r>
    <w:r w:rsidRPr="00B862F0">
      <w:fldChar w:fldCharType="separate"/>
    </w:r>
    <w:r w:rsidR="0078791B">
      <w:rPr>
        <w:noProof/>
      </w:rPr>
      <w:t>24</w:t>
    </w:r>
    <w:r w:rsidRPr="00B862F0">
      <w:fldChar w:fldCharType="end"/>
    </w:r>
    <w:r w:rsidRPr="00B862F0">
      <w:tab/>
    </w:r>
    <w:r w:rsidRPr="00B862F0">
      <w:tab/>
    </w:r>
    <w:r>
      <w:fldChar w:fldCharType="begin"/>
    </w:r>
    <w:r w:rsidRPr="00C92342">
      <w:instrText xml:space="preserve"> DOCPROPERTY  Title  \* MERGEFORMAT </w:instrText>
    </w:r>
    <w:r>
      <w:fldChar w:fldCharType="separate"/>
    </w:r>
    <w:r w:rsidR="00534213">
      <w:t>Quarterly Financial Report for the Victorian general government sector – September 2016</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1B" w:rsidRPr="00DE38D7" w:rsidRDefault="0078791B" w:rsidP="00C92342">
    <w:pPr>
      <w:pStyle w:val="FooterEvenpage"/>
    </w:pPr>
    <w:r w:rsidRPr="00B862F0">
      <w:fldChar w:fldCharType="begin"/>
    </w:r>
    <w:r w:rsidRPr="00B862F0">
      <w:instrText xml:space="preserve"> PAGE  \* Arabic  \* MERGEFORMAT </w:instrText>
    </w:r>
    <w:r w:rsidRPr="00B862F0">
      <w:fldChar w:fldCharType="separate"/>
    </w:r>
    <w:r w:rsidR="008903D9">
      <w:rPr>
        <w:noProof/>
      </w:rPr>
      <w:t>24</w:t>
    </w:r>
    <w:r w:rsidRPr="00B862F0">
      <w:fldChar w:fldCharType="end"/>
    </w:r>
    <w:r w:rsidRPr="00B862F0">
      <w:tab/>
    </w:r>
    <w:r>
      <w:fldChar w:fldCharType="begin"/>
    </w:r>
    <w:r w:rsidRPr="00C92342">
      <w:instrText xml:space="preserve"> DOCPROPERTY  Title  \* MERGEFORMAT </w:instrText>
    </w:r>
    <w:r>
      <w:fldChar w:fldCharType="separate"/>
    </w:r>
    <w:r>
      <w:t>Quarterly Financial Report for the Victorian general government sector – September 2016</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C92342">
    <w:pPr>
      <w:pStyle w:val="FooterEvenpage"/>
    </w:pPr>
    <w:r w:rsidRPr="00B862F0">
      <w:fldChar w:fldCharType="begin"/>
    </w:r>
    <w:r w:rsidRPr="00B862F0">
      <w:instrText xml:space="preserve"> PAGE  \* Arabic  \* MERGEFORMAT </w:instrText>
    </w:r>
    <w:r w:rsidRPr="00B862F0">
      <w:fldChar w:fldCharType="separate"/>
    </w:r>
    <w:r w:rsidR="008903D9">
      <w:rPr>
        <w:noProof/>
      </w:rPr>
      <w:t>26</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991E04" w:rsidRDefault="00342BF7" w:rsidP="00D801B8">
    <w:pPr>
      <w:pStyle w:val="Footer"/>
      <w:pBdr>
        <w:top w:val="none" w:sz="0" w:space="0" w:color="auto"/>
      </w:pBdr>
      <w:jc w:val="right"/>
    </w:pPr>
    <w:r>
      <w:fldChar w:fldCharType="begin"/>
    </w:r>
    <w:r>
      <w:instrText xml:space="preserve"> PAGE  \* roman  \* MERGEFORMAT </w:instrText>
    </w:r>
    <w:r>
      <w:fldChar w:fldCharType="separate"/>
    </w:r>
    <w:r w:rsidR="008903D9">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4B620C">
    <w:pPr>
      <w:pStyle w:val="Footer"/>
    </w:pPr>
    <w:r w:rsidRPr="00B862F0">
      <w:fldChar w:fldCharType="begin"/>
    </w:r>
    <w:r w:rsidRPr="00B862F0">
      <w:instrText xml:space="preserve"> PAGE  \* Arabic  \* MERGEFORMAT </w:instrText>
    </w:r>
    <w:r w:rsidRPr="00B862F0">
      <w:fldChar w:fldCharType="separate"/>
    </w:r>
    <w:r w:rsidR="008903D9">
      <w:rPr>
        <w:noProof/>
      </w:rPr>
      <w:t>2</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C92342">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3</w:t>
    </w:r>
    <w:r w:rsidR="00342BF7" w:rsidRPr="00B862F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DE38D7" w:rsidRDefault="00342BF7" w:rsidP="00C92342">
    <w:pPr>
      <w:pStyle w:val="FooterEvenpage"/>
    </w:pPr>
    <w:r w:rsidRPr="00B862F0">
      <w:fldChar w:fldCharType="begin"/>
    </w:r>
    <w:r w:rsidRPr="00B862F0">
      <w:instrText xml:space="preserve"> PAGE  \* Arabic  \* MERGEFORMAT </w:instrText>
    </w:r>
    <w:r w:rsidRPr="00B862F0">
      <w:fldChar w:fldCharType="separate"/>
    </w:r>
    <w:r w:rsidR="008903D9">
      <w:rPr>
        <w:noProof/>
      </w:rPr>
      <w:t>4</w:t>
    </w:r>
    <w:r w:rsidRPr="00B862F0">
      <w:fldChar w:fldCharType="end"/>
    </w:r>
    <w:r w:rsidRPr="00B862F0">
      <w:tab/>
    </w:r>
    <w:fldSimple w:instr=" DOCPROPERTY  Title  \* MERGEFORMAT ">
      <w:r w:rsidR="00534213">
        <w:t>Quarterly Financial Report for the Victorian general government sector – September 2016</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B862F0" w:rsidRDefault="0078791B" w:rsidP="004B620C">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5</w:t>
    </w:r>
    <w:r w:rsidR="00342BF7" w:rsidRPr="00B862F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3239D0" w:rsidRDefault="00342BF7" w:rsidP="003239D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Pr="003239D0" w:rsidRDefault="00342BF7" w:rsidP="003239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F7" w:rsidRDefault="00342BF7" w:rsidP="00F0409B">
      <w:pPr>
        <w:spacing w:after="0" w:line="240" w:lineRule="auto"/>
      </w:pPr>
      <w:r>
        <w:separator/>
      </w:r>
    </w:p>
  </w:footnote>
  <w:footnote w:type="continuationSeparator" w:id="0">
    <w:p w:rsidR="00342BF7" w:rsidRDefault="00342BF7" w:rsidP="00F04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r>
      <w:rPr>
        <w:noProof/>
        <w:lang w:eastAsia="en-AU"/>
      </w:rPr>
      <mc:AlternateContent>
        <mc:Choice Requires="wps">
          <w:drawing>
            <wp:anchor distT="0" distB="0" distL="114300" distR="114300" simplePos="0" relativeHeight="251660288" behindDoc="0" locked="0" layoutInCell="1" allowOverlap="1" wp14:anchorId="1F2C419F" wp14:editId="7FDE26B5">
              <wp:simplePos x="0" y="0"/>
              <wp:positionH relativeFrom="column">
                <wp:posOffset>-378090</wp:posOffset>
              </wp:positionH>
              <wp:positionV relativeFrom="paragraph">
                <wp:posOffset>305760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2BF7" w:rsidRPr="00DE38D7" w:rsidRDefault="00342BF7" w:rsidP="003239D0">
                          <w:pPr>
                            <w:pStyle w:val="Footer"/>
                          </w:pPr>
                          <w:r w:rsidRPr="00B862F0">
                            <w:fldChar w:fldCharType="begin"/>
                          </w:r>
                          <w:r w:rsidRPr="00B862F0">
                            <w:instrText xml:space="preserve"> PAGE  \* Arabic  \* MERGEFORMAT </w:instrText>
                          </w:r>
                          <w:r w:rsidRPr="00B862F0">
                            <w:fldChar w:fldCharType="separate"/>
                          </w:r>
                          <w:r>
                            <w:rPr>
                              <w:noProof/>
                            </w:rPr>
                            <w:t>8</w:t>
                          </w:r>
                          <w:r w:rsidRPr="00B862F0">
                            <w:fldChar w:fldCharType="end"/>
                          </w:r>
                          <w:r w:rsidRPr="00B862F0">
                            <w:tab/>
                          </w:r>
                          <w:fldSimple w:instr=" DOCPROPERTY  Title  \* MERGEFORMAT ">
                            <w:r w:rsidR="00534213">
                              <w:t>Quarterly Financial Report for the Victorian general government sector – September 2016</w:t>
                            </w:r>
                          </w:fldSimple>
                        </w:p>
                        <w:p w:rsidR="00342BF7" w:rsidRDefault="00342BF7" w:rsidP="003239D0">
                          <w:pPr>
                            <w:pStyle w:val="Foot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5pt;margin-top:24.1pt;width:31.2pt;height:48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" filled="f" stroked="f" strokeweight=".5pt">
              <v:textbox style="layout-flow:vertical">
                <w:txbxContent>
                  <w:p w:rsidR="00342BF7" w:rsidRPr="00DE38D7" w:rsidRDefault="00342BF7" w:rsidP="003239D0">
                    <w:pPr>
                      <w:pStyle w:val="Footer"/>
                    </w:pPr>
                    <w:r w:rsidRPr="00B862F0">
                      <w:fldChar w:fldCharType="begin"/>
                    </w:r>
                    <w:r w:rsidRPr="00B862F0">
                      <w:instrText xml:space="preserve"> PAGE  \* Arabic  \* MERGEFORMAT </w:instrText>
                    </w:r>
                    <w:r w:rsidRPr="00B862F0">
                      <w:fldChar w:fldCharType="separate"/>
                    </w:r>
                    <w:r>
                      <w:rPr>
                        <w:noProof/>
                      </w:rPr>
                      <w:t>8</w:t>
                    </w:r>
                    <w:r w:rsidRPr="00B862F0">
                      <w:fldChar w:fldCharType="end"/>
                    </w:r>
                    <w:r w:rsidRPr="00B862F0">
                      <w:tab/>
                    </w:r>
                    <w:r w:rsidR="0078791B">
                      <w:fldChar w:fldCharType="begin"/>
                    </w:r>
                    <w:r w:rsidR="0078791B">
                      <w:instrText xml:space="preserve"> DOCPROPERTY  Ti</w:instrText>
                    </w:r>
                    <w:r w:rsidR="0078791B">
                      <w:instrText xml:space="preserve">tle  \* MERGEFORMAT </w:instrText>
                    </w:r>
                    <w:r w:rsidR="0078791B">
                      <w:fldChar w:fldCharType="separate"/>
                    </w:r>
                    <w:r w:rsidR="00534213">
                      <w:t>Quarterly Financial Report for the Victorian general government sector – September 2016</w:t>
                    </w:r>
                    <w:r w:rsidR="0078791B">
                      <w:fldChar w:fldCharType="end"/>
                    </w:r>
                  </w:p>
                  <w:p w:rsidR="00342BF7" w:rsidRDefault="00342BF7" w:rsidP="003239D0">
                    <w:pPr>
                      <w:pStyle w:val="Foote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r>
      <w:rPr>
        <w:noProof/>
        <w:lang w:eastAsia="en-AU"/>
      </w:rPr>
      <mc:AlternateContent>
        <mc:Choice Requires="wps">
          <w:drawing>
            <wp:anchor distT="0" distB="0" distL="114300" distR="114300" simplePos="0" relativeHeight="251659264" behindDoc="0" locked="0" layoutInCell="1" allowOverlap="1" wp14:anchorId="087FE591" wp14:editId="2D96B03D">
              <wp:simplePos x="0" y="0"/>
              <wp:positionH relativeFrom="column">
                <wp:posOffset>-378090</wp:posOffset>
              </wp:positionH>
              <wp:positionV relativeFrom="paragraph">
                <wp:posOffset>305760</wp:posOffset>
              </wp:positionV>
              <wp:extent cx="396000" cy="61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2BF7" w:rsidRPr="00B862F0" w:rsidRDefault="0078791B" w:rsidP="003239D0">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7</w:t>
                          </w:r>
                          <w:r w:rsidR="00342BF7" w:rsidRPr="00B862F0">
                            <w:fldChar w:fldCharType="end"/>
                          </w:r>
                        </w:p>
                        <w:p w:rsidR="00342BF7" w:rsidRDefault="00342BF7" w:rsidP="003239D0">
                          <w:pPr>
                            <w:pStyle w:val="Foot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75pt;margin-top:24.1pt;width:31.2pt;height:48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" filled="f" stroked="f" strokeweight=".5pt">
              <v:textbox style="layout-flow:vertical">
                <w:txbxContent>
                  <w:p w:rsidR="00342BF7" w:rsidRPr="00B862F0" w:rsidRDefault="0078791B" w:rsidP="003239D0">
                    <w:pPr>
                      <w:pStyle w:val="Footer"/>
                    </w:pPr>
                    <w:fldSimple w:instr=" DOCPROPERTY  Title  \* MERGEFORMAT ">
                      <w:r w:rsidR="00534213">
                        <w:t>Quarterly Financial Report for the Victorian general government sector – September 2016</w:t>
                      </w:r>
                    </w:fldSimple>
                    <w:r w:rsidR="00342BF7" w:rsidRPr="00B862F0">
                      <w:tab/>
                    </w:r>
                    <w:r w:rsidR="00342BF7" w:rsidRPr="00B862F0">
                      <w:fldChar w:fldCharType="begin"/>
                    </w:r>
                    <w:r w:rsidR="00342BF7" w:rsidRPr="00B862F0">
                      <w:instrText xml:space="preserve"> PAGE  \* Arabic  \* MERGEFORMAT </w:instrText>
                    </w:r>
                    <w:r w:rsidR="00342BF7" w:rsidRPr="00B862F0">
                      <w:fldChar w:fldCharType="separate"/>
                    </w:r>
                    <w:r w:rsidR="008903D9">
                      <w:rPr>
                        <w:noProof/>
                      </w:rPr>
                      <w:t>7</w:t>
                    </w:r>
                    <w:r w:rsidR="00342BF7" w:rsidRPr="00B862F0">
                      <w:fldChar w:fldCharType="end"/>
                    </w:r>
                  </w:p>
                  <w:p w:rsidR="00342BF7" w:rsidRDefault="00342BF7" w:rsidP="003239D0">
                    <w:pPr>
                      <w:pStyle w:val="Foote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F7" w:rsidRDefault="00342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EE6E3A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71CE78E"/>
    <w:lvl w:ilvl="0">
      <w:start w:val="1"/>
      <w:numFmt w:val="bullet"/>
      <w:lvlText w:val=""/>
      <w:lvlJc w:val="left"/>
      <w:pPr>
        <w:tabs>
          <w:tab w:val="num" w:pos="360"/>
        </w:tabs>
        <w:ind w:left="360" w:hanging="360"/>
      </w:pPr>
      <w:rPr>
        <w:rFonts w:ascii="Symbol" w:hAnsi="Symbol" w:hint="default"/>
      </w:rPr>
    </w:lvl>
  </w:abstractNum>
  <w:abstractNum w:abstractNumId="2">
    <w:nsid w:val="05966859"/>
    <w:multiLevelType w:val="hybridMultilevel"/>
    <w:tmpl w:val="97DC7076"/>
    <w:lvl w:ilvl="0" w:tplc="0CCE95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4334A3"/>
    <w:multiLevelType w:val="hybridMultilevel"/>
    <w:tmpl w:val="F6C47BFE"/>
    <w:lvl w:ilvl="0" w:tplc="22266C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77841F7"/>
    <w:multiLevelType w:val="hybridMultilevel"/>
    <w:tmpl w:val="D924D316"/>
    <w:lvl w:ilvl="0" w:tplc="883E35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7440AC"/>
    <w:multiLevelType w:val="hybridMultilevel"/>
    <w:tmpl w:val="F6C0E228"/>
    <w:lvl w:ilvl="0" w:tplc="96F4A7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B822443"/>
    <w:multiLevelType w:val="hybridMultilevel"/>
    <w:tmpl w:val="895C0C66"/>
    <w:lvl w:ilvl="0" w:tplc="5074D26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3413CA"/>
    <w:multiLevelType w:val="hybridMultilevel"/>
    <w:tmpl w:val="AE2A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C5587D"/>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1C31280D"/>
    <w:multiLevelType w:val="singleLevel"/>
    <w:tmpl w:val="4464174C"/>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2428459D"/>
    <w:multiLevelType w:val="hybridMultilevel"/>
    <w:tmpl w:val="97669354"/>
    <w:lvl w:ilvl="0" w:tplc="5B8699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4CE1BC6"/>
    <w:multiLevelType w:val="hybridMultilevel"/>
    <w:tmpl w:val="7EC8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37745A"/>
    <w:multiLevelType w:val="hybridMultilevel"/>
    <w:tmpl w:val="01FC97DE"/>
    <w:lvl w:ilvl="0" w:tplc="0608AD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6DA21D1"/>
    <w:multiLevelType w:val="hybridMultilevel"/>
    <w:tmpl w:val="DCE03BFE"/>
    <w:lvl w:ilvl="0" w:tplc="DF22D7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83B293C"/>
    <w:multiLevelType w:val="hybridMultilevel"/>
    <w:tmpl w:val="B540C8D6"/>
    <w:lvl w:ilvl="0" w:tplc="BF24713E">
      <w:start w:val="1"/>
      <w:numFmt w:val="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5C08AE"/>
    <w:multiLevelType w:val="multilevel"/>
    <w:tmpl w:val="86BA075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2A901256"/>
    <w:multiLevelType w:val="multilevel"/>
    <w:tmpl w:val="687A9B50"/>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2DA55B2F"/>
    <w:multiLevelType w:val="multilevel"/>
    <w:tmpl w:val="EFCE6D4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nsid w:val="2E2D3BAB"/>
    <w:multiLevelType w:val="multilevel"/>
    <w:tmpl w:val="4AFAE0EC"/>
    <w:lvl w:ilvl="0">
      <w:start w:val="1"/>
      <w:numFmt w:val="decimal"/>
      <w:pStyle w:val="Heading1"/>
      <w:lvlText w:val="%1."/>
      <w:lvlJc w:val="left"/>
      <w:pPr>
        <w:ind w:left="432" w:hanging="432"/>
      </w:pPr>
      <w:rPr>
        <w:rFonts w:hint="default"/>
        <w:b/>
        <w:i w:val="0"/>
        <w:color w:val="auto"/>
        <w:sz w:val="32"/>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09322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D81DD3"/>
    <w:multiLevelType w:val="multilevel"/>
    <w:tmpl w:val="EFCE6D40"/>
    <w:numStyleLink w:val="Bullet"/>
  </w:abstractNum>
  <w:abstractNum w:abstractNumId="21">
    <w:nsid w:val="32940CD5"/>
    <w:multiLevelType w:val="multilevel"/>
    <w:tmpl w:val="EFCE6D40"/>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nsid w:val="36504E86"/>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3B072FF5"/>
    <w:multiLevelType w:val="multilevel"/>
    <w:tmpl w:val="5CF81E6C"/>
    <w:numStyleLink w:val="Headingstyles"/>
  </w:abstractNum>
  <w:abstractNum w:abstractNumId="24">
    <w:nsid w:val="3BD34AFF"/>
    <w:multiLevelType w:val="hybridMultilevel"/>
    <w:tmpl w:val="9FFE7D50"/>
    <w:lvl w:ilvl="0" w:tplc="74DA5C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CFC52E9"/>
    <w:multiLevelType w:val="hybridMultilevel"/>
    <w:tmpl w:val="D174DAAA"/>
    <w:lvl w:ilvl="0" w:tplc="40B48826">
      <w:start w:val="1"/>
      <w:numFmt w:val="bullet"/>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7AD0870"/>
    <w:multiLevelType w:val="hybridMultilevel"/>
    <w:tmpl w:val="8F8C7CD0"/>
    <w:lvl w:ilvl="0" w:tplc="9378E3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85D6929"/>
    <w:multiLevelType w:val="hybridMultilevel"/>
    <w:tmpl w:val="1736D3B0"/>
    <w:lvl w:ilvl="0" w:tplc="F9F86A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165D67"/>
    <w:multiLevelType w:val="hybridMultilevel"/>
    <w:tmpl w:val="D7DEE658"/>
    <w:lvl w:ilvl="0" w:tplc="17043C54">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EF6554B"/>
    <w:multiLevelType w:val="hybridMultilevel"/>
    <w:tmpl w:val="7AA0CFAA"/>
    <w:lvl w:ilvl="0" w:tplc="48BA7B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0156208"/>
    <w:multiLevelType w:val="hybridMultilevel"/>
    <w:tmpl w:val="4048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3F4E11"/>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675B4BF9"/>
    <w:multiLevelType w:val="multilevel"/>
    <w:tmpl w:val="E346B04A"/>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E34E10"/>
    <w:multiLevelType w:val="multilevel"/>
    <w:tmpl w:val="D9F407CA"/>
    <w:lvl w:ilvl="0">
      <w:start w:val="1"/>
      <w:numFmt w:val="upperLetter"/>
      <w:lvlText w:val="(%1)"/>
      <w:lvlJc w:val="left"/>
      <w:pPr>
        <w:tabs>
          <w:tab w:val="num" w:pos="3414"/>
        </w:tabs>
        <w:ind w:left="3414" w:hanging="720"/>
      </w:pPr>
      <w:rPr>
        <w:rFonts w:ascii="Calibri" w:hAnsi="Calibri" w:hint="default"/>
        <w:sz w:val="24"/>
        <w:szCs w:val="24"/>
      </w:rPr>
    </w:lvl>
    <w:lvl w:ilvl="1">
      <w:start w:val="1"/>
      <w:numFmt w:val="bullet"/>
      <w:lvlText w:val=""/>
      <w:lvlJc w:val="left"/>
      <w:pPr>
        <w:tabs>
          <w:tab w:val="num" w:pos="-196"/>
        </w:tabs>
        <w:ind w:left="-196" w:hanging="360"/>
      </w:pPr>
      <w:rPr>
        <w:rFonts w:ascii="Symbol" w:hAnsi="Symbol" w:hint="default"/>
      </w:rPr>
    </w:lvl>
    <w:lvl w:ilvl="2">
      <w:start w:val="1"/>
      <w:numFmt w:val="bullet"/>
      <w:lvlText w:val=""/>
      <w:lvlJc w:val="left"/>
      <w:pPr>
        <w:tabs>
          <w:tab w:val="num" w:pos="-196"/>
        </w:tabs>
        <w:ind w:left="-196" w:hanging="360"/>
      </w:pPr>
      <w:rPr>
        <w:rFonts w:ascii="Wingdings" w:hAnsi="Wingdings" w:hint="default"/>
        <w:sz w:val="22"/>
      </w:rPr>
    </w:lvl>
    <w:lvl w:ilvl="3">
      <w:start w:val="1"/>
      <w:numFmt w:val="decimal"/>
      <w:lvlText w:val="(%4)"/>
      <w:lvlJc w:val="left"/>
      <w:pPr>
        <w:tabs>
          <w:tab w:val="num" w:pos="164"/>
        </w:tabs>
        <w:ind w:left="164" w:hanging="360"/>
      </w:pPr>
      <w:rPr>
        <w:rFonts w:hint="default"/>
      </w:rPr>
    </w:lvl>
    <w:lvl w:ilvl="4">
      <w:start w:val="1"/>
      <w:numFmt w:val="lowerLetter"/>
      <w:lvlText w:val="(%5)"/>
      <w:lvlJc w:val="left"/>
      <w:pPr>
        <w:tabs>
          <w:tab w:val="num" w:pos="524"/>
        </w:tabs>
        <w:ind w:left="524" w:hanging="360"/>
      </w:pPr>
      <w:rPr>
        <w:rFonts w:hint="default"/>
      </w:rPr>
    </w:lvl>
    <w:lvl w:ilvl="5">
      <w:start w:val="1"/>
      <w:numFmt w:val="lowerRoman"/>
      <w:lvlText w:val="(%6)"/>
      <w:lvlJc w:val="left"/>
      <w:pPr>
        <w:tabs>
          <w:tab w:val="num" w:pos="884"/>
        </w:tabs>
        <w:ind w:left="884" w:hanging="360"/>
      </w:pPr>
      <w:rPr>
        <w:rFonts w:hint="default"/>
      </w:rPr>
    </w:lvl>
    <w:lvl w:ilvl="6">
      <w:start w:val="1"/>
      <w:numFmt w:val="decimal"/>
      <w:lvlText w:val="%7."/>
      <w:lvlJc w:val="left"/>
      <w:pPr>
        <w:tabs>
          <w:tab w:val="num" w:pos="1244"/>
        </w:tabs>
        <w:ind w:left="1244" w:hanging="360"/>
      </w:pPr>
      <w:rPr>
        <w:rFonts w:hint="default"/>
      </w:rPr>
    </w:lvl>
    <w:lvl w:ilvl="7">
      <w:start w:val="1"/>
      <w:numFmt w:val="lowerLetter"/>
      <w:lvlText w:val="%8."/>
      <w:lvlJc w:val="left"/>
      <w:pPr>
        <w:tabs>
          <w:tab w:val="num" w:pos="1604"/>
        </w:tabs>
        <w:ind w:left="1604" w:hanging="360"/>
      </w:pPr>
      <w:rPr>
        <w:rFonts w:hint="default"/>
      </w:rPr>
    </w:lvl>
    <w:lvl w:ilvl="8">
      <w:start w:val="1"/>
      <w:numFmt w:val="lowerRoman"/>
      <w:lvlText w:val="%9."/>
      <w:lvlJc w:val="left"/>
      <w:pPr>
        <w:tabs>
          <w:tab w:val="num" w:pos="1964"/>
        </w:tabs>
        <w:ind w:left="1964" w:hanging="360"/>
      </w:pPr>
      <w:rPr>
        <w:rFonts w:hint="default"/>
      </w:rPr>
    </w:lvl>
  </w:abstractNum>
  <w:abstractNum w:abstractNumId="35">
    <w:nsid w:val="6EE934CC"/>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6F334C25"/>
    <w:multiLevelType w:val="hybridMultilevel"/>
    <w:tmpl w:val="F978F216"/>
    <w:lvl w:ilvl="0" w:tplc="87820E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8244F38"/>
    <w:multiLevelType w:val="hybridMultilevel"/>
    <w:tmpl w:val="3D0672E2"/>
    <w:lvl w:ilvl="0" w:tplc="F800BB0A">
      <w:start w:val="1"/>
      <w:numFmt w:val="bullet"/>
      <w:lvlText w:val=""/>
      <w:lvlJc w:val="left"/>
      <w:pPr>
        <w:ind w:left="720" w:hanging="360"/>
      </w:pPr>
      <w:rPr>
        <w:rFonts w:ascii="Symbol" w:hAnsi="Symbol" w:hint="default"/>
      </w:rPr>
    </w:lvl>
    <w:lvl w:ilvl="1" w:tplc="0194DD56" w:tentative="1">
      <w:start w:val="1"/>
      <w:numFmt w:val="bullet"/>
      <w:lvlText w:val="o"/>
      <w:lvlJc w:val="left"/>
      <w:pPr>
        <w:ind w:left="1440" w:hanging="360"/>
      </w:pPr>
      <w:rPr>
        <w:rFonts w:ascii="Courier New" w:hAnsi="Courier New" w:cs="Courier New" w:hint="default"/>
      </w:rPr>
    </w:lvl>
    <w:lvl w:ilvl="2" w:tplc="C1C67706" w:tentative="1">
      <w:start w:val="1"/>
      <w:numFmt w:val="bullet"/>
      <w:lvlText w:val=""/>
      <w:lvlJc w:val="left"/>
      <w:pPr>
        <w:ind w:left="2160" w:hanging="360"/>
      </w:pPr>
      <w:rPr>
        <w:rFonts w:ascii="Wingdings" w:hAnsi="Wingdings" w:hint="default"/>
      </w:rPr>
    </w:lvl>
    <w:lvl w:ilvl="3" w:tplc="8B26AAB8" w:tentative="1">
      <w:start w:val="1"/>
      <w:numFmt w:val="bullet"/>
      <w:lvlText w:val=""/>
      <w:lvlJc w:val="left"/>
      <w:pPr>
        <w:ind w:left="2880" w:hanging="360"/>
      </w:pPr>
      <w:rPr>
        <w:rFonts w:ascii="Symbol" w:hAnsi="Symbol" w:hint="default"/>
      </w:rPr>
    </w:lvl>
    <w:lvl w:ilvl="4" w:tplc="CA92DC44" w:tentative="1">
      <w:start w:val="1"/>
      <w:numFmt w:val="bullet"/>
      <w:lvlText w:val="o"/>
      <w:lvlJc w:val="left"/>
      <w:pPr>
        <w:ind w:left="3600" w:hanging="360"/>
      </w:pPr>
      <w:rPr>
        <w:rFonts w:ascii="Courier New" w:hAnsi="Courier New" w:cs="Courier New" w:hint="default"/>
      </w:rPr>
    </w:lvl>
    <w:lvl w:ilvl="5" w:tplc="B2DA002E" w:tentative="1">
      <w:start w:val="1"/>
      <w:numFmt w:val="bullet"/>
      <w:lvlText w:val=""/>
      <w:lvlJc w:val="left"/>
      <w:pPr>
        <w:ind w:left="4320" w:hanging="360"/>
      </w:pPr>
      <w:rPr>
        <w:rFonts w:ascii="Wingdings" w:hAnsi="Wingdings" w:hint="default"/>
      </w:rPr>
    </w:lvl>
    <w:lvl w:ilvl="6" w:tplc="5240D0DE" w:tentative="1">
      <w:start w:val="1"/>
      <w:numFmt w:val="bullet"/>
      <w:lvlText w:val=""/>
      <w:lvlJc w:val="left"/>
      <w:pPr>
        <w:ind w:left="5040" w:hanging="360"/>
      </w:pPr>
      <w:rPr>
        <w:rFonts w:ascii="Symbol" w:hAnsi="Symbol" w:hint="default"/>
      </w:rPr>
    </w:lvl>
    <w:lvl w:ilvl="7" w:tplc="6D0A6F88" w:tentative="1">
      <w:start w:val="1"/>
      <w:numFmt w:val="bullet"/>
      <w:lvlText w:val="o"/>
      <w:lvlJc w:val="left"/>
      <w:pPr>
        <w:ind w:left="5760" w:hanging="360"/>
      </w:pPr>
      <w:rPr>
        <w:rFonts w:ascii="Courier New" w:hAnsi="Courier New" w:cs="Courier New" w:hint="default"/>
      </w:rPr>
    </w:lvl>
    <w:lvl w:ilvl="8" w:tplc="2446E13A" w:tentative="1">
      <w:start w:val="1"/>
      <w:numFmt w:val="bullet"/>
      <w:lvlText w:val=""/>
      <w:lvlJc w:val="left"/>
      <w:pPr>
        <w:ind w:left="6480" w:hanging="360"/>
      </w:pPr>
      <w:rPr>
        <w:rFonts w:ascii="Wingdings" w:hAnsi="Wingdings" w:hint="default"/>
      </w:rPr>
    </w:lvl>
  </w:abstractNum>
  <w:abstractNum w:abstractNumId="39">
    <w:nsid w:val="7BCA5931"/>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2"/>
  </w:num>
  <w:num w:numId="2">
    <w:abstractNumId w:val="21"/>
  </w:num>
  <w:num w:numId="3">
    <w:abstractNumId w:val="20"/>
    <w:lvlOverride w:ilvl="4">
      <w:lvl w:ilvl="4">
        <w:start w:val="1"/>
        <w:numFmt w:val="lowerLetter"/>
        <w:lvlText w:val="(%5)"/>
        <w:lvlJc w:val="left"/>
        <w:pPr>
          <w:ind w:left="1420" w:hanging="284"/>
        </w:pPr>
        <w:rPr>
          <w:rFonts w:hint="default"/>
        </w:rPr>
      </w:lvl>
    </w:lvlOverride>
  </w:num>
  <w:num w:numId="4">
    <w:abstractNumId w:val="28"/>
  </w:num>
  <w:num w:numId="5">
    <w:abstractNumId w:val="34"/>
  </w:num>
  <w:num w:numId="6">
    <w:abstractNumId w:val="14"/>
  </w:num>
  <w:num w:numId="7">
    <w:abstractNumId w:val="9"/>
  </w:num>
  <w:num w:numId="8">
    <w:abstractNumId w:val="38"/>
  </w:num>
  <w:num w:numId="9">
    <w:abstractNumId w:val="15"/>
  </w:num>
  <w:num w:numId="10">
    <w:abstractNumId w:val="4"/>
  </w:num>
  <w:num w:numId="11">
    <w:abstractNumId w:val="25"/>
  </w:num>
  <w:num w:numId="12">
    <w:abstractNumId w:val="31"/>
  </w:num>
  <w:num w:numId="13">
    <w:abstractNumId w:val="16"/>
  </w:num>
  <w:num w:numId="14">
    <w:abstractNumId w:val="11"/>
  </w:num>
  <w:num w:numId="15">
    <w:abstractNumId w:val="30"/>
  </w:num>
  <w:num w:numId="16">
    <w:abstractNumId w:val="10"/>
  </w:num>
  <w:num w:numId="17">
    <w:abstractNumId w:val="16"/>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6"/>
  </w:num>
  <w:num w:numId="21">
    <w:abstractNumId w:val="5"/>
  </w:num>
  <w:num w:numId="22">
    <w:abstractNumId w:val="16"/>
    <w:lvlOverride w:ilvl="0">
      <w:startOverride w:val="6"/>
    </w:lvlOverride>
    <w:lvlOverride w:ilvl="1">
      <w:startOverride w:val="3"/>
    </w:lvlOverride>
  </w:num>
  <w:num w:numId="23">
    <w:abstractNumId w:val="19"/>
  </w:num>
  <w:num w:numId="24">
    <w:abstractNumId w:val="16"/>
  </w:num>
  <w:num w:numId="25">
    <w:abstractNumId w:val="1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9"/>
  </w:num>
  <w:num w:numId="28">
    <w:abstractNumId w:val="35"/>
  </w:num>
  <w:num w:numId="29">
    <w:abstractNumId w:val="32"/>
  </w:num>
  <w:num w:numId="30">
    <w:abstractNumId w:val="20"/>
    <w:lvlOverride w:ilvl="0">
      <w:lvl w:ilvl="0">
        <w:start w:val="1"/>
        <w:numFmt w:val="bullet"/>
        <w:pStyle w:val="ListBullet"/>
        <w:lvlText w:val=""/>
        <w:lvlJc w:val="left"/>
        <w:pPr>
          <w:ind w:left="426" w:hanging="284"/>
        </w:pPr>
        <w:rPr>
          <w:rFonts w:ascii="Symbol" w:hAnsi="Symbol" w:hint="default"/>
        </w:rPr>
      </w:lvl>
    </w:lvlOverride>
    <w:lvlOverride w:ilvl="1">
      <w:lvl w:ilvl="1">
        <w:start w:val="1"/>
        <w:numFmt w:val="bullet"/>
        <w:pStyle w:val="ListBullet2"/>
        <w:lvlText w:val="–"/>
        <w:lvlJc w:val="left"/>
        <w:pPr>
          <w:ind w:left="568" w:hanging="284"/>
        </w:pPr>
        <w:rPr>
          <w:rFonts w:ascii="Arial" w:hAnsi="Arial"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abstractNumId w:val="16"/>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bCs w:val="0"/>
          <w:i w:val="0"/>
          <w:iCs w:val="0"/>
          <w:caps w:val="0"/>
          <w:strike w:val="0"/>
          <w:dstrike w:val="0"/>
          <w:outline w:val="0"/>
          <w:shadow w:val="0"/>
          <w:emboss w:val="0"/>
          <w:imprint w:val="0"/>
          <w:vanish w:val="0"/>
          <w:spacing w:val="0"/>
          <w:kern w:val="0"/>
          <w:position w:val="0"/>
          <w:sz w:val="24"/>
          <w:szCs w:val="28"/>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asciiTheme="majorHAnsi" w:hAnsiTheme="majorHAnsi" w:hint="default"/>
          <w:b/>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0"/>
  </w:num>
  <w:num w:numId="33">
    <w:abstractNumId w:val="1"/>
  </w:num>
  <w:num w:numId="34">
    <w:abstractNumId w:val="6"/>
  </w:num>
  <w:num w:numId="35">
    <w:abstractNumId w:val="16"/>
  </w:num>
  <w:num w:numId="36">
    <w:abstractNumId w:val="33"/>
  </w:num>
  <w:num w:numId="37">
    <w:abstractNumId w:val="37"/>
  </w:num>
  <w:num w:numId="38">
    <w:abstractNumId w:val="23"/>
  </w:num>
  <w:num w:numId="39">
    <w:abstractNumId w:val="18"/>
  </w:num>
  <w:num w:numId="40">
    <w:abstractNumId w:val="27"/>
  </w:num>
  <w:num w:numId="41">
    <w:abstractNumId w:val="29"/>
  </w:num>
  <w:num w:numId="42">
    <w:abstractNumId w:val="36"/>
  </w:num>
  <w:num w:numId="43">
    <w:abstractNumId w:val="12"/>
  </w:num>
  <w:num w:numId="44">
    <w:abstractNumId w:val="13"/>
  </w:num>
  <w:num w:numId="45">
    <w:abstractNumId w:val="2"/>
  </w:num>
  <w:num w:numId="46">
    <w:abstractNumId w:val="18"/>
  </w:num>
  <w:num w:numId="47">
    <w:abstractNumId w:val="17"/>
    <w:lvlOverride w:ilvl="4">
      <w:lvl w:ilvl="4">
        <w:start w:val="1"/>
        <w:numFmt w:val="lowerLetter"/>
        <w:lvlText w:val="(%5)"/>
        <w:lvlJc w:val="left"/>
        <w:pPr>
          <w:ind w:left="1420" w:hanging="284"/>
        </w:pPr>
        <w:rPr>
          <w:rFonts w:hint="default"/>
        </w:rPr>
      </w:lvl>
    </w:lvlOverride>
  </w:num>
  <w:num w:numId="48">
    <w:abstractNumId w:val="24"/>
  </w:num>
  <w:num w:numId="49">
    <w:abstractNumId w:val="20"/>
    <w:lvlOverride w:ilvl="0">
      <w:lvl w:ilvl="0">
        <w:start w:val="1"/>
        <w:numFmt w:val="bullet"/>
        <w:pStyle w:val="ListBullet"/>
        <w:lvlText w:val=""/>
        <w:lvlJc w:val="left"/>
        <w:pPr>
          <w:ind w:left="284" w:hanging="284"/>
        </w:pPr>
        <w:rPr>
          <w:rFonts w:ascii="Symbol" w:hAnsi="Symbol" w:hint="default"/>
        </w:rPr>
      </w:lvl>
    </w:lvlOverride>
    <w:lvlOverride w:ilvl="1">
      <w:lvl w:ilvl="1">
        <w:start w:val="1"/>
        <w:numFmt w:val="bullet"/>
        <w:pStyle w:val="ListBullet2"/>
        <w:lvlText w:val="–"/>
        <w:lvlJc w:val="left"/>
        <w:pPr>
          <w:ind w:left="568" w:hanging="284"/>
        </w:pPr>
        <w:rPr>
          <w:rFonts w:ascii="Arial" w:hAnsi="Arial"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efaultTableStyle w:val="DTFFinancialTable"/>
  <w:evenAndOddHeaders/>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85"/>
    <w:rsid w:val="00001A3C"/>
    <w:rsid w:val="000024DB"/>
    <w:rsid w:val="000037C4"/>
    <w:rsid w:val="00004E83"/>
    <w:rsid w:val="000068BC"/>
    <w:rsid w:val="00012598"/>
    <w:rsid w:val="0001390E"/>
    <w:rsid w:val="00014162"/>
    <w:rsid w:val="0001564A"/>
    <w:rsid w:val="00017EF2"/>
    <w:rsid w:val="000245BD"/>
    <w:rsid w:val="0002477E"/>
    <w:rsid w:val="000256AE"/>
    <w:rsid w:val="0003217D"/>
    <w:rsid w:val="000341AE"/>
    <w:rsid w:val="000370AB"/>
    <w:rsid w:val="00053E16"/>
    <w:rsid w:val="00055A63"/>
    <w:rsid w:val="00056736"/>
    <w:rsid w:val="00057EFB"/>
    <w:rsid w:val="00064F49"/>
    <w:rsid w:val="00070AD3"/>
    <w:rsid w:val="00073219"/>
    <w:rsid w:val="00073EB9"/>
    <w:rsid w:val="00073EFA"/>
    <w:rsid w:val="000740AE"/>
    <w:rsid w:val="00081081"/>
    <w:rsid w:val="00082872"/>
    <w:rsid w:val="00084C73"/>
    <w:rsid w:val="00084ED1"/>
    <w:rsid w:val="000869D5"/>
    <w:rsid w:val="0009147C"/>
    <w:rsid w:val="00091E3A"/>
    <w:rsid w:val="000930A2"/>
    <w:rsid w:val="0009633F"/>
    <w:rsid w:val="000967AE"/>
    <w:rsid w:val="000A0298"/>
    <w:rsid w:val="000A03F9"/>
    <w:rsid w:val="000A07AD"/>
    <w:rsid w:val="000A2CDF"/>
    <w:rsid w:val="000A7E78"/>
    <w:rsid w:val="000B32E4"/>
    <w:rsid w:val="000B45B4"/>
    <w:rsid w:val="000B7822"/>
    <w:rsid w:val="000C1B0B"/>
    <w:rsid w:val="000C2149"/>
    <w:rsid w:val="000C4E53"/>
    <w:rsid w:val="000C4EE3"/>
    <w:rsid w:val="000C60C5"/>
    <w:rsid w:val="000C68FD"/>
    <w:rsid w:val="000C6A23"/>
    <w:rsid w:val="000C6A26"/>
    <w:rsid w:val="000D0018"/>
    <w:rsid w:val="000D0B5D"/>
    <w:rsid w:val="000D0ECF"/>
    <w:rsid w:val="000D5949"/>
    <w:rsid w:val="000D7032"/>
    <w:rsid w:val="000E037E"/>
    <w:rsid w:val="000E04E7"/>
    <w:rsid w:val="000E1A6C"/>
    <w:rsid w:val="000E2126"/>
    <w:rsid w:val="000E28B3"/>
    <w:rsid w:val="000E300F"/>
    <w:rsid w:val="000E48A2"/>
    <w:rsid w:val="000E4E86"/>
    <w:rsid w:val="000F140B"/>
    <w:rsid w:val="000F14AE"/>
    <w:rsid w:val="000F25A0"/>
    <w:rsid w:val="000F5BCA"/>
    <w:rsid w:val="000F6A22"/>
    <w:rsid w:val="0010234E"/>
    <w:rsid w:val="00103DE5"/>
    <w:rsid w:val="00104A45"/>
    <w:rsid w:val="00104F1A"/>
    <w:rsid w:val="001126FE"/>
    <w:rsid w:val="00113667"/>
    <w:rsid w:val="00115063"/>
    <w:rsid w:val="0012008F"/>
    <w:rsid w:val="00120B97"/>
    <w:rsid w:val="001212DB"/>
    <w:rsid w:val="001217DD"/>
    <w:rsid w:val="001227F0"/>
    <w:rsid w:val="001229D8"/>
    <w:rsid w:val="00122ABB"/>
    <w:rsid w:val="00124F13"/>
    <w:rsid w:val="00125E84"/>
    <w:rsid w:val="00127FA5"/>
    <w:rsid w:val="001319F6"/>
    <w:rsid w:val="00131A53"/>
    <w:rsid w:val="00132069"/>
    <w:rsid w:val="00132211"/>
    <w:rsid w:val="001356E9"/>
    <w:rsid w:val="00136175"/>
    <w:rsid w:val="0013681F"/>
    <w:rsid w:val="00140A80"/>
    <w:rsid w:val="0014259D"/>
    <w:rsid w:val="00143FDA"/>
    <w:rsid w:val="001506B1"/>
    <w:rsid w:val="00153325"/>
    <w:rsid w:val="001534AD"/>
    <w:rsid w:val="0015482F"/>
    <w:rsid w:val="00154ECF"/>
    <w:rsid w:val="00157821"/>
    <w:rsid w:val="00157D89"/>
    <w:rsid w:val="00160DB5"/>
    <w:rsid w:val="00162730"/>
    <w:rsid w:val="001665AF"/>
    <w:rsid w:val="00166621"/>
    <w:rsid w:val="00166699"/>
    <w:rsid w:val="00166D20"/>
    <w:rsid w:val="001808F7"/>
    <w:rsid w:val="00181AF4"/>
    <w:rsid w:val="00183D02"/>
    <w:rsid w:val="001845E1"/>
    <w:rsid w:val="00185B60"/>
    <w:rsid w:val="00187B09"/>
    <w:rsid w:val="00196EF7"/>
    <w:rsid w:val="001976DE"/>
    <w:rsid w:val="001A02A1"/>
    <w:rsid w:val="001A1110"/>
    <w:rsid w:val="001A2229"/>
    <w:rsid w:val="001A36E4"/>
    <w:rsid w:val="001A510C"/>
    <w:rsid w:val="001B04ED"/>
    <w:rsid w:val="001B0DC8"/>
    <w:rsid w:val="001B1DA6"/>
    <w:rsid w:val="001B2CDC"/>
    <w:rsid w:val="001B3DF6"/>
    <w:rsid w:val="001B438B"/>
    <w:rsid w:val="001B75CC"/>
    <w:rsid w:val="001C0E85"/>
    <w:rsid w:val="001C34BF"/>
    <w:rsid w:val="001C4635"/>
    <w:rsid w:val="001C4B9A"/>
    <w:rsid w:val="001C6945"/>
    <w:rsid w:val="001C7030"/>
    <w:rsid w:val="001D1B0A"/>
    <w:rsid w:val="001D4652"/>
    <w:rsid w:val="001D7A51"/>
    <w:rsid w:val="001D7B08"/>
    <w:rsid w:val="001E228F"/>
    <w:rsid w:val="001E4B96"/>
    <w:rsid w:val="001E5109"/>
    <w:rsid w:val="001E545A"/>
    <w:rsid w:val="001E6B1B"/>
    <w:rsid w:val="001E6E6F"/>
    <w:rsid w:val="001E7357"/>
    <w:rsid w:val="001F00F0"/>
    <w:rsid w:val="001F4F51"/>
    <w:rsid w:val="001F69F6"/>
    <w:rsid w:val="00200BC9"/>
    <w:rsid w:val="00210496"/>
    <w:rsid w:val="00210BA8"/>
    <w:rsid w:val="00214AB1"/>
    <w:rsid w:val="002159B7"/>
    <w:rsid w:val="00216620"/>
    <w:rsid w:val="002173CE"/>
    <w:rsid w:val="002178A7"/>
    <w:rsid w:val="00220042"/>
    <w:rsid w:val="002204D1"/>
    <w:rsid w:val="00220E35"/>
    <w:rsid w:val="00222883"/>
    <w:rsid w:val="00222963"/>
    <w:rsid w:val="002229E5"/>
    <w:rsid w:val="002233B3"/>
    <w:rsid w:val="0022583A"/>
    <w:rsid w:val="002302C9"/>
    <w:rsid w:val="0023071C"/>
    <w:rsid w:val="00231315"/>
    <w:rsid w:val="00235612"/>
    <w:rsid w:val="0023582E"/>
    <w:rsid w:val="00235F50"/>
    <w:rsid w:val="00237563"/>
    <w:rsid w:val="00241BC9"/>
    <w:rsid w:val="00243DFA"/>
    <w:rsid w:val="0024445B"/>
    <w:rsid w:val="00245413"/>
    <w:rsid w:val="00247670"/>
    <w:rsid w:val="00250510"/>
    <w:rsid w:val="00252884"/>
    <w:rsid w:val="00253619"/>
    <w:rsid w:val="00253A18"/>
    <w:rsid w:val="002541F7"/>
    <w:rsid w:val="00255095"/>
    <w:rsid w:val="00255A9A"/>
    <w:rsid w:val="00256D06"/>
    <w:rsid w:val="00257E89"/>
    <w:rsid w:val="0026036B"/>
    <w:rsid w:val="00260DE7"/>
    <w:rsid w:val="0026299D"/>
    <w:rsid w:val="002657D0"/>
    <w:rsid w:val="00266E61"/>
    <w:rsid w:val="00270F72"/>
    <w:rsid w:val="00271E79"/>
    <w:rsid w:val="00272B8A"/>
    <w:rsid w:val="00275402"/>
    <w:rsid w:val="00277B79"/>
    <w:rsid w:val="0028088A"/>
    <w:rsid w:val="0029060D"/>
    <w:rsid w:val="00293429"/>
    <w:rsid w:val="002957A0"/>
    <w:rsid w:val="00295E0F"/>
    <w:rsid w:val="0029602D"/>
    <w:rsid w:val="00296CF7"/>
    <w:rsid w:val="00297F8C"/>
    <w:rsid w:val="002A529B"/>
    <w:rsid w:val="002A52B5"/>
    <w:rsid w:val="002A61DE"/>
    <w:rsid w:val="002B3B71"/>
    <w:rsid w:val="002B3E8C"/>
    <w:rsid w:val="002B526C"/>
    <w:rsid w:val="002B5E88"/>
    <w:rsid w:val="002B7DE4"/>
    <w:rsid w:val="002C3B94"/>
    <w:rsid w:val="002C3F78"/>
    <w:rsid w:val="002C4B40"/>
    <w:rsid w:val="002C5BE1"/>
    <w:rsid w:val="002C6EA8"/>
    <w:rsid w:val="002D040C"/>
    <w:rsid w:val="002D1982"/>
    <w:rsid w:val="002D1C93"/>
    <w:rsid w:val="002D3666"/>
    <w:rsid w:val="002D397C"/>
    <w:rsid w:val="002D45F9"/>
    <w:rsid w:val="002D7A6E"/>
    <w:rsid w:val="002E1B0B"/>
    <w:rsid w:val="002E2B47"/>
    <w:rsid w:val="002E752C"/>
    <w:rsid w:val="002F0C29"/>
    <w:rsid w:val="002F0CFD"/>
    <w:rsid w:val="002F4EF7"/>
    <w:rsid w:val="002F5E1D"/>
    <w:rsid w:val="002F5E63"/>
    <w:rsid w:val="002F7286"/>
    <w:rsid w:val="00300425"/>
    <w:rsid w:val="00301106"/>
    <w:rsid w:val="0030620C"/>
    <w:rsid w:val="00306EAE"/>
    <w:rsid w:val="00310612"/>
    <w:rsid w:val="00311505"/>
    <w:rsid w:val="003144F9"/>
    <w:rsid w:val="00316244"/>
    <w:rsid w:val="00321A2F"/>
    <w:rsid w:val="00322B6D"/>
    <w:rsid w:val="00322F0D"/>
    <w:rsid w:val="003239D0"/>
    <w:rsid w:val="0032460D"/>
    <w:rsid w:val="00327591"/>
    <w:rsid w:val="00332EE4"/>
    <w:rsid w:val="00333CAC"/>
    <w:rsid w:val="00334297"/>
    <w:rsid w:val="00336B0F"/>
    <w:rsid w:val="003371B4"/>
    <w:rsid w:val="00337317"/>
    <w:rsid w:val="00342BF7"/>
    <w:rsid w:val="003433BF"/>
    <w:rsid w:val="00343667"/>
    <w:rsid w:val="00344A79"/>
    <w:rsid w:val="003510A6"/>
    <w:rsid w:val="00352B0B"/>
    <w:rsid w:val="0035557D"/>
    <w:rsid w:val="00357A9E"/>
    <w:rsid w:val="00357C4E"/>
    <w:rsid w:val="00360393"/>
    <w:rsid w:val="0036166A"/>
    <w:rsid w:val="00363B60"/>
    <w:rsid w:val="00364ACD"/>
    <w:rsid w:val="003666F9"/>
    <w:rsid w:val="003703D1"/>
    <w:rsid w:val="00373259"/>
    <w:rsid w:val="00373D05"/>
    <w:rsid w:val="003750BC"/>
    <w:rsid w:val="00377403"/>
    <w:rsid w:val="003825F8"/>
    <w:rsid w:val="003846D1"/>
    <w:rsid w:val="00384A0F"/>
    <w:rsid w:val="00384C70"/>
    <w:rsid w:val="00387A8C"/>
    <w:rsid w:val="00391264"/>
    <w:rsid w:val="0039234B"/>
    <w:rsid w:val="003936D1"/>
    <w:rsid w:val="00393F9C"/>
    <w:rsid w:val="00395923"/>
    <w:rsid w:val="00395FF7"/>
    <w:rsid w:val="00396EB2"/>
    <w:rsid w:val="00397E96"/>
    <w:rsid w:val="003A1BBB"/>
    <w:rsid w:val="003A2715"/>
    <w:rsid w:val="003A2A0A"/>
    <w:rsid w:val="003A6EC7"/>
    <w:rsid w:val="003B2A84"/>
    <w:rsid w:val="003C2439"/>
    <w:rsid w:val="003C35A4"/>
    <w:rsid w:val="003C3E61"/>
    <w:rsid w:val="003C5E46"/>
    <w:rsid w:val="003C75BF"/>
    <w:rsid w:val="003D279B"/>
    <w:rsid w:val="003D4761"/>
    <w:rsid w:val="003D4C0A"/>
    <w:rsid w:val="003D4E20"/>
    <w:rsid w:val="003D6D89"/>
    <w:rsid w:val="003D7FD7"/>
    <w:rsid w:val="003E3452"/>
    <w:rsid w:val="003E39F8"/>
    <w:rsid w:val="003E3AE2"/>
    <w:rsid w:val="003E544A"/>
    <w:rsid w:val="003E569B"/>
    <w:rsid w:val="003E5842"/>
    <w:rsid w:val="003E58E4"/>
    <w:rsid w:val="003E5B08"/>
    <w:rsid w:val="003E5B73"/>
    <w:rsid w:val="003E6F42"/>
    <w:rsid w:val="003E7A07"/>
    <w:rsid w:val="003E7AD7"/>
    <w:rsid w:val="003F1803"/>
    <w:rsid w:val="003F5D78"/>
    <w:rsid w:val="0040102D"/>
    <w:rsid w:val="00401819"/>
    <w:rsid w:val="00402880"/>
    <w:rsid w:val="00403881"/>
    <w:rsid w:val="004039B4"/>
    <w:rsid w:val="00403D02"/>
    <w:rsid w:val="004046D7"/>
    <w:rsid w:val="00407B77"/>
    <w:rsid w:val="00407F41"/>
    <w:rsid w:val="004115D7"/>
    <w:rsid w:val="00411FE9"/>
    <w:rsid w:val="004124DF"/>
    <w:rsid w:val="00412D1E"/>
    <w:rsid w:val="004133D8"/>
    <w:rsid w:val="00417C55"/>
    <w:rsid w:val="0042008E"/>
    <w:rsid w:val="00424473"/>
    <w:rsid w:val="00424959"/>
    <w:rsid w:val="004252A3"/>
    <w:rsid w:val="00427CC1"/>
    <w:rsid w:val="00432198"/>
    <w:rsid w:val="00432BD8"/>
    <w:rsid w:val="00435932"/>
    <w:rsid w:val="00440B2B"/>
    <w:rsid w:val="00440C61"/>
    <w:rsid w:val="00441FC3"/>
    <w:rsid w:val="00444A5D"/>
    <w:rsid w:val="00445856"/>
    <w:rsid w:val="004520D3"/>
    <w:rsid w:val="00454513"/>
    <w:rsid w:val="004548FC"/>
    <w:rsid w:val="004566C0"/>
    <w:rsid w:val="00457074"/>
    <w:rsid w:val="004618A4"/>
    <w:rsid w:val="00470689"/>
    <w:rsid w:val="004737F3"/>
    <w:rsid w:val="004743D7"/>
    <w:rsid w:val="00474C53"/>
    <w:rsid w:val="00475D53"/>
    <w:rsid w:val="0047611F"/>
    <w:rsid w:val="00476ADA"/>
    <w:rsid w:val="004825E9"/>
    <w:rsid w:val="00483B1C"/>
    <w:rsid w:val="00484EA4"/>
    <w:rsid w:val="0048771F"/>
    <w:rsid w:val="0049337B"/>
    <w:rsid w:val="00493C2E"/>
    <w:rsid w:val="004964EC"/>
    <w:rsid w:val="00496977"/>
    <w:rsid w:val="004A59F9"/>
    <w:rsid w:val="004A7B1C"/>
    <w:rsid w:val="004B1F1F"/>
    <w:rsid w:val="004B34B9"/>
    <w:rsid w:val="004B620C"/>
    <w:rsid w:val="004B75D2"/>
    <w:rsid w:val="004C1F0B"/>
    <w:rsid w:val="004C42D0"/>
    <w:rsid w:val="004C4802"/>
    <w:rsid w:val="004C55B2"/>
    <w:rsid w:val="004C59E7"/>
    <w:rsid w:val="004C618E"/>
    <w:rsid w:val="004D122B"/>
    <w:rsid w:val="004D1C1C"/>
    <w:rsid w:val="004D239C"/>
    <w:rsid w:val="004D4D01"/>
    <w:rsid w:val="004D639C"/>
    <w:rsid w:val="004D66A6"/>
    <w:rsid w:val="004E0F56"/>
    <w:rsid w:val="004E51A9"/>
    <w:rsid w:val="004E5C31"/>
    <w:rsid w:val="004F05D1"/>
    <w:rsid w:val="004F2F5C"/>
    <w:rsid w:val="004F3EFD"/>
    <w:rsid w:val="004F4A34"/>
    <w:rsid w:val="004F5AD4"/>
    <w:rsid w:val="004F6DBA"/>
    <w:rsid w:val="00500DAE"/>
    <w:rsid w:val="00502DDB"/>
    <w:rsid w:val="00504860"/>
    <w:rsid w:val="005065BC"/>
    <w:rsid w:val="0050745F"/>
    <w:rsid w:val="005074EB"/>
    <w:rsid w:val="00507A5B"/>
    <w:rsid w:val="005117C3"/>
    <w:rsid w:val="005142B3"/>
    <w:rsid w:val="00517601"/>
    <w:rsid w:val="00520A0F"/>
    <w:rsid w:val="005243EA"/>
    <w:rsid w:val="0052450F"/>
    <w:rsid w:val="00525494"/>
    <w:rsid w:val="005271FE"/>
    <w:rsid w:val="005307AA"/>
    <w:rsid w:val="00532779"/>
    <w:rsid w:val="00532BFA"/>
    <w:rsid w:val="00534213"/>
    <w:rsid w:val="005348D0"/>
    <w:rsid w:val="005350DE"/>
    <w:rsid w:val="00535247"/>
    <w:rsid w:val="00536ACD"/>
    <w:rsid w:val="00541A9F"/>
    <w:rsid w:val="00541C6D"/>
    <w:rsid w:val="00542B89"/>
    <w:rsid w:val="00545C39"/>
    <w:rsid w:val="00551927"/>
    <w:rsid w:val="00551965"/>
    <w:rsid w:val="00552275"/>
    <w:rsid w:val="00552C10"/>
    <w:rsid w:val="00555630"/>
    <w:rsid w:val="005563E9"/>
    <w:rsid w:val="00556B3E"/>
    <w:rsid w:val="00556BD9"/>
    <w:rsid w:val="00560E01"/>
    <w:rsid w:val="005657B2"/>
    <w:rsid w:val="00566692"/>
    <w:rsid w:val="005714A9"/>
    <w:rsid w:val="00571A99"/>
    <w:rsid w:val="00573A95"/>
    <w:rsid w:val="00573F75"/>
    <w:rsid w:val="00574728"/>
    <w:rsid w:val="00574B3D"/>
    <w:rsid w:val="00574E4F"/>
    <w:rsid w:val="005751F1"/>
    <w:rsid w:val="00575E43"/>
    <w:rsid w:val="00576C73"/>
    <w:rsid w:val="005851B1"/>
    <w:rsid w:val="005852CA"/>
    <w:rsid w:val="0058536D"/>
    <w:rsid w:val="0058635B"/>
    <w:rsid w:val="005903BA"/>
    <w:rsid w:val="00590423"/>
    <w:rsid w:val="005909F2"/>
    <w:rsid w:val="005952AA"/>
    <w:rsid w:val="005960B3"/>
    <w:rsid w:val="00596325"/>
    <w:rsid w:val="00597A12"/>
    <w:rsid w:val="005A0BEB"/>
    <w:rsid w:val="005A3090"/>
    <w:rsid w:val="005A35BC"/>
    <w:rsid w:val="005B0B2A"/>
    <w:rsid w:val="005B2321"/>
    <w:rsid w:val="005B2667"/>
    <w:rsid w:val="005B3DF9"/>
    <w:rsid w:val="005B47C5"/>
    <w:rsid w:val="005B5D87"/>
    <w:rsid w:val="005B6BAD"/>
    <w:rsid w:val="005B7BDB"/>
    <w:rsid w:val="005C0288"/>
    <w:rsid w:val="005C09D4"/>
    <w:rsid w:val="005C351E"/>
    <w:rsid w:val="005C62C6"/>
    <w:rsid w:val="005C6999"/>
    <w:rsid w:val="005D0348"/>
    <w:rsid w:val="005D108E"/>
    <w:rsid w:val="005D27C7"/>
    <w:rsid w:val="005D302E"/>
    <w:rsid w:val="005D5521"/>
    <w:rsid w:val="005D71FE"/>
    <w:rsid w:val="005D741B"/>
    <w:rsid w:val="005D7488"/>
    <w:rsid w:val="005D78DD"/>
    <w:rsid w:val="005E3676"/>
    <w:rsid w:val="005E5ADC"/>
    <w:rsid w:val="005E78D6"/>
    <w:rsid w:val="005F0C5A"/>
    <w:rsid w:val="005F42DF"/>
    <w:rsid w:val="006005C5"/>
    <w:rsid w:val="00600C46"/>
    <w:rsid w:val="00603848"/>
    <w:rsid w:val="00604A43"/>
    <w:rsid w:val="00605A27"/>
    <w:rsid w:val="00611A65"/>
    <w:rsid w:val="006125C9"/>
    <w:rsid w:val="00613457"/>
    <w:rsid w:val="006135D1"/>
    <w:rsid w:val="00613E4C"/>
    <w:rsid w:val="00615587"/>
    <w:rsid w:val="0061682F"/>
    <w:rsid w:val="00617210"/>
    <w:rsid w:val="00617936"/>
    <w:rsid w:val="0062070B"/>
    <w:rsid w:val="006212FB"/>
    <w:rsid w:val="00622761"/>
    <w:rsid w:val="0062613A"/>
    <w:rsid w:val="00626163"/>
    <w:rsid w:val="006344F5"/>
    <w:rsid w:val="00634949"/>
    <w:rsid w:val="00635294"/>
    <w:rsid w:val="00635722"/>
    <w:rsid w:val="00635B36"/>
    <w:rsid w:val="00636110"/>
    <w:rsid w:val="00637ABE"/>
    <w:rsid w:val="006403E6"/>
    <w:rsid w:val="0064203B"/>
    <w:rsid w:val="00644182"/>
    <w:rsid w:val="00644432"/>
    <w:rsid w:val="00644D5E"/>
    <w:rsid w:val="006469C7"/>
    <w:rsid w:val="006479D1"/>
    <w:rsid w:val="006517D1"/>
    <w:rsid w:val="00651946"/>
    <w:rsid w:val="0065280D"/>
    <w:rsid w:val="00664667"/>
    <w:rsid w:val="0066512E"/>
    <w:rsid w:val="00667235"/>
    <w:rsid w:val="00672D24"/>
    <w:rsid w:val="00673DAF"/>
    <w:rsid w:val="00676AAC"/>
    <w:rsid w:val="006773B4"/>
    <w:rsid w:val="00677990"/>
    <w:rsid w:val="00680557"/>
    <w:rsid w:val="006813C1"/>
    <w:rsid w:val="00684F4F"/>
    <w:rsid w:val="00691364"/>
    <w:rsid w:val="0069273F"/>
    <w:rsid w:val="006932FC"/>
    <w:rsid w:val="006938AE"/>
    <w:rsid w:val="00696B6D"/>
    <w:rsid w:val="00696DCB"/>
    <w:rsid w:val="006A01A1"/>
    <w:rsid w:val="006A053C"/>
    <w:rsid w:val="006A132E"/>
    <w:rsid w:val="006A1F6F"/>
    <w:rsid w:val="006A35C1"/>
    <w:rsid w:val="006A39E2"/>
    <w:rsid w:val="006A73CE"/>
    <w:rsid w:val="006B077B"/>
    <w:rsid w:val="006B290F"/>
    <w:rsid w:val="006B2918"/>
    <w:rsid w:val="006B2FC8"/>
    <w:rsid w:val="006B6206"/>
    <w:rsid w:val="006B6526"/>
    <w:rsid w:val="006B6C6D"/>
    <w:rsid w:val="006C1727"/>
    <w:rsid w:val="006C505F"/>
    <w:rsid w:val="006C54DA"/>
    <w:rsid w:val="006C6640"/>
    <w:rsid w:val="006C75F9"/>
    <w:rsid w:val="006D19F4"/>
    <w:rsid w:val="006D2CC0"/>
    <w:rsid w:val="006D4F41"/>
    <w:rsid w:val="006D6DFB"/>
    <w:rsid w:val="006D7E23"/>
    <w:rsid w:val="006E0972"/>
    <w:rsid w:val="006E145B"/>
    <w:rsid w:val="006E28FB"/>
    <w:rsid w:val="006E2930"/>
    <w:rsid w:val="006E2ADF"/>
    <w:rsid w:val="006E400E"/>
    <w:rsid w:val="006E6F37"/>
    <w:rsid w:val="006F1F28"/>
    <w:rsid w:val="006F638C"/>
    <w:rsid w:val="006F732F"/>
    <w:rsid w:val="007005D4"/>
    <w:rsid w:val="00701C8B"/>
    <w:rsid w:val="007026DC"/>
    <w:rsid w:val="00703386"/>
    <w:rsid w:val="00703BF5"/>
    <w:rsid w:val="007060CC"/>
    <w:rsid w:val="00710A68"/>
    <w:rsid w:val="007116A2"/>
    <w:rsid w:val="00714171"/>
    <w:rsid w:val="00714E07"/>
    <w:rsid w:val="00715054"/>
    <w:rsid w:val="00715599"/>
    <w:rsid w:val="00720B4C"/>
    <w:rsid w:val="00721A07"/>
    <w:rsid w:val="00722920"/>
    <w:rsid w:val="00722B70"/>
    <w:rsid w:val="00722E77"/>
    <w:rsid w:val="0072413E"/>
    <w:rsid w:val="00725319"/>
    <w:rsid w:val="00725696"/>
    <w:rsid w:val="00726975"/>
    <w:rsid w:val="00726F1F"/>
    <w:rsid w:val="00727E4F"/>
    <w:rsid w:val="00731598"/>
    <w:rsid w:val="007335E9"/>
    <w:rsid w:val="007346C0"/>
    <w:rsid w:val="007349CB"/>
    <w:rsid w:val="00737FCE"/>
    <w:rsid w:val="00741825"/>
    <w:rsid w:val="0074223E"/>
    <w:rsid w:val="00743CE4"/>
    <w:rsid w:val="007449DC"/>
    <w:rsid w:val="007451E1"/>
    <w:rsid w:val="00746342"/>
    <w:rsid w:val="0075142F"/>
    <w:rsid w:val="00751550"/>
    <w:rsid w:val="00753E64"/>
    <w:rsid w:val="0075667E"/>
    <w:rsid w:val="007575FF"/>
    <w:rsid w:val="007603FB"/>
    <w:rsid w:val="007630EF"/>
    <w:rsid w:val="0076376B"/>
    <w:rsid w:val="007637F2"/>
    <w:rsid w:val="007639BB"/>
    <w:rsid w:val="00764CD6"/>
    <w:rsid w:val="00765456"/>
    <w:rsid w:val="007676F1"/>
    <w:rsid w:val="00773F07"/>
    <w:rsid w:val="00775F56"/>
    <w:rsid w:val="0078085D"/>
    <w:rsid w:val="007855C6"/>
    <w:rsid w:val="0078791B"/>
    <w:rsid w:val="00787DF9"/>
    <w:rsid w:val="00790AFE"/>
    <w:rsid w:val="00790E40"/>
    <w:rsid w:val="00790FB8"/>
    <w:rsid w:val="00794C4A"/>
    <w:rsid w:val="0079507A"/>
    <w:rsid w:val="00797CD1"/>
    <w:rsid w:val="007A0115"/>
    <w:rsid w:val="007A0D8B"/>
    <w:rsid w:val="007A4656"/>
    <w:rsid w:val="007A4996"/>
    <w:rsid w:val="007A5863"/>
    <w:rsid w:val="007A5BD1"/>
    <w:rsid w:val="007A74BB"/>
    <w:rsid w:val="007A7975"/>
    <w:rsid w:val="007B036A"/>
    <w:rsid w:val="007B04AE"/>
    <w:rsid w:val="007B0928"/>
    <w:rsid w:val="007B0C7E"/>
    <w:rsid w:val="007B575A"/>
    <w:rsid w:val="007B5ED8"/>
    <w:rsid w:val="007C5D19"/>
    <w:rsid w:val="007C7981"/>
    <w:rsid w:val="007C7BDC"/>
    <w:rsid w:val="007D0A29"/>
    <w:rsid w:val="007D4AC8"/>
    <w:rsid w:val="007D6D1A"/>
    <w:rsid w:val="007E47EB"/>
    <w:rsid w:val="007F18EE"/>
    <w:rsid w:val="007F2EF4"/>
    <w:rsid w:val="007F3F08"/>
    <w:rsid w:val="007F4791"/>
    <w:rsid w:val="007F520E"/>
    <w:rsid w:val="00801B7F"/>
    <w:rsid w:val="008026A9"/>
    <w:rsid w:val="00802955"/>
    <w:rsid w:val="00814A7C"/>
    <w:rsid w:val="00816F0E"/>
    <w:rsid w:val="00820A9F"/>
    <w:rsid w:val="00820AFD"/>
    <w:rsid w:val="008214B2"/>
    <w:rsid w:val="0082171D"/>
    <w:rsid w:val="00821739"/>
    <w:rsid w:val="0082473B"/>
    <w:rsid w:val="008272B5"/>
    <w:rsid w:val="0083098B"/>
    <w:rsid w:val="00830FB5"/>
    <w:rsid w:val="00831AE5"/>
    <w:rsid w:val="00836DB0"/>
    <w:rsid w:val="008374C8"/>
    <w:rsid w:val="00837A39"/>
    <w:rsid w:val="00840B01"/>
    <w:rsid w:val="00841288"/>
    <w:rsid w:val="00843E5B"/>
    <w:rsid w:val="00850179"/>
    <w:rsid w:val="0086442A"/>
    <w:rsid w:val="00864700"/>
    <w:rsid w:val="00865C24"/>
    <w:rsid w:val="0086647D"/>
    <w:rsid w:val="00866A7C"/>
    <w:rsid w:val="00877F4A"/>
    <w:rsid w:val="008903D9"/>
    <w:rsid w:val="00891F93"/>
    <w:rsid w:val="0089207D"/>
    <w:rsid w:val="00892D57"/>
    <w:rsid w:val="00893855"/>
    <w:rsid w:val="008938ED"/>
    <w:rsid w:val="00895291"/>
    <w:rsid w:val="00896F6C"/>
    <w:rsid w:val="0089735C"/>
    <w:rsid w:val="008976C2"/>
    <w:rsid w:val="008A08B6"/>
    <w:rsid w:val="008A091D"/>
    <w:rsid w:val="008A2068"/>
    <w:rsid w:val="008A2665"/>
    <w:rsid w:val="008A416F"/>
    <w:rsid w:val="008A5F0E"/>
    <w:rsid w:val="008A6DD6"/>
    <w:rsid w:val="008A734D"/>
    <w:rsid w:val="008B2EC7"/>
    <w:rsid w:val="008B4F2A"/>
    <w:rsid w:val="008B61E2"/>
    <w:rsid w:val="008B65E9"/>
    <w:rsid w:val="008C079B"/>
    <w:rsid w:val="008C20DC"/>
    <w:rsid w:val="008C339D"/>
    <w:rsid w:val="008C4B3E"/>
    <w:rsid w:val="008C4EDE"/>
    <w:rsid w:val="008D034E"/>
    <w:rsid w:val="008D128E"/>
    <w:rsid w:val="008D29E5"/>
    <w:rsid w:val="008D5DD6"/>
    <w:rsid w:val="008D6487"/>
    <w:rsid w:val="008D6F3E"/>
    <w:rsid w:val="008E1571"/>
    <w:rsid w:val="008E1FCC"/>
    <w:rsid w:val="008E4022"/>
    <w:rsid w:val="008E469A"/>
    <w:rsid w:val="008E554D"/>
    <w:rsid w:val="008E724C"/>
    <w:rsid w:val="008F3492"/>
    <w:rsid w:val="008F3554"/>
    <w:rsid w:val="008F3A78"/>
    <w:rsid w:val="008F7A7F"/>
    <w:rsid w:val="00900DF0"/>
    <w:rsid w:val="00900ED4"/>
    <w:rsid w:val="0090186C"/>
    <w:rsid w:val="009046BD"/>
    <w:rsid w:val="009103EC"/>
    <w:rsid w:val="0091328C"/>
    <w:rsid w:val="00913461"/>
    <w:rsid w:val="00914ACE"/>
    <w:rsid w:val="00914EE6"/>
    <w:rsid w:val="009174A7"/>
    <w:rsid w:val="00920BDE"/>
    <w:rsid w:val="00924B15"/>
    <w:rsid w:val="00926ED7"/>
    <w:rsid w:val="009313CF"/>
    <w:rsid w:val="0093187A"/>
    <w:rsid w:val="00934FFB"/>
    <w:rsid w:val="0094240A"/>
    <w:rsid w:val="00943AB6"/>
    <w:rsid w:val="00943EAD"/>
    <w:rsid w:val="00945834"/>
    <w:rsid w:val="009479BF"/>
    <w:rsid w:val="00950409"/>
    <w:rsid w:val="00950FB1"/>
    <w:rsid w:val="00951A2A"/>
    <w:rsid w:val="00951A34"/>
    <w:rsid w:val="00952494"/>
    <w:rsid w:val="00952665"/>
    <w:rsid w:val="00953503"/>
    <w:rsid w:val="00954B6C"/>
    <w:rsid w:val="00954FF1"/>
    <w:rsid w:val="00955210"/>
    <w:rsid w:val="00955575"/>
    <w:rsid w:val="009556A3"/>
    <w:rsid w:val="00960C0A"/>
    <w:rsid w:val="00963340"/>
    <w:rsid w:val="00963BD2"/>
    <w:rsid w:val="00971743"/>
    <w:rsid w:val="009719E7"/>
    <w:rsid w:val="009744B5"/>
    <w:rsid w:val="009754F2"/>
    <w:rsid w:val="00975EF8"/>
    <w:rsid w:val="00977BB5"/>
    <w:rsid w:val="009827EC"/>
    <w:rsid w:val="00982CC1"/>
    <w:rsid w:val="0098338B"/>
    <w:rsid w:val="00983AF0"/>
    <w:rsid w:val="00983DF9"/>
    <w:rsid w:val="0098432C"/>
    <w:rsid w:val="00984CB4"/>
    <w:rsid w:val="009854A6"/>
    <w:rsid w:val="009859F6"/>
    <w:rsid w:val="00987F6D"/>
    <w:rsid w:val="00990C7C"/>
    <w:rsid w:val="0099199E"/>
    <w:rsid w:val="00991E04"/>
    <w:rsid w:val="00997AC1"/>
    <w:rsid w:val="009A2307"/>
    <w:rsid w:val="009A7863"/>
    <w:rsid w:val="009B0E16"/>
    <w:rsid w:val="009B185C"/>
    <w:rsid w:val="009B29C1"/>
    <w:rsid w:val="009B6783"/>
    <w:rsid w:val="009C05FD"/>
    <w:rsid w:val="009C6BB2"/>
    <w:rsid w:val="009C7E23"/>
    <w:rsid w:val="009D00E5"/>
    <w:rsid w:val="009D2716"/>
    <w:rsid w:val="009D3BD3"/>
    <w:rsid w:val="009D44E6"/>
    <w:rsid w:val="009D624F"/>
    <w:rsid w:val="009E095E"/>
    <w:rsid w:val="009E1F58"/>
    <w:rsid w:val="009E25D9"/>
    <w:rsid w:val="009E4D30"/>
    <w:rsid w:val="009E4FDE"/>
    <w:rsid w:val="009E7F75"/>
    <w:rsid w:val="009F07A5"/>
    <w:rsid w:val="009F160B"/>
    <w:rsid w:val="009F357D"/>
    <w:rsid w:val="009F38C2"/>
    <w:rsid w:val="009F3D1E"/>
    <w:rsid w:val="009F5F2C"/>
    <w:rsid w:val="009F6886"/>
    <w:rsid w:val="009F6D73"/>
    <w:rsid w:val="009F798A"/>
    <w:rsid w:val="00A015F0"/>
    <w:rsid w:val="00A02CF2"/>
    <w:rsid w:val="00A07FAF"/>
    <w:rsid w:val="00A105F2"/>
    <w:rsid w:val="00A119C9"/>
    <w:rsid w:val="00A13A31"/>
    <w:rsid w:val="00A13B1B"/>
    <w:rsid w:val="00A14889"/>
    <w:rsid w:val="00A17220"/>
    <w:rsid w:val="00A2094F"/>
    <w:rsid w:val="00A20F1E"/>
    <w:rsid w:val="00A21C10"/>
    <w:rsid w:val="00A255ED"/>
    <w:rsid w:val="00A25E1D"/>
    <w:rsid w:val="00A30D6D"/>
    <w:rsid w:val="00A3351A"/>
    <w:rsid w:val="00A33C79"/>
    <w:rsid w:val="00A341C7"/>
    <w:rsid w:val="00A35E41"/>
    <w:rsid w:val="00A36EC9"/>
    <w:rsid w:val="00A40680"/>
    <w:rsid w:val="00A42771"/>
    <w:rsid w:val="00A47629"/>
    <w:rsid w:val="00A50C8B"/>
    <w:rsid w:val="00A515B8"/>
    <w:rsid w:val="00A52C8E"/>
    <w:rsid w:val="00A53039"/>
    <w:rsid w:val="00A545AB"/>
    <w:rsid w:val="00A575B3"/>
    <w:rsid w:val="00A63051"/>
    <w:rsid w:val="00A66C21"/>
    <w:rsid w:val="00A72151"/>
    <w:rsid w:val="00A72634"/>
    <w:rsid w:val="00A757A9"/>
    <w:rsid w:val="00A75888"/>
    <w:rsid w:val="00A75FEE"/>
    <w:rsid w:val="00A8008E"/>
    <w:rsid w:val="00A81340"/>
    <w:rsid w:val="00A84B66"/>
    <w:rsid w:val="00A85FA2"/>
    <w:rsid w:val="00A87409"/>
    <w:rsid w:val="00A92D1C"/>
    <w:rsid w:val="00A9345E"/>
    <w:rsid w:val="00A946D3"/>
    <w:rsid w:val="00A94E87"/>
    <w:rsid w:val="00A97F14"/>
    <w:rsid w:val="00AA2DE0"/>
    <w:rsid w:val="00AA3F49"/>
    <w:rsid w:val="00AA5943"/>
    <w:rsid w:val="00AA5E2C"/>
    <w:rsid w:val="00AB03B3"/>
    <w:rsid w:val="00AB07FE"/>
    <w:rsid w:val="00AB0C55"/>
    <w:rsid w:val="00AB4417"/>
    <w:rsid w:val="00AB724F"/>
    <w:rsid w:val="00AB7738"/>
    <w:rsid w:val="00AB77B2"/>
    <w:rsid w:val="00AC28AC"/>
    <w:rsid w:val="00AC6CCC"/>
    <w:rsid w:val="00AD2F14"/>
    <w:rsid w:val="00AD6195"/>
    <w:rsid w:val="00AE0EE1"/>
    <w:rsid w:val="00AE13B3"/>
    <w:rsid w:val="00AE2AFE"/>
    <w:rsid w:val="00AE4276"/>
    <w:rsid w:val="00AE64E2"/>
    <w:rsid w:val="00AE6CE2"/>
    <w:rsid w:val="00AF0BC7"/>
    <w:rsid w:val="00AF1A38"/>
    <w:rsid w:val="00AF35DF"/>
    <w:rsid w:val="00AF413A"/>
    <w:rsid w:val="00AF6157"/>
    <w:rsid w:val="00AF7A07"/>
    <w:rsid w:val="00AF7CAA"/>
    <w:rsid w:val="00B016D6"/>
    <w:rsid w:val="00B01EEE"/>
    <w:rsid w:val="00B02584"/>
    <w:rsid w:val="00B04832"/>
    <w:rsid w:val="00B067D4"/>
    <w:rsid w:val="00B10F0B"/>
    <w:rsid w:val="00B121BD"/>
    <w:rsid w:val="00B122AD"/>
    <w:rsid w:val="00B13096"/>
    <w:rsid w:val="00B146AC"/>
    <w:rsid w:val="00B167C7"/>
    <w:rsid w:val="00B17122"/>
    <w:rsid w:val="00B20A35"/>
    <w:rsid w:val="00B2148E"/>
    <w:rsid w:val="00B21D72"/>
    <w:rsid w:val="00B239D3"/>
    <w:rsid w:val="00B2466A"/>
    <w:rsid w:val="00B25073"/>
    <w:rsid w:val="00B30B8C"/>
    <w:rsid w:val="00B30DF2"/>
    <w:rsid w:val="00B31A9B"/>
    <w:rsid w:val="00B32FD9"/>
    <w:rsid w:val="00B34A89"/>
    <w:rsid w:val="00B44094"/>
    <w:rsid w:val="00B45718"/>
    <w:rsid w:val="00B47818"/>
    <w:rsid w:val="00B5190E"/>
    <w:rsid w:val="00B52349"/>
    <w:rsid w:val="00B539D4"/>
    <w:rsid w:val="00B5647F"/>
    <w:rsid w:val="00B56791"/>
    <w:rsid w:val="00B56B25"/>
    <w:rsid w:val="00B63720"/>
    <w:rsid w:val="00B65107"/>
    <w:rsid w:val="00B6651F"/>
    <w:rsid w:val="00B66E90"/>
    <w:rsid w:val="00B70D99"/>
    <w:rsid w:val="00B713CC"/>
    <w:rsid w:val="00B72498"/>
    <w:rsid w:val="00B77344"/>
    <w:rsid w:val="00B809CD"/>
    <w:rsid w:val="00B83466"/>
    <w:rsid w:val="00B83597"/>
    <w:rsid w:val="00B84ADE"/>
    <w:rsid w:val="00B862F0"/>
    <w:rsid w:val="00B90528"/>
    <w:rsid w:val="00B90B03"/>
    <w:rsid w:val="00B90D56"/>
    <w:rsid w:val="00B914AC"/>
    <w:rsid w:val="00B91C7F"/>
    <w:rsid w:val="00B936B8"/>
    <w:rsid w:val="00B94204"/>
    <w:rsid w:val="00B953D8"/>
    <w:rsid w:val="00BA050F"/>
    <w:rsid w:val="00BA1BF8"/>
    <w:rsid w:val="00BA2A38"/>
    <w:rsid w:val="00BA5B82"/>
    <w:rsid w:val="00BB2087"/>
    <w:rsid w:val="00BB2923"/>
    <w:rsid w:val="00BB478F"/>
    <w:rsid w:val="00BB5A73"/>
    <w:rsid w:val="00BB6644"/>
    <w:rsid w:val="00BB74F7"/>
    <w:rsid w:val="00BB799C"/>
    <w:rsid w:val="00BC0285"/>
    <w:rsid w:val="00BC1440"/>
    <w:rsid w:val="00BC6329"/>
    <w:rsid w:val="00BC6724"/>
    <w:rsid w:val="00BC7A08"/>
    <w:rsid w:val="00BD0E54"/>
    <w:rsid w:val="00BD14C8"/>
    <w:rsid w:val="00BD2AB3"/>
    <w:rsid w:val="00BD3BEA"/>
    <w:rsid w:val="00BD58A1"/>
    <w:rsid w:val="00BD6A6E"/>
    <w:rsid w:val="00BE12EA"/>
    <w:rsid w:val="00BE2FBB"/>
    <w:rsid w:val="00BE3027"/>
    <w:rsid w:val="00BE69CD"/>
    <w:rsid w:val="00BF06AB"/>
    <w:rsid w:val="00BF07FE"/>
    <w:rsid w:val="00BF08BC"/>
    <w:rsid w:val="00BF2109"/>
    <w:rsid w:val="00BF64EB"/>
    <w:rsid w:val="00BF6E17"/>
    <w:rsid w:val="00BF71D1"/>
    <w:rsid w:val="00C0462D"/>
    <w:rsid w:val="00C04F08"/>
    <w:rsid w:val="00C11CC4"/>
    <w:rsid w:val="00C1268C"/>
    <w:rsid w:val="00C13A42"/>
    <w:rsid w:val="00C14036"/>
    <w:rsid w:val="00C16656"/>
    <w:rsid w:val="00C166A7"/>
    <w:rsid w:val="00C16EA4"/>
    <w:rsid w:val="00C2116C"/>
    <w:rsid w:val="00C2135B"/>
    <w:rsid w:val="00C22B62"/>
    <w:rsid w:val="00C23474"/>
    <w:rsid w:val="00C32D27"/>
    <w:rsid w:val="00C3469D"/>
    <w:rsid w:val="00C34757"/>
    <w:rsid w:val="00C36056"/>
    <w:rsid w:val="00C36FCD"/>
    <w:rsid w:val="00C4027B"/>
    <w:rsid w:val="00C441E4"/>
    <w:rsid w:val="00C461A9"/>
    <w:rsid w:val="00C4714D"/>
    <w:rsid w:val="00C474E0"/>
    <w:rsid w:val="00C47B78"/>
    <w:rsid w:val="00C5186E"/>
    <w:rsid w:val="00C5364B"/>
    <w:rsid w:val="00C56C74"/>
    <w:rsid w:val="00C573F8"/>
    <w:rsid w:val="00C62434"/>
    <w:rsid w:val="00C65781"/>
    <w:rsid w:val="00C65BE3"/>
    <w:rsid w:val="00C67B0B"/>
    <w:rsid w:val="00C7022B"/>
    <w:rsid w:val="00C7191C"/>
    <w:rsid w:val="00C72575"/>
    <w:rsid w:val="00C72D96"/>
    <w:rsid w:val="00C73EC3"/>
    <w:rsid w:val="00C75F74"/>
    <w:rsid w:val="00C77F20"/>
    <w:rsid w:val="00C800AF"/>
    <w:rsid w:val="00C80D95"/>
    <w:rsid w:val="00C81B37"/>
    <w:rsid w:val="00C83BF7"/>
    <w:rsid w:val="00C83F85"/>
    <w:rsid w:val="00C8749B"/>
    <w:rsid w:val="00C90AF2"/>
    <w:rsid w:val="00C90F77"/>
    <w:rsid w:val="00C91312"/>
    <w:rsid w:val="00C91879"/>
    <w:rsid w:val="00C92342"/>
    <w:rsid w:val="00C963C9"/>
    <w:rsid w:val="00CA4410"/>
    <w:rsid w:val="00CA4F8B"/>
    <w:rsid w:val="00CA5CFE"/>
    <w:rsid w:val="00CA5DAB"/>
    <w:rsid w:val="00CA6435"/>
    <w:rsid w:val="00CA67D4"/>
    <w:rsid w:val="00CA7051"/>
    <w:rsid w:val="00CA7344"/>
    <w:rsid w:val="00CB2923"/>
    <w:rsid w:val="00CB2A95"/>
    <w:rsid w:val="00CB2F52"/>
    <w:rsid w:val="00CB356C"/>
    <w:rsid w:val="00CB3980"/>
    <w:rsid w:val="00CB43A2"/>
    <w:rsid w:val="00CB7201"/>
    <w:rsid w:val="00CB7B9B"/>
    <w:rsid w:val="00CC044B"/>
    <w:rsid w:val="00CC082D"/>
    <w:rsid w:val="00CC0A3A"/>
    <w:rsid w:val="00CC1BD1"/>
    <w:rsid w:val="00CC22C4"/>
    <w:rsid w:val="00CC2805"/>
    <w:rsid w:val="00CC387D"/>
    <w:rsid w:val="00CC3DD5"/>
    <w:rsid w:val="00CC61BE"/>
    <w:rsid w:val="00CD1611"/>
    <w:rsid w:val="00CD1FEA"/>
    <w:rsid w:val="00CD23EE"/>
    <w:rsid w:val="00CD257A"/>
    <w:rsid w:val="00CD2830"/>
    <w:rsid w:val="00CD38FD"/>
    <w:rsid w:val="00CD4985"/>
    <w:rsid w:val="00CD5BA1"/>
    <w:rsid w:val="00CD6B20"/>
    <w:rsid w:val="00CD6F2A"/>
    <w:rsid w:val="00CD6F54"/>
    <w:rsid w:val="00CD7A4A"/>
    <w:rsid w:val="00CE2FF7"/>
    <w:rsid w:val="00CE30BD"/>
    <w:rsid w:val="00CE4B69"/>
    <w:rsid w:val="00CE5C35"/>
    <w:rsid w:val="00CE6A19"/>
    <w:rsid w:val="00CE763C"/>
    <w:rsid w:val="00CE7A59"/>
    <w:rsid w:val="00CF0CCB"/>
    <w:rsid w:val="00CF101D"/>
    <w:rsid w:val="00CF15CA"/>
    <w:rsid w:val="00CF2B1C"/>
    <w:rsid w:val="00CF2B70"/>
    <w:rsid w:val="00CF4115"/>
    <w:rsid w:val="00CF4DE9"/>
    <w:rsid w:val="00CF57AA"/>
    <w:rsid w:val="00CF5E6F"/>
    <w:rsid w:val="00CF62D1"/>
    <w:rsid w:val="00CF6F6F"/>
    <w:rsid w:val="00D000A8"/>
    <w:rsid w:val="00D0140C"/>
    <w:rsid w:val="00D05B81"/>
    <w:rsid w:val="00D07441"/>
    <w:rsid w:val="00D07E7D"/>
    <w:rsid w:val="00D10AE3"/>
    <w:rsid w:val="00D114AE"/>
    <w:rsid w:val="00D11A1E"/>
    <w:rsid w:val="00D14743"/>
    <w:rsid w:val="00D15D03"/>
    <w:rsid w:val="00D170EA"/>
    <w:rsid w:val="00D201AF"/>
    <w:rsid w:val="00D2028B"/>
    <w:rsid w:val="00D20892"/>
    <w:rsid w:val="00D20F0C"/>
    <w:rsid w:val="00D21019"/>
    <w:rsid w:val="00D236ED"/>
    <w:rsid w:val="00D23D67"/>
    <w:rsid w:val="00D24164"/>
    <w:rsid w:val="00D27FEC"/>
    <w:rsid w:val="00D30DCC"/>
    <w:rsid w:val="00D32AFD"/>
    <w:rsid w:val="00D33DAF"/>
    <w:rsid w:val="00D341CC"/>
    <w:rsid w:val="00D3519E"/>
    <w:rsid w:val="00D37828"/>
    <w:rsid w:val="00D4176F"/>
    <w:rsid w:val="00D417CA"/>
    <w:rsid w:val="00D420D1"/>
    <w:rsid w:val="00D429FE"/>
    <w:rsid w:val="00D51046"/>
    <w:rsid w:val="00D516FB"/>
    <w:rsid w:val="00D52BEA"/>
    <w:rsid w:val="00D5500A"/>
    <w:rsid w:val="00D55E86"/>
    <w:rsid w:val="00D5644D"/>
    <w:rsid w:val="00D56813"/>
    <w:rsid w:val="00D572C1"/>
    <w:rsid w:val="00D61C6F"/>
    <w:rsid w:val="00D62134"/>
    <w:rsid w:val="00D63655"/>
    <w:rsid w:val="00D6408A"/>
    <w:rsid w:val="00D643D5"/>
    <w:rsid w:val="00D652F5"/>
    <w:rsid w:val="00D67928"/>
    <w:rsid w:val="00D703DA"/>
    <w:rsid w:val="00D71612"/>
    <w:rsid w:val="00D7231C"/>
    <w:rsid w:val="00D74CFC"/>
    <w:rsid w:val="00D75608"/>
    <w:rsid w:val="00D75A85"/>
    <w:rsid w:val="00D760FE"/>
    <w:rsid w:val="00D801B8"/>
    <w:rsid w:val="00D809A5"/>
    <w:rsid w:val="00D8108C"/>
    <w:rsid w:val="00D81E73"/>
    <w:rsid w:val="00D827B1"/>
    <w:rsid w:val="00D830C2"/>
    <w:rsid w:val="00D85BCF"/>
    <w:rsid w:val="00D86F60"/>
    <w:rsid w:val="00D87FF0"/>
    <w:rsid w:val="00D909DA"/>
    <w:rsid w:val="00D934CB"/>
    <w:rsid w:val="00D936E5"/>
    <w:rsid w:val="00D93B8C"/>
    <w:rsid w:val="00D93C90"/>
    <w:rsid w:val="00D949D0"/>
    <w:rsid w:val="00D96EBD"/>
    <w:rsid w:val="00D97443"/>
    <w:rsid w:val="00D977CF"/>
    <w:rsid w:val="00DA0B8C"/>
    <w:rsid w:val="00DA208A"/>
    <w:rsid w:val="00DA57C2"/>
    <w:rsid w:val="00DA73C6"/>
    <w:rsid w:val="00DA75FB"/>
    <w:rsid w:val="00DA769F"/>
    <w:rsid w:val="00DB2A52"/>
    <w:rsid w:val="00DB4230"/>
    <w:rsid w:val="00DB71CD"/>
    <w:rsid w:val="00DB72B0"/>
    <w:rsid w:val="00DB7BB3"/>
    <w:rsid w:val="00DC1AB8"/>
    <w:rsid w:val="00DC2D2F"/>
    <w:rsid w:val="00DC2F7B"/>
    <w:rsid w:val="00DC3D6C"/>
    <w:rsid w:val="00DC48B7"/>
    <w:rsid w:val="00DC6C05"/>
    <w:rsid w:val="00DC7838"/>
    <w:rsid w:val="00DD0E01"/>
    <w:rsid w:val="00DD1082"/>
    <w:rsid w:val="00DD16DA"/>
    <w:rsid w:val="00DD3DA7"/>
    <w:rsid w:val="00DD44CA"/>
    <w:rsid w:val="00DD6CE9"/>
    <w:rsid w:val="00DE241A"/>
    <w:rsid w:val="00DE38D7"/>
    <w:rsid w:val="00DE547E"/>
    <w:rsid w:val="00DE5E24"/>
    <w:rsid w:val="00DE7ED9"/>
    <w:rsid w:val="00DF14C0"/>
    <w:rsid w:val="00DF2FAD"/>
    <w:rsid w:val="00DF4C93"/>
    <w:rsid w:val="00DF4EB6"/>
    <w:rsid w:val="00DF5A37"/>
    <w:rsid w:val="00DF5D6C"/>
    <w:rsid w:val="00E00BBA"/>
    <w:rsid w:val="00E01E23"/>
    <w:rsid w:val="00E053FA"/>
    <w:rsid w:val="00E108FF"/>
    <w:rsid w:val="00E10A7F"/>
    <w:rsid w:val="00E11873"/>
    <w:rsid w:val="00E12704"/>
    <w:rsid w:val="00E1592A"/>
    <w:rsid w:val="00E2024F"/>
    <w:rsid w:val="00E204F3"/>
    <w:rsid w:val="00E207F2"/>
    <w:rsid w:val="00E21A1C"/>
    <w:rsid w:val="00E21C67"/>
    <w:rsid w:val="00E2513D"/>
    <w:rsid w:val="00E252F6"/>
    <w:rsid w:val="00E26103"/>
    <w:rsid w:val="00E27F47"/>
    <w:rsid w:val="00E33A6F"/>
    <w:rsid w:val="00E34095"/>
    <w:rsid w:val="00E349A3"/>
    <w:rsid w:val="00E36DAC"/>
    <w:rsid w:val="00E40544"/>
    <w:rsid w:val="00E40EDA"/>
    <w:rsid w:val="00E41328"/>
    <w:rsid w:val="00E4381D"/>
    <w:rsid w:val="00E47DA4"/>
    <w:rsid w:val="00E521BF"/>
    <w:rsid w:val="00E521DA"/>
    <w:rsid w:val="00E52A0F"/>
    <w:rsid w:val="00E65539"/>
    <w:rsid w:val="00E657ED"/>
    <w:rsid w:val="00E672F0"/>
    <w:rsid w:val="00E67D1F"/>
    <w:rsid w:val="00E709BA"/>
    <w:rsid w:val="00E713E0"/>
    <w:rsid w:val="00E72050"/>
    <w:rsid w:val="00E72162"/>
    <w:rsid w:val="00E730BB"/>
    <w:rsid w:val="00E73854"/>
    <w:rsid w:val="00E75212"/>
    <w:rsid w:val="00E771FC"/>
    <w:rsid w:val="00E815F9"/>
    <w:rsid w:val="00E8244C"/>
    <w:rsid w:val="00E82658"/>
    <w:rsid w:val="00E84B68"/>
    <w:rsid w:val="00E86C6F"/>
    <w:rsid w:val="00E87F2A"/>
    <w:rsid w:val="00E900BD"/>
    <w:rsid w:val="00E902E1"/>
    <w:rsid w:val="00E92C26"/>
    <w:rsid w:val="00E92D16"/>
    <w:rsid w:val="00E95E3A"/>
    <w:rsid w:val="00E9620C"/>
    <w:rsid w:val="00E97677"/>
    <w:rsid w:val="00E97BE2"/>
    <w:rsid w:val="00EA0ADB"/>
    <w:rsid w:val="00EA4E6B"/>
    <w:rsid w:val="00EB0F12"/>
    <w:rsid w:val="00EB2178"/>
    <w:rsid w:val="00EB2DF9"/>
    <w:rsid w:val="00EB3968"/>
    <w:rsid w:val="00EB4924"/>
    <w:rsid w:val="00EB49EC"/>
    <w:rsid w:val="00EB68A5"/>
    <w:rsid w:val="00EC1E41"/>
    <w:rsid w:val="00ED06E6"/>
    <w:rsid w:val="00ED07D6"/>
    <w:rsid w:val="00ED3271"/>
    <w:rsid w:val="00ED3325"/>
    <w:rsid w:val="00ED5415"/>
    <w:rsid w:val="00ED75E4"/>
    <w:rsid w:val="00EE02A8"/>
    <w:rsid w:val="00EE0ACF"/>
    <w:rsid w:val="00EE3840"/>
    <w:rsid w:val="00EE396A"/>
    <w:rsid w:val="00EE50E3"/>
    <w:rsid w:val="00EE527D"/>
    <w:rsid w:val="00EE5F4A"/>
    <w:rsid w:val="00EF0A38"/>
    <w:rsid w:val="00EF2571"/>
    <w:rsid w:val="00EF293E"/>
    <w:rsid w:val="00EF3C02"/>
    <w:rsid w:val="00F0128E"/>
    <w:rsid w:val="00F01B22"/>
    <w:rsid w:val="00F0409B"/>
    <w:rsid w:val="00F078B0"/>
    <w:rsid w:val="00F110B5"/>
    <w:rsid w:val="00F12718"/>
    <w:rsid w:val="00F14F12"/>
    <w:rsid w:val="00F15DE6"/>
    <w:rsid w:val="00F163B3"/>
    <w:rsid w:val="00F16734"/>
    <w:rsid w:val="00F206ED"/>
    <w:rsid w:val="00F22DF9"/>
    <w:rsid w:val="00F270C7"/>
    <w:rsid w:val="00F27291"/>
    <w:rsid w:val="00F32BD8"/>
    <w:rsid w:val="00F34C47"/>
    <w:rsid w:val="00F36C92"/>
    <w:rsid w:val="00F370DB"/>
    <w:rsid w:val="00F419CE"/>
    <w:rsid w:val="00F45815"/>
    <w:rsid w:val="00F46139"/>
    <w:rsid w:val="00F4678A"/>
    <w:rsid w:val="00F476D0"/>
    <w:rsid w:val="00F52A51"/>
    <w:rsid w:val="00F538EE"/>
    <w:rsid w:val="00F54A8D"/>
    <w:rsid w:val="00F55D36"/>
    <w:rsid w:val="00F57AB3"/>
    <w:rsid w:val="00F60901"/>
    <w:rsid w:val="00F61E44"/>
    <w:rsid w:val="00F62FCA"/>
    <w:rsid w:val="00F64B1E"/>
    <w:rsid w:val="00F65C33"/>
    <w:rsid w:val="00F65FF9"/>
    <w:rsid w:val="00F72EE4"/>
    <w:rsid w:val="00F74408"/>
    <w:rsid w:val="00F74BC1"/>
    <w:rsid w:val="00F76298"/>
    <w:rsid w:val="00F773B3"/>
    <w:rsid w:val="00F820A8"/>
    <w:rsid w:val="00F858E5"/>
    <w:rsid w:val="00F9557A"/>
    <w:rsid w:val="00F9559A"/>
    <w:rsid w:val="00FA06A1"/>
    <w:rsid w:val="00FA0764"/>
    <w:rsid w:val="00FA0EDB"/>
    <w:rsid w:val="00FA3262"/>
    <w:rsid w:val="00FA5A6C"/>
    <w:rsid w:val="00FA5E8B"/>
    <w:rsid w:val="00FA68DF"/>
    <w:rsid w:val="00FA7CC0"/>
    <w:rsid w:val="00FA7E34"/>
    <w:rsid w:val="00FB08F7"/>
    <w:rsid w:val="00FB2A00"/>
    <w:rsid w:val="00FB3FE4"/>
    <w:rsid w:val="00FB5524"/>
    <w:rsid w:val="00FB624F"/>
    <w:rsid w:val="00FC1239"/>
    <w:rsid w:val="00FC1429"/>
    <w:rsid w:val="00FC2368"/>
    <w:rsid w:val="00FC26E5"/>
    <w:rsid w:val="00FC4341"/>
    <w:rsid w:val="00FC4D3C"/>
    <w:rsid w:val="00FD279A"/>
    <w:rsid w:val="00FD296C"/>
    <w:rsid w:val="00FD2984"/>
    <w:rsid w:val="00FD2BAC"/>
    <w:rsid w:val="00FD4336"/>
    <w:rsid w:val="00FD6885"/>
    <w:rsid w:val="00FD7397"/>
    <w:rsid w:val="00FE0718"/>
    <w:rsid w:val="00FE3386"/>
    <w:rsid w:val="00FE3450"/>
    <w:rsid w:val="00FE394F"/>
    <w:rsid w:val="00FE433B"/>
    <w:rsid w:val="00FE7E66"/>
    <w:rsid w:val="00FF06D3"/>
    <w:rsid w:val="00FF2288"/>
    <w:rsid w:val="00FF2A4B"/>
    <w:rsid w:val="00FF2E5C"/>
    <w:rsid w:val="00FF3874"/>
    <w:rsid w:val="00FF599A"/>
    <w:rsid w:val="00FF6031"/>
    <w:rsid w:val="00FF67AD"/>
    <w:rsid w:val="00FF6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97"/>
    <w:lsdException w:name="footer" w:uiPriority="98"/>
    <w:lsdException w:name="caption" w:uiPriority="35" w:qFormat="1"/>
    <w:lsdException w:name="annotation reference" w:uiPriority="0"/>
    <w:lsdException w:name="page number" w:uiPriority="0"/>
    <w:lsdException w:name="List" w:semiHidden="0" w:uiPriority="29" w:unhideWhenUsed="0"/>
    <w:lsdException w:name="List Bullet" w:uiPriority="23"/>
    <w:lsdException w:name="List Number" w:semiHidden="0" w:uiPriority="23" w:unhideWhenUsed="0"/>
    <w:lsdException w:name="List 2" w:uiPriority="29" w:unhideWhenUsed="0"/>
    <w:lsdException w:name="List Bullet 2" w:uiPriority="26"/>
    <w:lsdException w:name="Title" w:uiPriority="10" w:unhideWhenUsed="0" w:qFormat="1"/>
    <w:lsdException w:name="Default Paragraph Font" w:uiPriority="1"/>
    <w:lsdException w:name="Body Text" w:uiPriority="4"/>
    <w:lsdException w:name="List Continue" w:semiHidden="0" w:uiPriority="25" w:unhideWhenUsed="0"/>
    <w:lsdException w:name="List Continue 2" w:semiHidden="0" w:uiPriority="26" w:unhideWhenUsed="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qFormat/>
    <w:rsid w:val="00696B6D"/>
  </w:style>
  <w:style w:type="paragraph" w:styleId="Heading1">
    <w:name w:val="heading 1"/>
    <w:next w:val="Normal"/>
    <w:link w:val="Heading1Char"/>
    <w:uiPriority w:val="9"/>
    <w:qFormat/>
    <w:rsid w:val="0078791B"/>
    <w:pPr>
      <w:keepNext/>
      <w:keepLines/>
      <w:numPr>
        <w:numId w:val="39"/>
      </w:numPr>
      <w:pBdr>
        <w:bottom w:val="single" w:sz="12" w:space="1" w:color="auto"/>
      </w:pBdr>
      <w:spacing w:before="360"/>
      <w:outlineLvl w:val="0"/>
    </w:pPr>
    <w:rPr>
      <w:rFonts w:asciiTheme="majorHAnsi" w:eastAsiaTheme="majorEastAsia" w:hAnsiTheme="majorHAnsi" w:cstheme="majorBidi"/>
      <w:b/>
      <w:bCs/>
      <w:caps/>
      <w:spacing w:val="-2"/>
      <w:sz w:val="32"/>
      <w:szCs w:val="28"/>
    </w:rPr>
  </w:style>
  <w:style w:type="paragraph" w:styleId="Heading2">
    <w:name w:val="heading 2"/>
    <w:basedOn w:val="Heading1"/>
    <w:next w:val="Normal"/>
    <w:link w:val="Heading2Char"/>
    <w:uiPriority w:val="9"/>
    <w:qFormat/>
    <w:rsid w:val="00FA5E8B"/>
    <w:pPr>
      <w:numPr>
        <w:ilvl w:val="1"/>
      </w:numPr>
      <w:pBdr>
        <w:bottom w:val="none" w:sz="0" w:space="0" w:color="auto"/>
      </w:pBdr>
      <w:tabs>
        <w:tab w:val="right" w:pos="9582"/>
      </w:tabs>
      <w:spacing w:before="240"/>
      <w:outlineLvl w:val="1"/>
    </w:pPr>
    <w:rPr>
      <w:bCs w:val="0"/>
      <w:caps w:val="0"/>
      <w:sz w:val="24"/>
      <w:szCs w:val="26"/>
    </w:rPr>
  </w:style>
  <w:style w:type="paragraph" w:styleId="Heading3">
    <w:name w:val="heading 3"/>
    <w:basedOn w:val="Heading2"/>
    <w:next w:val="Normal"/>
    <w:link w:val="Heading3Char"/>
    <w:uiPriority w:val="9"/>
    <w:qFormat/>
    <w:rsid w:val="00FA5E8B"/>
    <w:pPr>
      <w:numPr>
        <w:ilvl w:val="2"/>
      </w:numPr>
      <w:tabs>
        <w:tab w:val="right" w:pos="14742"/>
      </w:tabs>
      <w:outlineLvl w:val="2"/>
    </w:pPr>
    <w:rPr>
      <w:bCs/>
      <w:sz w:val="20"/>
    </w:rPr>
  </w:style>
  <w:style w:type="paragraph" w:styleId="Heading4">
    <w:name w:val="heading 4"/>
    <w:basedOn w:val="Heading3"/>
    <w:next w:val="Normal"/>
    <w:link w:val="Heading4Char"/>
    <w:uiPriority w:val="9"/>
    <w:rsid w:val="007116A2"/>
    <w:pPr>
      <w:numPr>
        <w:ilvl w:val="3"/>
      </w:numPr>
      <w:outlineLvl w:val="3"/>
    </w:pPr>
    <w:rPr>
      <w:b w:val="0"/>
      <w:bCs w:val="0"/>
      <w:iCs/>
    </w:rPr>
  </w:style>
  <w:style w:type="paragraph" w:styleId="Heading5">
    <w:name w:val="heading 5"/>
    <w:basedOn w:val="Heading4"/>
    <w:next w:val="Normal"/>
    <w:link w:val="Heading5Char"/>
    <w:uiPriority w:val="9"/>
    <w:rsid w:val="0062613A"/>
    <w:pPr>
      <w:numPr>
        <w:ilvl w:val="4"/>
      </w:numPr>
      <w:outlineLvl w:val="4"/>
    </w:pPr>
    <w:rPr>
      <w:b/>
      <w:i/>
    </w:rPr>
  </w:style>
  <w:style w:type="paragraph" w:styleId="Heading6">
    <w:name w:val="heading 6"/>
    <w:basedOn w:val="Normal"/>
    <w:next w:val="Normal"/>
    <w:link w:val="Heading6Char"/>
    <w:uiPriority w:val="9"/>
    <w:semiHidden/>
    <w:unhideWhenUsed/>
    <w:qFormat/>
    <w:rsid w:val="00E36DAC"/>
    <w:pPr>
      <w:keepNext/>
      <w:numPr>
        <w:ilvl w:val="5"/>
        <w:numId w:val="13"/>
      </w:numPr>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qFormat/>
    <w:rsid w:val="00E36DAC"/>
    <w:pPr>
      <w:keepNext/>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DAC"/>
    <w:pPr>
      <w:keepNext/>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6DAC"/>
    <w:pPr>
      <w:keepNext/>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91B"/>
    <w:rPr>
      <w:rFonts w:asciiTheme="majorHAnsi" w:eastAsiaTheme="majorEastAsia" w:hAnsiTheme="majorHAnsi" w:cstheme="majorBidi"/>
      <w:b/>
      <w:bCs/>
      <w:caps/>
      <w:spacing w:val="-2"/>
      <w:sz w:val="32"/>
      <w:szCs w:val="28"/>
    </w:rPr>
  </w:style>
  <w:style w:type="paragraph" w:customStyle="1" w:styleId="Chapterheading">
    <w:name w:val="Chapter heading"/>
    <w:basedOn w:val="Heading1unnumbered"/>
    <w:next w:val="Heading2"/>
    <w:uiPriority w:val="99"/>
    <w:rsid w:val="00545C39"/>
    <w:pPr>
      <w:spacing w:before="1440"/>
    </w:pPr>
    <w:rPr>
      <w:sz w:val="48"/>
    </w:rPr>
  </w:style>
  <w:style w:type="character" w:customStyle="1" w:styleId="Heading3Char">
    <w:name w:val="Heading 3 Char"/>
    <w:basedOn w:val="DefaultParagraphFont"/>
    <w:link w:val="Heading3"/>
    <w:uiPriority w:val="9"/>
    <w:rsid w:val="00FA5E8B"/>
    <w:rPr>
      <w:rFonts w:asciiTheme="majorHAnsi" w:eastAsiaTheme="majorEastAsia" w:hAnsiTheme="majorHAnsi" w:cstheme="majorBidi"/>
      <w:b/>
      <w:bCs/>
      <w:spacing w:val="-2"/>
      <w:sz w:val="20"/>
      <w:szCs w:val="26"/>
    </w:rPr>
  </w:style>
  <w:style w:type="character" w:customStyle="1" w:styleId="Heading2Char">
    <w:name w:val="Heading 2 Char"/>
    <w:basedOn w:val="DefaultParagraphFont"/>
    <w:link w:val="Heading2"/>
    <w:uiPriority w:val="9"/>
    <w:rsid w:val="00FA5E8B"/>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rsid w:val="00B17122"/>
    <w:rPr>
      <w:rFonts w:asciiTheme="majorHAnsi" w:eastAsiaTheme="majorEastAsia" w:hAnsiTheme="majorHAnsi" w:cstheme="majorBidi"/>
      <w:iCs/>
      <w:spacing w:val="-2"/>
      <w:szCs w:val="26"/>
    </w:rPr>
  </w:style>
  <w:style w:type="paragraph" w:customStyle="1" w:styleId="Subheading">
    <w:name w:val="Subheading"/>
    <w:basedOn w:val="Normal"/>
    <w:next w:val="TableUnits"/>
    <w:uiPriority w:val="49"/>
    <w:qFormat/>
    <w:rsid w:val="00FA5E8B"/>
    <w:pPr>
      <w:keepNext/>
      <w:tabs>
        <w:tab w:val="left" w:pos="397"/>
        <w:tab w:val="right" w:pos="9582"/>
        <w:tab w:val="right" w:pos="14742"/>
      </w:tabs>
      <w:spacing w:before="200" w:after="160"/>
    </w:pPr>
    <w:rPr>
      <w:rFonts w:asciiTheme="majorHAnsi" w:hAnsiTheme="majorHAnsi"/>
      <w:b/>
      <w:spacing w:val="-2"/>
    </w:rPr>
  </w:style>
  <w:style w:type="paragraph" w:customStyle="1" w:styleId="TableUnits">
    <w:name w:val="Table Units"/>
    <w:basedOn w:val="Normal"/>
    <w:next w:val="Normal"/>
    <w:link w:val="TableUnitsChar"/>
    <w:uiPriority w:val="50"/>
    <w:qFormat/>
    <w:rsid w:val="00573F75"/>
    <w:pPr>
      <w:keepNext/>
      <w:spacing w:after="0"/>
    </w:pPr>
    <w:rPr>
      <w:rFonts w:asciiTheme="majorHAnsi" w:hAnsiTheme="majorHAnsi"/>
      <w:spacing w:val="-2"/>
      <w:sz w:val="19"/>
    </w:rPr>
  </w:style>
  <w:style w:type="paragraph" w:customStyle="1" w:styleId="Source">
    <w:name w:val="Source"/>
    <w:basedOn w:val="Normal"/>
    <w:next w:val="Note"/>
    <w:uiPriority w:val="51"/>
    <w:qFormat/>
    <w:rsid w:val="00166D20"/>
    <w:pPr>
      <w:spacing w:line="240" w:lineRule="auto"/>
    </w:pPr>
    <w:rPr>
      <w:rFonts w:asciiTheme="majorHAnsi" w:hAnsiTheme="majorHAnsi"/>
      <w:i/>
      <w:spacing w:val="-2"/>
      <w:sz w:val="16"/>
    </w:rPr>
  </w:style>
  <w:style w:type="paragraph" w:customStyle="1" w:styleId="Note">
    <w:name w:val="Note"/>
    <w:basedOn w:val="Normal"/>
    <w:link w:val="NoteChar"/>
    <w:uiPriority w:val="52"/>
    <w:qFormat/>
    <w:rsid w:val="00166D20"/>
    <w:pPr>
      <w:spacing w:after="0" w:line="240" w:lineRule="auto"/>
      <w:ind w:left="397" w:hanging="397"/>
    </w:pPr>
    <w:rPr>
      <w:rFonts w:asciiTheme="majorHAnsi" w:hAnsiTheme="majorHAnsi"/>
      <w:i/>
      <w:spacing w:val="-2"/>
      <w:sz w:val="16"/>
    </w:rPr>
  </w:style>
  <w:style w:type="paragraph" w:customStyle="1" w:styleId="HighlightBoxText">
    <w:name w:val="Highlight Box Text"/>
    <w:basedOn w:val="BodyText"/>
    <w:uiPriority w:val="79"/>
    <w:qFormat/>
    <w:rsid w:val="0078791B"/>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6B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pPr>
      <w:spacing w:after="0"/>
    </w:pPr>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pPr>
      <w:spacing w:after="0"/>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styleId="FootnoteText">
    <w:name w:val="footnote text"/>
    <w:basedOn w:val="Normal"/>
    <w:link w:val="FootnoteTextChar"/>
    <w:uiPriority w:val="99"/>
    <w:semiHidden/>
    <w:qFormat/>
    <w:rsid w:val="00363B60"/>
    <w:pPr>
      <w:spacing w:after="0"/>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19"/>
    <w:semiHidden/>
    <w:rsid w:val="00363B60"/>
    <w:rPr>
      <w:i/>
      <w:iCs/>
      <w:color w:val="7F7F7F" w:themeColor="text1" w:themeTint="80"/>
    </w:rPr>
  </w:style>
  <w:style w:type="table" w:styleId="MediumShading2-Accent5">
    <w:name w:val="Medium Shading 2 Accent 5"/>
    <w:basedOn w:val="TableNormal"/>
    <w:uiPriority w:val="64"/>
    <w:rsid w:val="00363B60"/>
    <w:pPr>
      <w:spacing w:after="0"/>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97"/>
    <w:rsid w:val="00790E40"/>
    <w:pPr>
      <w:spacing w:after="180"/>
    </w:pPr>
    <w:rPr>
      <w:rFonts w:asciiTheme="majorHAnsi" w:hAnsiTheme="majorHAnsi"/>
      <w:b/>
      <w:caps/>
      <w:color w:val="0063A6" w:themeColor="accent1"/>
      <w:spacing w:val="2"/>
    </w:rPr>
  </w:style>
  <w:style w:type="character" w:customStyle="1" w:styleId="HeaderChar">
    <w:name w:val="Header Char"/>
    <w:basedOn w:val="DefaultParagraphFont"/>
    <w:link w:val="Header"/>
    <w:uiPriority w:val="97"/>
    <w:rsid w:val="00790E40"/>
    <w:rPr>
      <w:rFonts w:asciiTheme="majorHAnsi" w:hAnsiTheme="majorHAnsi"/>
      <w:b/>
      <w:caps/>
      <w:color w:val="0063A6" w:themeColor="accent1"/>
      <w:spacing w:val="2"/>
    </w:rPr>
  </w:style>
  <w:style w:type="paragraph" w:styleId="Footer">
    <w:name w:val="footer"/>
    <w:aliases w:val="Footer (Odd page)"/>
    <w:basedOn w:val="Normal"/>
    <w:link w:val="FooterChar"/>
    <w:uiPriority w:val="98"/>
    <w:unhideWhenUsed/>
    <w:rsid w:val="0078791B"/>
    <w:pPr>
      <w:pBdr>
        <w:top w:val="single" w:sz="6" w:space="1" w:color="auto"/>
      </w:pBdr>
      <w:tabs>
        <w:tab w:val="right" w:pos="9639"/>
      </w:tabs>
      <w:spacing w:after="0"/>
    </w:pPr>
    <w:rPr>
      <w:rFonts w:asciiTheme="majorHAnsi" w:hAnsiTheme="majorHAnsi"/>
      <w:sz w:val="18"/>
    </w:rPr>
  </w:style>
  <w:style w:type="character" w:customStyle="1" w:styleId="FooterChar">
    <w:name w:val="Footer Char"/>
    <w:aliases w:val="Footer (Odd page) Char"/>
    <w:basedOn w:val="DefaultParagraphFont"/>
    <w:link w:val="Footer"/>
    <w:uiPriority w:val="98"/>
    <w:rsid w:val="0078791B"/>
    <w:rPr>
      <w:rFonts w:asciiTheme="majorHAnsi" w:hAnsiTheme="majorHAnsi"/>
      <w:sz w:val="18"/>
    </w:rPr>
  </w:style>
  <w:style w:type="paragraph" w:customStyle="1" w:styleId="NoteDash">
    <w:name w:val="Note Dash"/>
    <w:basedOn w:val="Note"/>
    <w:next w:val="Note"/>
    <w:uiPriority w:val="53"/>
    <w:qFormat/>
    <w:rsid w:val="00B56B25"/>
    <w:pPr>
      <w:numPr>
        <w:numId w:val="4"/>
      </w:numPr>
      <w:ind w:left="794" w:hanging="397"/>
    </w:pPr>
  </w:style>
  <w:style w:type="character" w:customStyle="1" w:styleId="NoteChar">
    <w:name w:val="Note Char"/>
    <w:basedOn w:val="DefaultParagraphFont"/>
    <w:link w:val="Note"/>
    <w:uiPriority w:val="52"/>
    <w:rsid w:val="00166D20"/>
    <w:rPr>
      <w:rFonts w:asciiTheme="majorHAnsi" w:hAnsiTheme="majorHAnsi"/>
      <w:i/>
      <w:spacing w:val="-2"/>
      <w:sz w:val="16"/>
    </w:rPr>
  </w:style>
  <w:style w:type="paragraph" w:styleId="TOC1">
    <w:name w:val="toc 1"/>
    <w:basedOn w:val="Normal"/>
    <w:next w:val="Normal"/>
    <w:uiPriority w:val="39"/>
    <w:rsid w:val="00A72151"/>
    <w:pPr>
      <w:tabs>
        <w:tab w:val="left" w:pos="284"/>
        <w:tab w:val="right" w:leader="dot" w:pos="9072"/>
      </w:tabs>
      <w:spacing w:before="120"/>
      <w:ind w:right="567"/>
    </w:pPr>
    <w:rPr>
      <w:rFonts w:asciiTheme="majorHAnsi" w:hAnsiTheme="majorHAnsi"/>
      <w:b/>
      <w:spacing w:val="-2"/>
      <w:szCs w:val="19"/>
    </w:rPr>
  </w:style>
  <w:style w:type="numbering" w:customStyle="1" w:styleId="Bullet">
    <w:name w:val="Bullet"/>
    <w:uiPriority w:val="99"/>
    <w:rsid w:val="00257E89"/>
    <w:pPr>
      <w:numPr>
        <w:numId w:val="2"/>
      </w:numPr>
    </w:pPr>
  </w:style>
  <w:style w:type="paragraph" w:styleId="ListBullet2">
    <w:name w:val="List Bullet 2"/>
    <w:basedOn w:val="BodyText"/>
    <w:uiPriority w:val="26"/>
    <w:rsid w:val="000F5BCA"/>
    <w:pPr>
      <w:numPr>
        <w:ilvl w:val="1"/>
        <w:numId w:val="3"/>
      </w:numPr>
      <w:ind w:left="794" w:hanging="397"/>
    </w:pPr>
  </w:style>
  <w:style w:type="character" w:customStyle="1" w:styleId="Heading5Char">
    <w:name w:val="Heading 5 Char"/>
    <w:basedOn w:val="DefaultParagraphFont"/>
    <w:link w:val="Heading5"/>
    <w:uiPriority w:val="9"/>
    <w:rsid w:val="0062613A"/>
    <w:rPr>
      <w:rFonts w:asciiTheme="majorHAnsi" w:eastAsiaTheme="majorEastAsia" w:hAnsiTheme="majorHAnsi" w:cstheme="majorBidi"/>
      <w:b/>
      <w:i/>
      <w:iCs/>
      <w:spacing w:val="-2"/>
      <w:sz w:val="20"/>
      <w:szCs w:val="26"/>
    </w:rPr>
  </w:style>
  <w:style w:type="paragraph" w:styleId="ListBullet">
    <w:name w:val="List Bullet"/>
    <w:basedOn w:val="BodyText"/>
    <w:uiPriority w:val="23"/>
    <w:rsid w:val="00753E64"/>
    <w:pPr>
      <w:numPr>
        <w:numId w:val="3"/>
      </w:numPr>
      <w:spacing w:after="60"/>
      <w:ind w:left="397" w:hanging="397"/>
    </w:pPr>
  </w:style>
  <w:style w:type="paragraph" w:styleId="List">
    <w:name w:val="List"/>
    <w:basedOn w:val="Normal"/>
    <w:uiPriority w:val="29"/>
    <w:semiHidden/>
    <w:rsid w:val="004964EC"/>
    <w:pPr>
      <w:ind w:left="283" w:hanging="283"/>
      <w:contextualSpacing/>
    </w:pPr>
  </w:style>
  <w:style w:type="paragraph" w:styleId="ListContinue">
    <w:name w:val="List Continue"/>
    <w:basedOn w:val="BodyText"/>
    <w:uiPriority w:val="25"/>
    <w:rsid w:val="000F5BCA"/>
    <w:pPr>
      <w:ind w:left="397"/>
    </w:pPr>
  </w:style>
  <w:style w:type="paragraph" w:styleId="ListContinue2">
    <w:name w:val="List Continue 2"/>
    <w:basedOn w:val="BodyText"/>
    <w:uiPriority w:val="26"/>
    <w:rsid w:val="000F5BCA"/>
    <w:pPr>
      <w:ind w:left="1588" w:hanging="794"/>
    </w:pPr>
  </w:style>
  <w:style w:type="paragraph" w:styleId="ListNumber">
    <w:name w:val="List Number"/>
    <w:basedOn w:val="BodyText"/>
    <w:uiPriority w:val="23"/>
    <w:rsid w:val="00B45718"/>
    <w:pPr>
      <w:numPr>
        <w:numId w:val="34"/>
      </w:numPr>
      <w:ind w:left="397" w:hanging="397"/>
    </w:pPr>
    <w:rPr>
      <w:spacing w:val="2"/>
    </w:rPr>
  </w:style>
  <w:style w:type="table" w:customStyle="1" w:styleId="DTFFinancialTable">
    <w:name w:val="DTF Financial Table"/>
    <w:basedOn w:val="TableNormal"/>
    <w:uiPriority w:val="99"/>
    <w:rsid w:val="00C800AF"/>
    <w:pPr>
      <w:spacing w:before="20" w:after="20" w:line="240" w:lineRule="auto"/>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TOC2">
    <w:name w:val="toc 2"/>
    <w:basedOn w:val="Normal"/>
    <w:next w:val="Normal"/>
    <w:uiPriority w:val="39"/>
    <w:rsid w:val="00A72151"/>
    <w:pPr>
      <w:tabs>
        <w:tab w:val="right" w:leader="dot" w:pos="9072"/>
      </w:tabs>
      <w:spacing w:before="60" w:after="60"/>
      <w:ind w:left="284" w:right="567"/>
    </w:pPr>
    <w:rPr>
      <w:rFonts w:asciiTheme="majorHAnsi" w:hAnsiTheme="majorHAnsi"/>
      <w:noProof/>
      <w:spacing w:val="-2"/>
      <w:sz w:val="20"/>
      <w:szCs w:val="19"/>
    </w:rPr>
  </w:style>
  <w:style w:type="paragraph" w:styleId="TOC3">
    <w:name w:val="toc 3"/>
    <w:basedOn w:val="Normal"/>
    <w:next w:val="Normal"/>
    <w:uiPriority w:val="99"/>
    <w:semiHidden/>
    <w:rsid w:val="00402880"/>
    <w:pPr>
      <w:spacing w:after="100"/>
      <w:ind w:left="420"/>
    </w:pPr>
  </w:style>
  <w:style w:type="paragraph" w:styleId="TOC4">
    <w:name w:val="toc 4"/>
    <w:next w:val="Normal"/>
    <w:uiPriority w:val="39"/>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uiPriority w:val="79"/>
    <w:qFormat/>
    <w:rsid w:val="0078791B"/>
    <w:pPr>
      <w:keepNext/>
    </w:pPr>
    <w:rPr>
      <w:rFonts w:asciiTheme="majorHAnsi" w:hAnsiTheme="majorHAnsi"/>
      <w:i/>
    </w:rPr>
  </w:style>
  <w:style w:type="paragraph" w:customStyle="1" w:styleId="HighlightBullet">
    <w:name w:val="Highlight Bullet"/>
    <w:basedOn w:val="ListBullet"/>
    <w:next w:val="HighlightBoxText"/>
    <w:uiPriority w:val="79"/>
    <w:qFormat/>
    <w:rsid w:val="0078791B"/>
    <w:pPr>
      <w:pBdr>
        <w:top w:val="single" w:sz="6" w:space="1" w:color="auto"/>
        <w:left w:val="single" w:sz="6" w:space="4" w:color="auto"/>
        <w:bottom w:val="single" w:sz="6" w:space="1" w:color="auto"/>
        <w:right w:val="single" w:sz="6" w:space="4" w:color="auto"/>
      </w:pBdr>
      <w:shd w:val="clear" w:color="auto" w:fill="F2F2F2" w:themeFill="background1" w:themeFillShade="F2"/>
      <w:ind w:left="284" w:hanging="284"/>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Heading1unnumbered">
    <w:name w:val="Heading 1 (unnumbered)"/>
    <w:basedOn w:val="Heading1"/>
    <w:next w:val="Normal"/>
    <w:uiPriority w:val="12"/>
    <w:qFormat/>
    <w:rsid w:val="0078791B"/>
    <w:pPr>
      <w:numPr>
        <w:numId w:val="0"/>
      </w:numPr>
      <w:spacing w:before="0"/>
    </w:pPr>
  </w:style>
  <w:style w:type="table" w:styleId="LightShading-Accent2">
    <w:name w:val="Light Shading Accent 2"/>
    <w:basedOn w:val="TableNormal"/>
    <w:uiPriority w:val="60"/>
    <w:rsid w:val="00A9345E"/>
    <w:pPr>
      <w:spacing w:after="0"/>
    </w:pPr>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customStyle="1" w:styleId="Subheadingunderline">
    <w:name w:val="Subheading (underline)"/>
    <w:basedOn w:val="Subheading"/>
    <w:next w:val="Normal"/>
    <w:uiPriority w:val="50"/>
    <w:qFormat/>
    <w:rsid w:val="0078791B"/>
    <w:pPr>
      <w:pBdr>
        <w:bottom w:val="single" w:sz="6" w:space="1" w:color="auto"/>
      </w:pBdr>
      <w:spacing w:after="120"/>
    </w:pPr>
  </w:style>
  <w:style w:type="paragraph" w:styleId="BodyText">
    <w:name w:val="Body Text"/>
    <w:basedOn w:val="Normal"/>
    <w:link w:val="BodyTextChar"/>
    <w:uiPriority w:val="4"/>
    <w:rsid w:val="00D75608"/>
  </w:style>
  <w:style w:type="character" w:customStyle="1" w:styleId="BodyTextChar">
    <w:name w:val="Body Text Char"/>
    <w:basedOn w:val="DefaultParagraphFont"/>
    <w:link w:val="BodyText"/>
    <w:uiPriority w:val="4"/>
    <w:rsid w:val="00D75608"/>
  </w:style>
  <w:style w:type="character" w:customStyle="1" w:styleId="TableUnitsChar">
    <w:name w:val="Table Units Char"/>
    <w:basedOn w:val="DefaultParagraphFont"/>
    <w:link w:val="TableUnits"/>
    <w:uiPriority w:val="50"/>
    <w:rsid w:val="00573F75"/>
    <w:rPr>
      <w:rFonts w:asciiTheme="majorHAnsi" w:hAnsiTheme="majorHAnsi"/>
      <w:spacing w:val="-2"/>
      <w:sz w:val="19"/>
    </w:rPr>
  </w:style>
  <w:style w:type="table" w:styleId="LightList">
    <w:name w:val="Light List"/>
    <w:basedOn w:val="TableNormal"/>
    <w:uiPriority w:val="61"/>
    <w:rsid w:val="0065194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unhideWhenUsed/>
    <w:rsid w:val="00A30D6D"/>
    <w:pPr>
      <w:tabs>
        <w:tab w:val="left" w:pos="567"/>
        <w:tab w:val="right" w:leader="dot" w:pos="4423"/>
      </w:tabs>
      <w:spacing w:after="100"/>
      <w:ind w:left="567" w:right="340" w:hanging="567"/>
    </w:pPr>
    <w:rPr>
      <w:sz w:val="20"/>
    </w:rPr>
  </w:style>
  <w:style w:type="table" w:customStyle="1" w:styleId="TableGrid1">
    <w:name w:val="Table Grid1"/>
    <w:basedOn w:val="TableNormal"/>
    <w:next w:val="TableGrid"/>
    <w:rsid w:val="00FE3386"/>
    <w:pPr>
      <w:spacing w:line="240" w:lineRule="auto"/>
      <w:jc w:val="both"/>
    </w:pPr>
    <w:rPr>
      <w:rFonts w:ascii="Calibri" w:eastAsia="Times New Roman" w:hAnsi="Calibri" w:cs="Times New Roman"/>
      <w:sz w:val="20"/>
      <w:szCs w:val="20"/>
      <w:lang w:eastAsia="en-AU"/>
    </w:rPr>
    <w:tblPr/>
  </w:style>
  <w:style w:type="paragraph" w:styleId="ListParagraph">
    <w:name w:val="List Paragraph"/>
    <w:basedOn w:val="Normal"/>
    <w:uiPriority w:val="34"/>
    <w:qFormat/>
    <w:rsid w:val="00EE5F4A"/>
    <w:pPr>
      <w:ind w:left="720"/>
      <w:contextualSpacing/>
    </w:pPr>
  </w:style>
  <w:style w:type="table" w:customStyle="1" w:styleId="TableGrid2">
    <w:name w:val="Table Grid2"/>
    <w:basedOn w:val="TableNormal"/>
    <w:next w:val="TableGrid"/>
    <w:uiPriority w:val="59"/>
    <w:rsid w:val="006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03D9"/>
    <w:rPr>
      <w:rFonts w:ascii="Calibri" w:hAnsi="Calibri"/>
      <w:sz w:val="22"/>
    </w:rPr>
  </w:style>
  <w:style w:type="paragraph" w:styleId="TOCHeading">
    <w:name w:val="TOC Heading"/>
    <w:basedOn w:val="Heading1"/>
    <w:next w:val="Normal"/>
    <w:uiPriority w:val="39"/>
    <w:semiHidden/>
    <w:unhideWhenUsed/>
    <w:rsid w:val="00E603D9"/>
    <w:pPr>
      <w:numPr>
        <w:numId w:val="0"/>
      </w:numPr>
      <w:pBdr>
        <w:bottom w:val="none" w:sz="0" w:space="0" w:color="auto"/>
      </w:pBdr>
      <w:spacing w:before="480" w:after="0"/>
      <w:outlineLvl w:val="9"/>
    </w:pPr>
    <w:rPr>
      <w:caps w:val="0"/>
      <w:color w:val="004A7C" w:themeColor="accent1" w:themeShade="BF"/>
      <w:spacing w:val="0"/>
      <w:sz w:val="28"/>
    </w:rPr>
  </w:style>
  <w:style w:type="paragraph" w:customStyle="1" w:styleId="BulletText">
    <w:name w:val="Bullet Text"/>
    <w:basedOn w:val="Normal"/>
    <w:link w:val="BulletTextChar"/>
    <w:qFormat/>
    <w:rsid w:val="00FF6E84"/>
    <w:pPr>
      <w:tabs>
        <w:tab w:val="num" w:pos="360"/>
      </w:tabs>
      <w:spacing w:line="240" w:lineRule="auto"/>
      <w:ind w:left="360" w:hanging="360"/>
    </w:pPr>
    <w:rPr>
      <w:rFonts w:ascii="Garamond" w:eastAsia="Times New Roman" w:hAnsi="Garamond" w:cs="Times New Roman"/>
      <w:sz w:val="24"/>
      <w:szCs w:val="20"/>
    </w:rPr>
  </w:style>
  <w:style w:type="character" w:customStyle="1" w:styleId="BulletTextChar">
    <w:name w:val="Bullet Text Char"/>
    <w:link w:val="BulletText"/>
    <w:locked/>
    <w:rsid w:val="00FF6E84"/>
    <w:rPr>
      <w:rFonts w:ascii="Garamond" w:eastAsia="Times New Roman" w:hAnsi="Garamond" w:cs="Times New Roman"/>
      <w:sz w:val="24"/>
      <w:szCs w:val="20"/>
    </w:rPr>
  </w:style>
  <w:style w:type="numbering" w:customStyle="1" w:styleId="Headingstyles">
    <w:name w:val="Heading styles"/>
    <w:uiPriority w:val="99"/>
    <w:rsid w:val="005D0348"/>
    <w:pPr>
      <w:numPr>
        <w:numId w:val="37"/>
      </w:numPr>
    </w:pPr>
  </w:style>
  <w:style w:type="paragraph" w:customStyle="1" w:styleId="Heading3Numbering">
    <w:name w:val="Heading 3 Numbering"/>
    <w:basedOn w:val="Heading3"/>
    <w:rsid w:val="00483B1C"/>
    <w:pPr>
      <w:keepLines w:val="0"/>
      <w:numPr>
        <w:ilvl w:val="0"/>
        <w:numId w:val="0"/>
      </w:numPr>
      <w:tabs>
        <w:tab w:val="clear" w:pos="9582"/>
        <w:tab w:val="clear" w:pos="14742"/>
        <w:tab w:val="left" w:pos="504"/>
        <w:tab w:val="num" w:pos="720"/>
      </w:tabs>
      <w:spacing w:line="240" w:lineRule="auto"/>
      <w:ind w:left="720" w:hanging="720"/>
    </w:pPr>
    <w:rPr>
      <w:rFonts w:ascii="Calibri" w:eastAsia="Times New Roman" w:hAnsi="Calibri" w:cs="Times New Roman"/>
      <w:bCs w:val="0"/>
      <w:i/>
      <w:spacing w:val="0"/>
      <w:kern w:val="28"/>
      <w:sz w:val="26"/>
      <w:szCs w:val="22"/>
    </w:rPr>
  </w:style>
  <w:style w:type="paragraph" w:customStyle="1" w:styleId="ControlledEntitiesHeading1">
    <w:name w:val="ControlledEntitiesHeading1"/>
    <w:qFormat/>
    <w:rsid w:val="00FD296C"/>
    <w:pPr>
      <w:shd w:val="clear" w:color="auto" w:fill="000000" w:themeFill="text1"/>
      <w:spacing w:after="0" w:line="240" w:lineRule="auto"/>
      <w:jc w:val="center"/>
    </w:pPr>
    <w:rPr>
      <w:rFonts w:asciiTheme="majorHAnsi" w:eastAsia="Times New Roman" w:hAnsiTheme="majorHAnsi" w:cstheme="minorHAnsi"/>
      <w:b/>
      <w:i/>
      <w:color w:val="FFFFFF" w:themeColor="background1"/>
      <w:lang w:eastAsia="en-AU"/>
    </w:rPr>
  </w:style>
  <w:style w:type="paragraph" w:customStyle="1" w:styleId="ControlledEntitiesHeading2">
    <w:name w:val="ControlledEntitiesHeading2"/>
    <w:qFormat/>
    <w:rsid w:val="00FD296C"/>
    <w:pPr>
      <w:shd w:val="clear" w:color="auto" w:fill="D9D9D9" w:themeFill="background1" w:themeFillShade="D9"/>
      <w:spacing w:before="120" w:after="0" w:line="240" w:lineRule="auto"/>
    </w:pPr>
    <w:rPr>
      <w:rFonts w:ascii="Calibri" w:eastAsia="Times New Roman" w:hAnsi="Calibri" w:cs="Times New Roman"/>
      <w:b/>
      <w:bCs/>
      <w:color w:val="000000" w:themeColor="text1"/>
      <w:sz w:val="18"/>
      <w:szCs w:val="18"/>
      <w:lang w:eastAsia="en-AU"/>
    </w:rPr>
  </w:style>
  <w:style w:type="paragraph" w:customStyle="1" w:styleId="ControlledEntitiesText">
    <w:name w:val="ControlledEntitiesText"/>
    <w:qFormat/>
    <w:rsid w:val="00FD296C"/>
    <w:pPr>
      <w:spacing w:before="20" w:after="20" w:line="240" w:lineRule="auto"/>
      <w:ind w:left="170" w:hanging="170"/>
    </w:pPr>
    <w:rPr>
      <w:rFonts w:ascii="Calibri" w:eastAsia="Times New Roman" w:hAnsi="Calibri" w:cs="Times New Roman"/>
      <w:color w:val="000000" w:themeColor="text1"/>
      <w:sz w:val="18"/>
      <w:szCs w:val="18"/>
      <w:lang w:eastAsia="en-AU"/>
    </w:rPr>
  </w:style>
  <w:style w:type="paragraph" w:customStyle="1" w:styleId="ControlledEntitiesDash">
    <w:name w:val="ControlledEntitiesDash"/>
    <w:qFormat/>
    <w:rsid w:val="00FD296C"/>
    <w:pPr>
      <w:spacing w:before="20" w:after="20" w:line="240" w:lineRule="auto"/>
      <w:ind w:left="216" w:hanging="216"/>
      <w:contextualSpacing/>
    </w:pPr>
    <w:rPr>
      <w:rFonts w:ascii="Calibri" w:eastAsia="Times New Roman" w:hAnsi="Calibri" w:cs="Times New Roman"/>
      <w:iCs/>
      <w:color w:val="000000" w:themeColor="text1"/>
      <w:sz w:val="18"/>
      <w:szCs w:val="18"/>
      <w:lang w:eastAsia="en-AU"/>
    </w:rPr>
  </w:style>
  <w:style w:type="paragraph" w:customStyle="1" w:styleId="Notes">
    <w:name w:val="Notes"/>
    <w:basedOn w:val="Normal"/>
    <w:link w:val="NotesChar"/>
    <w:qFormat/>
    <w:rsid w:val="00FD296C"/>
    <w:pPr>
      <w:tabs>
        <w:tab w:val="left" w:pos="360"/>
      </w:tabs>
      <w:spacing w:after="0" w:line="240" w:lineRule="auto"/>
      <w:ind w:left="360" w:hanging="360"/>
    </w:pPr>
    <w:rPr>
      <w:rFonts w:ascii="Calibri" w:eastAsia="Times New Roman" w:hAnsi="Calibri" w:cs="Times New Roman"/>
      <w:i/>
      <w:sz w:val="16"/>
      <w:szCs w:val="20"/>
      <w:lang w:eastAsia="en-AU"/>
    </w:rPr>
  </w:style>
  <w:style w:type="character" w:customStyle="1" w:styleId="NotesChar">
    <w:name w:val="Notes Char"/>
    <w:link w:val="Notes"/>
    <w:locked/>
    <w:rsid w:val="00FD296C"/>
    <w:rPr>
      <w:rFonts w:ascii="Calibri" w:eastAsia="Times New Roman" w:hAnsi="Calibri" w:cs="Times New Roman"/>
      <w:i/>
      <w:sz w:val="16"/>
      <w:szCs w:val="20"/>
      <w:lang w:eastAsia="en-AU"/>
    </w:rPr>
  </w:style>
  <w:style w:type="paragraph" w:customStyle="1" w:styleId="FooterEvenpage">
    <w:name w:val="Footer (Even page)"/>
    <w:basedOn w:val="Footer"/>
    <w:uiPriority w:val="98"/>
    <w:qFormat/>
    <w:rsid w:val="0078791B"/>
  </w:style>
  <w:style w:type="paragraph" w:customStyle="1" w:styleId="TableofContentsheading">
    <w:name w:val="Table of Contents heading"/>
    <w:basedOn w:val="Normal"/>
    <w:next w:val="Normal"/>
    <w:rsid w:val="00991E04"/>
    <w:pPr>
      <w:keepNext/>
      <w:pBdr>
        <w:bottom w:val="single" w:sz="12" w:space="7" w:color="auto"/>
      </w:pBdr>
      <w:spacing w:before="1440" w:after="360" w:line="240" w:lineRule="auto"/>
    </w:pPr>
    <w:rPr>
      <w:rFonts w:ascii="Calibri" w:eastAsia="Times New Roman" w:hAnsi="Calibri" w:cs="Times New Roman"/>
      <w:b/>
      <w:caps/>
      <w:sz w:val="38"/>
      <w:szCs w:val="28"/>
    </w:rPr>
  </w:style>
  <w:style w:type="paragraph" w:styleId="NormalIndent">
    <w:name w:val="Normal Indent"/>
    <w:basedOn w:val="Normal"/>
    <w:rsid w:val="00991E04"/>
    <w:pPr>
      <w:spacing w:line="240" w:lineRule="auto"/>
      <w:ind w:left="360"/>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97"/>
    <w:lsdException w:name="footer" w:uiPriority="98"/>
    <w:lsdException w:name="caption" w:uiPriority="35" w:qFormat="1"/>
    <w:lsdException w:name="annotation reference" w:uiPriority="0"/>
    <w:lsdException w:name="page number" w:uiPriority="0"/>
    <w:lsdException w:name="List" w:semiHidden="0" w:uiPriority="29" w:unhideWhenUsed="0"/>
    <w:lsdException w:name="List Bullet" w:uiPriority="23"/>
    <w:lsdException w:name="List Number" w:semiHidden="0" w:uiPriority="23" w:unhideWhenUsed="0"/>
    <w:lsdException w:name="List 2" w:uiPriority="29" w:unhideWhenUsed="0"/>
    <w:lsdException w:name="List Bullet 2" w:uiPriority="26"/>
    <w:lsdException w:name="Title" w:uiPriority="10" w:unhideWhenUsed="0" w:qFormat="1"/>
    <w:lsdException w:name="Default Paragraph Font" w:uiPriority="1"/>
    <w:lsdException w:name="Body Text" w:uiPriority="4"/>
    <w:lsdException w:name="List Continue" w:semiHidden="0" w:uiPriority="25" w:unhideWhenUsed="0"/>
    <w:lsdException w:name="List Continue 2" w:semiHidden="0" w:uiPriority="26" w:unhideWhenUsed="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qFormat/>
    <w:rsid w:val="00696B6D"/>
  </w:style>
  <w:style w:type="paragraph" w:styleId="Heading1">
    <w:name w:val="heading 1"/>
    <w:next w:val="Normal"/>
    <w:link w:val="Heading1Char"/>
    <w:uiPriority w:val="9"/>
    <w:qFormat/>
    <w:rsid w:val="0078791B"/>
    <w:pPr>
      <w:keepNext/>
      <w:keepLines/>
      <w:numPr>
        <w:numId w:val="39"/>
      </w:numPr>
      <w:pBdr>
        <w:bottom w:val="single" w:sz="12" w:space="1" w:color="auto"/>
      </w:pBdr>
      <w:spacing w:before="360"/>
      <w:outlineLvl w:val="0"/>
    </w:pPr>
    <w:rPr>
      <w:rFonts w:asciiTheme="majorHAnsi" w:eastAsiaTheme="majorEastAsia" w:hAnsiTheme="majorHAnsi" w:cstheme="majorBidi"/>
      <w:b/>
      <w:bCs/>
      <w:caps/>
      <w:spacing w:val="-2"/>
      <w:sz w:val="32"/>
      <w:szCs w:val="28"/>
    </w:rPr>
  </w:style>
  <w:style w:type="paragraph" w:styleId="Heading2">
    <w:name w:val="heading 2"/>
    <w:basedOn w:val="Heading1"/>
    <w:next w:val="Normal"/>
    <w:link w:val="Heading2Char"/>
    <w:uiPriority w:val="9"/>
    <w:qFormat/>
    <w:rsid w:val="00FA5E8B"/>
    <w:pPr>
      <w:numPr>
        <w:ilvl w:val="1"/>
      </w:numPr>
      <w:pBdr>
        <w:bottom w:val="none" w:sz="0" w:space="0" w:color="auto"/>
      </w:pBdr>
      <w:tabs>
        <w:tab w:val="right" w:pos="9582"/>
      </w:tabs>
      <w:spacing w:before="240"/>
      <w:outlineLvl w:val="1"/>
    </w:pPr>
    <w:rPr>
      <w:bCs w:val="0"/>
      <w:caps w:val="0"/>
      <w:sz w:val="24"/>
      <w:szCs w:val="26"/>
    </w:rPr>
  </w:style>
  <w:style w:type="paragraph" w:styleId="Heading3">
    <w:name w:val="heading 3"/>
    <w:basedOn w:val="Heading2"/>
    <w:next w:val="Normal"/>
    <w:link w:val="Heading3Char"/>
    <w:uiPriority w:val="9"/>
    <w:qFormat/>
    <w:rsid w:val="00FA5E8B"/>
    <w:pPr>
      <w:numPr>
        <w:ilvl w:val="2"/>
      </w:numPr>
      <w:tabs>
        <w:tab w:val="right" w:pos="14742"/>
      </w:tabs>
      <w:outlineLvl w:val="2"/>
    </w:pPr>
    <w:rPr>
      <w:bCs/>
      <w:sz w:val="20"/>
    </w:rPr>
  </w:style>
  <w:style w:type="paragraph" w:styleId="Heading4">
    <w:name w:val="heading 4"/>
    <w:basedOn w:val="Heading3"/>
    <w:next w:val="Normal"/>
    <w:link w:val="Heading4Char"/>
    <w:uiPriority w:val="9"/>
    <w:rsid w:val="007116A2"/>
    <w:pPr>
      <w:numPr>
        <w:ilvl w:val="3"/>
      </w:numPr>
      <w:outlineLvl w:val="3"/>
    </w:pPr>
    <w:rPr>
      <w:b w:val="0"/>
      <w:bCs w:val="0"/>
      <w:iCs/>
    </w:rPr>
  </w:style>
  <w:style w:type="paragraph" w:styleId="Heading5">
    <w:name w:val="heading 5"/>
    <w:basedOn w:val="Heading4"/>
    <w:next w:val="Normal"/>
    <w:link w:val="Heading5Char"/>
    <w:uiPriority w:val="9"/>
    <w:rsid w:val="0062613A"/>
    <w:pPr>
      <w:numPr>
        <w:ilvl w:val="4"/>
      </w:numPr>
      <w:outlineLvl w:val="4"/>
    </w:pPr>
    <w:rPr>
      <w:b/>
      <w:i/>
    </w:rPr>
  </w:style>
  <w:style w:type="paragraph" w:styleId="Heading6">
    <w:name w:val="heading 6"/>
    <w:basedOn w:val="Normal"/>
    <w:next w:val="Normal"/>
    <w:link w:val="Heading6Char"/>
    <w:uiPriority w:val="9"/>
    <w:semiHidden/>
    <w:unhideWhenUsed/>
    <w:qFormat/>
    <w:rsid w:val="00E36DAC"/>
    <w:pPr>
      <w:keepNext/>
      <w:numPr>
        <w:ilvl w:val="5"/>
        <w:numId w:val="13"/>
      </w:numPr>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qFormat/>
    <w:rsid w:val="00E36DAC"/>
    <w:pPr>
      <w:keepNext/>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DAC"/>
    <w:pPr>
      <w:keepNext/>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6DAC"/>
    <w:pPr>
      <w:keepNext/>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91B"/>
    <w:rPr>
      <w:rFonts w:asciiTheme="majorHAnsi" w:eastAsiaTheme="majorEastAsia" w:hAnsiTheme="majorHAnsi" w:cstheme="majorBidi"/>
      <w:b/>
      <w:bCs/>
      <w:caps/>
      <w:spacing w:val="-2"/>
      <w:sz w:val="32"/>
      <w:szCs w:val="28"/>
    </w:rPr>
  </w:style>
  <w:style w:type="paragraph" w:customStyle="1" w:styleId="Chapterheading">
    <w:name w:val="Chapter heading"/>
    <w:basedOn w:val="Heading1unnumbered"/>
    <w:next w:val="Heading2"/>
    <w:uiPriority w:val="99"/>
    <w:rsid w:val="00545C39"/>
    <w:pPr>
      <w:spacing w:before="1440"/>
    </w:pPr>
    <w:rPr>
      <w:sz w:val="48"/>
    </w:rPr>
  </w:style>
  <w:style w:type="character" w:customStyle="1" w:styleId="Heading3Char">
    <w:name w:val="Heading 3 Char"/>
    <w:basedOn w:val="DefaultParagraphFont"/>
    <w:link w:val="Heading3"/>
    <w:uiPriority w:val="9"/>
    <w:rsid w:val="00FA5E8B"/>
    <w:rPr>
      <w:rFonts w:asciiTheme="majorHAnsi" w:eastAsiaTheme="majorEastAsia" w:hAnsiTheme="majorHAnsi" w:cstheme="majorBidi"/>
      <w:b/>
      <w:bCs/>
      <w:spacing w:val="-2"/>
      <w:sz w:val="20"/>
      <w:szCs w:val="26"/>
    </w:rPr>
  </w:style>
  <w:style w:type="character" w:customStyle="1" w:styleId="Heading2Char">
    <w:name w:val="Heading 2 Char"/>
    <w:basedOn w:val="DefaultParagraphFont"/>
    <w:link w:val="Heading2"/>
    <w:uiPriority w:val="9"/>
    <w:rsid w:val="00FA5E8B"/>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rsid w:val="00B17122"/>
    <w:rPr>
      <w:rFonts w:asciiTheme="majorHAnsi" w:eastAsiaTheme="majorEastAsia" w:hAnsiTheme="majorHAnsi" w:cstheme="majorBidi"/>
      <w:iCs/>
      <w:spacing w:val="-2"/>
      <w:szCs w:val="26"/>
    </w:rPr>
  </w:style>
  <w:style w:type="paragraph" w:customStyle="1" w:styleId="Subheading">
    <w:name w:val="Subheading"/>
    <w:basedOn w:val="Normal"/>
    <w:next w:val="TableUnits"/>
    <w:uiPriority w:val="49"/>
    <w:qFormat/>
    <w:rsid w:val="00FA5E8B"/>
    <w:pPr>
      <w:keepNext/>
      <w:tabs>
        <w:tab w:val="left" w:pos="397"/>
        <w:tab w:val="right" w:pos="9582"/>
        <w:tab w:val="right" w:pos="14742"/>
      </w:tabs>
      <w:spacing w:before="200" w:after="160"/>
    </w:pPr>
    <w:rPr>
      <w:rFonts w:asciiTheme="majorHAnsi" w:hAnsiTheme="majorHAnsi"/>
      <w:b/>
      <w:spacing w:val="-2"/>
    </w:rPr>
  </w:style>
  <w:style w:type="paragraph" w:customStyle="1" w:styleId="TableUnits">
    <w:name w:val="Table Units"/>
    <w:basedOn w:val="Normal"/>
    <w:next w:val="Normal"/>
    <w:link w:val="TableUnitsChar"/>
    <w:uiPriority w:val="50"/>
    <w:qFormat/>
    <w:rsid w:val="00573F75"/>
    <w:pPr>
      <w:keepNext/>
      <w:spacing w:after="0"/>
    </w:pPr>
    <w:rPr>
      <w:rFonts w:asciiTheme="majorHAnsi" w:hAnsiTheme="majorHAnsi"/>
      <w:spacing w:val="-2"/>
      <w:sz w:val="19"/>
    </w:rPr>
  </w:style>
  <w:style w:type="paragraph" w:customStyle="1" w:styleId="Source">
    <w:name w:val="Source"/>
    <w:basedOn w:val="Normal"/>
    <w:next w:val="Note"/>
    <w:uiPriority w:val="51"/>
    <w:qFormat/>
    <w:rsid w:val="00166D20"/>
    <w:pPr>
      <w:spacing w:line="240" w:lineRule="auto"/>
    </w:pPr>
    <w:rPr>
      <w:rFonts w:asciiTheme="majorHAnsi" w:hAnsiTheme="majorHAnsi"/>
      <w:i/>
      <w:spacing w:val="-2"/>
      <w:sz w:val="16"/>
    </w:rPr>
  </w:style>
  <w:style w:type="paragraph" w:customStyle="1" w:styleId="Note">
    <w:name w:val="Note"/>
    <w:basedOn w:val="Normal"/>
    <w:link w:val="NoteChar"/>
    <w:uiPriority w:val="52"/>
    <w:qFormat/>
    <w:rsid w:val="00166D20"/>
    <w:pPr>
      <w:spacing w:after="0" w:line="240" w:lineRule="auto"/>
      <w:ind w:left="397" w:hanging="397"/>
    </w:pPr>
    <w:rPr>
      <w:rFonts w:asciiTheme="majorHAnsi" w:hAnsiTheme="majorHAnsi"/>
      <w:i/>
      <w:spacing w:val="-2"/>
      <w:sz w:val="16"/>
    </w:rPr>
  </w:style>
  <w:style w:type="paragraph" w:customStyle="1" w:styleId="HighlightBoxText">
    <w:name w:val="Highlight Box Text"/>
    <w:basedOn w:val="BodyText"/>
    <w:uiPriority w:val="79"/>
    <w:qFormat/>
    <w:rsid w:val="0078791B"/>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6B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pPr>
      <w:spacing w:after="0"/>
    </w:pPr>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pPr>
      <w:spacing w:after="0"/>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styleId="FootnoteText">
    <w:name w:val="footnote text"/>
    <w:basedOn w:val="Normal"/>
    <w:link w:val="FootnoteTextChar"/>
    <w:uiPriority w:val="99"/>
    <w:semiHidden/>
    <w:qFormat/>
    <w:rsid w:val="00363B60"/>
    <w:pPr>
      <w:spacing w:after="0"/>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19"/>
    <w:semiHidden/>
    <w:rsid w:val="00363B60"/>
    <w:rPr>
      <w:i/>
      <w:iCs/>
      <w:color w:val="7F7F7F" w:themeColor="text1" w:themeTint="80"/>
    </w:rPr>
  </w:style>
  <w:style w:type="table" w:styleId="MediumShading2-Accent5">
    <w:name w:val="Medium Shading 2 Accent 5"/>
    <w:basedOn w:val="TableNormal"/>
    <w:uiPriority w:val="64"/>
    <w:rsid w:val="00363B60"/>
    <w:pPr>
      <w:spacing w:after="0"/>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97"/>
    <w:rsid w:val="00790E40"/>
    <w:pPr>
      <w:spacing w:after="180"/>
    </w:pPr>
    <w:rPr>
      <w:rFonts w:asciiTheme="majorHAnsi" w:hAnsiTheme="majorHAnsi"/>
      <w:b/>
      <w:caps/>
      <w:color w:val="0063A6" w:themeColor="accent1"/>
      <w:spacing w:val="2"/>
    </w:rPr>
  </w:style>
  <w:style w:type="character" w:customStyle="1" w:styleId="HeaderChar">
    <w:name w:val="Header Char"/>
    <w:basedOn w:val="DefaultParagraphFont"/>
    <w:link w:val="Header"/>
    <w:uiPriority w:val="97"/>
    <w:rsid w:val="00790E40"/>
    <w:rPr>
      <w:rFonts w:asciiTheme="majorHAnsi" w:hAnsiTheme="majorHAnsi"/>
      <w:b/>
      <w:caps/>
      <w:color w:val="0063A6" w:themeColor="accent1"/>
      <w:spacing w:val="2"/>
    </w:rPr>
  </w:style>
  <w:style w:type="paragraph" w:styleId="Footer">
    <w:name w:val="footer"/>
    <w:aliases w:val="Footer (Odd page)"/>
    <w:basedOn w:val="Normal"/>
    <w:link w:val="FooterChar"/>
    <w:uiPriority w:val="98"/>
    <w:unhideWhenUsed/>
    <w:rsid w:val="0078791B"/>
    <w:pPr>
      <w:pBdr>
        <w:top w:val="single" w:sz="6" w:space="1" w:color="auto"/>
      </w:pBdr>
      <w:tabs>
        <w:tab w:val="right" w:pos="9639"/>
      </w:tabs>
      <w:spacing w:after="0"/>
    </w:pPr>
    <w:rPr>
      <w:rFonts w:asciiTheme="majorHAnsi" w:hAnsiTheme="majorHAnsi"/>
      <w:sz w:val="18"/>
    </w:rPr>
  </w:style>
  <w:style w:type="character" w:customStyle="1" w:styleId="FooterChar">
    <w:name w:val="Footer Char"/>
    <w:aliases w:val="Footer (Odd page) Char"/>
    <w:basedOn w:val="DefaultParagraphFont"/>
    <w:link w:val="Footer"/>
    <w:uiPriority w:val="98"/>
    <w:rsid w:val="0078791B"/>
    <w:rPr>
      <w:rFonts w:asciiTheme="majorHAnsi" w:hAnsiTheme="majorHAnsi"/>
      <w:sz w:val="18"/>
    </w:rPr>
  </w:style>
  <w:style w:type="paragraph" w:customStyle="1" w:styleId="NoteDash">
    <w:name w:val="Note Dash"/>
    <w:basedOn w:val="Note"/>
    <w:next w:val="Note"/>
    <w:uiPriority w:val="53"/>
    <w:qFormat/>
    <w:rsid w:val="00B56B25"/>
    <w:pPr>
      <w:numPr>
        <w:numId w:val="4"/>
      </w:numPr>
      <w:ind w:left="794" w:hanging="397"/>
    </w:pPr>
  </w:style>
  <w:style w:type="character" w:customStyle="1" w:styleId="NoteChar">
    <w:name w:val="Note Char"/>
    <w:basedOn w:val="DefaultParagraphFont"/>
    <w:link w:val="Note"/>
    <w:uiPriority w:val="52"/>
    <w:rsid w:val="00166D20"/>
    <w:rPr>
      <w:rFonts w:asciiTheme="majorHAnsi" w:hAnsiTheme="majorHAnsi"/>
      <w:i/>
      <w:spacing w:val="-2"/>
      <w:sz w:val="16"/>
    </w:rPr>
  </w:style>
  <w:style w:type="paragraph" w:styleId="TOC1">
    <w:name w:val="toc 1"/>
    <w:basedOn w:val="Normal"/>
    <w:next w:val="Normal"/>
    <w:uiPriority w:val="39"/>
    <w:rsid w:val="00A72151"/>
    <w:pPr>
      <w:tabs>
        <w:tab w:val="left" w:pos="284"/>
        <w:tab w:val="right" w:leader="dot" w:pos="9072"/>
      </w:tabs>
      <w:spacing w:before="120"/>
      <w:ind w:right="567"/>
    </w:pPr>
    <w:rPr>
      <w:rFonts w:asciiTheme="majorHAnsi" w:hAnsiTheme="majorHAnsi"/>
      <w:b/>
      <w:spacing w:val="-2"/>
      <w:szCs w:val="19"/>
    </w:rPr>
  </w:style>
  <w:style w:type="numbering" w:customStyle="1" w:styleId="Bullet">
    <w:name w:val="Bullet"/>
    <w:uiPriority w:val="99"/>
    <w:rsid w:val="00257E89"/>
    <w:pPr>
      <w:numPr>
        <w:numId w:val="2"/>
      </w:numPr>
    </w:pPr>
  </w:style>
  <w:style w:type="paragraph" w:styleId="ListBullet2">
    <w:name w:val="List Bullet 2"/>
    <w:basedOn w:val="BodyText"/>
    <w:uiPriority w:val="26"/>
    <w:rsid w:val="000F5BCA"/>
    <w:pPr>
      <w:numPr>
        <w:ilvl w:val="1"/>
        <w:numId w:val="3"/>
      </w:numPr>
      <w:ind w:left="794" w:hanging="397"/>
    </w:pPr>
  </w:style>
  <w:style w:type="character" w:customStyle="1" w:styleId="Heading5Char">
    <w:name w:val="Heading 5 Char"/>
    <w:basedOn w:val="DefaultParagraphFont"/>
    <w:link w:val="Heading5"/>
    <w:uiPriority w:val="9"/>
    <w:rsid w:val="0062613A"/>
    <w:rPr>
      <w:rFonts w:asciiTheme="majorHAnsi" w:eastAsiaTheme="majorEastAsia" w:hAnsiTheme="majorHAnsi" w:cstheme="majorBidi"/>
      <w:b/>
      <w:i/>
      <w:iCs/>
      <w:spacing w:val="-2"/>
      <w:sz w:val="20"/>
      <w:szCs w:val="26"/>
    </w:rPr>
  </w:style>
  <w:style w:type="paragraph" w:styleId="ListBullet">
    <w:name w:val="List Bullet"/>
    <w:basedOn w:val="BodyText"/>
    <w:uiPriority w:val="23"/>
    <w:rsid w:val="00753E64"/>
    <w:pPr>
      <w:numPr>
        <w:numId w:val="3"/>
      </w:numPr>
      <w:spacing w:after="60"/>
      <w:ind w:left="397" w:hanging="397"/>
    </w:pPr>
  </w:style>
  <w:style w:type="paragraph" w:styleId="List">
    <w:name w:val="List"/>
    <w:basedOn w:val="Normal"/>
    <w:uiPriority w:val="29"/>
    <w:semiHidden/>
    <w:rsid w:val="004964EC"/>
    <w:pPr>
      <w:ind w:left="283" w:hanging="283"/>
      <w:contextualSpacing/>
    </w:pPr>
  </w:style>
  <w:style w:type="paragraph" w:styleId="ListContinue">
    <w:name w:val="List Continue"/>
    <w:basedOn w:val="BodyText"/>
    <w:uiPriority w:val="25"/>
    <w:rsid w:val="000F5BCA"/>
    <w:pPr>
      <w:ind w:left="397"/>
    </w:pPr>
  </w:style>
  <w:style w:type="paragraph" w:styleId="ListContinue2">
    <w:name w:val="List Continue 2"/>
    <w:basedOn w:val="BodyText"/>
    <w:uiPriority w:val="26"/>
    <w:rsid w:val="000F5BCA"/>
    <w:pPr>
      <w:ind w:left="1588" w:hanging="794"/>
    </w:pPr>
  </w:style>
  <w:style w:type="paragraph" w:styleId="ListNumber">
    <w:name w:val="List Number"/>
    <w:basedOn w:val="BodyText"/>
    <w:uiPriority w:val="23"/>
    <w:rsid w:val="00B45718"/>
    <w:pPr>
      <w:numPr>
        <w:numId w:val="34"/>
      </w:numPr>
      <w:ind w:left="397" w:hanging="397"/>
    </w:pPr>
    <w:rPr>
      <w:spacing w:val="2"/>
    </w:rPr>
  </w:style>
  <w:style w:type="table" w:customStyle="1" w:styleId="DTFFinancialTable">
    <w:name w:val="DTF Financial Table"/>
    <w:basedOn w:val="TableNormal"/>
    <w:uiPriority w:val="99"/>
    <w:rsid w:val="00C800AF"/>
    <w:pPr>
      <w:spacing w:before="20" w:after="20" w:line="240" w:lineRule="auto"/>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TOC2">
    <w:name w:val="toc 2"/>
    <w:basedOn w:val="Normal"/>
    <w:next w:val="Normal"/>
    <w:uiPriority w:val="39"/>
    <w:rsid w:val="00A72151"/>
    <w:pPr>
      <w:tabs>
        <w:tab w:val="right" w:leader="dot" w:pos="9072"/>
      </w:tabs>
      <w:spacing w:before="60" w:after="60"/>
      <w:ind w:left="284" w:right="567"/>
    </w:pPr>
    <w:rPr>
      <w:rFonts w:asciiTheme="majorHAnsi" w:hAnsiTheme="majorHAnsi"/>
      <w:noProof/>
      <w:spacing w:val="-2"/>
      <w:sz w:val="20"/>
      <w:szCs w:val="19"/>
    </w:rPr>
  </w:style>
  <w:style w:type="paragraph" w:styleId="TOC3">
    <w:name w:val="toc 3"/>
    <w:basedOn w:val="Normal"/>
    <w:next w:val="Normal"/>
    <w:uiPriority w:val="99"/>
    <w:semiHidden/>
    <w:rsid w:val="00402880"/>
    <w:pPr>
      <w:spacing w:after="100"/>
      <w:ind w:left="420"/>
    </w:pPr>
  </w:style>
  <w:style w:type="paragraph" w:styleId="TOC4">
    <w:name w:val="toc 4"/>
    <w:next w:val="Normal"/>
    <w:uiPriority w:val="39"/>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uiPriority w:val="79"/>
    <w:qFormat/>
    <w:rsid w:val="0078791B"/>
    <w:pPr>
      <w:keepNext/>
    </w:pPr>
    <w:rPr>
      <w:rFonts w:asciiTheme="majorHAnsi" w:hAnsiTheme="majorHAnsi"/>
      <w:i/>
    </w:rPr>
  </w:style>
  <w:style w:type="paragraph" w:customStyle="1" w:styleId="HighlightBullet">
    <w:name w:val="Highlight Bullet"/>
    <w:basedOn w:val="ListBullet"/>
    <w:next w:val="HighlightBoxText"/>
    <w:uiPriority w:val="79"/>
    <w:qFormat/>
    <w:rsid w:val="0078791B"/>
    <w:pPr>
      <w:pBdr>
        <w:top w:val="single" w:sz="6" w:space="1" w:color="auto"/>
        <w:left w:val="single" w:sz="6" w:space="4" w:color="auto"/>
        <w:bottom w:val="single" w:sz="6" w:space="1" w:color="auto"/>
        <w:right w:val="single" w:sz="6" w:space="4" w:color="auto"/>
      </w:pBdr>
      <w:shd w:val="clear" w:color="auto" w:fill="F2F2F2" w:themeFill="background1" w:themeFillShade="F2"/>
      <w:ind w:left="284" w:hanging="284"/>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Heading1unnumbered">
    <w:name w:val="Heading 1 (unnumbered)"/>
    <w:basedOn w:val="Heading1"/>
    <w:next w:val="Normal"/>
    <w:uiPriority w:val="12"/>
    <w:qFormat/>
    <w:rsid w:val="0078791B"/>
    <w:pPr>
      <w:numPr>
        <w:numId w:val="0"/>
      </w:numPr>
      <w:spacing w:before="0"/>
    </w:pPr>
  </w:style>
  <w:style w:type="table" w:styleId="LightShading-Accent2">
    <w:name w:val="Light Shading Accent 2"/>
    <w:basedOn w:val="TableNormal"/>
    <w:uiPriority w:val="60"/>
    <w:rsid w:val="00A9345E"/>
    <w:pPr>
      <w:spacing w:after="0"/>
    </w:pPr>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customStyle="1" w:styleId="Subheadingunderline">
    <w:name w:val="Subheading (underline)"/>
    <w:basedOn w:val="Subheading"/>
    <w:next w:val="Normal"/>
    <w:uiPriority w:val="50"/>
    <w:qFormat/>
    <w:rsid w:val="0078791B"/>
    <w:pPr>
      <w:pBdr>
        <w:bottom w:val="single" w:sz="6" w:space="1" w:color="auto"/>
      </w:pBdr>
      <w:spacing w:after="120"/>
    </w:pPr>
  </w:style>
  <w:style w:type="paragraph" w:styleId="BodyText">
    <w:name w:val="Body Text"/>
    <w:basedOn w:val="Normal"/>
    <w:link w:val="BodyTextChar"/>
    <w:uiPriority w:val="4"/>
    <w:rsid w:val="00D75608"/>
  </w:style>
  <w:style w:type="character" w:customStyle="1" w:styleId="BodyTextChar">
    <w:name w:val="Body Text Char"/>
    <w:basedOn w:val="DefaultParagraphFont"/>
    <w:link w:val="BodyText"/>
    <w:uiPriority w:val="4"/>
    <w:rsid w:val="00D75608"/>
  </w:style>
  <w:style w:type="character" w:customStyle="1" w:styleId="TableUnitsChar">
    <w:name w:val="Table Units Char"/>
    <w:basedOn w:val="DefaultParagraphFont"/>
    <w:link w:val="TableUnits"/>
    <w:uiPriority w:val="50"/>
    <w:rsid w:val="00573F75"/>
    <w:rPr>
      <w:rFonts w:asciiTheme="majorHAnsi" w:hAnsiTheme="majorHAnsi"/>
      <w:spacing w:val="-2"/>
      <w:sz w:val="19"/>
    </w:rPr>
  </w:style>
  <w:style w:type="table" w:styleId="LightList">
    <w:name w:val="Light List"/>
    <w:basedOn w:val="TableNormal"/>
    <w:uiPriority w:val="61"/>
    <w:rsid w:val="0065194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unhideWhenUsed/>
    <w:rsid w:val="00A30D6D"/>
    <w:pPr>
      <w:tabs>
        <w:tab w:val="left" w:pos="567"/>
        <w:tab w:val="right" w:leader="dot" w:pos="4423"/>
      </w:tabs>
      <w:spacing w:after="100"/>
      <w:ind w:left="567" w:right="340" w:hanging="567"/>
    </w:pPr>
    <w:rPr>
      <w:sz w:val="20"/>
    </w:rPr>
  </w:style>
  <w:style w:type="table" w:customStyle="1" w:styleId="TableGrid1">
    <w:name w:val="Table Grid1"/>
    <w:basedOn w:val="TableNormal"/>
    <w:next w:val="TableGrid"/>
    <w:rsid w:val="00FE3386"/>
    <w:pPr>
      <w:spacing w:line="240" w:lineRule="auto"/>
      <w:jc w:val="both"/>
    </w:pPr>
    <w:rPr>
      <w:rFonts w:ascii="Calibri" w:eastAsia="Times New Roman" w:hAnsi="Calibri" w:cs="Times New Roman"/>
      <w:sz w:val="20"/>
      <w:szCs w:val="20"/>
      <w:lang w:eastAsia="en-AU"/>
    </w:rPr>
    <w:tblPr/>
  </w:style>
  <w:style w:type="paragraph" w:styleId="ListParagraph">
    <w:name w:val="List Paragraph"/>
    <w:basedOn w:val="Normal"/>
    <w:uiPriority w:val="34"/>
    <w:qFormat/>
    <w:rsid w:val="00EE5F4A"/>
    <w:pPr>
      <w:ind w:left="720"/>
      <w:contextualSpacing/>
    </w:pPr>
  </w:style>
  <w:style w:type="table" w:customStyle="1" w:styleId="TableGrid2">
    <w:name w:val="Table Grid2"/>
    <w:basedOn w:val="TableNormal"/>
    <w:next w:val="TableGrid"/>
    <w:uiPriority w:val="59"/>
    <w:rsid w:val="006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03D9"/>
    <w:rPr>
      <w:rFonts w:ascii="Calibri" w:hAnsi="Calibri"/>
      <w:sz w:val="22"/>
    </w:rPr>
  </w:style>
  <w:style w:type="paragraph" w:styleId="TOCHeading">
    <w:name w:val="TOC Heading"/>
    <w:basedOn w:val="Heading1"/>
    <w:next w:val="Normal"/>
    <w:uiPriority w:val="39"/>
    <w:semiHidden/>
    <w:unhideWhenUsed/>
    <w:rsid w:val="00E603D9"/>
    <w:pPr>
      <w:numPr>
        <w:numId w:val="0"/>
      </w:numPr>
      <w:pBdr>
        <w:bottom w:val="none" w:sz="0" w:space="0" w:color="auto"/>
      </w:pBdr>
      <w:spacing w:before="480" w:after="0"/>
      <w:outlineLvl w:val="9"/>
    </w:pPr>
    <w:rPr>
      <w:caps w:val="0"/>
      <w:color w:val="004A7C" w:themeColor="accent1" w:themeShade="BF"/>
      <w:spacing w:val="0"/>
      <w:sz w:val="28"/>
    </w:rPr>
  </w:style>
  <w:style w:type="paragraph" w:customStyle="1" w:styleId="BulletText">
    <w:name w:val="Bullet Text"/>
    <w:basedOn w:val="Normal"/>
    <w:link w:val="BulletTextChar"/>
    <w:qFormat/>
    <w:rsid w:val="00FF6E84"/>
    <w:pPr>
      <w:tabs>
        <w:tab w:val="num" w:pos="360"/>
      </w:tabs>
      <w:spacing w:line="240" w:lineRule="auto"/>
      <w:ind w:left="360" w:hanging="360"/>
    </w:pPr>
    <w:rPr>
      <w:rFonts w:ascii="Garamond" w:eastAsia="Times New Roman" w:hAnsi="Garamond" w:cs="Times New Roman"/>
      <w:sz w:val="24"/>
      <w:szCs w:val="20"/>
    </w:rPr>
  </w:style>
  <w:style w:type="character" w:customStyle="1" w:styleId="BulletTextChar">
    <w:name w:val="Bullet Text Char"/>
    <w:link w:val="BulletText"/>
    <w:locked/>
    <w:rsid w:val="00FF6E84"/>
    <w:rPr>
      <w:rFonts w:ascii="Garamond" w:eastAsia="Times New Roman" w:hAnsi="Garamond" w:cs="Times New Roman"/>
      <w:sz w:val="24"/>
      <w:szCs w:val="20"/>
    </w:rPr>
  </w:style>
  <w:style w:type="numbering" w:customStyle="1" w:styleId="Headingstyles">
    <w:name w:val="Heading styles"/>
    <w:uiPriority w:val="99"/>
    <w:rsid w:val="005D0348"/>
    <w:pPr>
      <w:numPr>
        <w:numId w:val="37"/>
      </w:numPr>
    </w:pPr>
  </w:style>
  <w:style w:type="paragraph" w:customStyle="1" w:styleId="Heading3Numbering">
    <w:name w:val="Heading 3 Numbering"/>
    <w:basedOn w:val="Heading3"/>
    <w:rsid w:val="00483B1C"/>
    <w:pPr>
      <w:keepLines w:val="0"/>
      <w:numPr>
        <w:ilvl w:val="0"/>
        <w:numId w:val="0"/>
      </w:numPr>
      <w:tabs>
        <w:tab w:val="clear" w:pos="9582"/>
        <w:tab w:val="clear" w:pos="14742"/>
        <w:tab w:val="left" w:pos="504"/>
        <w:tab w:val="num" w:pos="720"/>
      </w:tabs>
      <w:spacing w:line="240" w:lineRule="auto"/>
      <w:ind w:left="720" w:hanging="720"/>
    </w:pPr>
    <w:rPr>
      <w:rFonts w:ascii="Calibri" w:eastAsia="Times New Roman" w:hAnsi="Calibri" w:cs="Times New Roman"/>
      <w:bCs w:val="0"/>
      <w:i/>
      <w:spacing w:val="0"/>
      <w:kern w:val="28"/>
      <w:sz w:val="26"/>
      <w:szCs w:val="22"/>
    </w:rPr>
  </w:style>
  <w:style w:type="paragraph" w:customStyle="1" w:styleId="ControlledEntitiesHeading1">
    <w:name w:val="ControlledEntitiesHeading1"/>
    <w:qFormat/>
    <w:rsid w:val="00FD296C"/>
    <w:pPr>
      <w:shd w:val="clear" w:color="auto" w:fill="000000" w:themeFill="text1"/>
      <w:spacing w:after="0" w:line="240" w:lineRule="auto"/>
      <w:jc w:val="center"/>
    </w:pPr>
    <w:rPr>
      <w:rFonts w:asciiTheme="majorHAnsi" w:eastAsia="Times New Roman" w:hAnsiTheme="majorHAnsi" w:cstheme="minorHAnsi"/>
      <w:b/>
      <w:i/>
      <w:color w:val="FFFFFF" w:themeColor="background1"/>
      <w:lang w:eastAsia="en-AU"/>
    </w:rPr>
  </w:style>
  <w:style w:type="paragraph" w:customStyle="1" w:styleId="ControlledEntitiesHeading2">
    <w:name w:val="ControlledEntitiesHeading2"/>
    <w:qFormat/>
    <w:rsid w:val="00FD296C"/>
    <w:pPr>
      <w:shd w:val="clear" w:color="auto" w:fill="D9D9D9" w:themeFill="background1" w:themeFillShade="D9"/>
      <w:spacing w:before="120" w:after="0" w:line="240" w:lineRule="auto"/>
    </w:pPr>
    <w:rPr>
      <w:rFonts w:ascii="Calibri" w:eastAsia="Times New Roman" w:hAnsi="Calibri" w:cs="Times New Roman"/>
      <w:b/>
      <w:bCs/>
      <w:color w:val="000000" w:themeColor="text1"/>
      <w:sz w:val="18"/>
      <w:szCs w:val="18"/>
      <w:lang w:eastAsia="en-AU"/>
    </w:rPr>
  </w:style>
  <w:style w:type="paragraph" w:customStyle="1" w:styleId="ControlledEntitiesText">
    <w:name w:val="ControlledEntitiesText"/>
    <w:qFormat/>
    <w:rsid w:val="00FD296C"/>
    <w:pPr>
      <w:spacing w:before="20" w:after="20" w:line="240" w:lineRule="auto"/>
      <w:ind w:left="170" w:hanging="170"/>
    </w:pPr>
    <w:rPr>
      <w:rFonts w:ascii="Calibri" w:eastAsia="Times New Roman" w:hAnsi="Calibri" w:cs="Times New Roman"/>
      <w:color w:val="000000" w:themeColor="text1"/>
      <w:sz w:val="18"/>
      <w:szCs w:val="18"/>
      <w:lang w:eastAsia="en-AU"/>
    </w:rPr>
  </w:style>
  <w:style w:type="paragraph" w:customStyle="1" w:styleId="ControlledEntitiesDash">
    <w:name w:val="ControlledEntitiesDash"/>
    <w:qFormat/>
    <w:rsid w:val="00FD296C"/>
    <w:pPr>
      <w:spacing w:before="20" w:after="20" w:line="240" w:lineRule="auto"/>
      <w:ind w:left="216" w:hanging="216"/>
      <w:contextualSpacing/>
    </w:pPr>
    <w:rPr>
      <w:rFonts w:ascii="Calibri" w:eastAsia="Times New Roman" w:hAnsi="Calibri" w:cs="Times New Roman"/>
      <w:iCs/>
      <w:color w:val="000000" w:themeColor="text1"/>
      <w:sz w:val="18"/>
      <w:szCs w:val="18"/>
      <w:lang w:eastAsia="en-AU"/>
    </w:rPr>
  </w:style>
  <w:style w:type="paragraph" w:customStyle="1" w:styleId="Notes">
    <w:name w:val="Notes"/>
    <w:basedOn w:val="Normal"/>
    <w:link w:val="NotesChar"/>
    <w:qFormat/>
    <w:rsid w:val="00FD296C"/>
    <w:pPr>
      <w:tabs>
        <w:tab w:val="left" w:pos="360"/>
      </w:tabs>
      <w:spacing w:after="0" w:line="240" w:lineRule="auto"/>
      <w:ind w:left="360" w:hanging="360"/>
    </w:pPr>
    <w:rPr>
      <w:rFonts w:ascii="Calibri" w:eastAsia="Times New Roman" w:hAnsi="Calibri" w:cs="Times New Roman"/>
      <w:i/>
      <w:sz w:val="16"/>
      <w:szCs w:val="20"/>
      <w:lang w:eastAsia="en-AU"/>
    </w:rPr>
  </w:style>
  <w:style w:type="character" w:customStyle="1" w:styleId="NotesChar">
    <w:name w:val="Notes Char"/>
    <w:link w:val="Notes"/>
    <w:locked/>
    <w:rsid w:val="00FD296C"/>
    <w:rPr>
      <w:rFonts w:ascii="Calibri" w:eastAsia="Times New Roman" w:hAnsi="Calibri" w:cs="Times New Roman"/>
      <w:i/>
      <w:sz w:val="16"/>
      <w:szCs w:val="20"/>
      <w:lang w:eastAsia="en-AU"/>
    </w:rPr>
  </w:style>
  <w:style w:type="paragraph" w:customStyle="1" w:styleId="FooterEvenpage">
    <w:name w:val="Footer (Even page)"/>
    <w:basedOn w:val="Footer"/>
    <w:uiPriority w:val="98"/>
    <w:qFormat/>
    <w:rsid w:val="0078791B"/>
  </w:style>
  <w:style w:type="paragraph" w:customStyle="1" w:styleId="TableofContentsheading">
    <w:name w:val="Table of Contents heading"/>
    <w:basedOn w:val="Normal"/>
    <w:next w:val="Normal"/>
    <w:rsid w:val="00991E04"/>
    <w:pPr>
      <w:keepNext/>
      <w:pBdr>
        <w:bottom w:val="single" w:sz="12" w:space="7" w:color="auto"/>
      </w:pBdr>
      <w:spacing w:before="1440" w:after="360" w:line="240" w:lineRule="auto"/>
    </w:pPr>
    <w:rPr>
      <w:rFonts w:ascii="Calibri" w:eastAsia="Times New Roman" w:hAnsi="Calibri" w:cs="Times New Roman"/>
      <w:b/>
      <w:caps/>
      <w:sz w:val="38"/>
      <w:szCs w:val="28"/>
    </w:rPr>
  </w:style>
  <w:style w:type="paragraph" w:styleId="NormalIndent">
    <w:name w:val="Normal Indent"/>
    <w:basedOn w:val="Normal"/>
    <w:rsid w:val="00991E04"/>
    <w:pPr>
      <w:spacing w:line="240" w:lineRule="auto"/>
      <w:ind w:left="360"/>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3.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17.xml"/><Relationship Id="rId50" Type="http://schemas.openxmlformats.org/officeDocument/2006/relationships/footer" Target="footer23.xml"/><Relationship Id="rId55" Type="http://schemas.openxmlformats.org/officeDocument/2006/relationships/footer" Target="footer2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6.xml"/><Relationship Id="rId40" Type="http://schemas.openxmlformats.org/officeDocument/2006/relationships/header" Target="header14.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2.xml"/><Relationship Id="rId57" Type="http://schemas.openxmlformats.org/officeDocument/2006/relationships/footer" Target="footer2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CCF7-75EC-4BDF-9359-8E3F9B91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TotalTime>
  <Pages>31</Pages>
  <Words>8948</Words>
  <Characters>43761</Characters>
  <Application>Microsoft Office Word</Application>
  <DocSecurity>0</DocSecurity>
  <Lines>3978</Lines>
  <Paragraphs>3513</Paragraphs>
  <ScaleCrop>false</ScaleCrop>
  <HeadingPairs>
    <vt:vector size="2" baseType="variant">
      <vt:variant>
        <vt:lpstr>Title</vt:lpstr>
      </vt:variant>
      <vt:variant>
        <vt:i4>1</vt:i4>
      </vt:variant>
    </vt:vector>
  </HeadingPairs>
  <TitlesOfParts>
    <vt:vector size="1" baseType="lpstr">
      <vt:lpstr>Quarterly Financial Report for the Victorian general government sector – September 2016</vt:lpstr>
    </vt:vector>
  </TitlesOfParts>
  <Company>Victorian Government</Company>
  <LinksUpToDate>false</LinksUpToDate>
  <CharactersWithSpaces>49196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for the Victorian general government sector – September 2016</dc:title>
  <dc:subject>Chapter 1</dc:subject>
  <dc:creator>Department of Treasury and Finance</dc:creator>
  <cp:lastModifiedBy>Leigh Anlezark</cp:lastModifiedBy>
  <cp:revision>344</cp:revision>
  <cp:lastPrinted>2016-11-04T04:52:00Z</cp:lastPrinted>
  <dcterms:created xsi:type="dcterms:W3CDTF">2016-05-31T08:36:00Z</dcterms:created>
  <dcterms:modified xsi:type="dcterms:W3CDTF">2016-11-07T05:48:00Z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d84f811a-55d2-486f-8d67-99b6eea73e73</vt:lpwstr>
  </property>
  <property fmtid="{D5CDD505-2E9C-101B-9397-08002B2CF9AE}" pid="3" name="PSPFClassification">
    <vt:lpwstr>Do Not Mark</vt:lpwstr>
  </property>
</Properties>
</file>